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82B49"/>
          <w:sz w:val="44"/>
        </w:rPr>
        <w:t>STATUTORY CONSTRUCTION (STATCON)</w:t>
      </w:r>
    </w:p>
    <w:p>
      <w:pPr>
        <w:spacing w:before="0" w:after="40"/>
        <w:jc w:val="center"/>
      </w:pPr>
      <w:r>
        <w:rPr>
          <w:rFonts w:ascii="Calibri" w:hAnsi="Calibri"/>
          <w:i/>
          <w:color w:val="0F4C81"/>
          <w:sz w:val="22"/>
        </w:rPr>
        <w:t>Applied Case Digest Compendium with Maxim Syntheses &amp; Audio-Optimized Narratives</w:t>
      </w:r>
    </w:p>
    <w:p>
      <w:pPr>
        <w:spacing w:before="0" w:after="240"/>
        <w:jc w:val="center"/>
      </w:pPr>
      <w:r>
        <w:rPr>
          <w:rFonts w:ascii="Calibri" w:hAnsi="Calibri"/>
          <w:b/>
          <w:color w:val="6C757D"/>
          <w:sz w:val="20"/>
        </w:rPr>
        <w:t>Manila Law College — First Semester, AY 2026-2027</w:t>
        <w:br/>
        <w:t>Rigorous Law School Case Digest Compendium on Statutory Interpretation &amp; Legal Maxims</w:t>
      </w:r>
    </w:p>
    <w:tbl>
      <w:tblPr>
        <w:tblW w:type="auto" w:w="0"/>
        <w:jc w:val="center"/>
        <w:tblLook w:firstColumn="1" w:firstRow="1" w:lastColumn="0" w:lastRow="0" w:noHBand="0" w:noVBand="1" w:val="04A0"/>
      </w:tblPr>
      <w:tblGrid>
        <w:gridCol w:w="9360"/>
      </w:tblGrid>
      <w:tr>
        <w:tc>
          <w:tcPr>
            <w:tcW w:type="dxa" w:w="9360"/>
            <w:shd w:fill="182B49"/>
          </w:tcPr>
          <w:p>
            <w:pPr>
              <w:spacing w:before="40" w:after="40"/>
            </w:pPr>
            <w:r>
              <w:rPr>
                <w:sz w:val="4"/>
              </w:rPr>
            </w:r>
          </w:p>
        </w:tc>
      </w:tr>
    </w:tbl>
    <w:p>
      <w:pPr>
        <w:spacing w:after="120"/>
      </w:pPr>
    </w:p>
    <w:p>
      <w:pPr>
        <w:keepNext/>
        <w:spacing w:before="320" w:after="40"/>
      </w:pPr>
      <w:r>
        <w:rPr>
          <w:rFonts w:ascii="Calibri" w:hAnsi="Calibri"/>
          <w:b/>
          <w:color w:val="A30000"/>
          <w:sz w:val="26"/>
        </w:rPr>
        <w:t xml:space="preserve">CASE 1: </w:t>
      </w:r>
      <w:r>
        <w:rPr>
          <w:rFonts w:ascii="Calibri" w:hAnsi="Calibri"/>
          <w:b/>
          <w:color w:val="182B49"/>
          <w:sz w:val="26"/>
        </w:rPr>
        <w:t>Caltex (Philippines), Inc. v. Enrico Palomar (Postmaster General)</w:t>
      </w:r>
    </w:p>
    <w:p>
      <w:pPr>
        <w:keepNext/>
        <w:spacing w:before="0" w:after="80"/>
      </w:pPr>
      <w:r>
        <w:rPr>
          <w:rFonts w:ascii="Calibri" w:hAnsi="Calibri"/>
          <w:b/>
          <w:i/>
          <w:color w:val="0F4C81"/>
          <w:sz w:val="19"/>
        </w:rPr>
        <w:t>G.R. No. L-19650, September 29, 1966 | 18 SCRA 247 | Ponente: Castro,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t>I. Background of the Study — Nature and Concept of Statutory Construction</w:t>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t>Section 1954(a) of the Revised Administrative Code (Postal Non-Mailable Matter - Lotteries and Gift Enterprises)</w:t>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In 1960, Caltex Philippines conceived the 'Caltex Hooded Pump Contest,' a nationwide sales promotional scheme where participants could win motor vehicles and prizes by obtaining free entry forms at Caltex stations. No purchase of oil or gasoline was required. Caltex sought postal clearance from Postmaster General Enrico Palomar to use the Philippine mail service. The Postmaster General denied the request, ruling that the promotional scheme constituted an illegal 'lottery or gift enterprise' prohibited from the mails under Section 1954(a) of the Revised Administrative Code. Caltex filed a petition for declaratory relief before the CFI of Manila to construe the statute.</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the Caltex promotional contest constitutes a 'lottery' or 'gift enterprise' within the prohibitory purview of Section 1954(a) of the Revised Administrative Code.</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The promotional contest is neither a lottery nor a gift enterprise because the indispensable element of consideration is completely absent.</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AFFIRMED the trial court ruling, declaring that Caltex's contest was mailable and did not violate the postal statute.</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The statutory terms 'lottery' and 'gift enterprise' were not explicitly defined in the Postal Law, creating ambiguity regarding whether promotional contests without purchase requirements fall within the statutory ban.</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ascertain the true legislative intent and avoid an unjust expansion of penal/administrative prohibitions to innocent sales promotions.</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Noscitur a Sociis &amp; Ejusdem Generis: Under the principle of associated words, 'gift enterprise' must take its meaning from its companion term 'lottery', thereby requiring the three essential elements of lottery: (1) prize, (2) chance, and (3) consideration.</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Common-law definitions, Bouvier's Law Dictionary, and contemporaneous American postal jurisprudence from which the Philippine postal law was derived.</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Situs &amp; Purpose of Construction: </w:t>
      </w:r>
      <w:r>
        <w:rPr>
          <w:rFonts w:ascii="Calibri" w:hAnsi="Calibri"/>
          <w:color w:val="212529"/>
          <w:sz w:val="19"/>
        </w:rPr>
        <w:t>Construction is the judicial function of discovering legislative intent where the words are obscure or ambiguous.</w:t>
      </w:r>
    </w:p>
    <w:p>
      <w:pPr>
        <w:pStyle w:val="ListBullet"/>
        <w:spacing w:before="0" w:after="40" w:line="276" w:lineRule="auto"/>
        <w:ind w:left="360"/>
      </w:pPr>
      <w:r>
        <w:rPr>
          <w:rFonts w:ascii="Calibri" w:hAnsi="Calibri"/>
          <w:b/>
          <w:color w:val="212529"/>
          <w:sz w:val="19"/>
        </w:rPr>
        <w:t xml:space="preserve">• Noscitur a Sociis: </w:t>
      </w:r>
      <w:r>
        <w:rPr>
          <w:rFonts w:ascii="Calibri" w:hAnsi="Calibri"/>
          <w:color w:val="212529"/>
          <w:sz w:val="19"/>
        </w:rPr>
        <w:t>The term 'gift enterprise' is associated with 'lottery' and must partake of the same core element of consideration.</w:t>
      </w:r>
    </w:p>
    <w:p>
      <w:pPr>
        <w:pStyle w:val="ListBullet"/>
        <w:spacing w:before="0" w:after="40" w:line="276" w:lineRule="auto"/>
        <w:ind w:left="360"/>
      </w:pPr>
      <w:r>
        <w:rPr>
          <w:rFonts w:ascii="Calibri" w:hAnsi="Calibri"/>
          <w:b/>
          <w:color w:val="212529"/>
          <w:sz w:val="19"/>
        </w:rPr>
        <w:t xml:space="preserve">• Strict Construction of Prohibitory / Penal Laws: </w:t>
      </w:r>
      <w:r>
        <w:rPr>
          <w:rFonts w:ascii="Calibri" w:hAnsi="Calibri"/>
          <w:color w:val="212529"/>
          <w:sz w:val="19"/>
        </w:rPr>
        <w:t>Statutes restricting trade and postal communications must not be extended by implication beyond their clear legislative terms.</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Section 1954(a) of the Revised Administrative Code to exclude gratuitous promotional contests because a 'lottery' or 'gift enterprise' strictly requires the payment of valuable consideration as a condition precedent for participation.</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I. Background of the Study — Nature and Concept of Statutory Construction regarding Section 1954(a) of the Revised Administrative Code (Postal Non-Mailable Matter - Lotteries and Gift Enterprises), the Supreme Court rigorously applied the canon of Noscitur a Sociis &amp; Ejusdem Generis: Under the principle of associated words, 'gift enterprise' must take its meaning from its companion term 'lottery', thereby requiring the three essential elements of lottery: (1) prize, (2) chance, and (3) consideration.. Construction became imperative because The statutory terms 'lottery' and 'gift enterprise' were not explicitly defined in the Postal Law, creating ambiguity regarding whether promotional contests without purchase requirements fall within the statutory ban. Under the maxim of Situs &amp; Purpose of Construction, the law dictates that Construction is the judicial function of discovering legislative intent where the words are obscure or ambiguous. Under the maxim of Noscitur a Sociis, the law dictates that The term 'gift enterprise' is associated with 'lottery' and must partake of the same core element of consideration. Under the maxim of Strict Construction of Prohibitory / Penal Laws, the law dictates that Statutes restricting trade and postal communications must not be extended by implication beyond their clear legislative terms. In summary, The Court construed Section 1954(a) of the Revised Administrative Code to exclude gratuitous promotional contests because a 'lottery' or 'gift enterprise' strictly requires the payment of valuable consideration as a condition precedent for participation.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Noscitur a Sociis &amp; Ejusdem Generis: Under the principle of associated words, 'gift enterprise' must take its meaning from its companion term 'lottery', thereby requiring the three essential elements of lottery: (1) prize, (2) chance, and (3) consideration.</w:t>
            </w:r>
          </w:p>
        </w:tc>
        <w:tc>
          <w:tcPr>
            <w:tcW w:type="dxa" w:w="6048"/>
            <w:shd w:fill="FFFFFF"/>
            <w:tcMar>
              <w:top w:w="70" w:type="dxa"/>
              <w:bottom w:w="70" w:type="dxa"/>
              <w:left w:w="90" w:type="dxa"/>
              <w:right w:w="90" w:type="dxa"/>
            </w:tcMar>
          </w:tcPr>
          <w:p>
            <w:r>
              <w:rPr>
                <w:rFonts w:ascii="Calibri" w:hAnsi="Calibri"/>
                <w:color w:val="212529"/>
                <w:sz w:val="17"/>
              </w:rPr>
              <w:t>To ascertain the true legislative intent and avoid an unjust expansion of penal/administrative prohibitions to innocent sales promotions.</w:t>
            </w:r>
          </w:p>
        </w:tc>
      </w:tr>
      <w:tr>
        <w:tc>
          <w:tcPr>
            <w:tcW w:type="dxa" w:w="3312"/>
            <w:shd w:fill="F7F9FA"/>
            <w:tcMar>
              <w:top w:w="70" w:type="dxa"/>
              <w:bottom w:w="70" w:type="dxa"/>
              <w:left w:w="80" w:type="dxa"/>
              <w:right w:w="80" w:type="dxa"/>
            </w:tcMar>
          </w:tcPr>
          <w:p>
            <w:r>
              <w:rPr>
                <w:rFonts w:ascii="Calibri" w:hAnsi="Calibri"/>
                <w:b/>
                <w:color w:val="0F4C81"/>
                <w:sz w:val="17"/>
              </w:rPr>
              <w:t>Situs &amp; Purpose of Construction</w:t>
            </w:r>
          </w:p>
        </w:tc>
        <w:tc>
          <w:tcPr>
            <w:tcW w:type="dxa" w:w="6048"/>
            <w:shd w:fill="F7F9FA"/>
            <w:tcMar>
              <w:top w:w="70" w:type="dxa"/>
              <w:bottom w:w="70" w:type="dxa"/>
              <w:left w:w="90" w:type="dxa"/>
              <w:right w:w="90" w:type="dxa"/>
            </w:tcMar>
          </w:tcPr>
          <w:p>
            <w:r>
              <w:rPr>
                <w:rFonts w:ascii="Calibri" w:hAnsi="Calibri"/>
                <w:color w:val="212529"/>
                <w:sz w:val="17"/>
              </w:rPr>
              <w:t>Construction is the judicial function of discovering legislative intent where the words are obscure or ambiguous.</w:t>
            </w:r>
          </w:p>
        </w:tc>
      </w:tr>
      <w:tr>
        <w:tc>
          <w:tcPr>
            <w:tcW w:type="dxa" w:w="3312"/>
            <w:shd w:fill="FFFFFF"/>
            <w:tcMar>
              <w:top w:w="70" w:type="dxa"/>
              <w:bottom w:w="70" w:type="dxa"/>
              <w:left w:w="80" w:type="dxa"/>
              <w:right w:w="80" w:type="dxa"/>
            </w:tcMar>
          </w:tcPr>
          <w:p>
            <w:r>
              <w:rPr>
                <w:rFonts w:ascii="Calibri" w:hAnsi="Calibri"/>
                <w:b/>
                <w:color w:val="0F4C81"/>
                <w:sz w:val="17"/>
              </w:rPr>
              <w:t>Noscitur a Sociis</w:t>
            </w:r>
          </w:p>
        </w:tc>
        <w:tc>
          <w:tcPr>
            <w:tcW w:type="dxa" w:w="6048"/>
            <w:shd w:fill="FFFFFF"/>
            <w:tcMar>
              <w:top w:w="70" w:type="dxa"/>
              <w:bottom w:w="70" w:type="dxa"/>
              <w:left w:w="90" w:type="dxa"/>
              <w:right w:w="90" w:type="dxa"/>
            </w:tcMar>
          </w:tcPr>
          <w:p>
            <w:r>
              <w:rPr>
                <w:rFonts w:ascii="Calibri" w:hAnsi="Calibri"/>
                <w:color w:val="212529"/>
                <w:sz w:val="17"/>
              </w:rPr>
              <w:t>The term 'gift enterprise' is associated with 'lottery' and must partake of the same core element of consideration.</w:t>
            </w:r>
          </w:p>
        </w:tc>
      </w:tr>
      <w:tr>
        <w:tc>
          <w:tcPr>
            <w:tcW w:type="dxa" w:w="3312"/>
            <w:shd w:fill="F7F9FA"/>
            <w:tcMar>
              <w:top w:w="70" w:type="dxa"/>
              <w:bottom w:w="70" w:type="dxa"/>
              <w:left w:w="80" w:type="dxa"/>
              <w:right w:w="80" w:type="dxa"/>
            </w:tcMar>
          </w:tcPr>
          <w:p>
            <w:r>
              <w:rPr>
                <w:rFonts w:ascii="Calibri" w:hAnsi="Calibri"/>
                <w:b/>
                <w:color w:val="0F4C81"/>
                <w:sz w:val="17"/>
              </w:rPr>
              <w:t>Strict Construction of Prohibitory / Penal Laws</w:t>
            </w:r>
          </w:p>
        </w:tc>
        <w:tc>
          <w:tcPr>
            <w:tcW w:type="dxa" w:w="6048"/>
            <w:shd w:fill="F7F9FA"/>
            <w:tcMar>
              <w:top w:w="70" w:type="dxa"/>
              <w:bottom w:w="70" w:type="dxa"/>
              <w:left w:w="90" w:type="dxa"/>
              <w:right w:w="90" w:type="dxa"/>
            </w:tcMar>
          </w:tcPr>
          <w:p>
            <w:r>
              <w:rPr>
                <w:rFonts w:ascii="Calibri" w:hAnsi="Calibri"/>
                <w:color w:val="212529"/>
                <w:sz w:val="17"/>
              </w:rPr>
              <w:t>Statutes restricting trade and postal communications must not be extended by implication beyond their clear legislative terms.</w:t>
            </w:r>
          </w:p>
        </w:tc>
      </w:tr>
    </w:tbl>
    <w:p>
      <w:pPr>
        <w:spacing w:after="160"/>
      </w:pPr>
    </w:p>
    <w:p>
      <w:pPr>
        <w:keepNext/>
        <w:spacing w:before="320" w:after="40"/>
      </w:pPr>
      <w:r>
        <w:rPr>
          <w:rFonts w:ascii="Calibri" w:hAnsi="Calibri"/>
          <w:b/>
          <w:color w:val="A30000"/>
          <w:sz w:val="26"/>
        </w:rPr>
        <w:t xml:space="preserve">CASE 2: </w:t>
      </w:r>
      <w:r>
        <w:rPr>
          <w:rFonts w:ascii="Calibri" w:hAnsi="Calibri"/>
          <w:b/>
          <w:color w:val="182B49"/>
          <w:sz w:val="26"/>
        </w:rPr>
        <w:t>Tañada v. Tuvera</w:t>
      </w:r>
    </w:p>
    <w:p>
      <w:pPr>
        <w:keepNext/>
        <w:spacing w:before="0" w:after="80"/>
      </w:pPr>
      <w:r>
        <w:rPr>
          <w:rFonts w:ascii="Calibri" w:hAnsi="Calibri"/>
          <w:b/>
          <w:i/>
          <w:color w:val="0F4C81"/>
          <w:sz w:val="19"/>
        </w:rPr>
        <w:t>G.R. No. L-63915, April 24, 1985 (136 SCRA 27) &amp; Resolution, December 29, 1986 (146 SCRA 446) | Ponente: Cruz,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Petitioners Lorenzo M. Tañada and other civic advocates sought a writ of mandamus to compel Executive Secretary Juan C. Tuvera to publish in the Official Gazette numerous Presidential Decrees, Letters of Instructions, General Orders, and Executive Orders issued by President Ferdinand E. Marcos during the martial law regime. The respondents argued that publication was not mandatory because Article 2 of the Civil Code provides that 'Laws shall take effect after fifteen days following the completion of their publication in the Official Gazette, unless it is otherwise provided,' and the decrees themselves contained explicit clauses stating they were effective 'immediately upon approval.'</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the clause 'unless it is otherwise provided' in Article 2 of the Civil Code dispenses with the mandatory requirement of publication of presidential decrees and statutes.</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Publication is indispensable and mandatory for all statutes and presidential issuances of general application before they can acquire binding legal force.</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ORDERED the immediate publication of all unpublished presidential decrees and executive orders, declaring that unpublished laws have no binding legal effect.</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The phrase 'unless it is otherwise provided' created an apparent ambiguity as to whether it exempted statutes from publication entirely or merely permitted a different period of effectivity after publication.</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harmonize Article 2 of the Civil Code with the constitutional guarantee of Due Process (Article III, Section 1, 1987 Constitution), ensuring the public has notice of the laws by which they are governed.</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Harmonization with Constitutional Due Process &amp; Purposive Construction: The clause 'unless it is otherwise provided' refers strictly to the date of effectivity (e.g., shorter or longer than 15 days), but NEVER dispenses with the publication requirement itself.</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Constitutional Due Process clause, principles of fundamental justice, and the maxim 'Ignorantia legis neminem excusat' (ignorance of the law excuses no one).</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Harmonization with Constitution: </w:t>
      </w:r>
      <w:r>
        <w:rPr>
          <w:rFonts w:ascii="Calibri" w:hAnsi="Calibri"/>
          <w:color w:val="212529"/>
          <w:sz w:val="19"/>
        </w:rPr>
        <w:t>Every statute must be interpreted to conform with the constitutional mandate of due process and notice.</w:t>
      </w:r>
    </w:p>
    <w:p>
      <w:pPr>
        <w:pStyle w:val="ListBullet"/>
        <w:spacing w:before="0" w:after="40" w:line="276" w:lineRule="auto"/>
        <w:ind w:left="360"/>
      </w:pPr>
      <w:r>
        <w:rPr>
          <w:rFonts w:ascii="Calibri" w:hAnsi="Calibri"/>
          <w:b/>
          <w:color w:val="212529"/>
          <w:sz w:val="19"/>
        </w:rPr>
        <w:t xml:space="preserve">• Verba Legis &amp; Legislative Purpose: </w:t>
      </w:r>
      <w:r>
        <w:rPr>
          <w:rFonts w:ascii="Calibri" w:hAnsi="Calibri"/>
          <w:color w:val="212529"/>
          <w:sz w:val="19"/>
        </w:rPr>
        <w:t>Construing 'unless otherwise provided' to apply only to the 15-day period, not the publication requirement.</w:t>
      </w:r>
    </w:p>
    <w:p>
      <w:pPr>
        <w:pStyle w:val="ListBullet"/>
        <w:spacing w:before="0" w:after="40" w:line="276" w:lineRule="auto"/>
        <w:ind w:left="360"/>
      </w:pPr>
      <w:r>
        <w:rPr>
          <w:rFonts w:ascii="Calibri" w:hAnsi="Calibri"/>
          <w:b/>
          <w:color w:val="212529"/>
          <w:sz w:val="19"/>
        </w:rPr>
        <w:t xml:space="preserve">• Legis Interpretatio Legis Vim Obtinet: </w:t>
      </w:r>
      <w:r>
        <w:rPr>
          <w:rFonts w:ascii="Calibri" w:hAnsi="Calibri"/>
          <w:color w:val="212529"/>
          <w:sz w:val="19"/>
        </w:rPr>
        <w:t>The ruling serves as an authoritative doctrine on the effectivity of all public laws.</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Article 2 of the Civil Code to mean that publication in the Official Gazette (or a newspaper of general circulation) is an absolute, non-waivable requirement of due process for all laws of general applicability.</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Harmonization with Constitutional Due Process &amp; Purposive Construction: The clause 'unless it is otherwise provided' refers strictly to the date of effectivity (e.g., shorter or longer than 15 days), but NEVER dispenses with the publication requirement itself.. Construction became imperative because The phrase 'unless it is otherwise provided' created an apparent ambiguity as to whether it exempted statutes from publication entirely or merely permitted a different period of effectivity after publication. Under the maxim of Harmonization with Constitution, the law dictates that Every statute must be interpreted to conform with the constitutional mandate of due process and notice. Under the maxim of Verba Legis &amp; Legislative Purpose, the law dictates that Construing 'unless otherwise provided' to apply only to the 15-day period, not the publication requirement. Under the maxim of Legis Interpretatio Legis Vim Obtinet, the law dictates that The ruling serves as an authoritative doctrine on the effectivity of all public laws. In summary, The Court construed Article 2 of the Civil Code to mean that publication in the Official Gazette (or a newspaper of general circulation) is an absolute, non-waivable requirement of due process for all laws of general applicability.</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Harmonization with Constitutional Due Process &amp; Purposive Construction: The clause 'unless it is otherwise provided' refers strictly to the date of effectivity (e.g., shorter or longer than 15 days), but NEVER dispenses with the publication requirement itself.</w:t>
            </w:r>
          </w:p>
        </w:tc>
        <w:tc>
          <w:tcPr>
            <w:tcW w:type="dxa" w:w="6048"/>
            <w:shd w:fill="FFFFFF"/>
            <w:tcMar>
              <w:top w:w="70" w:type="dxa"/>
              <w:bottom w:w="70" w:type="dxa"/>
              <w:left w:w="90" w:type="dxa"/>
              <w:right w:w="90" w:type="dxa"/>
            </w:tcMar>
          </w:tcPr>
          <w:p>
            <w:r>
              <w:rPr>
                <w:rFonts w:ascii="Calibri" w:hAnsi="Calibri"/>
                <w:color w:val="212529"/>
                <w:sz w:val="17"/>
              </w:rPr>
              <w:t>To harmonize Article 2 of the Civil Code with the constitutional guarantee of Due Process (Article III, Section 1, 1987 Constitution), ensuring the public has notice of the laws by which they are governed.</w:t>
            </w:r>
          </w:p>
        </w:tc>
      </w:tr>
      <w:tr>
        <w:tc>
          <w:tcPr>
            <w:tcW w:type="dxa" w:w="3312"/>
            <w:shd w:fill="F7F9FA"/>
            <w:tcMar>
              <w:top w:w="70" w:type="dxa"/>
              <w:bottom w:w="70" w:type="dxa"/>
              <w:left w:w="80" w:type="dxa"/>
              <w:right w:w="80" w:type="dxa"/>
            </w:tcMar>
          </w:tcPr>
          <w:p>
            <w:r>
              <w:rPr>
                <w:rFonts w:ascii="Calibri" w:hAnsi="Calibri"/>
                <w:b/>
                <w:color w:val="0F4C81"/>
                <w:sz w:val="17"/>
              </w:rPr>
              <w:t>Harmonization with Constitution</w:t>
            </w:r>
          </w:p>
        </w:tc>
        <w:tc>
          <w:tcPr>
            <w:tcW w:type="dxa" w:w="6048"/>
            <w:shd w:fill="F7F9FA"/>
            <w:tcMar>
              <w:top w:w="70" w:type="dxa"/>
              <w:bottom w:w="70" w:type="dxa"/>
              <w:left w:w="90" w:type="dxa"/>
              <w:right w:w="90" w:type="dxa"/>
            </w:tcMar>
          </w:tcPr>
          <w:p>
            <w:r>
              <w:rPr>
                <w:rFonts w:ascii="Calibri" w:hAnsi="Calibri"/>
                <w:color w:val="212529"/>
                <w:sz w:val="17"/>
              </w:rPr>
              <w:t>Every statute must be interpreted to conform with the constitutional mandate of due process and notice.</w:t>
            </w:r>
          </w:p>
        </w:tc>
      </w:tr>
      <w:tr>
        <w:tc>
          <w:tcPr>
            <w:tcW w:type="dxa" w:w="3312"/>
            <w:shd w:fill="FFFFFF"/>
            <w:tcMar>
              <w:top w:w="70" w:type="dxa"/>
              <w:bottom w:w="70" w:type="dxa"/>
              <w:left w:w="80" w:type="dxa"/>
              <w:right w:w="80" w:type="dxa"/>
            </w:tcMar>
          </w:tcPr>
          <w:p>
            <w:r>
              <w:rPr>
                <w:rFonts w:ascii="Calibri" w:hAnsi="Calibri"/>
                <w:b/>
                <w:color w:val="0F4C81"/>
                <w:sz w:val="17"/>
              </w:rPr>
              <w:t>Verba Legis &amp; Legislative Purpose</w:t>
            </w:r>
          </w:p>
        </w:tc>
        <w:tc>
          <w:tcPr>
            <w:tcW w:type="dxa" w:w="6048"/>
            <w:shd w:fill="FFFFFF"/>
            <w:tcMar>
              <w:top w:w="70" w:type="dxa"/>
              <w:bottom w:w="70" w:type="dxa"/>
              <w:left w:w="90" w:type="dxa"/>
              <w:right w:w="90" w:type="dxa"/>
            </w:tcMar>
          </w:tcPr>
          <w:p>
            <w:r>
              <w:rPr>
                <w:rFonts w:ascii="Calibri" w:hAnsi="Calibri"/>
                <w:color w:val="212529"/>
                <w:sz w:val="17"/>
              </w:rPr>
              <w:t>Construing 'unless otherwise provided' to apply only to the 15-day period, not the publication requirement.</w:t>
            </w:r>
          </w:p>
        </w:tc>
      </w:tr>
      <w:tr>
        <w:tc>
          <w:tcPr>
            <w:tcW w:type="dxa" w:w="3312"/>
            <w:shd w:fill="F7F9FA"/>
            <w:tcMar>
              <w:top w:w="70" w:type="dxa"/>
              <w:bottom w:w="70" w:type="dxa"/>
              <w:left w:w="80" w:type="dxa"/>
              <w:right w:w="80" w:type="dxa"/>
            </w:tcMar>
          </w:tcPr>
          <w:p>
            <w:r>
              <w:rPr>
                <w:rFonts w:ascii="Calibri" w:hAnsi="Calibri"/>
                <w:b/>
                <w:color w:val="0F4C81"/>
                <w:sz w:val="17"/>
              </w:rPr>
              <w:t>Legis Interpretatio Legis Vim Obtinet</w:t>
            </w:r>
          </w:p>
        </w:tc>
        <w:tc>
          <w:tcPr>
            <w:tcW w:type="dxa" w:w="6048"/>
            <w:shd w:fill="F7F9FA"/>
            <w:tcMar>
              <w:top w:w="70" w:type="dxa"/>
              <w:bottom w:w="70" w:type="dxa"/>
              <w:left w:w="90" w:type="dxa"/>
              <w:right w:w="90" w:type="dxa"/>
            </w:tcMar>
          </w:tcPr>
          <w:p>
            <w:r>
              <w:rPr>
                <w:rFonts w:ascii="Calibri" w:hAnsi="Calibri"/>
                <w:color w:val="212529"/>
                <w:sz w:val="17"/>
              </w:rPr>
              <w:t>The ruling serves as an authoritative doctrine on the effectivity of all public laws.</w:t>
            </w:r>
          </w:p>
        </w:tc>
      </w:tr>
    </w:tbl>
    <w:p>
      <w:pPr>
        <w:spacing w:after="160"/>
      </w:pPr>
    </w:p>
    <w:p>
      <w:pPr>
        <w:keepNext/>
        <w:spacing w:before="320" w:after="40"/>
      </w:pPr>
      <w:r>
        <w:rPr>
          <w:rFonts w:ascii="Calibri" w:hAnsi="Calibri"/>
          <w:b/>
          <w:color w:val="A30000"/>
          <w:sz w:val="26"/>
        </w:rPr>
        <w:t xml:space="preserve">CASE 3: </w:t>
      </w:r>
      <w:r>
        <w:rPr>
          <w:rFonts w:ascii="Calibri" w:hAnsi="Calibri"/>
          <w:b/>
          <w:color w:val="182B49"/>
          <w:sz w:val="26"/>
        </w:rPr>
        <w:t>Bolos v. Bolos</w:t>
      </w:r>
    </w:p>
    <w:p>
      <w:pPr>
        <w:keepNext/>
        <w:spacing w:before="0" w:after="80"/>
      </w:pPr>
      <w:r>
        <w:rPr>
          <w:rFonts w:ascii="Calibri" w:hAnsi="Calibri"/>
          <w:b/>
          <w:i/>
          <w:color w:val="0F4C81"/>
          <w:sz w:val="19"/>
        </w:rPr>
        <w:t>G.R. No. 186400, October 20, 2010 | 634 SCRA 429 | Ponente: Mendoza,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Petitioner Danilo Bolos filed a petition for declaration of absolute nullity of his marriage to respondent Cynthia Bolos under Article 36 of the Family Code (psychological incapacity). Cynthia filed a motion to dismiss, asserting that petitioner failed to comply with Section 2(a) of the Rule on Declaration of Absolute Nullity of Void Marriages (A.M. No. 02-11-10-SC), which requires the filing of a motion for reconsideration before an appeal can be perfected. Petitioner argued that the procedural requirement applies only to marriages celebrated under the Family Code.</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the procedural rules requiring a motion for reconsideration prior to appeal apply to marriages solemnized prior to the effectivity of the Family Code.</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YES. The procedural rule is clear and applies to all petitions for declaration of absolute nullity of void marriages regardless of the date of marriage.</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DENIED the petition, upholding the dismissal of the appeal for failure to file the mandatory motion for reconsideration.</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Petitioner sought to introduce an exception where none was provided in the text of A.M. No. 02-11-10-SC.</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enforce the cardinal rule of statutory construction that clear legal rules must be applied as written without unwarranted judicial exceptions.</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Verba Legis Non Est Recedendum (Plain Meaning Rule): Where the law is clear, plain, and free from ambiguity, there is no room for construction or interpretation, only application.</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Textual provisions of A.M. No. 02-11-10-SC and general principles of statutory and procedural construction.</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Verba Legis: </w:t>
      </w:r>
      <w:r>
        <w:rPr>
          <w:rFonts w:ascii="Calibri" w:hAnsi="Calibri"/>
          <w:color w:val="212529"/>
          <w:sz w:val="19"/>
        </w:rPr>
        <w:t>If the text is clear, courts must apply its plain, ordinary meaning.</w:t>
      </w:r>
    </w:p>
    <w:p>
      <w:pPr>
        <w:pStyle w:val="ListBullet"/>
        <w:spacing w:before="0" w:after="40" w:line="276" w:lineRule="auto"/>
        <w:ind w:left="360"/>
      </w:pPr>
      <w:r>
        <w:rPr>
          <w:rFonts w:ascii="Calibri" w:hAnsi="Calibri"/>
          <w:b/>
          <w:color w:val="212529"/>
          <w:sz w:val="19"/>
        </w:rPr>
        <w:t xml:space="preserve">• Absoluta Sententia Expositore Non Indiget: </w:t>
      </w:r>
      <w:r>
        <w:rPr>
          <w:rFonts w:ascii="Calibri" w:hAnsi="Calibri"/>
          <w:color w:val="212529"/>
          <w:sz w:val="19"/>
        </w:rPr>
        <w:t>When language is plain, no explanation or judicial interpretation is needed.</w:t>
      </w:r>
    </w:p>
    <w:p>
      <w:pPr>
        <w:pStyle w:val="ListBullet"/>
        <w:spacing w:before="0" w:after="40" w:line="276" w:lineRule="auto"/>
        <w:ind w:left="360"/>
      </w:pPr>
      <w:r>
        <w:rPr>
          <w:rFonts w:ascii="Calibri" w:hAnsi="Calibri"/>
          <w:b/>
          <w:color w:val="212529"/>
          <w:sz w:val="19"/>
        </w:rPr>
        <w:t xml:space="preserve">• Limits of Power to Construe: </w:t>
      </w:r>
      <w:r>
        <w:rPr>
          <w:rFonts w:ascii="Calibri" w:hAnsi="Calibri"/>
          <w:color w:val="212529"/>
          <w:sz w:val="19"/>
        </w:rPr>
        <w:t>Courts cannot insert exceptions into procedural rules when the text is all-encompassing.</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the procedural rule on annulment to apply universally to all actions for nullity of marriage without distinction as to the date of celebration.</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Verba Legis Non Est Recedendum (Plain Meaning Rule): Where the law is clear, plain, and free from ambiguity, there is no room for construction or interpretation, only application.. Construction became imperative because Petitioner sought to introduce an exception where none was provided in the text of A.M. No. 02-11-10-SC. Under the maxim of Verba Legis, the law dictates that If the text is clear, courts must apply its plain, ordinary meaning. Under the maxim of Absoluta Sententia Expositore Non Indiget, the law dictates that When language is plain, no explanation or judicial interpretation is needed. Under the maxim of Limits of Power to Construe, the law dictates that Courts cannot insert exceptions into procedural rules when the text is all-encompassing. In summary, The Court construed the procedural rule on annulment to apply universally to all actions for nullity of marriage without distinction as to the date of celebration.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Verba Legis Non Est Recedendum (Plain Meaning Rule): Where the law is clear, plain, and free from ambiguity, there is no room for construction or interpretation, only application.</w:t>
            </w:r>
          </w:p>
        </w:tc>
        <w:tc>
          <w:tcPr>
            <w:tcW w:type="dxa" w:w="6048"/>
            <w:shd w:fill="FFFFFF"/>
            <w:tcMar>
              <w:top w:w="70" w:type="dxa"/>
              <w:bottom w:w="70" w:type="dxa"/>
              <w:left w:w="90" w:type="dxa"/>
              <w:right w:w="90" w:type="dxa"/>
            </w:tcMar>
          </w:tcPr>
          <w:p>
            <w:r>
              <w:rPr>
                <w:rFonts w:ascii="Calibri" w:hAnsi="Calibri"/>
                <w:color w:val="212529"/>
                <w:sz w:val="17"/>
              </w:rPr>
              <w:t>To enforce the cardinal rule of statutory construction that clear legal rules must be applied as written without unwarranted judicial exceptions.</w:t>
            </w:r>
          </w:p>
        </w:tc>
      </w:tr>
      <w:tr>
        <w:tc>
          <w:tcPr>
            <w:tcW w:type="dxa" w:w="3312"/>
            <w:shd w:fill="F7F9FA"/>
            <w:tcMar>
              <w:top w:w="70" w:type="dxa"/>
              <w:bottom w:w="70" w:type="dxa"/>
              <w:left w:w="80" w:type="dxa"/>
              <w:right w:w="80" w:type="dxa"/>
            </w:tcMar>
          </w:tcPr>
          <w:p>
            <w:r>
              <w:rPr>
                <w:rFonts w:ascii="Calibri" w:hAnsi="Calibri"/>
                <w:b/>
                <w:color w:val="0F4C81"/>
                <w:sz w:val="17"/>
              </w:rPr>
              <w:t>Verba Legis</w:t>
            </w:r>
          </w:p>
        </w:tc>
        <w:tc>
          <w:tcPr>
            <w:tcW w:type="dxa" w:w="6048"/>
            <w:shd w:fill="F7F9FA"/>
            <w:tcMar>
              <w:top w:w="70" w:type="dxa"/>
              <w:bottom w:w="70" w:type="dxa"/>
              <w:left w:w="90" w:type="dxa"/>
              <w:right w:w="90" w:type="dxa"/>
            </w:tcMar>
          </w:tcPr>
          <w:p>
            <w:r>
              <w:rPr>
                <w:rFonts w:ascii="Calibri" w:hAnsi="Calibri"/>
                <w:color w:val="212529"/>
                <w:sz w:val="17"/>
              </w:rPr>
              <w:t>If the text is clear, courts must apply its plain, ordinary meaning.</w:t>
            </w:r>
          </w:p>
        </w:tc>
      </w:tr>
      <w:tr>
        <w:tc>
          <w:tcPr>
            <w:tcW w:type="dxa" w:w="3312"/>
            <w:shd w:fill="FFFFFF"/>
            <w:tcMar>
              <w:top w:w="70" w:type="dxa"/>
              <w:bottom w:w="70" w:type="dxa"/>
              <w:left w:w="80" w:type="dxa"/>
              <w:right w:w="80" w:type="dxa"/>
            </w:tcMar>
          </w:tcPr>
          <w:p>
            <w:r>
              <w:rPr>
                <w:rFonts w:ascii="Calibri" w:hAnsi="Calibri"/>
                <w:b/>
                <w:color w:val="0F4C81"/>
                <w:sz w:val="17"/>
              </w:rPr>
              <w:t>Absoluta Sententia Expositore Non Indiget</w:t>
            </w:r>
          </w:p>
        </w:tc>
        <w:tc>
          <w:tcPr>
            <w:tcW w:type="dxa" w:w="6048"/>
            <w:shd w:fill="FFFFFF"/>
            <w:tcMar>
              <w:top w:w="70" w:type="dxa"/>
              <w:bottom w:w="70" w:type="dxa"/>
              <w:left w:w="90" w:type="dxa"/>
              <w:right w:w="90" w:type="dxa"/>
            </w:tcMar>
          </w:tcPr>
          <w:p>
            <w:r>
              <w:rPr>
                <w:rFonts w:ascii="Calibri" w:hAnsi="Calibri"/>
                <w:color w:val="212529"/>
                <w:sz w:val="17"/>
              </w:rPr>
              <w:t>When language is plain, no explanation or judicial interpretation is needed.</w:t>
            </w:r>
          </w:p>
        </w:tc>
      </w:tr>
      <w:tr>
        <w:tc>
          <w:tcPr>
            <w:tcW w:type="dxa" w:w="3312"/>
            <w:shd w:fill="F7F9FA"/>
            <w:tcMar>
              <w:top w:w="70" w:type="dxa"/>
              <w:bottom w:w="70" w:type="dxa"/>
              <w:left w:w="80" w:type="dxa"/>
              <w:right w:w="80" w:type="dxa"/>
            </w:tcMar>
          </w:tcPr>
          <w:p>
            <w:r>
              <w:rPr>
                <w:rFonts w:ascii="Calibri" w:hAnsi="Calibri"/>
                <w:b/>
                <w:color w:val="0F4C81"/>
                <w:sz w:val="17"/>
              </w:rPr>
              <w:t>Limits of Power to Construe</w:t>
            </w:r>
          </w:p>
        </w:tc>
        <w:tc>
          <w:tcPr>
            <w:tcW w:type="dxa" w:w="6048"/>
            <w:shd w:fill="F7F9FA"/>
            <w:tcMar>
              <w:top w:w="70" w:type="dxa"/>
              <w:bottom w:w="70" w:type="dxa"/>
              <w:left w:w="90" w:type="dxa"/>
              <w:right w:w="90" w:type="dxa"/>
            </w:tcMar>
          </w:tcPr>
          <w:p>
            <w:r>
              <w:rPr>
                <w:rFonts w:ascii="Calibri" w:hAnsi="Calibri"/>
                <w:color w:val="212529"/>
                <w:sz w:val="17"/>
              </w:rPr>
              <w:t>Courts cannot insert exceptions into procedural rules when the text is all-encompassing.</w:t>
            </w:r>
          </w:p>
        </w:tc>
      </w:tr>
    </w:tbl>
    <w:p>
      <w:pPr>
        <w:spacing w:after="160"/>
      </w:pPr>
    </w:p>
    <w:p>
      <w:pPr>
        <w:keepNext/>
        <w:spacing w:before="320" w:after="40"/>
      </w:pPr>
      <w:r>
        <w:rPr>
          <w:rFonts w:ascii="Calibri" w:hAnsi="Calibri"/>
          <w:b/>
          <w:color w:val="A30000"/>
          <w:sz w:val="26"/>
        </w:rPr>
        <w:t xml:space="preserve">CASE 4: </w:t>
      </w:r>
      <w:r>
        <w:rPr>
          <w:rFonts w:ascii="Calibri" w:hAnsi="Calibri"/>
          <w:b/>
          <w:color w:val="182B49"/>
          <w:sz w:val="26"/>
        </w:rPr>
        <w:t>People v. Patricio Amigo</w:t>
      </w:r>
    </w:p>
    <w:p>
      <w:pPr>
        <w:keepNext/>
        <w:spacing w:before="0" w:after="80"/>
      </w:pPr>
      <w:r>
        <w:rPr>
          <w:rFonts w:ascii="Calibri" w:hAnsi="Calibri"/>
          <w:b/>
          <w:i/>
          <w:color w:val="0F4C81"/>
          <w:sz w:val="19"/>
        </w:rPr>
        <w:t>G.R. No. 116719, January 18, 1996 | 252 SCRA 43 | Ponente: Melo,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Accused-appellant Patricio Amigo was convicted of Murder for the merciless stabbing of Benito Sanchez following a minor traffic altercation in Davao City. The trial court imposed the penalty of Reclusion Perpetua under the Revised Penal Code. On appeal, appellant pleaded for a reduction of his sentence, arguing that Reclusion Perpetua was too harsh, cruel, and disproportionate under the 1987 Constitution, and that the Court should apply equity and compassion.</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the Supreme Court may reduce a legally mandated statutory penalty based on reasons of equity and compassion.</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Courts cannot temper or alter statutory penalties on grounds of equity when the penal law is clear and mandatory.</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AFFIRMED the conviction and penalty of Reclusion Perpetua.</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Appellant sought judicial alteration of the statutory penalty prescribed by Article 248 of the Revised Penal Code.</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uphold the principle of Separation of Powers and Dura Lex Sed Lex.</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Dura Lex Sed Lex (The law may be harsh, but it is the law): Duty of courts is to apply the law as enacted by Congress; equity cannot supersede explicit statutory mandates.</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Article 248, RPC; Article 5, RPC (duty of court to report to Executive if penalty is deemed excessive).</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Dura Lex Sed Lex: </w:t>
      </w:r>
      <w:r>
        <w:rPr>
          <w:rFonts w:ascii="Calibri" w:hAnsi="Calibri"/>
          <w:color w:val="212529"/>
          <w:sz w:val="19"/>
        </w:rPr>
        <w:t>Statutory penalties fixed by Congress must be enforced by courts regardless of perceived severity.</w:t>
      </w:r>
    </w:p>
    <w:p>
      <w:pPr>
        <w:pStyle w:val="ListBullet"/>
        <w:spacing w:before="0" w:after="40" w:line="276" w:lineRule="auto"/>
        <w:ind w:left="360"/>
      </w:pPr>
      <w:r>
        <w:rPr>
          <w:rFonts w:ascii="Calibri" w:hAnsi="Calibri"/>
          <w:b/>
          <w:color w:val="212529"/>
          <w:sz w:val="19"/>
        </w:rPr>
        <w:t xml:space="preserve">• Statutory Construction vs. Judicial Legislation: </w:t>
      </w:r>
      <w:r>
        <w:rPr>
          <w:rFonts w:ascii="Calibri" w:hAnsi="Calibri"/>
          <w:color w:val="212529"/>
          <w:sz w:val="19"/>
        </w:rPr>
        <w:t>Altering statutory penalties under the guise of equity constitutes unconstitutional judicial legislation.</w:t>
      </w:r>
    </w:p>
    <w:p>
      <w:pPr>
        <w:pStyle w:val="ListBullet"/>
        <w:spacing w:before="0" w:after="40" w:line="276" w:lineRule="auto"/>
        <w:ind w:left="360"/>
      </w:pPr>
      <w:r>
        <w:rPr>
          <w:rFonts w:ascii="Calibri" w:hAnsi="Calibri"/>
          <w:b/>
          <w:color w:val="212529"/>
          <w:sz w:val="19"/>
        </w:rPr>
        <w:t xml:space="preserve">• Article 5 RPC Mechanism: </w:t>
      </w:r>
      <w:r>
        <w:rPr>
          <w:rFonts w:ascii="Calibri" w:hAnsi="Calibri"/>
          <w:color w:val="212529"/>
          <w:sz w:val="19"/>
        </w:rPr>
        <w:t>The sole remedy for excessive penalties is an executive recommendation for clemency, not judicial modification.</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Article 248 of the RPC as mandatory, ruling that courts possess no equitable power to mitigate statutory penalties below the minimum degree fixed by Congress.</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Dura Lex Sed Lex (The law may be harsh, but it is the law): Duty of courts is to apply the law as enacted by Congress; equity cannot supersede explicit statutory mandates.. Construction became imperative because Appellant sought judicial alteration of the statutory penalty prescribed by Article 248 of the Revised Penal Code. Under the maxim of Dura Lex Sed Lex, the law dictates that Statutory penalties fixed by Congress must be enforced by courts regardless of perceived severity. Under the maxim of Statutory Construction vs. Judicial Legislation, the law dictates that Altering statutory penalties under the guise of equity constitutes unconstitutional judicial legislation. Under the maxim of Article 5 RPC Mechanism, the law dictates that The sole remedy for excessive penalties is an executive recommendation for clemency, not judicial modification. In summary, The Court construed Article 248 of the RPC as mandatory, ruling that courts possess no equitable power to mitigate statutory penalties below the minimum degree fixed by Congress.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Dura Lex Sed Lex (The law may be harsh, but it is the law): Duty of courts is to apply the law as enacted by Congress; equity cannot supersede explicit statutory mandates.</w:t>
            </w:r>
          </w:p>
        </w:tc>
        <w:tc>
          <w:tcPr>
            <w:tcW w:type="dxa" w:w="6048"/>
            <w:shd w:fill="FFFFFF"/>
            <w:tcMar>
              <w:top w:w="70" w:type="dxa"/>
              <w:bottom w:w="70" w:type="dxa"/>
              <w:left w:w="90" w:type="dxa"/>
              <w:right w:w="90" w:type="dxa"/>
            </w:tcMar>
          </w:tcPr>
          <w:p>
            <w:r>
              <w:rPr>
                <w:rFonts w:ascii="Calibri" w:hAnsi="Calibri"/>
                <w:color w:val="212529"/>
                <w:sz w:val="17"/>
              </w:rPr>
              <w:t>To uphold the principle of Separation of Powers and Dura Lex Sed Lex.</w:t>
            </w:r>
          </w:p>
        </w:tc>
      </w:tr>
      <w:tr>
        <w:tc>
          <w:tcPr>
            <w:tcW w:type="dxa" w:w="3312"/>
            <w:shd w:fill="F7F9FA"/>
            <w:tcMar>
              <w:top w:w="70" w:type="dxa"/>
              <w:bottom w:w="70" w:type="dxa"/>
              <w:left w:w="80" w:type="dxa"/>
              <w:right w:w="80" w:type="dxa"/>
            </w:tcMar>
          </w:tcPr>
          <w:p>
            <w:r>
              <w:rPr>
                <w:rFonts w:ascii="Calibri" w:hAnsi="Calibri"/>
                <w:b/>
                <w:color w:val="0F4C81"/>
                <w:sz w:val="17"/>
              </w:rPr>
              <w:t>Dura Lex Sed Lex</w:t>
            </w:r>
          </w:p>
        </w:tc>
        <w:tc>
          <w:tcPr>
            <w:tcW w:type="dxa" w:w="6048"/>
            <w:shd w:fill="F7F9FA"/>
            <w:tcMar>
              <w:top w:w="70" w:type="dxa"/>
              <w:bottom w:w="70" w:type="dxa"/>
              <w:left w:w="90" w:type="dxa"/>
              <w:right w:w="90" w:type="dxa"/>
            </w:tcMar>
          </w:tcPr>
          <w:p>
            <w:r>
              <w:rPr>
                <w:rFonts w:ascii="Calibri" w:hAnsi="Calibri"/>
                <w:color w:val="212529"/>
                <w:sz w:val="17"/>
              </w:rPr>
              <w:t>Statutory penalties fixed by Congress must be enforced by courts regardless of perceived severity.</w:t>
            </w:r>
          </w:p>
        </w:tc>
      </w:tr>
      <w:tr>
        <w:tc>
          <w:tcPr>
            <w:tcW w:type="dxa" w:w="3312"/>
            <w:shd w:fill="FFFFFF"/>
            <w:tcMar>
              <w:top w:w="70" w:type="dxa"/>
              <w:bottom w:w="70" w:type="dxa"/>
              <w:left w:w="80" w:type="dxa"/>
              <w:right w:w="80" w:type="dxa"/>
            </w:tcMar>
          </w:tcPr>
          <w:p>
            <w:r>
              <w:rPr>
                <w:rFonts w:ascii="Calibri" w:hAnsi="Calibri"/>
                <w:b/>
                <w:color w:val="0F4C81"/>
                <w:sz w:val="17"/>
              </w:rPr>
              <w:t>Statutory Construction vs. Judicial Legislation</w:t>
            </w:r>
          </w:p>
        </w:tc>
        <w:tc>
          <w:tcPr>
            <w:tcW w:type="dxa" w:w="6048"/>
            <w:shd w:fill="FFFFFF"/>
            <w:tcMar>
              <w:top w:w="70" w:type="dxa"/>
              <w:bottom w:w="70" w:type="dxa"/>
              <w:left w:w="90" w:type="dxa"/>
              <w:right w:w="90" w:type="dxa"/>
            </w:tcMar>
          </w:tcPr>
          <w:p>
            <w:r>
              <w:rPr>
                <w:rFonts w:ascii="Calibri" w:hAnsi="Calibri"/>
                <w:color w:val="212529"/>
                <w:sz w:val="17"/>
              </w:rPr>
              <w:t>Altering statutory penalties under the guise of equity constitutes unconstitutional judicial legislation.</w:t>
            </w:r>
          </w:p>
        </w:tc>
      </w:tr>
      <w:tr>
        <w:tc>
          <w:tcPr>
            <w:tcW w:type="dxa" w:w="3312"/>
            <w:shd w:fill="F7F9FA"/>
            <w:tcMar>
              <w:top w:w="70" w:type="dxa"/>
              <w:bottom w:w="70" w:type="dxa"/>
              <w:left w:w="80" w:type="dxa"/>
              <w:right w:w="80" w:type="dxa"/>
            </w:tcMar>
          </w:tcPr>
          <w:p>
            <w:r>
              <w:rPr>
                <w:rFonts w:ascii="Calibri" w:hAnsi="Calibri"/>
                <w:b/>
                <w:color w:val="0F4C81"/>
                <w:sz w:val="17"/>
              </w:rPr>
              <w:t>Article 5 RPC Mechanism</w:t>
            </w:r>
          </w:p>
        </w:tc>
        <w:tc>
          <w:tcPr>
            <w:tcW w:type="dxa" w:w="6048"/>
            <w:shd w:fill="F7F9FA"/>
            <w:tcMar>
              <w:top w:w="70" w:type="dxa"/>
              <w:bottom w:w="70" w:type="dxa"/>
              <w:left w:w="90" w:type="dxa"/>
              <w:right w:w="90" w:type="dxa"/>
            </w:tcMar>
          </w:tcPr>
          <w:p>
            <w:r>
              <w:rPr>
                <w:rFonts w:ascii="Calibri" w:hAnsi="Calibri"/>
                <w:color w:val="212529"/>
                <w:sz w:val="17"/>
              </w:rPr>
              <w:t>The sole remedy for excessive penalties is an executive recommendation for clemency, not judicial modification.</w:t>
            </w:r>
          </w:p>
        </w:tc>
      </w:tr>
    </w:tbl>
    <w:p>
      <w:pPr>
        <w:spacing w:after="160"/>
      </w:pPr>
    </w:p>
    <w:p>
      <w:pPr>
        <w:keepNext/>
        <w:spacing w:before="320" w:after="40"/>
      </w:pPr>
      <w:r>
        <w:rPr>
          <w:rFonts w:ascii="Calibri" w:hAnsi="Calibri"/>
          <w:b/>
          <w:color w:val="A30000"/>
          <w:sz w:val="26"/>
        </w:rPr>
        <w:t xml:space="preserve">CASE 5: </w:t>
      </w:r>
      <w:r>
        <w:rPr>
          <w:rFonts w:ascii="Calibri" w:hAnsi="Calibri"/>
          <w:b/>
          <w:color w:val="182B49"/>
          <w:sz w:val="26"/>
        </w:rPr>
        <w:t>People v. Purisima</w:t>
      </w:r>
    </w:p>
    <w:p>
      <w:pPr>
        <w:keepNext/>
        <w:spacing w:before="0" w:after="80"/>
      </w:pPr>
      <w:r>
        <w:rPr>
          <w:rFonts w:ascii="Calibri" w:hAnsi="Calibri"/>
          <w:b/>
          <w:i/>
          <w:color w:val="0F4C81"/>
          <w:sz w:val="19"/>
        </w:rPr>
        <w:t>G.R. Nos. L-42050-66, November 20, 1978 | 86 SCRA 542 | Ponente: Muñoz Palma,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Twenty-six (26) individuals were charged before the CFI of Manila under Presidential Decree No. 9 for carrying bladed and pointed weapons (knives, bolos, icepicks) outside their residences. Judge Amante Purisima quashed the informations because the prosecution failed to allege that the carrying of the bladed weapon was in furtherance of rebellion, insurrection, subversion, or lawless violence as stated in the Preamble of PD 9.</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an information under PD 9 must allege that the carrying of a bladed weapon was connected with subversion or rebellion.</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YES. The Preamble of PD 9 must be read in pari materia with the enacting clause to determine the true legislative intent and the essential elements of the offense.</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AFFIRMED the dismissal of the informations.</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Preamble as Intrinsic Aid: </w:t>
      </w:r>
      <w:r>
        <w:rPr>
          <w:rFonts w:ascii="Calibri" w:hAnsi="Calibri"/>
          <w:color w:val="212529"/>
          <w:sz w:val="19"/>
        </w:rPr>
        <w:t>The preamble unlocks the mind of the lawmaker and supplies the contextual purpose of penal enactments.</w:t>
      </w:r>
    </w:p>
    <w:p>
      <w:pPr>
        <w:pStyle w:val="ListBullet"/>
        <w:spacing w:before="0" w:after="40" w:line="276" w:lineRule="auto"/>
        <w:ind w:left="360"/>
      </w:pPr>
      <w:r>
        <w:rPr>
          <w:rFonts w:ascii="Calibri" w:hAnsi="Calibri"/>
          <w:b/>
          <w:color w:val="212529"/>
          <w:sz w:val="19"/>
        </w:rPr>
        <w:t xml:space="preserve">• Avoidance of Absurdity: </w:t>
      </w:r>
      <w:r>
        <w:rPr>
          <w:rFonts w:ascii="Calibri" w:hAnsi="Calibri"/>
          <w:color w:val="212529"/>
          <w:sz w:val="19"/>
        </w:rPr>
        <w:t>Statutes must be construed to avoid absurd, oppressive, and unjust consequences.</w:t>
      </w:r>
    </w:p>
    <w:p>
      <w:pPr>
        <w:pStyle w:val="ListBullet"/>
        <w:spacing w:before="0" w:after="40" w:line="276" w:lineRule="auto"/>
        <w:ind w:left="360"/>
      </w:pPr>
      <w:r>
        <w:rPr>
          <w:rFonts w:ascii="Calibri" w:hAnsi="Calibri"/>
          <w:b/>
          <w:color w:val="212529"/>
          <w:sz w:val="19"/>
        </w:rPr>
        <w:t xml:space="preserve">• Strict Construction of Penal Statutes: </w:t>
      </w:r>
      <w:r>
        <w:rPr>
          <w:rFonts w:ascii="Calibri" w:hAnsi="Calibri"/>
          <w:color w:val="212529"/>
          <w:sz w:val="19"/>
        </w:rPr>
        <w:t>Penal laws must be construed strictly against the State and liberally in favor of the accused.</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PD 9 to penalize the carrying of bladed weapons ONLY when committed in furtherance of subversion, rebellion, or organized lawless violence.</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Verba Legis / Plain Meaning Rule. Under the maxim of Preamble as Intrinsic Aid, the law dictates that The preamble unlocks the mind of the lawmaker and supplies the contextual purpose of penal enactments. Under the maxim of Avoidance of Absurdity, the law dictates that Statutes must be construed to avoid absurd, oppressive, and unjust consequences. Under the maxim of Strict Construction of Penal Statutes, the law dictates that Penal laws must be construed strictly against the State and liberally in favor of the accused. In summary, The Court construed PD 9 to penalize the carrying of bladed weapons ONLY when committed in furtherance of subversion, rebellion, or organized lawless violence.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Preamble as Intrinsic Aid</w:t>
            </w:r>
          </w:p>
        </w:tc>
        <w:tc>
          <w:tcPr>
            <w:tcW w:type="dxa" w:w="6048"/>
            <w:shd w:fill="FFFFFF"/>
            <w:tcMar>
              <w:top w:w="70" w:type="dxa"/>
              <w:bottom w:w="70" w:type="dxa"/>
              <w:left w:w="90" w:type="dxa"/>
              <w:right w:w="90" w:type="dxa"/>
            </w:tcMar>
          </w:tcPr>
          <w:p>
            <w:r>
              <w:rPr>
                <w:rFonts w:ascii="Calibri" w:hAnsi="Calibri"/>
                <w:color w:val="212529"/>
                <w:sz w:val="17"/>
              </w:rPr>
              <w:t>The preamble unlocks the mind of the lawmaker and supplies the contextual purpose of penal enactments.</w:t>
            </w:r>
          </w:p>
        </w:tc>
      </w:tr>
      <w:tr>
        <w:tc>
          <w:tcPr>
            <w:tcW w:type="dxa" w:w="3312"/>
            <w:shd w:fill="F7F9FA"/>
            <w:tcMar>
              <w:top w:w="70" w:type="dxa"/>
              <w:bottom w:w="70" w:type="dxa"/>
              <w:left w:w="80" w:type="dxa"/>
              <w:right w:w="80" w:type="dxa"/>
            </w:tcMar>
          </w:tcPr>
          <w:p>
            <w:r>
              <w:rPr>
                <w:rFonts w:ascii="Calibri" w:hAnsi="Calibri"/>
                <w:b/>
                <w:color w:val="0F4C81"/>
                <w:sz w:val="17"/>
              </w:rPr>
              <w:t>Avoidance of Absurdity</w:t>
            </w:r>
          </w:p>
        </w:tc>
        <w:tc>
          <w:tcPr>
            <w:tcW w:type="dxa" w:w="6048"/>
            <w:shd w:fill="F7F9FA"/>
            <w:tcMar>
              <w:top w:w="70" w:type="dxa"/>
              <w:bottom w:w="70" w:type="dxa"/>
              <w:left w:w="90" w:type="dxa"/>
              <w:right w:w="90" w:type="dxa"/>
            </w:tcMar>
          </w:tcPr>
          <w:p>
            <w:r>
              <w:rPr>
                <w:rFonts w:ascii="Calibri" w:hAnsi="Calibri"/>
                <w:color w:val="212529"/>
                <w:sz w:val="17"/>
              </w:rPr>
              <w:t>Statutes must be construed to avoid absurd, oppressive, and unjust consequences.</w:t>
            </w:r>
          </w:p>
        </w:tc>
      </w:tr>
      <w:tr>
        <w:tc>
          <w:tcPr>
            <w:tcW w:type="dxa" w:w="3312"/>
            <w:shd w:fill="FFFFFF"/>
            <w:tcMar>
              <w:top w:w="70" w:type="dxa"/>
              <w:bottom w:w="70" w:type="dxa"/>
              <w:left w:w="80" w:type="dxa"/>
              <w:right w:w="80" w:type="dxa"/>
            </w:tcMar>
          </w:tcPr>
          <w:p>
            <w:r>
              <w:rPr>
                <w:rFonts w:ascii="Calibri" w:hAnsi="Calibri"/>
                <w:b/>
                <w:color w:val="0F4C81"/>
                <w:sz w:val="17"/>
              </w:rPr>
              <w:t>Strict Construction of Penal Statutes</w:t>
            </w:r>
          </w:p>
        </w:tc>
        <w:tc>
          <w:tcPr>
            <w:tcW w:type="dxa" w:w="6048"/>
            <w:shd w:fill="FFFFFF"/>
            <w:tcMar>
              <w:top w:w="70" w:type="dxa"/>
              <w:bottom w:w="70" w:type="dxa"/>
              <w:left w:w="90" w:type="dxa"/>
              <w:right w:w="90" w:type="dxa"/>
            </w:tcMar>
          </w:tcPr>
          <w:p>
            <w:r>
              <w:rPr>
                <w:rFonts w:ascii="Calibri" w:hAnsi="Calibri"/>
                <w:color w:val="212529"/>
                <w:sz w:val="17"/>
              </w:rPr>
              <w:t>Penal laws must be construed strictly against the State and liberally in favor of the accused.</w:t>
            </w:r>
          </w:p>
        </w:tc>
      </w:tr>
    </w:tbl>
    <w:p>
      <w:pPr>
        <w:spacing w:after="160"/>
      </w:pPr>
    </w:p>
    <w:p>
      <w:pPr>
        <w:keepNext/>
        <w:spacing w:before="320" w:after="40"/>
      </w:pPr>
      <w:r>
        <w:rPr>
          <w:rFonts w:ascii="Calibri" w:hAnsi="Calibri"/>
          <w:b/>
          <w:color w:val="A30000"/>
          <w:sz w:val="26"/>
        </w:rPr>
        <w:t xml:space="preserve">CASE 6: </w:t>
      </w:r>
      <w:r>
        <w:rPr>
          <w:rFonts w:ascii="Calibri" w:hAnsi="Calibri"/>
          <w:b/>
          <w:color w:val="182B49"/>
          <w:sz w:val="26"/>
        </w:rPr>
        <w:t>People v. Mapa</w:t>
      </w:r>
    </w:p>
    <w:p>
      <w:pPr>
        <w:keepNext/>
        <w:spacing w:before="0" w:after="80"/>
      </w:pPr>
      <w:r>
        <w:rPr>
          <w:rFonts w:ascii="Calibri" w:hAnsi="Calibri"/>
          <w:b/>
          <w:i/>
          <w:color w:val="0F4C81"/>
          <w:sz w:val="19"/>
        </w:rPr>
        <w:t>G.R. No. L-22301, August 30, 1967 | 20 SCRA 1164 | Ponente: Fernando,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Accused Mario Mapa was caught in possession of an unlicensed caliber .22 revolver and ammunition. He claimed exemption from criminal liability for Illegal Possession of Firearms under Section 878 of the Revised Administrative Code on the ground that he was a duly appointed Secret Agent of the Provincial Governor of Batangas and held a mission order to carry firearms.</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a secret agent of a provincial governor is exempt from criminal liability for illegal possession of firearms under Section 878.</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Section 878 of the Revised Administrative Code does not include secret agents among the enumerated exempt officials.</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AFFIRMED the conviction of the accused for Illegal Possession of Firearms.</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Appellant sought to rely on previous conflicting rulings (such as People v. Macarandang) that recognized secret agents as exempt.</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re-establish the supremacy of plain statutory language over unwarranted judicial expansions.</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Expressio Unius Est Exclusio Alterius &amp; Verba Legis: The express statutory enumeration of officials exempt from firearm licensing (army, constabulary, police, municipal mayors) excludes all unmentioned positions.</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Section 878, Revised Administrative Code; legislative text; rejection of Macarandang precedent.</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Expressio Unius Est Exclusio Alterius: </w:t>
      </w:r>
      <w:r>
        <w:rPr>
          <w:rFonts w:ascii="Calibri" w:hAnsi="Calibri"/>
          <w:color w:val="212529"/>
          <w:sz w:val="19"/>
        </w:rPr>
        <w:t>The express mention of specific exempt officials implies the exclusion of secret agents.</w:t>
      </w:r>
    </w:p>
    <w:p>
      <w:pPr>
        <w:pStyle w:val="ListBullet"/>
        <w:spacing w:before="0" w:after="40" w:line="276" w:lineRule="auto"/>
        <w:ind w:left="360"/>
      </w:pPr>
      <w:r>
        <w:rPr>
          <w:rFonts w:ascii="Calibri" w:hAnsi="Calibri"/>
          <w:b/>
          <w:color w:val="212529"/>
          <w:sz w:val="19"/>
        </w:rPr>
        <w:t xml:space="preserve">• Verba Legis: </w:t>
      </w:r>
      <w:r>
        <w:rPr>
          <w:rFonts w:ascii="Calibri" w:hAnsi="Calibri"/>
          <w:color w:val="212529"/>
          <w:sz w:val="19"/>
        </w:rPr>
        <w:t>Where the text of the statute is explicit, courts cannot expand exemptions.</w:t>
      </w:r>
    </w:p>
    <w:p>
      <w:pPr>
        <w:pStyle w:val="ListBullet"/>
        <w:spacing w:before="0" w:after="40" w:line="276" w:lineRule="auto"/>
        <w:ind w:left="360"/>
      </w:pPr>
      <w:r>
        <w:rPr>
          <w:rFonts w:ascii="Calibri" w:hAnsi="Calibri"/>
          <w:b/>
          <w:color w:val="212529"/>
          <w:sz w:val="19"/>
        </w:rPr>
        <w:t xml:space="preserve">• Overruling Erroneous Precedent: </w:t>
      </w:r>
      <w:r>
        <w:rPr>
          <w:rFonts w:ascii="Calibri" w:hAnsi="Calibri"/>
          <w:color w:val="212529"/>
          <w:sz w:val="19"/>
        </w:rPr>
        <w:t>The Court corrected previous judicial doctrine that improperly engaged in judicial legislation.</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Section 878 of the Revised Administrative Code strictly, holding that only the officials expressly enumerated in the text are exempt from firearm licensing.</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Expressio Unius Est Exclusio Alterius &amp; Verba Legis: The express statutory enumeration of officials exempt from firearm licensing (army, constabulary, police, municipal mayors) excludes all unmentioned positions.. Construction became imperative because Appellant sought to rely on previous conflicting rulings (such as People v. Macarandang) that recognized secret agents as exempt. Under the maxim of Expressio Unius Est Exclusio Alterius, the law dictates that The express mention of specific exempt officials implies the exclusion of secret agents. Under the maxim of Verba Legis, the law dictates that Where the text of the statute is explicit, courts cannot expand exemptions. Under the maxim of Overruling Erroneous Precedent, the law dictates that The Court corrected previous judicial doctrine that improperly engaged in judicial legislation. In summary, The Court construed Section 878 of the Revised Administrative Code strictly, holding that only the officials expressly enumerated in the text are exempt from firearm licensing.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Expressio Unius Est Exclusio Alterius &amp; Verba Legis: The express statutory enumeration of officials exempt from firearm licensing (army, constabulary, police, municipal mayors) excludes all unmentioned positions.</w:t>
            </w:r>
          </w:p>
        </w:tc>
        <w:tc>
          <w:tcPr>
            <w:tcW w:type="dxa" w:w="6048"/>
            <w:shd w:fill="FFFFFF"/>
            <w:tcMar>
              <w:top w:w="70" w:type="dxa"/>
              <w:bottom w:w="70" w:type="dxa"/>
              <w:left w:w="90" w:type="dxa"/>
              <w:right w:w="90" w:type="dxa"/>
            </w:tcMar>
          </w:tcPr>
          <w:p>
            <w:r>
              <w:rPr>
                <w:rFonts w:ascii="Calibri" w:hAnsi="Calibri"/>
                <w:color w:val="212529"/>
                <w:sz w:val="17"/>
              </w:rPr>
              <w:t>To re-establish the supremacy of plain statutory language over unwarranted judicial expansions.</w:t>
            </w:r>
          </w:p>
        </w:tc>
      </w:tr>
      <w:tr>
        <w:tc>
          <w:tcPr>
            <w:tcW w:type="dxa" w:w="3312"/>
            <w:shd w:fill="F7F9FA"/>
            <w:tcMar>
              <w:top w:w="70" w:type="dxa"/>
              <w:bottom w:w="70" w:type="dxa"/>
              <w:left w:w="80" w:type="dxa"/>
              <w:right w:w="80" w:type="dxa"/>
            </w:tcMar>
          </w:tcPr>
          <w:p>
            <w:r>
              <w:rPr>
                <w:rFonts w:ascii="Calibri" w:hAnsi="Calibri"/>
                <w:b/>
                <w:color w:val="0F4C81"/>
                <w:sz w:val="17"/>
              </w:rPr>
              <w:t>Expressio Unius Est Exclusio Alterius</w:t>
            </w:r>
          </w:p>
        </w:tc>
        <w:tc>
          <w:tcPr>
            <w:tcW w:type="dxa" w:w="6048"/>
            <w:shd w:fill="F7F9FA"/>
            <w:tcMar>
              <w:top w:w="70" w:type="dxa"/>
              <w:bottom w:w="70" w:type="dxa"/>
              <w:left w:w="90" w:type="dxa"/>
              <w:right w:w="90" w:type="dxa"/>
            </w:tcMar>
          </w:tcPr>
          <w:p>
            <w:r>
              <w:rPr>
                <w:rFonts w:ascii="Calibri" w:hAnsi="Calibri"/>
                <w:color w:val="212529"/>
                <w:sz w:val="17"/>
              </w:rPr>
              <w:t>The express mention of specific exempt officials implies the exclusion of secret agents.</w:t>
            </w:r>
          </w:p>
        </w:tc>
      </w:tr>
      <w:tr>
        <w:tc>
          <w:tcPr>
            <w:tcW w:type="dxa" w:w="3312"/>
            <w:shd w:fill="FFFFFF"/>
            <w:tcMar>
              <w:top w:w="70" w:type="dxa"/>
              <w:bottom w:w="70" w:type="dxa"/>
              <w:left w:w="80" w:type="dxa"/>
              <w:right w:w="80" w:type="dxa"/>
            </w:tcMar>
          </w:tcPr>
          <w:p>
            <w:r>
              <w:rPr>
                <w:rFonts w:ascii="Calibri" w:hAnsi="Calibri"/>
                <w:b/>
                <w:color w:val="0F4C81"/>
                <w:sz w:val="17"/>
              </w:rPr>
              <w:t>Verba Legis</w:t>
            </w:r>
          </w:p>
        </w:tc>
        <w:tc>
          <w:tcPr>
            <w:tcW w:type="dxa" w:w="6048"/>
            <w:shd w:fill="FFFFFF"/>
            <w:tcMar>
              <w:top w:w="70" w:type="dxa"/>
              <w:bottom w:w="70" w:type="dxa"/>
              <w:left w:w="90" w:type="dxa"/>
              <w:right w:w="90" w:type="dxa"/>
            </w:tcMar>
          </w:tcPr>
          <w:p>
            <w:r>
              <w:rPr>
                <w:rFonts w:ascii="Calibri" w:hAnsi="Calibri"/>
                <w:color w:val="212529"/>
                <w:sz w:val="17"/>
              </w:rPr>
              <w:t>Where the text of the statute is explicit, courts cannot expand exemptions.</w:t>
            </w:r>
          </w:p>
        </w:tc>
      </w:tr>
      <w:tr>
        <w:tc>
          <w:tcPr>
            <w:tcW w:type="dxa" w:w="3312"/>
            <w:shd w:fill="F7F9FA"/>
            <w:tcMar>
              <w:top w:w="70" w:type="dxa"/>
              <w:bottom w:w="70" w:type="dxa"/>
              <w:left w:w="80" w:type="dxa"/>
              <w:right w:w="80" w:type="dxa"/>
            </w:tcMar>
          </w:tcPr>
          <w:p>
            <w:r>
              <w:rPr>
                <w:rFonts w:ascii="Calibri" w:hAnsi="Calibri"/>
                <w:b/>
                <w:color w:val="0F4C81"/>
                <w:sz w:val="17"/>
              </w:rPr>
              <w:t>Overruling Erroneous Precedent</w:t>
            </w:r>
          </w:p>
        </w:tc>
        <w:tc>
          <w:tcPr>
            <w:tcW w:type="dxa" w:w="6048"/>
            <w:shd w:fill="F7F9FA"/>
            <w:tcMar>
              <w:top w:w="70" w:type="dxa"/>
              <w:bottom w:w="70" w:type="dxa"/>
              <w:left w:w="90" w:type="dxa"/>
              <w:right w:w="90" w:type="dxa"/>
            </w:tcMar>
          </w:tcPr>
          <w:p>
            <w:r>
              <w:rPr>
                <w:rFonts w:ascii="Calibri" w:hAnsi="Calibri"/>
                <w:color w:val="212529"/>
                <w:sz w:val="17"/>
              </w:rPr>
              <w:t>The Court corrected previous judicial doctrine that improperly engaged in judicial legislation.</w:t>
            </w:r>
          </w:p>
        </w:tc>
      </w:tr>
    </w:tbl>
    <w:p>
      <w:pPr>
        <w:spacing w:after="160"/>
      </w:pPr>
    </w:p>
    <w:p>
      <w:pPr>
        <w:keepNext/>
        <w:spacing w:before="320" w:after="40"/>
      </w:pPr>
      <w:r>
        <w:rPr>
          <w:rFonts w:ascii="Calibri" w:hAnsi="Calibri"/>
          <w:b/>
          <w:color w:val="A30000"/>
          <w:sz w:val="26"/>
        </w:rPr>
        <w:t xml:space="preserve">CASE 7: </w:t>
      </w:r>
      <w:r>
        <w:rPr>
          <w:rFonts w:ascii="Calibri" w:hAnsi="Calibri"/>
          <w:b/>
          <w:color w:val="182B49"/>
          <w:sz w:val="26"/>
        </w:rPr>
        <w:t>Endencia v. David</w:t>
      </w:r>
    </w:p>
    <w:p>
      <w:pPr>
        <w:keepNext/>
        <w:spacing w:before="0" w:after="80"/>
      </w:pPr>
      <w:r>
        <w:rPr>
          <w:rFonts w:ascii="Calibri" w:hAnsi="Calibri"/>
          <w:b/>
          <w:i/>
          <w:color w:val="0F4C81"/>
          <w:sz w:val="19"/>
        </w:rPr>
        <w:t>G.R. No. L-6355-56, August 31, 1953 | 93 Phil. 696 | Ponente: Montemayor,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Following the ruling in Perfecto v. Meer that the collection of income taxes on judicial salaries violated the constitutional prohibition against diminishing judicial compensation during their continuance in office, Congress enacted Republic Act No. 590, Section 13, which declared that no provision of law shall be construed to exempt judicial officers from paying income taxes. Collector of Internal Revenue Saturnino David collected income taxes from Justice Pastor Endencia of the Court of Appeals.</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Congress may enact a statute defining or interpreting the meaning of a constitutional provision contrary to an established Supreme Court ruling.</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The interpretation and construction of the Constitution and statutes belong exclusively to the Judiciary under the doctrine of Separation of Powers.</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declared Section 13 of Republic Act No. 590 UNCONSTITUTIONAL and VOID.</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Congress attempted to perform a legislative interpretation of the Constitution to overturn a final Supreme Court ruling.</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protect Judicial Independence and the exclusive constitutional power of the Judiciary to interpret the law.</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Situs of Statutory Construction &amp; Constitutional Supremacy: Interpretation of laws is a purely judicial prerogative; the Legislature cannot dictate judicial interpretation through subsequent declaratory statutes.</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1935 Constitution Art. VIII, Sec. 9; Marbury v. Madison; Separation of Powers doctrine.</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Situs of Statutory Construction: </w:t>
      </w:r>
      <w:r>
        <w:rPr>
          <w:rFonts w:ascii="Calibri" w:hAnsi="Calibri"/>
          <w:color w:val="212529"/>
          <w:sz w:val="19"/>
        </w:rPr>
        <w:t>The power to interpret the Constitution and statutes resides exclusively in the Judicial branch.</w:t>
      </w:r>
    </w:p>
    <w:p>
      <w:pPr>
        <w:pStyle w:val="ListBullet"/>
        <w:spacing w:before="0" w:after="40" w:line="276" w:lineRule="auto"/>
        <w:ind w:left="360"/>
      </w:pPr>
      <w:r>
        <w:rPr>
          <w:rFonts w:ascii="Calibri" w:hAnsi="Calibri"/>
          <w:b/>
          <w:color w:val="212529"/>
          <w:sz w:val="19"/>
        </w:rPr>
        <w:t xml:space="preserve">• Legislative Interpretation Void: </w:t>
      </w:r>
      <w:r>
        <w:rPr>
          <w:rFonts w:ascii="Calibri" w:hAnsi="Calibri"/>
          <w:color w:val="212529"/>
          <w:sz w:val="19"/>
        </w:rPr>
        <w:t>Legislative declarations attempting to overrule judicial construction of the Constitution are unconstitutional.</w:t>
      </w:r>
    </w:p>
    <w:p>
      <w:pPr>
        <w:pStyle w:val="ListBullet"/>
        <w:spacing w:before="0" w:after="40" w:line="276" w:lineRule="auto"/>
        <w:ind w:left="360"/>
      </w:pPr>
      <w:r>
        <w:rPr>
          <w:rFonts w:ascii="Calibri" w:hAnsi="Calibri"/>
          <w:b/>
          <w:color w:val="212529"/>
          <w:sz w:val="19"/>
        </w:rPr>
        <w:t xml:space="preserve">• Judicial Independence: </w:t>
      </w:r>
      <w:r>
        <w:rPr>
          <w:rFonts w:ascii="Calibri" w:hAnsi="Calibri"/>
          <w:color w:val="212529"/>
          <w:sz w:val="19"/>
        </w:rPr>
        <w:t>Protecting the constitutional compensation of judicial officers from indirect legislative reduction.</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the constitutional power of interpretation as an exclusive judicial monopoly, invalidating legislative attempts to dictate statutory meaning to courts.</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Situs of Statutory Construction &amp; Constitutional Supremacy: Interpretation of laws is a purely judicial prerogative; the Legislature cannot dictate judicial interpretation through subsequent declaratory statutes.. Construction became imperative because Congress attempted to perform a legislative interpretation of the Constitution to overturn a final Supreme Court ruling. Under the maxim of Situs of Statutory Construction, the law dictates that The power to interpret the Constitution and statutes resides exclusively in the Judicial branch. Under the maxim of Legislative Interpretation Void, the law dictates that Legislative declarations attempting to overrule judicial construction of the Constitution are unconstitutional. Under the maxim of Judicial Independence, the law dictates that Protecting the constitutional compensation of judicial officers from indirect legislative reduction. In summary, The Court construed the constitutional power of interpretation as an exclusive judicial monopoly, invalidating legislative attempts to dictate statutory meaning to courts.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Situs of Statutory Construction &amp; Constitutional Supremacy: Interpretation of laws is a purely judicial prerogative; the Legislature cannot dictate judicial interpretation through subsequent declaratory statutes.</w:t>
            </w:r>
          </w:p>
        </w:tc>
        <w:tc>
          <w:tcPr>
            <w:tcW w:type="dxa" w:w="6048"/>
            <w:shd w:fill="FFFFFF"/>
            <w:tcMar>
              <w:top w:w="70" w:type="dxa"/>
              <w:bottom w:w="70" w:type="dxa"/>
              <w:left w:w="90" w:type="dxa"/>
              <w:right w:w="90" w:type="dxa"/>
            </w:tcMar>
          </w:tcPr>
          <w:p>
            <w:r>
              <w:rPr>
                <w:rFonts w:ascii="Calibri" w:hAnsi="Calibri"/>
                <w:color w:val="212529"/>
                <w:sz w:val="17"/>
              </w:rPr>
              <w:t>To protect Judicial Independence and the exclusive constitutional power of the Judiciary to interpret the law.</w:t>
            </w:r>
          </w:p>
        </w:tc>
      </w:tr>
      <w:tr>
        <w:tc>
          <w:tcPr>
            <w:tcW w:type="dxa" w:w="3312"/>
            <w:shd w:fill="F7F9FA"/>
            <w:tcMar>
              <w:top w:w="70" w:type="dxa"/>
              <w:bottom w:w="70" w:type="dxa"/>
              <w:left w:w="80" w:type="dxa"/>
              <w:right w:w="80" w:type="dxa"/>
            </w:tcMar>
          </w:tcPr>
          <w:p>
            <w:r>
              <w:rPr>
                <w:rFonts w:ascii="Calibri" w:hAnsi="Calibri"/>
                <w:b/>
                <w:color w:val="0F4C81"/>
                <w:sz w:val="17"/>
              </w:rPr>
              <w:t>Situs of Statutory Construction</w:t>
            </w:r>
          </w:p>
        </w:tc>
        <w:tc>
          <w:tcPr>
            <w:tcW w:type="dxa" w:w="6048"/>
            <w:shd w:fill="F7F9FA"/>
            <w:tcMar>
              <w:top w:w="70" w:type="dxa"/>
              <w:bottom w:w="70" w:type="dxa"/>
              <w:left w:w="90" w:type="dxa"/>
              <w:right w:w="90" w:type="dxa"/>
            </w:tcMar>
          </w:tcPr>
          <w:p>
            <w:r>
              <w:rPr>
                <w:rFonts w:ascii="Calibri" w:hAnsi="Calibri"/>
                <w:color w:val="212529"/>
                <w:sz w:val="17"/>
              </w:rPr>
              <w:t>The power to interpret the Constitution and statutes resides exclusively in the Judicial branch.</w:t>
            </w:r>
          </w:p>
        </w:tc>
      </w:tr>
      <w:tr>
        <w:tc>
          <w:tcPr>
            <w:tcW w:type="dxa" w:w="3312"/>
            <w:shd w:fill="FFFFFF"/>
            <w:tcMar>
              <w:top w:w="70" w:type="dxa"/>
              <w:bottom w:w="70" w:type="dxa"/>
              <w:left w:w="80" w:type="dxa"/>
              <w:right w:w="80" w:type="dxa"/>
            </w:tcMar>
          </w:tcPr>
          <w:p>
            <w:r>
              <w:rPr>
                <w:rFonts w:ascii="Calibri" w:hAnsi="Calibri"/>
                <w:b/>
                <w:color w:val="0F4C81"/>
                <w:sz w:val="17"/>
              </w:rPr>
              <w:t>Legislative Interpretation Void</w:t>
            </w:r>
          </w:p>
        </w:tc>
        <w:tc>
          <w:tcPr>
            <w:tcW w:type="dxa" w:w="6048"/>
            <w:shd w:fill="FFFFFF"/>
            <w:tcMar>
              <w:top w:w="70" w:type="dxa"/>
              <w:bottom w:w="70" w:type="dxa"/>
              <w:left w:w="90" w:type="dxa"/>
              <w:right w:w="90" w:type="dxa"/>
            </w:tcMar>
          </w:tcPr>
          <w:p>
            <w:r>
              <w:rPr>
                <w:rFonts w:ascii="Calibri" w:hAnsi="Calibri"/>
                <w:color w:val="212529"/>
                <w:sz w:val="17"/>
              </w:rPr>
              <w:t>Legislative declarations attempting to overrule judicial construction of the Constitution are unconstitutional.</w:t>
            </w:r>
          </w:p>
        </w:tc>
      </w:tr>
      <w:tr>
        <w:tc>
          <w:tcPr>
            <w:tcW w:type="dxa" w:w="3312"/>
            <w:shd w:fill="F7F9FA"/>
            <w:tcMar>
              <w:top w:w="70" w:type="dxa"/>
              <w:bottom w:w="70" w:type="dxa"/>
              <w:left w:w="80" w:type="dxa"/>
              <w:right w:w="80" w:type="dxa"/>
            </w:tcMar>
          </w:tcPr>
          <w:p>
            <w:r>
              <w:rPr>
                <w:rFonts w:ascii="Calibri" w:hAnsi="Calibri"/>
                <w:b/>
                <w:color w:val="0F4C81"/>
                <w:sz w:val="17"/>
              </w:rPr>
              <w:t>Judicial Independence</w:t>
            </w:r>
          </w:p>
        </w:tc>
        <w:tc>
          <w:tcPr>
            <w:tcW w:type="dxa" w:w="6048"/>
            <w:shd w:fill="F7F9FA"/>
            <w:tcMar>
              <w:top w:w="70" w:type="dxa"/>
              <w:bottom w:w="70" w:type="dxa"/>
              <w:left w:w="90" w:type="dxa"/>
              <w:right w:w="90" w:type="dxa"/>
            </w:tcMar>
          </w:tcPr>
          <w:p>
            <w:r>
              <w:rPr>
                <w:rFonts w:ascii="Calibri" w:hAnsi="Calibri"/>
                <w:color w:val="212529"/>
                <w:sz w:val="17"/>
              </w:rPr>
              <w:t>Protecting the constitutional compensation of judicial officers from indirect legislative reduction.</w:t>
            </w:r>
          </w:p>
        </w:tc>
      </w:tr>
    </w:tbl>
    <w:p>
      <w:pPr>
        <w:spacing w:after="160"/>
      </w:pPr>
    </w:p>
    <w:p>
      <w:pPr>
        <w:keepNext/>
        <w:spacing w:before="320" w:after="40"/>
      </w:pPr>
      <w:r>
        <w:rPr>
          <w:rFonts w:ascii="Calibri" w:hAnsi="Calibri"/>
          <w:b/>
          <w:color w:val="A30000"/>
          <w:sz w:val="26"/>
        </w:rPr>
        <w:t xml:space="preserve">CASE 8: </w:t>
      </w:r>
      <w:r>
        <w:rPr>
          <w:rFonts w:ascii="Calibri" w:hAnsi="Calibri"/>
          <w:b/>
          <w:color w:val="182B49"/>
          <w:sz w:val="26"/>
        </w:rPr>
        <w:t>Alonzo v. Intermediate Appellate Court</w:t>
      </w:r>
    </w:p>
    <w:p>
      <w:pPr>
        <w:keepNext/>
        <w:spacing w:before="0" w:after="80"/>
      </w:pPr>
      <w:r>
        <w:rPr>
          <w:rFonts w:ascii="Calibri" w:hAnsi="Calibri"/>
          <w:b/>
          <w:i/>
          <w:color w:val="0F4C81"/>
          <w:sz w:val="19"/>
        </w:rPr>
        <w:t>G.R. No. 72873, May 28, 1987 | 150 SCRA 259 | Ponente: Cruz,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Five siblings inherited a parcel of land in equal shares. Two siblings sold their respective undivided shares to spouses Alonzo. More than a decade later, another co-heir attempted to exercise the legal right of redemption under Article 1088 of the Civil Code, which provides that co-heirs must be notified in writing of the sale by the vendor. The co-heirs argued that since no written notice was ever served upon them, the 30-day redemption period had not started to run, even though they lived on the same land and had actual knowledge of the sale for 13 years.</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actual knowledge of a sale for over a decade dispenses with the mandatory requirement of written notice under Article 1088 of the Civil Code.</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YES. The purpose of the written notice requirement was fully satisfied by actual, long-standing knowledge; strict literalism must yield to the spirit and reason of the law.</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REVERSED the appellate court and DISMISSED the complaint for legal redemption.</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A blind literal interpretation of the written notice requirement would produce an unjust and absurd result after 13 years of open possession.</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give effect to the spirit, reason, and purpose of the law (*Ratio Legis Est Anima Legis*) and promote equity and justice.</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Purposive Construction &amp; Ratio Legis: The spirit of the law controls the letter. The law should not be interpreted so strictly as to produce injustice and defeat the manifest purpose of notice.</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Article 1088, Civil Code; principles of equity, justice, and common sense.</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Ratio Legis Est Anima Legis: </w:t>
      </w:r>
      <w:r>
        <w:rPr>
          <w:rFonts w:ascii="Calibri" w:hAnsi="Calibri"/>
          <w:color w:val="212529"/>
          <w:sz w:val="19"/>
        </w:rPr>
        <w:t>The reason for the law is the life of the law; literal words must yield to the legislative purpose.</w:t>
      </w:r>
    </w:p>
    <w:p>
      <w:pPr>
        <w:pStyle w:val="ListBullet"/>
        <w:spacing w:before="0" w:after="40" w:line="276" w:lineRule="auto"/>
        <w:ind w:left="360"/>
      </w:pPr>
      <w:r>
        <w:rPr>
          <w:rFonts w:ascii="Calibri" w:hAnsi="Calibri"/>
          <w:b/>
          <w:color w:val="212529"/>
          <w:sz w:val="19"/>
        </w:rPr>
        <w:t xml:space="preserve">• Cessante Ratione Legis, Cessat Ipsa Lex: </w:t>
      </w:r>
      <w:r>
        <w:rPr>
          <w:rFonts w:ascii="Calibri" w:hAnsi="Calibri"/>
          <w:color w:val="212529"/>
          <w:sz w:val="19"/>
        </w:rPr>
        <w:t>When the reason for the requirement (giving notice) is satisfied by actual knowledge, the literal requirement ceases to apply.</w:t>
      </w:r>
    </w:p>
    <w:p>
      <w:pPr>
        <w:pStyle w:val="ListBullet"/>
        <w:spacing w:before="0" w:after="40" w:line="276" w:lineRule="auto"/>
        <w:ind w:left="360"/>
      </w:pPr>
      <w:r>
        <w:rPr>
          <w:rFonts w:ascii="Calibri" w:hAnsi="Calibri"/>
          <w:b/>
          <w:color w:val="212529"/>
          <w:sz w:val="19"/>
        </w:rPr>
        <w:t xml:space="preserve">• Statute Must Promote Justice: </w:t>
      </w:r>
      <w:r>
        <w:rPr>
          <w:rFonts w:ascii="Calibri" w:hAnsi="Calibri"/>
          <w:color w:val="212529"/>
          <w:sz w:val="19"/>
        </w:rPr>
        <w:t>Courts must not allow technical literalism to become an instrument of extortion or bad faith.</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Article 1088 of the Civil Code to mean that actual, incontrovertible knowledge of the sale satisfies the purpose of the written notice requirement.</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Purposive Construction &amp; Ratio Legis: The spirit of the law controls the letter. The law should not be interpreted so strictly as to produce injustice and defeat the manifest purpose of notice.. Construction became imperative because A blind literal interpretation of the written notice requirement would produce an unjust and absurd result after 13 years of open possession. Under the maxim of Ratio Legis Est Anima Legis, the law dictates that The reason for the law is the life of the law; literal words must yield to the legislative purpose. Under the maxim of Cessante Ratione Legis, Cessat Ipsa Lex, the law dictates that When the reason for the requirement (giving notice) is satisfied by actual knowledge, the literal requirement ceases to apply. Under the maxim of Statute Must Promote Justice, the law dictates that Courts must not allow technical literalism to become an instrument of extortion or bad faith. In summary, The Court construed Article 1088 of the Civil Code to mean that actual, incontrovertible knowledge of the sale satisfies the purpose of the written notice requirement.</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Purposive Construction &amp; Ratio Legis: The spirit of the law controls the letter. The law should not be interpreted so strictly as to produce injustice and defeat the manifest purpose of notice.</w:t>
            </w:r>
          </w:p>
        </w:tc>
        <w:tc>
          <w:tcPr>
            <w:tcW w:type="dxa" w:w="6048"/>
            <w:shd w:fill="FFFFFF"/>
            <w:tcMar>
              <w:top w:w="70" w:type="dxa"/>
              <w:bottom w:w="70" w:type="dxa"/>
              <w:left w:w="90" w:type="dxa"/>
              <w:right w:w="90" w:type="dxa"/>
            </w:tcMar>
          </w:tcPr>
          <w:p>
            <w:r>
              <w:rPr>
                <w:rFonts w:ascii="Calibri" w:hAnsi="Calibri"/>
                <w:color w:val="212529"/>
                <w:sz w:val="17"/>
              </w:rPr>
              <w:t>To give effect to the spirit, reason, and purpose of the law (*Ratio Legis Est Anima Legis*) and promote equity and justice.</w:t>
            </w:r>
          </w:p>
        </w:tc>
      </w:tr>
      <w:tr>
        <w:tc>
          <w:tcPr>
            <w:tcW w:type="dxa" w:w="3312"/>
            <w:shd w:fill="F7F9FA"/>
            <w:tcMar>
              <w:top w:w="70" w:type="dxa"/>
              <w:bottom w:w="70" w:type="dxa"/>
              <w:left w:w="80" w:type="dxa"/>
              <w:right w:w="80" w:type="dxa"/>
            </w:tcMar>
          </w:tcPr>
          <w:p>
            <w:r>
              <w:rPr>
                <w:rFonts w:ascii="Calibri" w:hAnsi="Calibri"/>
                <w:b/>
                <w:color w:val="0F4C81"/>
                <w:sz w:val="17"/>
              </w:rPr>
              <w:t>Ratio Legis Est Anima Legis</w:t>
            </w:r>
          </w:p>
        </w:tc>
        <w:tc>
          <w:tcPr>
            <w:tcW w:type="dxa" w:w="6048"/>
            <w:shd w:fill="F7F9FA"/>
            <w:tcMar>
              <w:top w:w="70" w:type="dxa"/>
              <w:bottom w:w="70" w:type="dxa"/>
              <w:left w:w="90" w:type="dxa"/>
              <w:right w:w="90" w:type="dxa"/>
            </w:tcMar>
          </w:tcPr>
          <w:p>
            <w:r>
              <w:rPr>
                <w:rFonts w:ascii="Calibri" w:hAnsi="Calibri"/>
                <w:color w:val="212529"/>
                <w:sz w:val="17"/>
              </w:rPr>
              <w:t>The reason for the law is the life of the law; literal words must yield to the legislative purpose.</w:t>
            </w:r>
          </w:p>
        </w:tc>
      </w:tr>
      <w:tr>
        <w:tc>
          <w:tcPr>
            <w:tcW w:type="dxa" w:w="3312"/>
            <w:shd w:fill="FFFFFF"/>
            <w:tcMar>
              <w:top w:w="70" w:type="dxa"/>
              <w:bottom w:w="70" w:type="dxa"/>
              <w:left w:w="80" w:type="dxa"/>
              <w:right w:w="80" w:type="dxa"/>
            </w:tcMar>
          </w:tcPr>
          <w:p>
            <w:r>
              <w:rPr>
                <w:rFonts w:ascii="Calibri" w:hAnsi="Calibri"/>
                <w:b/>
                <w:color w:val="0F4C81"/>
                <w:sz w:val="17"/>
              </w:rPr>
              <w:t>Cessante Ratione Legis, Cessat Ipsa Lex</w:t>
            </w:r>
          </w:p>
        </w:tc>
        <w:tc>
          <w:tcPr>
            <w:tcW w:type="dxa" w:w="6048"/>
            <w:shd w:fill="FFFFFF"/>
            <w:tcMar>
              <w:top w:w="70" w:type="dxa"/>
              <w:bottom w:w="70" w:type="dxa"/>
              <w:left w:w="90" w:type="dxa"/>
              <w:right w:w="90" w:type="dxa"/>
            </w:tcMar>
          </w:tcPr>
          <w:p>
            <w:r>
              <w:rPr>
                <w:rFonts w:ascii="Calibri" w:hAnsi="Calibri"/>
                <w:color w:val="212529"/>
                <w:sz w:val="17"/>
              </w:rPr>
              <w:t>When the reason for the requirement (giving notice) is satisfied by actual knowledge, the literal requirement ceases to apply.</w:t>
            </w:r>
          </w:p>
        </w:tc>
      </w:tr>
      <w:tr>
        <w:tc>
          <w:tcPr>
            <w:tcW w:type="dxa" w:w="3312"/>
            <w:shd w:fill="F7F9FA"/>
            <w:tcMar>
              <w:top w:w="70" w:type="dxa"/>
              <w:bottom w:w="70" w:type="dxa"/>
              <w:left w:w="80" w:type="dxa"/>
              <w:right w:w="80" w:type="dxa"/>
            </w:tcMar>
          </w:tcPr>
          <w:p>
            <w:r>
              <w:rPr>
                <w:rFonts w:ascii="Calibri" w:hAnsi="Calibri"/>
                <w:b/>
                <w:color w:val="0F4C81"/>
                <w:sz w:val="17"/>
              </w:rPr>
              <w:t>Statute Must Promote Justice</w:t>
            </w:r>
          </w:p>
        </w:tc>
        <w:tc>
          <w:tcPr>
            <w:tcW w:type="dxa" w:w="6048"/>
            <w:shd w:fill="F7F9FA"/>
            <w:tcMar>
              <w:top w:w="70" w:type="dxa"/>
              <w:bottom w:w="70" w:type="dxa"/>
              <w:left w:w="90" w:type="dxa"/>
              <w:right w:w="90" w:type="dxa"/>
            </w:tcMar>
          </w:tcPr>
          <w:p>
            <w:r>
              <w:rPr>
                <w:rFonts w:ascii="Calibri" w:hAnsi="Calibri"/>
                <w:color w:val="212529"/>
                <w:sz w:val="17"/>
              </w:rPr>
              <w:t>Courts must not allow technical literalism to become an instrument of extortion or bad faith.</w:t>
            </w:r>
          </w:p>
        </w:tc>
      </w:tr>
    </w:tbl>
    <w:p>
      <w:pPr>
        <w:spacing w:after="160"/>
      </w:pPr>
    </w:p>
    <w:p>
      <w:pPr>
        <w:keepNext/>
        <w:spacing w:before="320" w:after="40"/>
      </w:pPr>
      <w:r>
        <w:rPr>
          <w:rFonts w:ascii="Calibri" w:hAnsi="Calibri"/>
          <w:b/>
          <w:color w:val="A30000"/>
          <w:sz w:val="26"/>
        </w:rPr>
        <w:t xml:space="preserve">CASE 9: </w:t>
      </w:r>
      <w:r>
        <w:rPr>
          <w:rFonts w:ascii="Calibri" w:hAnsi="Calibri"/>
          <w:b/>
          <w:color w:val="182B49"/>
          <w:sz w:val="26"/>
        </w:rPr>
        <w:t>Chavez v. Judicial and Bar Council</w:t>
      </w:r>
    </w:p>
    <w:p>
      <w:pPr>
        <w:keepNext/>
        <w:spacing w:before="0" w:after="80"/>
      </w:pPr>
      <w:r>
        <w:rPr>
          <w:rFonts w:ascii="Calibri" w:hAnsi="Calibri"/>
          <w:b/>
          <w:i/>
          <w:color w:val="0F4C81"/>
          <w:sz w:val="19"/>
        </w:rPr>
        <w:t>G.R. No. 202242, July 17, 2012 | 676 SCRA 566 | Ponente: Mendoza,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Petitioner Francisco Chavez challenged the composition of the Judicial and Bar Council (JBC), which had two representatives from Congress (one from the Senate and one from the House of Representatives), each casting a full vote (or half vote). Article VIII, Section 8(1) of the 1987 Constitution explicitly provides that the JBC shall be composed of ex officio members including 'a representative of the Congress.' Respondents argued that Congress is bicameral and therefore entitled to one representative from each Chamber.</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the constitutional provision 'a representative of the Congress' permits two representatives from Congress in the JBC.</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The singular phrase 'a representative of the Congress' is clear and unambiguous, mandating only one representative from Congress.</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DECLARED the presence of two representatives from Congress in the JBC UNCONSTITUTIONAL, ruling that Congress is entitled to only ONE representative with ONE vote.</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Respondents sought to justify having two representatives based on the bicameral structure of Congress.</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preserve the numerical balance and constitutional design of the 7-member JBC.</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Verba Legis &amp; Constitutional Deliberations: The word 'a' is a singular indefinite article. The Records of the Constitutional Commission show that the framers intended a 7-member council with a single representative from Congress.</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Records of the 1986 Constitutional Commission; text of Article VIII, Section 8(1); historical context of JBC creation.</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Verba Legis in Constitutional Construction: </w:t>
      </w:r>
      <w:r>
        <w:rPr>
          <w:rFonts w:ascii="Calibri" w:hAnsi="Calibri"/>
          <w:color w:val="212529"/>
          <w:sz w:val="19"/>
        </w:rPr>
        <w:t>Constitutional provisions must be given their plain, grammatical, and ordinary meaning.</w:t>
      </w:r>
    </w:p>
    <w:p>
      <w:pPr>
        <w:pStyle w:val="ListBullet"/>
        <w:spacing w:before="0" w:after="40" w:line="276" w:lineRule="auto"/>
        <w:ind w:left="360"/>
      </w:pPr>
      <w:r>
        <w:rPr>
          <w:rFonts w:ascii="Calibri" w:hAnsi="Calibri"/>
          <w:b/>
          <w:color w:val="212529"/>
          <w:sz w:val="19"/>
        </w:rPr>
        <w:t xml:space="preserve">• Constitutional Debates as Extrinsic Aid: </w:t>
      </w:r>
      <w:r>
        <w:rPr>
          <w:rFonts w:ascii="Calibri" w:hAnsi="Calibri"/>
          <w:color w:val="212529"/>
          <w:sz w:val="19"/>
        </w:rPr>
        <w:t>Deliberations of the framers confirm that a 7-member JBC with one congressional vote was designed.</w:t>
      </w:r>
    </w:p>
    <w:p>
      <w:pPr>
        <w:pStyle w:val="ListBullet"/>
        <w:spacing w:before="0" w:after="40" w:line="276" w:lineRule="auto"/>
        <w:ind w:left="360"/>
      </w:pPr>
      <w:r>
        <w:rPr>
          <w:rFonts w:ascii="Calibri" w:hAnsi="Calibri"/>
          <w:b/>
          <w:color w:val="212529"/>
          <w:sz w:val="19"/>
        </w:rPr>
        <w:t xml:space="preserve">• Numerical Balance of Independent Bodies: </w:t>
      </w:r>
      <w:r>
        <w:rPr>
          <w:rFonts w:ascii="Calibri" w:hAnsi="Calibri"/>
          <w:color w:val="212529"/>
          <w:sz w:val="19"/>
        </w:rPr>
        <w:t>Maintaining the balance of powers intended by the fundamental law.</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Article VIII, Section 8(1) of the 1987 Constitution to limit congressional representation in the JBC strictly to ONE individual possessing ONE vote.</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Verba Legis &amp; Constitutional Deliberations: The word 'a' is a singular indefinite article. The Records of the Constitutional Commission show that the framers intended a 7-member council with a single representative from Congress.. Construction became imperative because Respondents sought to justify having two representatives based on the bicameral structure of Congress. Under the maxim of Verba Legis in Constitutional Construction, the law dictates that Constitutional provisions must be given their plain, grammatical, and ordinary meaning. Under the maxim of Constitutional Debates as Extrinsic Aid, the law dictates that Deliberations of the framers confirm that a 7-member JBC with one congressional vote was designed. Under the maxim of Numerical Balance of Independent Bodies, the law dictates that Maintaining the balance of powers intended by the fundamental law. In summary, The Court construed Article VIII, Section 8(1) of the 1987 Constitution to limit congressional representation in the JBC strictly to ONE individual possessing ONE vote.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Verba Legis &amp; Constitutional Deliberations: The word 'a' is a singular indefinite article. The Records of the Constitutional Commission show that the framers intended a 7-member council with a single representative from Congress.</w:t>
            </w:r>
          </w:p>
        </w:tc>
        <w:tc>
          <w:tcPr>
            <w:tcW w:type="dxa" w:w="6048"/>
            <w:shd w:fill="FFFFFF"/>
            <w:tcMar>
              <w:top w:w="70" w:type="dxa"/>
              <w:bottom w:w="70" w:type="dxa"/>
              <w:left w:w="90" w:type="dxa"/>
              <w:right w:w="90" w:type="dxa"/>
            </w:tcMar>
          </w:tcPr>
          <w:p>
            <w:r>
              <w:rPr>
                <w:rFonts w:ascii="Calibri" w:hAnsi="Calibri"/>
                <w:color w:val="212529"/>
                <w:sz w:val="17"/>
              </w:rPr>
              <w:t>To preserve the numerical balance and constitutional design of the 7-member JBC.</w:t>
            </w:r>
          </w:p>
        </w:tc>
      </w:tr>
      <w:tr>
        <w:tc>
          <w:tcPr>
            <w:tcW w:type="dxa" w:w="3312"/>
            <w:shd w:fill="F7F9FA"/>
            <w:tcMar>
              <w:top w:w="70" w:type="dxa"/>
              <w:bottom w:w="70" w:type="dxa"/>
              <w:left w:w="80" w:type="dxa"/>
              <w:right w:w="80" w:type="dxa"/>
            </w:tcMar>
          </w:tcPr>
          <w:p>
            <w:r>
              <w:rPr>
                <w:rFonts w:ascii="Calibri" w:hAnsi="Calibri"/>
                <w:b/>
                <w:color w:val="0F4C81"/>
                <w:sz w:val="17"/>
              </w:rPr>
              <w:t>Verba Legis in Constitutional Construction</w:t>
            </w:r>
          </w:p>
        </w:tc>
        <w:tc>
          <w:tcPr>
            <w:tcW w:type="dxa" w:w="6048"/>
            <w:shd w:fill="F7F9FA"/>
            <w:tcMar>
              <w:top w:w="70" w:type="dxa"/>
              <w:bottom w:w="70" w:type="dxa"/>
              <w:left w:w="90" w:type="dxa"/>
              <w:right w:w="90" w:type="dxa"/>
            </w:tcMar>
          </w:tcPr>
          <w:p>
            <w:r>
              <w:rPr>
                <w:rFonts w:ascii="Calibri" w:hAnsi="Calibri"/>
                <w:color w:val="212529"/>
                <w:sz w:val="17"/>
              </w:rPr>
              <w:t>Constitutional provisions must be given their plain, grammatical, and ordinary meaning.</w:t>
            </w:r>
          </w:p>
        </w:tc>
      </w:tr>
      <w:tr>
        <w:tc>
          <w:tcPr>
            <w:tcW w:type="dxa" w:w="3312"/>
            <w:shd w:fill="FFFFFF"/>
            <w:tcMar>
              <w:top w:w="70" w:type="dxa"/>
              <w:bottom w:w="70" w:type="dxa"/>
              <w:left w:w="80" w:type="dxa"/>
              <w:right w:w="80" w:type="dxa"/>
            </w:tcMar>
          </w:tcPr>
          <w:p>
            <w:r>
              <w:rPr>
                <w:rFonts w:ascii="Calibri" w:hAnsi="Calibri"/>
                <w:b/>
                <w:color w:val="0F4C81"/>
                <w:sz w:val="17"/>
              </w:rPr>
              <w:t>Constitutional Debates as Extrinsic Aid</w:t>
            </w:r>
          </w:p>
        </w:tc>
        <w:tc>
          <w:tcPr>
            <w:tcW w:type="dxa" w:w="6048"/>
            <w:shd w:fill="FFFFFF"/>
            <w:tcMar>
              <w:top w:w="70" w:type="dxa"/>
              <w:bottom w:w="70" w:type="dxa"/>
              <w:left w:w="90" w:type="dxa"/>
              <w:right w:w="90" w:type="dxa"/>
            </w:tcMar>
          </w:tcPr>
          <w:p>
            <w:r>
              <w:rPr>
                <w:rFonts w:ascii="Calibri" w:hAnsi="Calibri"/>
                <w:color w:val="212529"/>
                <w:sz w:val="17"/>
              </w:rPr>
              <w:t>Deliberations of the framers confirm that a 7-member JBC with one congressional vote was designed.</w:t>
            </w:r>
          </w:p>
        </w:tc>
      </w:tr>
      <w:tr>
        <w:tc>
          <w:tcPr>
            <w:tcW w:type="dxa" w:w="3312"/>
            <w:shd w:fill="F7F9FA"/>
            <w:tcMar>
              <w:top w:w="70" w:type="dxa"/>
              <w:bottom w:w="70" w:type="dxa"/>
              <w:left w:w="80" w:type="dxa"/>
              <w:right w:w="80" w:type="dxa"/>
            </w:tcMar>
          </w:tcPr>
          <w:p>
            <w:r>
              <w:rPr>
                <w:rFonts w:ascii="Calibri" w:hAnsi="Calibri"/>
                <w:b/>
                <w:color w:val="0F4C81"/>
                <w:sz w:val="17"/>
              </w:rPr>
              <w:t>Numerical Balance of Independent Bodies</w:t>
            </w:r>
          </w:p>
        </w:tc>
        <w:tc>
          <w:tcPr>
            <w:tcW w:type="dxa" w:w="6048"/>
            <w:shd w:fill="F7F9FA"/>
            <w:tcMar>
              <w:top w:w="70" w:type="dxa"/>
              <w:bottom w:w="70" w:type="dxa"/>
              <w:left w:w="90" w:type="dxa"/>
              <w:right w:w="90" w:type="dxa"/>
            </w:tcMar>
          </w:tcPr>
          <w:p>
            <w:r>
              <w:rPr>
                <w:rFonts w:ascii="Calibri" w:hAnsi="Calibri"/>
                <w:color w:val="212529"/>
                <w:sz w:val="17"/>
              </w:rPr>
              <w:t>Maintaining the balance of powers intended by the fundamental law.</w:t>
            </w:r>
          </w:p>
        </w:tc>
      </w:tr>
    </w:tbl>
    <w:p>
      <w:pPr>
        <w:spacing w:after="160"/>
      </w:pPr>
    </w:p>
    <w:p>
      <w:pPr>
        <w:keepNext/>
        <w:spacing w:before="320" w:after="40"/>
      </w:pPr>
      <w:r>
        <w:rPr>
          <w:rFonts w:ascii="Calibri" w:hAnsi="Calibri"/>
          <w:b/>
          <w:color w:val="A30000"/>
          <w:sz w:val="26"/>
        </w:rPr>
        <w:t xml:space="preserve">CASE 10: </w:t>
      </w:r>
      <w:r>
        <w:rPr>
          <w:rFonts w:ascii="Calibri" w:hAnsi="Calibri"/>
          <w:b/>
          <w:color w:val="182B49"/>
          <w:sz w:val="26"/>
        </w:rPr>
        <w:t>Centeno v. Villalon-Pornillos</w:t>
      </w:r>
    </w:p>
    <w:p>
      <w:pPr>
        <w:keepNext/>
        <w:spacing w:before="0" w:after="80"/>
      </w:pPr>
      <w:r>
        <w:rPr>
          <w:rFonts w:ascii="Calibri" w:hAnsi="Calibri"/>
          <w:b/>
          <w:i/>
          <w:color w:val="0F4C81"/>
          <w:sz w:val="19"/>
        </w:rPr>
        <w:t>G.R. No. 113092, September 1, 1994 | 236 SCRA 197 | Ponente: Regalado,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Petitioners Martin Centeno and officers of the Samahang Katandaan ng Nayon ng Tikay solicited contributions from residents for the renovation of the local chapel without first securing a permit from the DSWD. They were charged with violating Presidential Decree No. 1564 (Solicitation Permit Law), which penalizes unauthorized solicitations for 'charitable or public welfare purposes.'</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religious solicitations are included within the phrase 'charitable or public welfare purposes' under PD 1564.</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Religious solicitations are separate and distinct from charitable or public welfare purposes, and penal laws must be strictly construed against the State.</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REVERSED the conviction and ACQUITTED the petitioners.</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The statutory text of PD 1564 used the terms 'charitable' and 'public welfare' without expressly including or excluding religious solicitations.</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prevent unauthorized expansion of penal liability and protect freedom of religious exercise.</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Strict Construction of Penal Statutes (In Dubio Pro Reo) &amp; Noscitur a Sociis: Penal laws cannot be extended by construction to include acts not clearly covered by the statutory language.</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Constitutional guarantee of Freedom of Religion (Art. III, Sec. 5); legislative history of predecessor solicitation laws; dictionary definitions.</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Strict Construction of Penal Laws: </w:t>
      </w:r>
      <w:r>
        <w:rPr>
          <w:rFonts w:ascii="Calibri" w:hAnsi="Calibri"/>
          <w:color w:val="212529"/>
          <w:sz w:val="19"/>
        </w:rPr>
        <w:t>Penal laws are strictly construed against the State and liberally in favor of the accused.</w:t>
      </w:r>
    </w:p>
    <w:p>
      <w:pPr>
        <w:pStyle w:val="ListBullet"/>
        <w:spacing w:before="0" w:after="40" w:line="276" w:lineRule="auto"/>
        <w:ind w:left="360"/>
      </w:pPr>
      <w:r>
        <w:rPr>
          <w:rFonts w:ascii="Calibri" w:hAnsi="Calibri"/>
          <w:b/>
          <w:color w:val="212529"/>
          <w:sz w:val="19"/>
        </w:rPr>
        <w:t xml:space="preserve">• Noscitur a Sociis: </w:t>
      </w:r>
      <w:r>
        <w:rPr>
          <w:rFonts w:ascii="Calibri" w:hAnsi="Calibri"/>
          <w:color w:val="212529"/>
          <w:sz w:val="19"/>
        </w:rPr>
        <w:t>The term 'charitable' in PD 1564 is associated with civic welfare, not ecclesiastical or religious activities.</w:t>
      </w:r>
    </w:p>
    <w:p>
      <w:pPr>
        <w:pStyle w:val="ListBullet"/>
        <w:spacing w:before="0" w:after="40" w:line="276" w:lineRule="auto"/>
        <w:ind w:left="360"/>
      </w:pPr>
      <w:r>
        <w:rPr>
          <w:rFonts w:ascii="Calibri" w:hAnsi="Calibri"/>
          <w:b/>
          <w:color w:val="212529"/>
          <w:sz w:val="19"/>
        </w:rPr>
        <w:t xml:space="preserve">• Harmonization with Religious Freedom: </w:t>
      </w:r>
      <w:r>
        <w:rPr>
          <w:rFonts w:ascii="Calibri" w:hAnsi="Calibri"/>
          <w:color w:val="212529"/>
          <w:sz w:val="19"/>
        </w:rPr>
        <w:t>Statutes should not be construed in a manner that creates constitutional doubts regarding religious freedom.</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PD 1564 to apply exclusively to secular charitable and public welfare solicitations, excluding religious solicitations from permit requirements.</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Strict Construction of Penal Statutes (In Dubio Pro Reo) &amp; Noscitur a Sociis: Penal laws cannot be extended by construction to include acts not clearly covered by the statutory language.. Construction became imperative because The statutory text of PD 1564 used the terms 'charitable' and 'public welfare' without expressly including or excluding religious solicitations. Under the maxim of Strict Construction of Penal Laws, the law dictates that Penal laws are strictly construed against the State and liberally in favor of the accused. Under the maxim of Noscitur a Sociis, the law dictates that The term 'charitable' in PD 1564 is associated with civic welfare, not ecclesiastical or religious activities. Under the maxim of Harmonization with Religious Freedom, the law dictates that Statutes should not be construed in a manner that creates constitutional doubts regarding religious freedom. In summary, The Court construed PD 1564 to apply exclusively to secular charitable and public welfare solicitations, excluding religious solicitations from permit requirements.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Strict Construction of Penal Statutes (In Dubio Pro Reo) &amp; Noscitur a Sociis: Penal laws cannot be extended by construction to include acts not clearly covered by the statutory language.</w:t>
            </w:r>
          </w:p>
        </w:tc>
        <w:tc>
          <w:tcPr>
            <w:tcW w:type="dxa" w:w="6048"/>
            <w:shd w:fill="FFFFFF"/>
            <w:tcMar>
              <w:top w:w="70" w:type="dxa"/>
              <w:bottom w:w="70" w:type="dxa"/>
              <w:left w:w="90" w:type="dxa"/>
              <w:right w:w="90" w:type="dxa"/>
            </w:tcMar>
          </w:tcPr>
          <w:p>
            <w:r>
              <w:rPr>
                <w:rFonts w:ascii="Calibri" w:hAnsi="Calibri"/>
                <w:color w:val="212529"/>
                <w:sz w:val="17"/>
              </w:rPr>
              <w:t>To prevent unauthorized expansion of penal liability and protect freedom of religious exercise.</w:t>
            </w:r>
          </w:p>
        </w:tc>
      </w:tr>
      <w:tr>
        <w:tc>
          <w:tcPr>
            <w:tcW w:type="dxa" w:w="3312"/>
            <w:shd w:fill="F7F9FA"/>
            <w:tcMar>
              <w:top w:w="70" w:type="dxa"/>
              <w:bottom w:w="70" w:type="dxa"/>
              <w:left w:w="80" w:type="dxa"/>
              <w:right w:w="80" w:type="dxa"/>
            </w:tcMar>
          </w:tcPr>
          <w:p>
            <w:r>
              <w:rPr>
                <w:rFonts w:ascii="Calibri" w:hAnsi="Calibri"/>
                <w:b/>
                <w:color w:val="0F4C81"/>
                <w:sz w:val="17"/>
              </w:rPr>
              <w:t>Strict Construction of Penal Laws</w:t>
            </w:r>
          </w:p>
        </w:tc>
        <w:tc>
          <w:tcPr>
            <w:tcW w:type="dxa" w:w="6048"/>
            <w:shd w:fill="F7F9FA"/>
            <w:tcMar>
              <w:top w:w="70" w:type="dxa"/>
              <w:bottom w:w="70" w:type="dxa"/>
              <w:left w:w="90" w:type="dxa"/>
              <w:right w:w="90" w:type="dxa"/>
            </w:tcMar>
          </w:tcPr>
          <w:p>
            <w:r>
              <w:rPr>
                <w:rFonts w:ascii="Calibri" w:hAnsi="Calibri"/>
                <w:color w:val="212529"/>
                <w:sz w:val="17"/>
              </w:rPr>
              <w:t>Penal laws are strictly construed against the State and liberally in favor of the accused.</w:t>
            </w:r>
          </w:p>
        </w:tc>
      </w:tr>
      <w:tr>
        <w:tc>
          <w:tcPr>
            <w:tcW w:type="dxa" w:w="3312"/>
            <w:shd w:fill="FFFFFF"/>
            <w:tcMar>
              <w:top w:w="70" w:type="dxa"/>
              <w:bottom w:w="70" w:type="dxa"/>
              <w:left w:w="80" w:type="dxa"/>
              <w:right w:w="80" w:type="dxa"/>
            </w:tcMar>
          </w:tcPr>
          <w:p>
            <w:r>
              <w:rPr>
                <w:rFonts w:ascii="Calibri" w:hAnsi="Calibri"/>
                <w:b/>
                <w:color w:val="0F4C81"/>
                <w:sz w:val="17"/>
              </w:rPr>
              <w:t>Noscitur a Sociis</w:t>
            </w:r>
          </w:p>
        </w:tc>
        <w:tc>
          <w:tcPr>
            <w:tcW w:type="dxa" w:w="6048"/>
            <w:shd w:fill="FFFFFF"/>
            <w:tcMar>
              <w:top w:w="70" w:type="dxa"/>
              <w:bottom w:w="70" w:type="dxa"/>
              <w:left w:w="90" w:type="dxa"/>
              <w:right w:w="90" w:type="dxa"/>
            </w:tcMar>
          </w:tcPr>
          <w:p>
            <w:r>
              <w:rPr>
                <w:rFonts w:ascii="Calibri" w:hAnsi="Calibri"/>
                <w:color w:val="212529"/>
                <w:sz w:val="17"/>
              </w:rPr>
              <w:t>The term 'charitable' in PD 1564 is associated with civic welfare, not ecclesiastical or religious activities.</w:t>
            </w:r>
          </w:p>
        </w:tc>
      </w:tr>
      <w:tr>
        <w:tc>
          <w:tcPr>
            <w:tcW w:type="dxa" w:w="3312"/>
            <w:shd w:fill="F7F9FA"/>
            <w:tcMar>
              <w:top w:w="70" w:type="dxa"/>
              <w:bottom w:w="70" w:type="dxa"/>
              <w:left w:w="80" w:type="dxa"/>
              <w:right w:w="80" w:type="dxa"/>
            </w:tcMar>
          </w:tcPr>
          <w:p>
            <w:r>
              <w:rPr>
                <w:rFonts w:ascii="Calibri" w:hAnsi="Calibri"/>
                <w:b/>
                <w:color w:val="0F4C81"/>
                <w:sz w:val="17"/>
              </w:rPr>
              <w:t>Harmonization with Religious Freedom</w:t>
            </w:r>
          </w:p>
        </w:tc>
        <w:tc>
          <w:tcPr>
            <w:tcW w:type="dxa" w:w="6048"/>
            <w:shd w:fill="F7F9FA"/>
            <w:tcMar>
              <w:top w:w="70" w:type="dxa"/>
              <w:bottom w:w="70" w:type="dxa"/>
              <w:left w:w="90" w:type="dxa"/>
              <w:right w:w="90" w:type="dxa"/>
            </w:tcMar>
          </w:tcPr>
          <w:p>
            <w:r>
              <w:rPr>
                <w:rFonts w:ascii="Calibri" w:hAnsi="Calibri"/>
                <w:color w:val="212529"/>
                <w:sz w:val="17"/>
              </w:rPr>
              <w:t>Statutes should not be construed in a manner that creates constitutional doubts regarding religious freedom.</w:t>
            </w:r>
          </w:p>
        </w:tc>
      </w:tr>
    </w:tbl>
    <w:p>
      <w:pPr>
        <w:spacing w:after="160"/>
      </w:pPr>
    </w:p>
    <w:p>
      <w:pPr>
        <w:keepNext/>
        <w:spacing w:before="320" w:after="40"/>
      </w:pPr>
      <w:r>
        <w:rPr>
          <w:rFonts w:ascii="Calibri" w:hAnsi="Calibri"/>
          <w:b/>
          <w:color w:val="A30000"/>
          <w:sz w:val="26"/>
        </w:rPr>
        <w:t xml:space="preserve">CASE 11: </w:t>
      </w:r>
      <w:r>
        <w:rPr>
          <w:rFonts w:ascii="Calibri" w:hAnsi="Calibri"/>
          <w:b/>
          <w:color w:val="182B49"/>
          <w:sz w:val="26"/>
        </w:rPr>
        <w:t>Ramirez v. Court of Appeals</w:t>
      </w:r>
    </w:p>
    <w:p>
      <w:pPr>
        <w:keepNext/>
        <w:spacing w:before="0" w:after="80"/>
      </w:pPr>
      <w:r>
        <w:rPr>
          <w:rFonts w:ascii="Calibri" w:hAnsi="Calibri"/>
          <w:b/>
          <w:i/>
          <w:color w:val="0F4C81"/>
          <w:sz w:val="19"/>
        </w:rPr>
        <w:t>G.R. No. 93833, September 25, 1995 | 248 SCRA 590 | Ponente: Hermosisima, Jr.,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t>III. Basic Guidelines in Construction — Considerations within the Statute</w:t>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t>Section 1 of Republic Act No. 4200 (Anti-Wiretapping Act)</w:t>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Petitioner Socorro Ramirez secretly recorded a heated confrontation between herself and Ester Garcia inside Garcia's office. Garcia subsequently filed a criminal complaint against Ramirez for violating Section 1 of R.A. 4200. Ramirez moved to quash the information, arguing that R.A. 4200 only penalizes wiretapping or secret recording of conversations made by third parties or eavesdroppers, and does not apply when one of the actual participants in the conversation secretly records it.</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Section 1 of R.A. 4200 penalizes the secret recording of a private conversation when done by one of the parties to the communication.</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YES. The statutory phrase 'any other person' and 'any private communication' in R.A. 4200 are clear and unqualified, encompassing even actual participants who secretly record conversations.</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DENIED the petition and AFFIRMED the denial of the motion to quash.</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Petitioner sought to insert an unwritten qualification that 'any other person' excludes participants in the conversation.</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protect constitutional privacy of communication (Article III, Section 3, 1987 Constitution).</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Ubi Lex Non Distinguit, Nec Nos Distinguere Debemus (Where the law does not distinguish, we should not distinguish) &amp; Verba Legis.</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Senate Congressional Deliberations (statements of Sen. Tañada) confirming intent to penalize all secret tape recordings.</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Ubi Lex Non Distinguit: </w:t>
      </w:r>
      <w:r>
        <w:rPr>
          <w:rFonts w:ascii="Calibri" w:hAnsi="Calibri"/>
          <w:color w:val="212529"/>
          <w:sz w:val="19"/>
        </w:rPr>
        <w:t>Where the statutory text uses universal terms without distinction, courts cannot create distinctions.</w:t>
      </w:r>
    </w:p>
    <w:p>
      <w:pPr>
        <w:pStyle w:val="ListBullet"/>
        <w:spacing w:before="0" w:after="40" w:line="276" w:lineRule="auto"/>
        <w:ind w:left="360"/>
      </w:pPr>
      <w:r>
        <w:rPr>
          <w:rFonts w:ascii="Calibri" w:hAnsi="Calibri"/>
          <w:b/>
          <w:color w:val="212529"/>
          <w:sz w:val="19"/>
        </w:rPr>
        <w:t xml:space="preserve">• Congressional Deliberations as Extrinsic Aid: </w:t>
      </w:r>
      <w:r>
        <w:rPr>
          <w:rFonts w:ascii="Calibri" w:hAnsi="Calibri"/>
          <w:color w:val="212529"/>
          <w:sz w:val="19"/>
        </w:rPr>
        <w:t>Floor debates of the bill's sponsor confirmed the comprehensive coverage of the prohibition.</w:t>
      </w:r>
    </w:p>
    <w:p>
      <w:pPr>
        <w:pStyle w:val="ListBullet"/>
        <w:spacing w:before="0" w:after="40" w:line="276" w:lineRule="auto"/>
        <w:ind w:left="360"/>
      </w:pPr>
      <w:r>
        <w:rPr>
          <w:rFonts w:ascii="Calibri" w:hAnsi="Calibri"/>
          <w:b/>
          <w:color w:val="212529"/>
          <w:sz w:val="19"/>
        </w:rPr>
        <w:t xml:space="preserve">• Constitutional Privacy Protection: </w:t>
      </w:r>
      <w:r>
        <w:rPr>
          <w:rFonts w:ascii="Calibri" w:hAnsi="Calibri"/>
          <w:color w:val="212529"/>
          <w:sz w:val="19"/>
        </w:rPr>
        <w:t>Statute interpreted to afford maximum protection to the right to privacy in private communications.</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Section 1 of R.A. 4200 to prohibit any person, including a participant in a private conversation, from secretly recording such communication without the consent of all parties.</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III. Basic Guidelines in Construction — Considerations within the Statute regarding Section 1 of Republic Act No. 4200 (Anti-Wiretapping Act), the Supreme Court rigorously applied the canon of Ubi Lex Non Distinguit, Nec Nos Distinguere Debemus (Where the law does not distinguish, we should not distinguish) &amp; Verba Legis.. Construction became imperative because Petitioner sought to insert an unwritten qualification that 'any other person' excludes participants in the conversation. Under the maxim of Ubi Lex Non Distinguit, the law dictates that Where the statutory text uses universal terms without distinction, courts cannot create distinctions. Under the maxim of Congressional Deliberations as Extrinsic Aid, the law dictates that Floor debates of the bill's sponsor confirmed the comprehensive coverage of the prohibition. Under the maxim of Constitutional Privacy Protection, the law dictates that Statute interpreted to afford maximum protection to the right to privacy in private communications. In summary, The Court construed Section 1 of R.A. 4200 to prohibit any person, including a participant in a private conversation, from secretly recording such communication without the consent of all parties.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Ubi Lex Non Distinguit, Nec Nos Distinguere Debemus (Where the law does not distinguish, we should not distinguish) &amp; Verba Legis.</w:t>
            </w:r>
          </w:p>
        </w:tc>
        <w:tc>
          <w:tcPr>
            <w:tcW w:type="dxa" w:w="6048"/>
            <w:shd w:fill="FFFFFF"/>
            <w:tcMar>
              <w:top w:w="70" w:type="dxa"/>
              <w:bottom w:w="70" w:type="dxa"/>
              <w:left w:w="90" w:type="dxa"/>
              <w:right w:w="90" w:type="dxa"/>
            </w:tcMar>
          </w:tcPr>
          <w:p>
            <w:r>
              <w:rPr>
                <w:rFonts w:ascii="Calibri" w:hAnsi="Calibri"/>
                <w:color w:val="212529"/>
                <w:sz w:val="17"/>
              </w:rPr>
              <w:t>To protect constitutional privacy of communication (Article III, Section 3, 1987 Constitution).</w:t>
            </w:r>
          </w:p>
        </w:tc>
      </w:tr>
      <w:tr>
        <w:tc>
          <w:tcPr>
            <w:tcW w:type="dxa" w:w="3312"/>
            <w:shd w:fill="F7F9FA"/>
            <w:tcMar>
              <w:top w:w="70" w:type="dxa"/>
              <w:bottom w:w="70" w:type="dxa"/>
              <w:left w:w="80" w:type="dxa"/>
              <w:right w:w="80" w:type="dxa"/>
            </w:tcMar>
          </w:tcPr>
          <w:p>
            <w:r>
              <w:rPr>
                <w:rFonts w:ascii="Calibri" w:hAnsi="Calibri"/>
                <w:b/>
                <w:color w:val="0F4C81"/>
                <w:sz w:val="17"/>
              </w:rPr>
              <w:t>Ubi Lex Non Distinguit</w:t>
            </w:r>
          </w:p>
        </w:tc>
        <w:tc>
          <w:tcPr>
            <w:tcW w:type="dxa" w:w="6048"/>
            <w:shd w:fill="F7F9FA"/>
            <w:tcMar>
              <w:top w:w="70" w:type="dxa"/>
              <w:bottom w:w="70" w:type="dxa"/>
              <w:left w:w="90" w:type="dxa"/>
              <w:right w:w="90" w:type="dxa"/>
            </w:tcMar>
          </w:tcPr>
          <w:p>
            <w:r>
              <w:rPr>
                <w:rFonts w:ascii="Calibri" w:hAnsi="Calibri"/>
                <w:color w:val="212529"/>
                <w:sz w:val="17"/>
              </w:rPr>
              <w:t>Where the statutory text uses universal terms without distinction, courts cannot create distinctions.</w:t>
            </w:r>
          </w:p>
        </w:tc>
      </w:tr>
      <w:tr>
        <w:tc>
          <w:tcPr>
            <w:tcW w:type="dxa" w:w="3312"/>
            <w:shd w:fill="FFFFFF"/>
            <w:tcMar>
              <w:top w:w="70" w:type="dxa"/>
              <w:bottom w:w="70" w:type="dxa"/>
              <w:left w:w="80" w:type="dxa"/>
              <w:right w:w="80" w:type="dxa"/>
            </w:tcMar>
          </w:tcPr>
          <w:p>
            <w:r>
              <w:rPr>
                <w:rFonts w:ascii="Calibri" w:hAnsi="Calibri"/>
                <w:b/>
                <w:color w:val="0F4C81"/>
                <w:sz w:val="17"/>
              </w:rPr>
              <w:t>Congressional Deliberations as Extrinsic Aid</w:t>
            </w:r>
          </w:p>
        </w:tc>
        <w:tc>
          <w:tcPr>
            <w:tcW w:type="dxa" w:w="6048"/>
            <w:shd w:fill="FFFFFF"/>
            <w:tcMar>
              <w:top w:w="70" w:type="dxa"/>
              <w:bottom w:w="70" w:type="dxa"/>
              <w:left w:w="90" w:type="dxa"/>
              <w:right w:w="90" w:type="dxa"/>
            </w:tcMar>
          </w:tcPr>
          <w:p>
            <w:r>
              <w:rPr>
                <w:rFonts w:ascii="Calibri" w:hAnsi="Calibri"/>
                <w:color w:val="212529"/>
                <w:sz w:val="17"/>
              </w:rPr>
              <w:t>Floor debates of the bill's sponsor confirmed the comprehensive coverage of the prohibition.</w:t>
            </w:r>
          </w:p>
        </w:tc>
      </w:tr>
      <w:tr>
        <w:tc>
          <w:tcPr>
            <w:tcW w:type="dxa" w:w="3312"/>
            <w:shd w:fill="F7F9FA"/>
            <w:tcMar>
              <w:top w:w="70" w:type="dxa"/>
              <w:bottom w:w="70" w:type="dxa"/>
              <w:left w:w="80" w:type="dxa"/>
              <w:right w:w="80" w:type="dxa"/>
            </w:tcMar>
          </w:tcPr>
          <w:p>
            <w:r>
              <w:rPr>
                <w:rFonts w:ascii="Calibri" w:hAnsi="Calibri"/>
                <w:b/>
                <w:color w:val="0F4C81"/>
                <w:sz w:val="17"/>
              </w:rPr>
              <w:t>Constitutional Privacy Protection</w:t>
            </w:r>
          </w:p>
        </w:tc>
        <w:tc>
          <w:tcPr>
            <w:tcW w:type="dxa" w:w="6048"/>
            <w:shd w:fill="F7F9FA"/>
            <w:tcMar>
              <w:top w:w="70" w:type="dxa"/>
              <w:bottom w:w="70" w:type="dxa"/>
              <w:left w:w="90" w:type="dxa"/>
              <w:right w:w="90" w:type="dxa"/>
            </w:tcMar>
          </w:tcPr>
          <w:p>
            <w:r>
              <w:rPr>
                <w:rFonts w:ascii="Calibri" w:hAnsi="Calibri"/>
                <w:color w:val="212529"/>
                <w:sz w:val="17"/>
              </w:rPr>
              <w:t>Statute interpreted to afford maximum protection to the right to privacy in private communications.</w:t>
            </w:r>
          </w:p>
        </w:tc>
      </w:tr>
    </w:tbl>
    <w:p>
      <w:pPr>
        <w:spacing w:after="160"/>
      </w:pPr>
    </w:p>
    <w:p>
      <w:pPr>
        <w:keepNext/>
        <w:spacing w:before="320" w:after="40"/>
      </w:pPr>
      <w:r>
        <w:rPr>
          <w:rFonts w:ascii="Calibri" w:hAnsi="Calibri"/>
          <w:b/>
          <w:color w:val="A30000"/>
          <w:sz w:val="26"/>
        </w:rPr>
        <w:t xml:space="preserve">CASE 12: </w:t>
      </w:r>
      <w:r>
        <w:rPr>
          <w:rFonts w:ascii="Calibri" w:hAnsi="Calibri"/>
          <w:b/>
          <w:color w:val="182B49"/>
          <w:sz w:val="26"/>
        </w:rPr>
        <w:t>Pelizloy Realty Corporation v. The Province of Benguet</w:t>
      </w:r>
    </w:p>
    <w:p>
      <w:pPr>
        <w:keepNext/>
        <w:spacing w:before="0" w:after="80"/>
      </w:pPr>
      <w:r>
        <w:rPr>
          <w:rFonts w:ascii="Calibri" w:hAnsi="Calibri"/>
          <w:b/>
          <w:i/>
          <w:color w:val="0F4C81"/>
          <w:sz w:val="19"/>
        </w:rPr>
        <w:t>G.R. No. 183137, April 10, 2013 | 695 SCRA 491 | Ponente: Bersamin,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t>III. Basic Guidelines in Construction — Considerations within the Statute</w:t>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t>Section 140 in relation to Section 131(b) of Republic Act No. 7160 (Local Government Code of 1991)</w:t>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The Province of Benguet enacted a Provincial Tax Ordinance levying a 10% amusement tax on admission fees of resorts, swimming pools, bath houses, hot springs, and tourist spots. Petitioner Pelizloy Realty, which operated a mountain resort, challenged the ordinance, arguing that under Section 140 of the Local Government Code, the provincial amusement tax can only be levied on 'theaters, cinemas, concert halls, circuses, boxing stadia, and other places of amusement' where stage plays, music, and artistic performances are held.</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resorts and swimming pools fall under the category of 'other places of amusement' subject to provincial amusement tax under Section 140 of the Local Government Code.</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Resorts and swimming pools are not places of amusement within the meaning of Section 140 under the rule of Ejusdem Generis.</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DECLARED the amusement tax on resorts in the Provincial Tax Ordinance UNCONSTITUTIONAL and VOID.</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The statutory phrase 'other places of amusement' is a general term following an enumeration of specific venues.</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adhere to the principle of strict construction of tax-imposing statutes against the taxing authority.</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Ejusdem Generis: Where general words follow an enumeration of specific items, the general words are construed to embrace only objects similar in nature to those specifically enumerated (i.e., performance/show venues).</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Section 140 &amp; Section 131(b) of R.A. 7160; dictionary definitions of amusement places; tax law doctrines.</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Ejusdem Generis: </w:t>
      </w:r>
      <w:r>
        <w:rPr>
          <w:rFonts w:ascii="Calibri" w:hAnsi="Calibri"/>
          <w:color w:val="212529"/>
          <w:sz w:val="19"/>
        </w:rPr>
        <w:t>The general phrase 'other places of amusement' is restricted by the specific class: theaters, cinemas, and concert halls.</w:t>
      </w:r>
    </w:p>
    <w:p>
      <w:pPr>
        <w:pStyle w:val="ListBullet"/>
        <w:spacing w:before="0" w:after="40" w:line="276" w:lineRule="auto"/>
        <w:ind w:left="360"/>
      </w:pPr>
      <w:r>
        <w:rPr>
          <w:rFonts w:ascii="Calibri" w:hAnsi="Calibri"/>
          <w:b/>
          <w:color w:val="212529"/>
          <w:sz w:val="19"/>
        </w:rPr>
        <w:t xml:space="preserve">• Strict Construction of Tax Statutes: </w:t>
      </w:r>
      <w:r>
        <w:rPr>
          <w:rFonts w:ascii="Calibri" w:hAnsi="Calibri"/>
          <w:color w:val="212529"/>
          <w:sz w:val="19"/>
        </w:rPr>
        <w:t>Local government units cannot extend tax coverage beyond the clear, explicit statutory authorization.</w:t>
      </w:r>
    </w:p>
    <w:p>
      <w:pPr>
        <w:pStyle w:val="ListBullet"/>
        <w:spacing w:before="0" w:after="40" w:line="276" w:lineRule="auto"/>
        <w:ind w:left="360"/>
      </w:pPr>
      <w:r>
        <w:rPr>
          <w:rFonts w:ascii="Calibri" w:hAnsi="Calibri"/>
          <w:b/>
          <w:color w:val="212529"/>
          <w:sz w:val="19"/>
        </w:rPr>
        <w:t xml:space="preserve">• Statute Read as a Whole: </w:t>
      </w:r>
      <w:r>
        <w:rPr>
          <w:rFonts w:ascii="Calibri" w:hAnsi="Calibri"/>
          <w:color w:val="212529"/>
          <w:sz w:val="19"/>
        </w:rPr>
        <w:t>Reconciling Section 140 with the general definitions in Section 131 of the Local Government Code.</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Section 140 of R.A. 7160 to limit provincial amusement taxes exclusively to venues featuring theatrical, musical, or athletic spectacles, thereby excluding recreational resorts and swimming pools.</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III. Basic Guidelines in Construction — Considerations within the Statute regarding Section 140 in relation to Section 131(b) of Republic Act No. 7160 (Local Government Code of 1991), the Supreme Court rigorously applied the canon of Ejusdem Generis: Where general words follow an enumeration of specific items, the general words are construed to embrace only objects similar in nature to those specifically enumerated (i.e., performance/show venues).. Construction became imperative because The statutory phrase 'other places of amusement' is a general term following an enumeration of specific venues. Under the maxim of Ejusdem Generis, the law dictates that The general phrase 'other places of amusement' is restricted by the specific class: theaters, cinemas, and concert halls. Under the maxim of Strict Construction of Tax Statutes, the law dictates that Local government units cannot extend tax coverage beyond the clear, explicit statutory authorization. Under the maxim of Statute Read as a Whole, the law dictates that Reconciling Section 140 with the general definitions in Section 131 of the Local Government Code. In summary, The Court construed Section 140 of R.A. 7160 to limit provincial amusement taxes exclusively to venues featuring theatrical, musical, or athletic spectacles, thereby excluding recreational resorts and swimming pools.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Ejusdem Generis: Where general words follow an enumeration of specific items, the general words are construed to embrace only objects similar in nature to those specifically enumerated (i.e., performance/show venues).</w:t>
            </w:r>
          </w:p>
        </w:tc>
        <w:tc>
          <w:tcPr>
            <w:tcW w:type="dxa" w:w="6048"/>
            <w:shd w:fill="FFFFFF"/>
            <w:tcMar>
              <w:top w:w="70" w:type="dxa"/>
              <w:bottom w:w="70" w:type="dxa"/>
              <w:left w:w="90" w:type="dxa"/>
              <w:right w:w="90" w:type="dxa"/>
            </w:tcMar>
          </w:tcPr>
          <w:p>
            <w:r>
              <w:rPr>
                <w:rFonts w:ascii="Calibri" w:hAnsi="Calibri"/>
                <w:color w:val="212529"/>
                <w:sz w:val="17"/>
              </w:rPr>
              <w:t>To adhere to the principle of strict construction of tax-imposing statutes against the taxing authority.</w:t>
            </w:r>
          </w:p>
        </w:tc>
      </w:tr>
      <w:tr>
        <w:tc>
          <w:tcPr>
            <w:tcW w:type="dxa" w:w="3312"/>
            <w:shd w:fill="F7F9FA"/>
            <w:tcMar>
              <w:top w:w="70" w:type="dxa"/>
              <w:bottom w:w="70" w:type="dxa"/>
              <w:left w:w="80" w:type="dxa"/>
              <w:right w:w="80" w:type="dxa"/>
            </w:tcMar>
          </w:tcPr>
          <w:p>
            <w:r>
              <w:rPr>
                <w:rFonts w:ascii="Calibri" w:hAnsi="Calibri"/>
                <w:b/>
                <w:color w:val="0F4C81"/>
                <w:sz w:val="17"/>
              </w:rPr>
              <w:t>Ejusdem Generis</w:t>
            </w:r>
          </w:p>
        </w:tc>
        <w:tc>
          <w:tcPr>
            <w:tcW w:type="dxa" w:w="6048"/>
            <w:shd w:fill="F7F9FA"/>
            <w:tcMar>
              <w:top w:w="70" w:type="dxa"/>
              <w:bottom w:w="70" w:type="dxa"/>
              <w:left w:w="90" w:type="dxa"/>
              <w:right w:w="90" w:type="dxa"/>
            </w:tcMar>
          </w:tcPr>
          <w:p>
            <w:r>
              <w:rPr>
                <w:rFonts w:ascii="Calibri" w:hAnsi="Calibri"/>
                <w:color w:val="212529"/>
                <w:sz w:val="17"/>
              </w:rPr>
              <w:t>The general phrase 'other places of amusement' is restricted by the specific class: theaters, cinemas, and concert halls.</w:t>
            </w:r>
          </w:p>
        </w:tc>
      </w:tr>
      <w:tr>
        <w:tc>
          <w:tcPr>
            <w:tcW w:type="dxa" w:w="3312"/>
            <w:shd w:fill="FFFFFF"/>
            <w:tcMar>
              <w:top w:w="70" w:type="dxa"/>
              <w:bottom w:w="70" w:type="dxa"/>
              <w:left w:w="80" w:type="dxa"/>
              <w:right w:w="80" w:type="dxa"/>
            </w:tcMar>
          </w:tcPr>
          <w:p>
            <w:r>
              <w:rPr>
                <w:rFonts w:ascii="Calibri" w:hAnsi="Calibri"/>
                <w:b/>
                <w:color w:val="0F4C81"/>
                <w:sz w:val="17"/>
              </w:rPr>
              <w:t>Strict Construction of Tax Statutes</w:t>
            </w:r>
          </w:p>
        </w:tc>
        <w:tc>
          <w:tcPr>
            <w:tcW w:type="dxa" w:w="6048"/>
            <w:shd w:fill="FFFFFF"/>
            <w:tcMar>
              <w:top w:w="70" w:type="dxa"/>
              <w:bottom w:w="70" w:type="dxa"/>
              <w:left w:w="90" w:type="dxa"/>
              <w:right w:w="90" w:type="dxa"/>
            </w:tcMar>
          </w:tcPr>
          <w:p>
            <w:r>
              <w:rPr>
                <w:rFonts w:ascii="Calibri" w:hAnsi="Calibri"/>
                <w:color w:val="212529"/>
                <w:sz w:val="17"/>
              </w:rPr>
              <w:t>Local government units cannot extend tax coverage beyond the clear, explicit statutory authorization.</w:t>
            </w:r>
          </w:p>
        </w:tc>
      </w:tr>
      <w:tr>
        <w:tc>
          <w:tcPr>
            <w:tcW w:type="dxa" w:w="3312"/>
            <w:shd w:fill="F7F9FA"/>
            <w:tcMar>
              <w:top w:w="70" w:type="dxa"/>
              <w:bottom w:w="70" w:type="dxa"/>
              <w:left w:w="80" w:type="dxa"/>
              <w:right w:w="80" w:type="dxa"/>
            </w:tcMar>
          </w:tcPr>
          <w:p>
            <w:r>
              <w:rPr>
                <w:rFonts w:ascii="Calibri" w:hAnsi="Calibri"/>
                <w:b/>
                <w:color w:val="0F4C81"/>
                <w:sz w:val="17"/>
              </w:rPr>
              <w:t>Statute Read as a Whole</w:t>
            </w:r>
          </w:p>
        </w:tc>
        <w:tc>
          <w:tcPr>
            <w:tcW w:type="dxa" w:w="6048"/>
            <w:shd w:fill="F7F9FA"/>
            <w:tcMar>
              <w:top w:w="70" w:type="dxa"/>
              <w:bottom w:w="70" w:type="dxa"/>
              <w:left w:w="90" w:type="dxa"/>
              <w:right w:w="90" w:type="dxa"/>
            </w:tcMar>
          </w:tcPr>
          <w:p>
            <w:r>
              <w:rPr>
                <w:rFonts w:ascii="Calibri" w:hAnsi="Calibri"/>
                <w:color w:val="212529"/>
                <w:sz w:val="17"/>
              </w:rPr>
              <w:t>Reconciling Section 140 with the general definitions in Section 131 of the Local Government Code.</w:t>
            </w:r>
          </w:p>
        </w:tc>
      </w:tr>
    </w:tbl>
    <w:p>
      <w:pPr>
        <w:spacing w:after="160"/>
      </w:pPr>
    </w:p>
    <w:p>
      <w:pPr>
        <w:keepNext/>
        <w:spacing w:before="320" w:after="40"/>
      </w:pPr>
      <w:r>
        <w:rPr>
          <w:rFonts w:ascii="Calibri" w:hAnsi="Calibri"/>
          <w:b/>
          <w:color w:val="A30000"/>
          <w:sz w:val="26"/>
        </w:rPr>
        <w:t xml:space="preserve">CASE 13: </w:t>
      </w:r>
      <w:r>
        <w:rPr>
          <w:rFonts w:ascii="Calibri" w:hAnsi="Calibri"/>
          <w:b/>
          <w:color w:val="182B49"/>
          <w:sz w:val="26"/>
        </w:rPr>
        <w:t>Eugenio v. Drilon</w:t>
      </w:r>
    </w:p>
    <w:p>
      <w:pPr>
        <w:keepNext/>
        <w:spacing w:before="0" w:after="80"/>
      </w:pPr>
      <w:r>
        <w:rPr>
          <w:rFonts w:ascii="Calibri" w:hAnsi="Calibri"/>
          <w:b/>
          <w:i/>
          <w:color w:val="0F4C81"/>
          <w:sz w:val="19"/>
        </w:rPr>
        <w:t>G.R. No. 109404, January 22, 1996 | 252 SCRA 106 | Ponente: Hermosisima, Jr.,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Petitioner Eugenio purchased subdivision lots on installment in 1972. In 1976, Presidential Decree No. 957 (The Subdivision and Condominium Buyers' Protective Decree) was enacted, providing under Section 24 that non-payment of installments by buyers due to failure of the developer to develop the subdivision shall not cause forfeiture of their payments. Petitioner invoked PD 957 to suspend payments. The developer claimed that PD 957 was enacted after the execution of the 1972 contract and cannot be applied retroactively under Article 4 of the Civil Code.</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Presidential Decree No. 957 can be applied retroactively to subdivision sale contracts executed prior to its enactment.</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YES. PD 957 is a social justice and remedial statute designed to protect vulnerable home buyers and applies retroactively to existing contracts.</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DISMISSED the petition and UPHELD the retroactive application of PD 957.</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The statute did not contain an express clause regarding its retroactive application to prior sales contracts.</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give effect to the remedial and social justice purpose of the law (*Ratio Legis*) in protecting home buyers against fraudulent subdivision developers.</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Liberal Construction of Remedial &amp; Social Legislation &amp; Presumption of Prospective vs. Retroactive Operation: Remedial statutes and laws enacted for the public good apply to existing contracts unless vested property rights are impaired.</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Preamble of PD 957; constitutional social justice provisions; Police Power principles.</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Liberal Construction of Social Legislation: </w:t>
      </w:r>
      <w:r>
        <w:rPr>
          <w:rFonts w:ascii="Calibri" w:hAnsi="Calibri"/>
          <w:color w:val="212529"/>
          <w:sz w:val="19"/>
        </w:rPr>
        <w:t>Consumer protection laws are construed liberally in favor of the class intended to be protected.</w:t>
      </w:r>
    </w:p>
    <w:p>
      <w:pPr>
        <w:pStyle w:val="ListBullet"/>
        <w:spacing w:before="0" w:after="40" w:line="276" w:lineRule="auto"/>
        <w:ind w:left="360"/>
      </w:pPr>
      <w:r>
        <w:rPr>
          <w:rFonts w:ascii="Calibri" w:hAnsi="Calibri"/>
          <w:b/>
          <w:color w:val="212529"/>
          <w:sz w:val="19"/>
        </w:rPr>
        <w:t xml:space="preserve">• Retroactive Operation of Remedial Statutes: </w:t>
      </w:r>
      <w:r>
        <w:rPr>
          <w:rFonts w:ascii="Calibri" w:hAnsi="Calibri"/>
          <w:color w:val="212529"/>
          <w:sz w:val="19"/>
        </w:rPr>
        <w:t>Remedial and curative laws apply to antecedent transactions to remedy an ongoing social mischief.</w:t>
      </w:r>
    </w:p>
    <w:p>
      <w:pPr>
        <w:pStyle w:val="ListBullet"/>
        <w:spacing w:before="0" w:after="40" w:line="276" w:lineRule="auto"/>
        <w:ind w:left="360"/>
      </w:pPr>
      <w:r>
        <w:rPr>
          <w:rFonts w:ascii="Calibri" w:hAnsi="Calibri"/>
          <w:b/>
          <w:color w:val="212529"/>
          <w:sz w:val="19"/>
        </w:rPr>
        <w:t xml:space="preserve">• Preamble as Guide to Intent: </w:t>
      </w:r>
      <w:r>
        <w:rPr>
          <w:rFonts w:ascii="Calibri" w:hAnsi="Calibri"/>
          <w:color w:val="212529"/>
          <w:sz w:val="19"/>
        </w:rPr>
        <w:t>The Preamble revealed the acute housing crisis that PD 957 was specifically designed to cure.</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Section 24 of PD 957 to apply to all contracts for subdivision lot sales, including those executed prior to its enactment, to fulfill its protective social mandate.</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Liberal Construction of Remedial &amp; Social Legislation &amp; Presumption of Prospective vs. Retroactive Operation: Remedial statutes and laws enacted for the public good apply to existing contracts unless vested property rights are impaired.. Construction became imperative because The statute did not contain an express clause regarding its retroactive application to prior sales contracts. Under the maxim of Liberal Construction of Social Legislation, the law dictates that Consumer protection laws are construed liberally in favor of the class intended to be protected. Under the maxim of Retroactive Operation of Remedial Statutes, the law dictates that Remedial and curative laws apply to antecedent transactions to remedy an ongoing social mischief. Under the maxim of Preamble as Guide to Intent, the law dictates that The Preamble revealed the acute housing crisis that PD 957 was specifically designed to cure. In summary, The Court construed Section 24 of PD 957 to apply to all contracts for subdivision lot sales, including those executed prior to its enactment, to fulfill its protective social mandate.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Liberal Construction of Remedial &amp; Social Legislation &amp; Presumption of Prospective vs. Retroactive Operation: Remedial statutes and laws enacted for the public good apply to existing contracts unless vested property rights are impaired.</w:t>
            </w:r>
          </w:p>
        </w:tc>
        <w:tc>
          <w:tcPr>
            <w:tcW w:type="dxa" w:w="6048"/>
            <w:shd w:fill="FFFFFF"/>
            <w:tcMar>
              <w:top w:w="70" w:type="dxa"/>
              <w:bottom w:w="70" w:type="dxa"/>
              <w:left w:w="90" w:type="dxa"/>
              <w:right w:w="90" w:type="dxa"/>
            </w:tcMar>
          </w:tcPr>
          <w:p>
            <w:r>
              <w:rPr>
                <w:rFonts w:ascii="Calibri" w:hAnsi="Calibri"/>
                <w:color w:val="212529"/>
                <w:sz w:val="17"/>
              </w:rPr>
              <w:t>To give effect to the remedial and social justice purpose of the law (*Ratio Legis*) in protecting home buyers against fraudulent subdivision developers.</w:t>
            </w:r>
          </w:p>
        </w:tc>
      </w:tr>
      <w:tr>
        <w:tc>
          <w:tcPr>
            <w:tcW w:type="dxa" w:w="3312"/>
            <w:shd w:fill="F7F9FA"/>
            <w:tcMar>
              <w:top w:w="70" w:type="dxa"/>
              <w:bottom w:w="70" w:type="dxa"/>
              <w:left w:w="80" w:type="dxa"/>
              <w:right w:w="80" w:type="dxa"/>
            </w:tcMar>
          </w:tcPr>
          <w:p>
            <w:r>
              <w:rPr>
                <w:rFonts w:ascii="Calibri" w:hAnsi="Calibri"/>
                <w:b/>
                <w:color w:val="0F4C81"/>
                <w:sz w:val="17"/>
              </w:rPr>
              <w:t>Liberal Construction of Social Legislation</w:t>
            </w:r>
          </w:p>
        </w:tc>
        <w:tc>
          <w:tcPr>
            <w:tcW w:type="dxa" w:w="6048"/>
            <w:shd w:fill="F7F9FA"/>
            <w:tcMar>
              <w:top w:w="70" w:type="dxa"/>
              <w:bottom w:w="70" w:type="dxa"/>
              <w:left w:w="90" w:type="dxa"/>
              <w:right w:w="90" w:type="dxa"/>
            </w:tcMar>
          </w:tcPr>
          <w:p>
            <w:r>
              <w:rPr>
                <w:rFonts w:ascii="Calibri" w:hAnsi="Calibri"/>
                <w:color w:val="212529"/>
                <w:sz w:val="17"/>
              </w:rPr>
              <w:t>Consumer protection laws are construed liberally in favor of the class intended to be protected.</w:t>
            </w:r>
          </w:p>
        </w:tc>
      </w:tr>
      <w:tr>
        <w:tc>
          <w:tcPr>
            <w:tcW w:type="dxa" w:w="3312"/>
            <w:shd w:fill="FFFFFF"/>
            <w:tcMar>
              <w:top w:w="70" w:type="dxa"/>
              <w:bottom w:w="70" w:type="dxa"/>
              <w:left w:w="80" w:type="dxa"/>
              <w:right w:w="80" w:type="dxa"/>
            </w:tcMar>
          </w:tcPr>
          <w:p>
            <w:r>
              <w:rPr>
                <w:rFonts w:ascii="Calibri" w:hAnsi="Calibri"/>
                <w:b/>
                <w:color w:val="0F4C81"/>
                <w:sz w:val="17"/>
              </w:rPr>
              <w:t>Retroactive Operation of Remedial Statutes</w:t>
            </w:r>
          </w:p>
        </w:tc>
        <w:tc>
          <w:tcPr>
            <w:tcW w:type="dxa" w:w="6048"/>
            <w:shd w:fill="FFFFFF"/>
            <w:tcMar>
              <w:top w:w="70" w:type="dxa"/>
              <w:bottom w:w="70" w:type="dxa"/>
              <w:left w:w="90" w:type="dxa"/>
              <w:right w:w="90" w:type="dxa"/>
            </w:tcMar>
          </w:tcPr>
          <w:p>
            <w:r>
              <w:rPr>
                <w:rFonts w:ascii="Calibri" w:hAnsi="Calibri"/>
                <w:color w:val="212529"/>
                <w:sz w:val="17"/>
              </w:rPr>
              <w:t>Remedial and curative laws apply to antecedent transactions to remedy an ongoing social mischief.</w:t>
            </w:r>
          </w:p>
        </w:tc>
      </w:tr>
      <w:tr>
        <w:tc>
          <w:tcPr>
            <w:tcW w:type="dxa" w:w="3312"/>
            <w:shd w:fill="F7F9FA"/>
            <w:tcMar>
              <w:top w:w="70" w:type="dxa"/>
              <w:bottom w:w="70" w:type="dxa"/>
              <w:left w:w="80" w:type="dxa"/>
              <w:right w:w="80" w:type="dxa"/>
            </w:tcMar>
          </w:tcPr>
          <w:p>
            <w:r>
              <w:rPr>
                <w:rFonts w:ascii="Calibri" w:hAnsi="Calibri"/>
                <w:b/>
                <w:color w:val="0F4C81"/>
                <w:sz w:val="17"/>
              </w:rPr>
              <w:t>Preamble as Guide to Intent</w:t>
            </w:r>
          </w:p>
        </w:tc>
        <w:tc>
          <w:tcPr>
            <w:tcW w:type="dxa" w:w="6048"/>
            <w:shd w:fill="F7F9FA"/>
            <w:tcMar>
              <w:top w:w="70" w:type="dxa"/>
              <w:bottom w:w="70" w:type="dxa"/>
              <w:left w:w="90" w:type="dxa"/>
              <w:right w:w="90" w:type="dxa"/>
            </w:tcMar>
          </w:tcPr>
          <w:p>
            <w:r>
              <w:rPr>
                <w:rFonts w:ascii="Calibri" w:hAnsi="Calibri"/>
                <w:color w:val="212529"/>
                <w:sz w:val="17"/>
              </w:rPr>
              <w:t>The Preamble revealed the acute housing crisis that PD 957 was specifically designed to cure.</w:t>
            </w:r>
          </w:p>
        </w:tc>
      </w:tr>
    </w:tbl>
    <w:p>
      <w:pPr>
        <w:spacing w:after="160"/>
      </w:pPr>
    </w:p>
    <w:p>
      <w:pPr>
        <w:keepNext/>
        <w:spacing w:before="320" w:after="40"/>
      </w:pPr>
      <w:r>
        <w:rPr>
          <w:rFonts w:ascii="Calibri" w:hAnsi="Calibri"/>
          <w:b/>
          <w:color w:val="A30000"/>
          <w:sz w:val="26"/>
        </w:rPr>
        <w:t xml:space="preserve">CASE 14: </w:t>
      </w:r>
      <w:r>
        <w:rPr>
          <w:rFonts w:ascii="Calibri" w:hAnsi="Calibri"/>
          <w:b/>
          <w:color w:val="182B49"/>
          <w:sz w:val="26"/>
        </w:rPr>
        <w:t>MMDA v. Garin</w:t>
      </w:r>
    </w:p>
    <w:p>
      <w:pPr>
        <w:keepNext/>
        <w:spacing w:before="0" w:after="80"/>
      </w:pPr>
      <w:r>
        <w:rPr>
          <w:rFonts w:ascii="Calibri" w:hAnsi="Calibri"/>
          <w:b/>
          <w:i/>
          <w:color w:val="0F4C81"/>
          <w:sz w:val="19"/>
        </w:rPr>
        <w:t>G.R. No. 130230, April 15, 2005 | 456 SCRA 176 | Ponente: Chico-Nazario,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Respondent Atty. Dante Garin was issued a traffic violation ticket by an MMDA traffic enforcer for illegal parking, and his driver's license was confiscated pursuant to MMDA Memorandum Circular No. 95-003. Garin challenged the circular, arguing that Republic Act No. 7924 (the MMDA Charter) did not grant the MMDA legislative police power or the statutory authority to confiscate driver's licenses or enact penal traffic ordinances.</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Republic Act No. 7924 grants the MMDA police power to confiscate driver's licenses of traffic violators.</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The MMDA is an administrative coordinating body, not a legislative local government unit, and has no statutory power to confiscate licenses.</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AFFIRMED the permanent injunction against the MMDA's confiscation of licenses without explicit local statutory ordinance backing.</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MMDA claimed police power authority based on general phrases in Section 3 of R.A. 7924 regarding 'metro-wide services.'</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prevent administrative overreach and protect the constitutional principle that police power resides primarily in the Legislature.</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Strict Construction of Administrative Powers &amp; Legislative Intent: Administrative agencies possess only such powers as are expressly granted by statute or necessarily implied therefrom.</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R.A. 7924; legislative debates confirming MMDA was intended as an administrative coordinator, not a political governing body.</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Limits of Administrative Power: </w:t>
      </w:r>
      <w:r>
        <w:rPr>
          <w:rFonts w:ascii="Calibri" w:hAnsi="Calibri"/>
          <w:color w:val="212529"/>
          <w:sz w:val="19"/>
        </w:rPr>
        <w:t>Administrative bodies cannot expand their statutory charter by executive interpretation.</w:t>
      </w:r>
    </w:p>
    <w:p>
      <w:pPr>
        <w:pStyle w:val="ListBullet"/>
        <w:spacing w:before="0" w:after="40" w:line="276" w:lineRule="auto"/>
        <w:ind w:left="360"/>
      </w:pPr>
      <w:r>
        <w:rPr>
          <w:rFonts w:ascii="Calibri" w:hAnsi="Calibri"/>
          <w:b/>
          <w:color w:val="212529"/>
          <w:sz w:val="19"/>
        </w:rPr>
        <w:t xml:space="preserve">• Legislative Intent from Debates: </w:t>
      </w:r>
      <w:r>
        <w:rPr>
          <w:rFonts w:ascii="Calibri" w:hAnsi="Calibri"/>
          <w:color w:val="212529"/>
          <w:sz w:val="19"/>
        </w:rPr>
        <w:t>Congressional transcripts established that Congress deliberately withheld legislative police power from MMDA.</w:t>
      </w:r>
    </w:p>
    <w:p>
      <w:pPr>
        <w:pStyle w:val="ListBullet"/>
        <w:spacing w:before="0" w:after="40" w:line="276" w:lineRule="auto"/>
        <w:ind w:left="360"/>
      </w:pPr>
      <w:r>
        <w:rPr>
          <w:rFonts w:ascii="Calibri" w:hAnsi="Calibri"/>
          <w:b/>
          <w:color w:val="212529"/>
          <w:sz w:val="19"/>
        </w:rPr>
        <w:t xml:space="preserve">• Strict Construction of Coercive Powers: </w:t>
      </w:r>
      <w:r>
        <w:rPr>
          <w:rFonts w:ascii="Calibri" w:hAnsi="Calibri"/>
          <w:color w:val="212529"/>
          <w:sz w:val="19"/>
        </w:rPr>
        <w:t>Power to confiscate personal licenses must have clear, explicit statutory authorization.</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R.A. 7924 as creating an administrative agency without legislative police power, holding that license confiscation requires an explicit statutory enactment by Congress or local councils.</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Strict Construction of Administrative Powers &amp; Legislative Intent: Administrative agencies possess only such powers as are expressly granted by statute or necessarily implied therefrom.. Construction became imperative because MMDA claimed police power authority based on general phrases in Section 3 of R.A. 7924 regarding 'metro-wide services.'. Under the maxim of Limits of Administrative Power, the law dictates that Administrative bodies cannot expand their statutory charter by executive interpretation. Under the maxim of Legislative Intent from Debates, the law dictates that Congressional transcripts established that Congress deliberately withheld legislative police power from MMDA. Under the maxim of Strict Construction of Coercive Powers, the law dictates that Power to confiscate personal licenses must have clear, explicit statutory authorization. In summary, The Court construed R.A. 7924 as creating an administrative agency without legislative police power, holding that license confiscation requires an explicit statutory enactment by Congress or local councils.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Strict Construction of Administrative Powers &amp; Legislative Intent: Administrative agencies possess only such powers as are expressly granted by statute or necessarily implied therefrom.</w:t>
            </w:r>
          </w:p>
        </w:tc>
        <w:tc>
          <w:tcPr>
            <w:tcW w:type="dxa" w:w="6048"/>
            <w:shd w:fill="FFFFFF"/>
            <w:tcMar>
              <w:top w:w="70" w:type="dxa"/>
              <w:bottom w:w="70" w:type="dxa"/>
              <w:left w:w="90" w:type="dxa"/>
              <w:right w:w="90" w:type="dxa"/>
            </w:tcMar>
          </w:tcPr>
          <w:p>
            <w:r>
              <w:rPr>
                <w:rFonts w:ascii="Calibri" w:hAnsi="Calibri"/>
                <w:color w:val="212529"/>
                <w:sz w:val="17"/>
              </w:rPr>
              <w:t>To prevent administrative overreach and protect the constitutional principle that police power resides primarily in the Legislature.</w:t>
            </w:r>
          </w:p>
        </w:tc>
      </w:tr>
      <w:tr>
        <w:tc>
          <w:tcPr>
            <w:tcW w:type="dxa" w:w="3312"/>
            <w:shd w:fill="F7F9FA"/>
            <w:tcMar>
              <w:top w:w="70" w:type="dxa"/>
              <w:bottom w:w="70" w:type="dxa"/>
              <w:left w:w="80" w:type="dxa"/>
              <w:right w:w="80" w:type="dxa"/>
            </w:tcMar>
          </w:tcPr>
          <w:p>
            <w:r>
              <w:rPr>
                <w:rFonts w:ascii="Calibri" w:hAnsi="Calibri"/>
                <w:b/>
                <w:color w:val="0F4C81"/>
                <w:sz w:val="17"/>
              </w:rPr>
              <w:t>Limits of Administrative Power</w:t>
            </w:r>
          </w:p>
        </w:tc>
        <w:tc>
          <w:tcPr>
            <w:tcW w:type="dxa" w:w="6048"/>
            <w:shd w:fill="F7F9FA"/>
            <w:tcMar>
              <w:top w:w="70" w:type="dxa"/>
              <w:bottom w:w="70" w:type="dxa"/>
              <w:left w:w="90" w:type="dxa"/>
              <w:right w:w="90" w:type="dxa"/>
            </w:tcMar>
          </w:tcPr>
          <w:p>
            <w:r>
              <w:rPr>
                <w:rFonts w:ascii="Calibri" w:hAnsi="Calibri"/>
                <w:color w:val="212529"/>
                <w:sz w:val="17"/>
              </w:rPr>
              <w:t>Administrative bodies cannot expand their statutory charter by executive interpretation.</w:t>
            </w:r>
          </w:p>
        </w:tc>
      </w:tr>
      <w:tr>
        <w:tc>
          <w:tcPr>
            <w:tcW w:type="dxa" w:w="3312"/>
            <w:shd w:fill="FFFFFF"/>
            <w:tcMar>
              <w:top w:w="70" w:type="dxa"/>
              <w:bottom w:w="70" w:type="dxa"/>
              <w:left w:w="80" w:type="dxa"/>
              <w:right w:w="80" w:type="dxa"/>
            </w:tcMar>
          </w:tcPr>
          <w:p>
            <w:r>
              <w:rPr>
                <w:rFonts w:ascii="Calibri" w:hAnsi="Calibri"/>
                <w:b/>
                <w:color w:val="0F4C81"/>
                <w:sz w:val="17"/>
              </w:rPr>
              <w:t>Legislative Intent from Debates</w:t>
            </w:r>
          </w:p>
        </w:tc>
        <w:tc>
          <w:tcPr>
            <w:tcW w:type="dxa" w:w="6048"/>
            <w:shd w:fill="FFFFFF"/>
            <w:tcMar>
              <w:top w:w="70" w:type="dxa"/>
              <w:bottom w:w="70" w:type="dxa"/>
              <w:left w:w="90" w:type="dxa"/>
              <w:right w:w="90" w:type="dxa"/>
            </w:tcMar>
          </w:tcPr>
          <w:p>
            <w:r>
              <w:rPr>
                <w:rFonts w:ascii="Calibri" w:hAnsi="Calibri"/>
                <w:color w:val="212529"/>
                <w:sz w:val="17"/>
              </w:rPr>
              <w:t>Congressional transcripts established that Congress deliberately withheld legislative police power from MMDA.</w:t>
            </w:r>
          </w:p>
        </w:tc>
      </w:tr>
      <w:tr>
        <w:tc>
          <w:tcPr>
            <w:tcW w:type="dxa" w:w="3312"/>
            <w:shd w:fill="F7F9FA"/>
            <w:tcMar>
              <w:top w:w="70" w:type="dxa"/>
              <w:bottom w:w="70" w:type="dxa"/>
              <w:left w:w="80" w:type="dxa"/>
              <w:right w:w="80" w:type="dxa"/>
            </w:tcMar>
          </w:tcPr>
          <w:p>
            <w:r>
              <w:rPr>
                <w:rFonts w:ascii="Calibri" w:hAnsi="Calibri"/>
                <w:b/>
                <w:color w:val="0F4C81"/>
                <w:sz w:val="17"/>
              </w:rPr>
              <w:t>Strict Construction of Coercive Powers</w:t>
            </w:r>
          </w:p>
        </w:tc>
        <w:tc>
          <w:tcPr>
            <w:tcW w:type="dxa" w:w="6048"/>
            <w:shd w:fill="F7F9FA"/>
            <w:tcMar>
              <w:top w:w="70" w:type="dxa"/>
              <w:bottom w:w="70" w:type="dxa"/>
              <w:left w:w="90" w:type="dxa"/>
              <w:right w:w="90" w:type="dxa"/>
            </w:tcMar>
          </w:tcPr>
          <w:p>
            <w:r>
              <w:rPr>
                <w:rFonts w:ascii="Calibri" w:hAnsi="Calibri"/>
                <w:color w:val="212529"/>
                <w:sz w:val="17"/>
              </w:rPr>
              <w:t>Power to confiscate personal licenses must have clear, explicit statutory authorization.</w:t>
            </w:r>
          </w:p>
        </w:tc>
      </w:tr>
    </w:tbl>
    <w:p>
      <w:pPr>
        <w:spacing w:after="160"/>
      </w:pPr>
    </w:p>
    <w:p>
      <w:pPr>
        <w:keepNext/>
        <w:spacing w:before="320" w:after="40"/>
      </w:pPr>
      <w:r>
        <w:rPr>
          <w:rFonts w:ascii="Calibri" w:hAnsi="Calibri"/>
          <w:b/>
          <w:color w:val="A30000"/>
          <w:sz w:val="26"/>
        </w:rPr>
        <w:t xml:space="preserve">CASE 15: </w:t>
      </w:r>
      <w:r>
        <w:rPr>
          <w:rFonts w:ascii="Calibri" w:hAnsi="Calibri"/>
          <w:b/>
          <w:color w:val="182B49"/>
          <w:sz w:val="26"/>
        </w:rPr>
        <w:t>CIR v. SM Prime Holdings, Inc.</w:t>
      </w:r>
    </w:p>
    <w:p>
      <w:pPr>
        <w:keepNext/>
        <w:spacing w:before="0" w:after="80"/>
      </w:pPr>
      <w:r>
        <w:rPr>
          <w:rFonts w:ascii="Calibri" w:hAnsi="Calibri"/>
          <w:b/>
          <w:i/>
          <w:color w:val="0F4C81"/>
          <w:sz w:val="19"/>
        </w:rPr>
        <w:t>G.R. No. 183505, February 26, 2010 | 613 SCRA 774 | Ponente: Corona,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The Bureau of Internal Revenue (BIR) assessed SM Prime Holdings with Value-Added Tax (VAT) deficiency on gross receipts derived from movie ticket admissions in its cinema theaters, invoking Section 108 of the National Internal Revenue Code (NIRC) which imposes VAT on 'sale or exchange of services, including the lease or use of properties.' SM Prime contested the assessment, arguing that cinema ticket sales are subject exclusively to local amusement tax under the Local Government Code and not to national VAT under the NIRC.</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the showing of motion pictures in cinemas is subject to VAT under Section 108 of the National Internal Revenue Code.</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The exhibition of movies in theaters is not subject to VAT because Congress did not intend to impose double taxation on cinema admissions already burdened by local amusement taxes.</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AFFIRMED the cancellation of the VAT assessment against SM Prime Holdings.</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Section 108 of the NIRC provides a broad enumeration of services subject to VAT, creating ambiguity regarding whether cinema admissions fall within its general scope.</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avoid double taxation and uphold the rule that tax laws are strictly construed against the State and in favor of the taxpayer.</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Strict Construction of Tax Laws (In Dubio Contra Fiscum) &amp; Legislative History: Taxes are never presumed; legislative deliberations on the VAT Law showed that cinema theater operations were deliberately omitted from the VAT coverage.</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NIRC Section 108; Local Government Code Section 140; Bicameral Conference Committee deliberations on the VAT reform acts.</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Strict Construction of Taxing Statutes: </w:t>
      </w:r>
      <w:r>
        <w:rPr>
          <w:rFonts w:ascii="Calibri" w:hAnsi="Calibri"/>
          <w:color w:val="212529"/>
          <w:sz w:val="19"/>
        </w:rPr>
        <w:t>A tax cannot be imposed without clear, unequivocal statutory language.</w:t>
      </w:r>
    </w:p>
    <w:p>
      <w:pPr>
        <w:pStyle w:val="ListBullet"/>
        <w:spacing w:before="0" w:after="40" w:line="276" w:lineRule="auto"/>
        <w:ind w:left="360"/>
      </w:pPr>
      <w:r>
        <w:rPr>
          <w:rFonts w:ascii="Calibri" w:hAnsi="Calibri"/>
          <w:b/>
          <w:color w:val="212529"/>
          <w:sz w:val="19"/>
        </w:rPr>
        <w:t xml:space="preserve">• Legislative History as Extrinsic Aid: </w:t>
      </w:r>
      <w:r>
        <w:rPr>
          <w:rFonts w:ascii="Calibri" w:hAnsi="Calibri"/>
          <w:color w:val="212529"/>
          <w:sz w:val="19"/>
        </w:rPr>
        <w:t>Congressional records proved that Congress rejected amendments seeking to include cinema admissions in the VAT base.</w:t>
      </w:r>
    </w:p>
    <w:p>
      <w:pPr>
        <w:pStyle w:val="ListBullet"/>
        <w:spacing w:before="0" w:after="40" w:line="276" w:lineRule="auto"/>
        <w:ind w:left="360"/>
      </w:pPr>
      <w:r>
        <w:rPr>
          <w:rFonts w:ascii="Calibri" w:hAnsi="Calibri"/>
          <w:b/>
          <w:color w:val="212529"/>
          <w:sz w:val="19"/>
        </w:rPr>
        <w:t xml:space="preserve">• Harmonization to Avoid Double Taxation: </w:t>
      </w:r>
      <w:r>
        <w:rPr>
          <w:rFonts w:ascii="Calibri" w:hAnsi="Calibri"/>
          <w:color w:val="212529"/>
          <w:sz w:val="19"/>
        </w:rPr>
        <w:t>Harmonizing national tax statutes with local taxation powers to prevent oppressive overlapping levies.</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Section 108 of the NIRC strictly to exclude movie theater admissions from VAT liability, finding that cinema operators are subject exclusively to the local amusement tax.</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Strict Construction of Tax Laws (In Dubio Contra Fiscum) &amp; Legislative History: Taxes are never presumed; legislative deliberations on the VAT Law showed that cinema theater operations were deliberately omitted from the VAT coverage.. Construction became imperative because Section 108 of the NIRC provides a broad enumeration of services subject to VAT, creating ambiguity regarding whether cinema admissions fall within its general scope. Under the maxim of Strict Construction of Taxing Statutes, the law dictates that A tax cannot be imposed without clear, unequivocal statutory language. Under the maxim of Legislative History as Extrinsic Aid, the law dictates that Congressional records proved that Congress rejected amendments seeking to include cinema admissions in the VAT base. Under the maxim of Harmonization to Avoid Double Taxation, the law dictates that Harmonizing national tax statutes with local taxation powers to prevent oppressive overlapping levies. In summary, The Court construed Section 108 of the NIRC strictly to exclude movie theater admissions from VAT liability, finding that cinema operators are subject exclusively to the local amusement tax.</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Strict Construction of Tax Laws (In Dubio Contra Fiscum) &amp; Legislative History: Taxes are never presumed; legislative deliberations on the VAT Law showed that cinema theater operations were deliberately omitted from the VAT coverage.</w:t>
            </w:r>
          </w:p>
        </w:tc>
        <w:tc>
          <w:tcPr>
            <w:tcW w:type="dxa" w:w="6048"/>
            <w:shd w:fill="FFFFFF"/>
            <w:tcMar>
              <w:top w:w="70" w:type="dxa"/>
              <w:bottom w:w="70" w:type="dxa"/>
              <w:left w:w="90" w:type="dxa"/>
              <w:right w:w="90" w:type="dxa"/>
            </w:tcMar>
          </w:tcPr>
          <w:p>
            <w:r>
              <w:rPr>
                <w:rFonts w:ascii="Calibri" w:hAnsi="Calibri"/>
                <w:color w:val="212529"/>
                <w:sz w:val="17"/>
              </w:rPr>
              <w:t>To avoid double taxation and uphold the rule that tax laws are strictly construed against the State and in favor of the taxpayer.</w:t>
            </w:r>
          </w:p>
        </w:tc>
      </w:tr>
      <w:tr>
        <w:tc>
          <w:tcPr>
            <w:tcW w:type="dxa" w:w="3312"/>
            <w:shd w:fill="F7F9FA"/>
            <w:tcMar>
              <w:top w:w="70" w:type="dxa"/>
              <w:bottom w:w="70" w:type="dxa"/>
              <w:left w:w="80" w:type="dxa"/>
              <w:right w:w="80" w:type="dxa"/>
            </w:tcMar>
          </w:tcPr>
          <w:p>
            <w:r>
              <w:rPr>
                <w:rFonts w:ascii="Calibri" w:hAnsi="Calibri"/>
                <w:b/>
                <w:color w:val="0F4C81"/>
                <w:sz w:val="17"/>
              </w:rPr>
              <w:t>Strict Construction of Taxing Statutes</w:t>
            </w:r>
          </w:p>
        </w:tc>
        <w:tc>
          <w:tcPr>
            <w:tcW w:type="dxa" w:w="6048"/>
            <w:shd w:fill="F7F9FA"/>
            <w:tcMar>
              <w:top w:w="70" w:type="dxa"/>
              <w:bottom w:w="70" w:type="dxa"/>
              <w:left w:w="90" w:type="dxa"/>
              <w:right w:w="90" w:type="dxa"/>
            </w:tcMar>
          </w:tcPr>
          <w:p>
            <w:r>
              <w:rPr>
                <w:rFonts w:ascii="Calibri" w:hAnsi="Calibri"/>
                <w:color w:val="212529"/>
                <w:sz w:val="17"/>
              </w:rPr>
              <w:t>A tax cannot be imposed without clear, unequivocal statutory language.</w:t>
            </w:r>
          </w:p>
        </w:tc>
      </w:tr>
      <w:tr>
        <w:tc>
          <w:tcPr>
            <w:tcW w:type="dxa" w:w="3312"/>
            <w:shd w:fill="FFFFFF"/>
            <w:tcMar>
              <w:top w:w="70" w:type="dxa"/>
              <w:bottom w:w="70" w:type="dxa"/>
              <w:left w:w="80" w:type="dxa"/>
              <w:right w:w="80" w:type="dxa"/>
            </w:tcMar>
          </w:tcPr>
          <w:p>
            <w:r>
              <w:rPr>
                <w:rFonts w:ascii="Calibri" w:hAnsi="Calibri"/>
                <w:b/>
                <w:color w:val="0F4C81"/>
                <w:sz w:val="17"/>
              </w:rPr>
              <w:t>Legislative History as Extrinsic Aid</w:t>
            </w:r>
          </w:p>
        </w:tc>
        <w:tc>
          <w:tcPr>
            <w:tcW w:type="dxa" w:w="6048"/>
            <w:shd w:fill="FFFFFF"/>
            <w:tcMar>
              <w:top w:w="70" w:type="dxa"/>
              <w:bottom w:w="70" w:type="dxa"/>
              <w:left w:w="90" w:type="dxa"/>
              <w:right w:w="90" w:type="dxa"/>
            </w:tcMar>
          </w:tcPr>
          <w:p>
            <w:r>
              <w:rPr>
                <w:rFonts w:ascii="Calibri" w:hAnsi="Calibri"/>
                <w:color w:val="212529"/>
                <w:sz w:val="17"/>
              </w:rPr>
              <w:t>Congressional records proved that Congress rejected amendments seeking to include cinema admissions in the VAT base.</w:t>
            </w:r>
          </w:p>
        </w:tc>
      </w:tr>
      <w:tr>
        <w:tc>
          <w:tcPr>
            <w:tcW w:type="dxa" w:w="3312"/>
            <w:shd w:fill="F7F9FA"/>
            <w:tcMar>
              <w:top w:w="70" w:type="dxa"/>
              <w:bottom w:w="70" w:type="dxa"/>
              <w:left w:w="80" w:type="dxa"/>
              <w:right w:w="80" w:type="dxa"/>
            </w:tcMar>
          </w:tcPr>
          <w:p>
            <w:r>
              <w:rPr>
                <w:rFonts w:ascii="Calibri" w:hAnsi="Calibri"/>
                <w:b/>
                <w:color w:val="0F4C81"/>
                <w:sz w:val="17"/>
              </w:rPr>
              <w:t>Harmonization to Avoid Double Taxation</w:t>
            </w:r>
          </w:p>
        </w:tc>
        <w:tc>
          <w:tcPr>
            <w:tcW w:type="dxa" w:w="6048"/>
            <w:shd w:fill="F7F9FA"/>
            <w:tcMar>
              <w:top w:w="70" w:type="dxa"/>
              <w:bottom w:w="70" w:type="dxa"/>
              <w:left w:w="90" w:type="dxa"/>
              <w:right w:w="90" w:type="dxa"/>
            </w:tcMar>
          </w:tcPr>
          <w:p>
            <w:r>
              <w:rPr>
                <w:rFonts w:ascii="Calibri" w:hAnsi="Calibri"/>
                <w:color w:val="212529"/>
                <w:sz w:val="17"/>
              </w:rPr>
              <w:t>Harmonizing national tax statutes with local taxation powers to prevent oppressive overlapping levies.</w:t>
            </w:r>
          </w:p>
        </w:tc>
      </w:tr>
    </w:tbl>
    <w:p>
      <w:pPr>
        <w:spacing w:after="160"/>
      </w:pPr>
    </w:p>
    <w:p>
      <w:pPr>
        <w:keepNext/>
        <w:spacing w:before="320" w:after="40"/>
      </w:pPr>
      <w:r>
        <w:rPr>
          <w:rFonts w:ascii="Calibri" w:hAnsi="Calibri"/>
          <w:b/>
          <w:color w:val="A30000"/>
          <w:sz w:val="26"/>
        </w:rPr>
        <w:t xml:space="preserve">CASE 16: </w:t>
      </w:r>
      <w:r>
        <w:rPr>
          <w:rFonts w:ascii="Calibri" w:hAnsi="Calibri"/>
          <w:b/>
          <w:color w:val="182B49"/>
          <w:sz w:val="26"/>
        </w:rPr>
        <w:t>Mustang Lumber, Inc. v. Court of Appeals</w:t>
      </w:r>
    </w:p>
    <w:p>
      <w:pPr>
        <w:keepNext/>
        <w:spacing w:before="0" w:after="80"/>
      </w:pPr>
      <w:r>
        <w:rPr>
          <w:rFonts w:ascii="Calibri" w:hAnsi="Calibri"/>
          <w:b/>
          <w:i/>
          <w:color w:val="0F4C81"/>
          <w:sz w:val="19"/>
        </w:rPr>
        <w:t>G.R. No. 104988, June 18, 1996 | 257 SCRA 430 | Ponente: Davide, Jr.,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DENR officials seized truckloads of almaciga lumber from Mustang Lumber's compound for lack of required transport permits. Mustang Lumber was charged with illegal logging under Section 68 of Presidential Decree No. 705 (Revised Forestry Code), which penalizes possession of 'timber or other forest products' without legal authority. Petitioner moved to quash, arguing that 'lumber' is manufactured wood and is distinct from 'timber,' and since the statute only mentioned 'timber,' the possession of processed lumber was not a criminal offense.</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the statutory term 'timber' in Section 68 of PD 705 includes processed 'lumber.'</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YES. The statutory term 'timber' includes lumber; taking or possessing processed lumber without legal authority constitutes illegal logging.</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DISMISSED the petitions and AFFIRMED the criminal prosecution for violation of the Forestry Code.</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Petitioner attempted to exploit a technical semantic distinction between raw timber logs and processed lumber boards to escape penal liability.</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give full effect to the environmental conservation objective and manifest policy of the Forestry Code (*Ratio Legis*).</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Purposive Construction &amp; Ordinary / Popular Meaning: To exclude lumber from the definition of timber would result in the complete emasculation of the Forestry Code, as illegal loggers could easily evade the law by sawing felled trees into lumber boards.</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Preamble and broad policy of PD 705; forestry industry definitions; Spanish and English forestry precedents.</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Avoidance of Absurdity: </w:t>
      </w:r>
      <w:r>
        <w:rPr>
          <w:rFonts w:ascii="Calibri" w:hAnsi="Calibri"/>
          <w:color w:val="212529"/>
          <w:sz w:val="19"/>
        </w:rPr>
        <w:t>Statutory interpretation that creates an easy loophole for evading environmental penal laws is rejected.</w:t>
      </w:r>
    </w:p>
    <w:p>
      <w:pPr>
        <w:pStyle w:val="ListBullet"/>
        <w:spacing w:before="0" w:after="40" w:line="276" w:lineRule="auto"/>
        <w:ind w:left="360"/>
      </w:pPr>
      <w:r>
        <w:rPr>
          <w:rFonts w:ascii="Calibri" w:hAnsi="Calibri"/>
          <w:b/>
          <w:color w:val="212529"/>
          <w:sz w:val="19"/>
        </w:rPr>
        <w:t xml:space="preserve">• Purposive Construction: </w:t>
      </w:r>
      <w:r>
        <w:rPr>
          <w:rFonts w:ascii="Calibri" w:hAnsi="Calibri"/>
          <w:color w:val="212529"/>
          <w:sz w:val="19"/>
        </w:rPr>
        <w:t>Construing statutory terms to advance the clear legislative objective of preserving forest resources.</w:t>
      </w:r>
    </w:p>
    <w:p>
      <w:pPr>
        <w:pStyle w:val="ListBullet"/>
        <w:spacing w:before="0" w:after="40" w:line="276" w:lineRule="auto"/>
        <w:ind w:left="360"/>
      </w:pPr>
      <w:r>
        <w:rPr>
          <w:rFonts w:ascii="Calibri" w:hAnsi="Calibri"/>
          <w:b/>
          <w:color w:val="212529"/>
          <w:sz w:val="19"/>
        </w:rPr>
        <w:t xml:space="preserve">• Statute Read as a Whole: </w:t>
      </w:r>
      <w:r>
        <w:rPr>
          <w:rFonts w:ascii="Calibri" w:hAnsi="Calibri"/>
          <w:color w:val="212529"/>
          <w:sz w:val="19"/>
        </w:rPr>
        <w:t>Reading Section 68 in conjunction with the comprehensive conservation scheme of the Forestry Code.</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the word 'timber' under Section 68 of PD 705 to encompass both raw logs and sawn/processed lumber, ensuring comprehensive protection against unauthorized logging.</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Purposive Construction &amp; Ordinary / Popular Meaning: To exclude lumber from the definition of timber would result in the complete emasculation of the Forestry Code, as illegal loggers could easily evade the law by sawing felled trees into lumber boards.. Construction became imperative because Petitioner attempted to exploit a technical semantic distinction between raw timber logs and processed lumber boards to escape penal liability. Under the maxim of Avoidance of Absurdity, the law dictates that Statutory interpretation that creates an easy loophole for evading environmental penal laws is rejected. Under the maxim of Purposive Construction, the law dictates that Construing statutory terms to advance the clear legislative objective of preserving forest resources. Under the maxim of Statute Read as a Whole, the law dictates that Reading Section 68 in conjunction with the comprehensive conservation scheme of the Forestry Code. In summary, The Court construed the word 'timber' under Section 68 of PD 705 to encompass both raw logs and sawn/processed lumber, ensuring comprehensive protection against unauthorized logging.</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Purposive Construction &amp; Ordinary / Popular Meaning: To exclude lumber from the definition of timber would result in the complete emasculation of the Forestry Code, as illegal loggers could easily evade the law by sawing felled trees into lumber boards.</w:t>
            </w:r>
          </w:p>
        </w:tc>
        <w:tc>
          <w:tcPr>
            <w:tcW w:type="dxa" w:w="6048"/>
            <w:shd w:fill="FFFFFF"/>
            <w:tcMar>
              <w:top w:w="70" w:type="dxa"/>
              <w:bottom w:w="70" w:type="dxa"/>
              <w:left w:w="90" w:type="dxa"/>
              <w:right w:w="90" w:type="dxa"/>
            </w:tcMar>
          </w:tcPr>
          <w:p>
            <w:r>
              <w:rPr>
                <w:rFonts w:ascii="Calibri" w:hAnsi="Calibri"/>
                <w:color w:val="212529"/>
                <w:sz w:val="17"/>
              </w:rPr>
              <w:t>To give full effect to the environmental conservation objective and manifest policy of the Forestry Code (*Ratio Legis*).</w:t>
            </w:r>
          </w:p>
        </w:tc>
      </w:tr>
      <w:tr>
        <w:tc>
          <w:tcPr>
            <w:tcW w:type="dxa" w:w="3312"/>
            <w:shd w:fill="F7F9FA"/>
            <w:tcMar>
              <w:top w:w="70" w:type="dxa"/>
              <w:bottom w:w="70" w:type="dxa"/>
              <w:left w:w="80" w:type="dxa"/>
              <w:right w:w="80" w:type="dxa"/>
            </w:tcMar>
          </w:tcPr>
          <w:p>
            <w:r>
              <w:rPr>
                <w:rFonts w:ascii="Calibri" w:hAnsi="Calibri"/>
                <w:b/>
                <w:color w:val="0F4C81"/>
                <w:sz w:val="17"/>
              </w:rPr>
              <w:t>Avoidance of Absurdity</w:t>
            </w:r>
          </w:p>
        </w:tc>
        <w:tc>
          <w:tcPr>
            <w:tcW w:type="dxa" w:w="6048"/>
            <w:shd w:fill="F7F9FA"/>
            <w:tcMar>
              <w:top w:w="70" w:type="dxa"/>
              <w:bottom w:w="70" w:type="dxa"/>
              <w:left w:w="90" w:type="dxa"/>
              <w:right w:w="90" w:type="dxa"/>
            </w:tcMar>
          </w:tcPr>
          <w:p>
            <w:r>
              <w:rPr>
                <w:rFonts w:ascii="Calibri" w:hAnsi="Calibri"/>
                <w:color w:val="212529"/>
                <w:sz w:val="17"/>
              </w:rPr>
              <w:t>Statutory interpretation that creates an easy loophole for evading environmental penal laws is rejected.</w:t>
            </w:r>
          </w:p>
        </w:tc>
      </w:tr>
      <w:tr>
        <w:tc>
          <w:tcPr>
            <w:tcW w:type="dxa" w:w="3312"/>
            <w:shd w:fill="FFFFFF"/>
            <w:tcMar>
              <w:top w:w="70" w:type="dxa"/>
              <w:bottom w:w="70" w:type="dxa"/>
              <w:left w:w="80" w:type="dxa"/>
              <w:right w:w="80" w:type="dxa"/>
            </w:tcMar>
          </w:tcPr>
          <w:p>
            <w:r>
              <w:rPr>
                <w:rFonts w:ascii="Calibri" w:hAnsi="Calibri"/>
                <w:b/>
                <w:color w:val="0F4C81"/>
                <w:sz w:val="17"/>
              </w:rPr>
              <w:t>Purposive Construction</w:t>
            </w:r>
          </w:p>
        </w:tc>
        <w:tc>
          <w:tcPr>
            <w:tcW w:type="dxa" w:w="6048"/>
            <w:shd w:fill="FFFFFF"/>
            <w:tcMar>
              <w:top w:w="70" w:type="dxa"/>
              <w:bottom w:w="70" w:type="dxa"/>
              <w:left w:w="90" w:type="dxa"/>
              <w:right w:w="90" w:type="dxa"/>
            </w:tcMar>
          </w:tcPr>
          <w:p>
            <w:r>
              <w:rPr>
                <w:rFonts w:ascii="Calibri" w:hAnsi="Calibri"/>
                <w:color w:val="212529"/>
                <w:sz w:val="17"/>
              </w:rPr>
              <w:t>Construing statutory terms to advance the clear legislative objective of preserving forest resources.</w:t>
            </w:r>
          </w:p>
        </w:tc>
      </w:tr>
      <w:tr>
        <w:tc>
          <w:tcPr>
            <w:tcW w:type="dxa" w:w="3312"/>
            <w:shd w:fill="F7F9FA"/>
            <w:tcMar>
              <w:top w:w="70" w:type="dxa"/>
              <w:bottom w:w="70" w:type="dxa"/>
              <w:left w:w="80" w:type="dxa"/>
              <w:right w:w="80" w:type="dxa"/>
            </w:tcMar>
          </w:tcPr>
          <w:p>
            <w:r>
              <w:rPr>
                <w:rFonts w:ascii="Calibri" w:hAnsi="Calibri"/>
                <w:b/>
                <w:color w:val="0F4C81"/>
                <w:sz w:val="17"/>
              </w:rPr>
              <w:t>Statute Read as a Whole</w:t>
            </w:r>
          </w:p>
        </w:tc>
        <w:tc>
          <w:tcPr>
            <w:tcW w:type="dxa" w:w="6048"/>
            <w:shd w:fill="F7F9FA"/>
            <w:tcMar>
              <w:top w:w="70" w:type="dxa"/>
              <w:bottom w:w="70" w:type="dxa"/>
              <w:left w:w="90" w:type="dxa"/>
              <w:right w:w="90" w:type="dxa"/>
            </w:tcMar>
          </w:tcPr>
          <w:p>
            <w:r>
              <w:rPr>
                <w:rFonts w:ascii="Calibri" w:hAnsi="Calibri"/>
                <w:color w:val="212529"/>
                <w:sz w:val="17"/>
              </w:rPr>
              <w:t>Reading Section 68 in conjunction with the comprehensive conservation scheme of the Forestry Code.</w:t>
            </w:r>
          </w:p>
        </w:tc>
      </w:tr>
    </w:tbl>
    <w:p>
      <w:pPr>
        <w:spacing w:after="160"/>
      </w:pPr>
    </w:p>
    <w:p>
      <w:pPr>
        <w:keepNext/>
        <w:spacing w:before="320" w:after="40"/>
      </w:pPr>
      <w:r>
        <w:rPr>
          <w:rFonts w:ascii="Calibri" w:hAnsi="Calibri"/>
          <w:b/>
          <w:color w:val="A30000"/>
          <w:sz w:val="26"/>
        </w:rPr>
        <w:t xml:space="preserve">CASE 17: </w:t>
      </w:r>
      <w:r>
        <w:rPr>
          <w:rFonts w:ascii="Calibri" w:hAnsi="Calibri"/>
          <w:b/>
          <w:color w:val="182B49"/>
          <w:sz w:val="26"/>
        </w:rPr>
        <w:t>Krivenko v. Register of Deeds</w:t>
      </w:r>
    </w:p>
    <w:p>
      <w:pPr>
        <w:keepNext/>
        <w:spacing w:before="0" w:after="80"/>
      </w:pPr>
      <w:r>
        <w:rPr>
          <w:rFonts w:ascii="Calibri" w:hAnsi="Calibri"/>
          <w:b/>
          <w:i/>
          <w:color w:val="0F4C81"/>
          <w:sz w:val="19"/>
        </w:rPr>
        <w:t>G.R. No. L-630, November 15, 1947 | 79 Phil. 461 | Ponente: Moran, C.J.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Alexander A. Krivenko, an alien (Russian national), purchased a residential lot in Manila in 1941. When he sought to register the deed of sale after the liberation of Manila, the Register of Deeds refused on the ground that the 1935 Constitution (Article XIII, Section 5) prohibited the transfer of agricultural lands to foreigners. Krivenko argued that residential land is urban/residential and not 'agricultural land.'</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the constitutional phrase 'private agricultural land' under the 1935 Constitution includes urban residential and commercial lands.</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YES. The constitutional term 'agricultural land' is used generically to encompass all lands of the public domain that are neither timber/forest nor mineral lands, including residential lots.</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AFFIRMED the refusal to register the sale, holding that aliens cannot acquire private residential lands in the Philippines.</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The word 'agricultural' has both a narrow colloquial meaning (cultivated farm lands) and a comprehensive legal constitutional meaning.</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enforce the supreme constitutional policy of preserving the patrimony and land of the Philippines for the Filipino people.</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Constitutional Construction &amp; In Pari Materia: Under the Public Land Acts and constitutional classifications, lands are divided into only three classes: mineral, timber, and agricultural. Residential lands necessarily fall under the agricultural classification.</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1935 Constitution Art. XIII, Sec. 1 &amp; 5; Public Land Act (Act No. 2874 &amp; C.A. 141); Records of the 1934 Constitutional Convention; Mapa v. Insular Government.</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Constitutional Supremacy &amp; National Patrimony: </w:t>
      </w:r>
      <w:r>
        <w:rPr>
          <w:rFonts w:ascii="Calibri" w:hAnsi="Calibri"/>
          <w:color w:val="212529"/>
          <w:sz w:val="19"/>
        </w:rPr>
        <w:t>Constitutional provisions protecting national patrimony are construed to give full force to the protective policy.</w:t>
      </w:r>
    </w:p>
    <w:p>
      <w:pPr>
        <w:pStyle w:val="ListBullet"/>
        <w:spacing w:before="0" w:after="40" w:line="276" w:lineRule="auto"/>
        <w:ind w:left="360"/>
      </w:pPr>
      <w:r>
        <w:rPr>
          <w:rFonts w:ascii="Calibri" w:hAnsi="Calibri"/>
          <w:b/>
          <w:color w:val="212529"/>
          <w:sz w:val="19"/>
        </w:rPr>
        <w:t xml:space="preserve">• In Pari Materia with Public Land Laws: </w:t>
      </w:r>
      <w:r>
        <w:rPr>
          <w:rFonts w:ascii="Calibri" w:hAnsi="Calibri"/>
          <w:color w:val="212529"/>
          <w:sz w:val="19"/>
        </w:rPr>
        <w:t>Construing constitutional land terms consistently with foundational public land classifications.</w:t>
      </w:r>
    </w:p>
    <w:p>
      <w:pPr>
        <w:pStyle w:val="ListBullet"/>
        <w:spacing w:before="0" w:after="40" w:line="276" w:lineRule="auto"/>
        <w:ind w:left="360"/>
      </w:pPr>
      <w:r>
        <w:rPr>
          <w:rFonts w:ascii="Calibri" w:hAnsi="Calibri"/>
          <w:b/>
          <w:color w:val="212529"/>
          <w:sz w:val="19"/>
        </w:rPr>
        <w:t xml:space="preserve">• Generic vs. Specific Meaning: </w:t>
      </w:r>
      <w:r>
        <w:rPr>
          <w:rFonts w:ascii="Calibri" w:hAnsi="Calibri"/>
          <w:color w:val="212529"/>
          <w:sz w:val="19"/>
        </w:rPr>
        <w:t>Adopting the established generic legal meaning of agricultural lands rather than narrow agricultural usage.</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the term 'agricultural land' in the Constitution to include all lands that are not timber or mineral, thereby barring aliens from acquiring residential and commercial real estate.</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Constitutional Construction &amp; In Pari Materia: Under the Public Land Acts and constitutional classifications, lands are divided into only three classes: mineral, timber, and agricultural. Residential lands necessarily fall under the agricultural classification.. Construction became imperative because The word 'agricultural' has both a narrow colloquial meaning (cultivated farm lands) and a comprehensive legal constitutional meaning. Under the maxim of Constitutional Supremacy &amp; National Patrimony, the law dictates that Constitutional provisions protecting national patrimony are construed to give full force to the protective policy. Under the maxim of In Pari Materia with Public Land Laws, the law dictates that Construing constitutional land terms consistently with foundational public land classifications. Under the maxim of Generic vs. Specific Meaning, the law dictates that Adopting the established generic legal meaning of agricultural lands rather than narrow agricultural usage. In summary, The Court construed the term 'agricultural land' in the Constitution to include all lands that are not timber or mineral, thereby barring aliens from acquiring residential and commercial real estate.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Constitutional Construction &amp; In Pari Materia: Under the Public Land Acts and constitutional classifications, lands are divided into only three classes: mineral, timber, and agricultural. Residential lands necessarily fall under the agricultural classification.</w:t>
            </w:r>
          </w:p>
        </w:tc>
        <w:tc>
          <w:tcPr>
            <w:tcW w:type="dxa" w:w="6048"/>
            <w:shd w:fill="FFFFFF"/>
            <w:tcMar>
              <w:top w:w="70" w:type="dxa"/>
              <w:bottom w:w="70" w:type="dxa"/>
              <w:left w:w="90" w:type="dxa"/>
              <w:right w:w="90" w:type="dxa"/>
            </w:tcMar>
          </w:tcPr>
          <w:p>
            <w:r>
              <w:rPr>
                <w:rFonts w:ascii="Calibri" w:hAnsi="Calibri"/>
                <w:color w:val="212529"/>
                <w:sz w:val="17"/>
              </w:rPr>
              <w:t>To enforce the supreme constitutional policy of preserving the patrimony and land of the Philippines for the Filipino people.</w:t>
            </w:r>
          </w:p>
        </w:tc>
      </w:tr>
      <w:tr>
        <w:tc>
          <w:tcPr>
            <w:tcW w:type="dxa" w:w="3312"/>
            <w:shd w:fill="F7F9FA"/>
            <w:tcMar>
              <w:top w:w="70" w:type="dxa"/>
              <w:bottom w:w="70" w:type="dxa"/>
              <w:left w:w="80" w:type="dxa"/>
              <w:right w:w="80" w:type="dxa"/>
            </w:tcMar>
          </w:tcPr>
          <w:p>
            <w:r>
              <w:rPr>
                <w:rFonts w:ascii="Calibri" w:hAnsi="Calibri"/>
                <w:b/>
                <w:color w:val="0F4C81"/>
                <w:sz w:val="17"/>
              </w:rPr>
              <w:t>Constitutional Supremacy &amp; National Patrimony</w:t>
            </w:r>
          </w:p>
        </w:tc>
        <w:tc>
          <w:tcPr>
            <w:tcW w:type="dxa" w:w="6048"/>
            <w:shd w:fill="F7F9FA"/>
            <w:tcMar>
              <w:top w:w="70" w:type="dxa"/>
              <w:bottom w:w="70" w:type="dxa"/>
              <w:left w:w="90" w:type="dxa"/>
              <w:right w:w="90" w:type="dxa"/>
            </w:tcMar>
          </w:tcPr>
          <w:p>
            <w:r>
              <w:rPr>
                <w:rFonts w:ascii="Calibri" w:hAnsi="Calibri"/>
                <w:color w:val="212529"/>
                <w:sz w:val="17"/>
              </w:rPr>
              <w:t>Constitutional provisions protecting national patrimony are construed to give full force to the protective policy.</w:t>
            </w:r>
          </w:p>
        </w:tc>
      </w:tr>
      <w:tr>
        <w:tc>
          <w:tcPr>
            <w:tcW w:type="dxa" w:w="3312"/>
            <w:shd w:fill="FFFFFF"/>
            <w:tcMar>
              <w:top w:w="70" w:type="dxa"/>
              <w:bottom w:w="70" w:type="dxa"/>
              <w:left w:w="80" w:type="dxa"/>
              <w:right w:w="80" w:type="dxa"/>
            </w:tcMar>
          </w:tcPr>
          <w:p>
            <w:r>
              <w:rPr>
                <w:rFonts w:ascii="Calibri" w:hAnsi="Calibri"/>
                <w:b/>
                <w:color w:val="0F4C81"/>
                <w:sz w:val="17"/>
              </w:rPr>
              <w:t>In Pari Materia with Public Land Laws</w:t>
            </w:r>
          </w:p>
        </w:tc>
        <w:tc>
          <w:tcPr>
            <w:tcW w:type="dxa" w:w="6048"/>
            <w:shd w:fill="FFFFFF"/>
            <w:tcMar>
              <w:top w:w="70" w:type="dxa"/>
              <w:bottom w:w="70" w:type="dxa"/>
              <w:left w:w="90" w:type="dxa"/>
              <w:right w:w="90" w:type="dxa"/>
            </w:tcMar>
          </w:tcPr>
          <w:p>
            <w:r>
              <w:rPr>
                <w:rFonts w:ascii="Calibri" w:hAnsi="Calibri"/>
                <w:color w:val="212529"/>
                <w:sz w:val="17"/>
              </w:rPr>
              <w:t>Construing constitutional land terms consistently with foundational public land classifications.</w:t>
            </w:r>
          </w:p>
        </w:tc>
      </w:tr>
      <w:tr>
        <w:tc>
          <w:tcPr>
            <w:tcW w:type="dxa" w:w="3312"/>
            <w:shd w:fill="F7F9FA"/>
            <w:tcMar>
              <w:top w:w="70" w:type="dxa"/>
              <w:bottom w:w="70" w:type="dxa"/>
              <w:left w:w="80" w:type="dxa"/>
              <w:right w:w="80" w:type="dxa"/>
            </w:tcMar>
          </w:tcPr>
          <w:p>
            <w:r>
              <w:rPr>
                <w:rFonts w:ascii="Calibri" w:hAnsi="Calibri"/>
                <w:b/>
                <w:color w:val="0F4C81"/>
                <w:sz w:val="17"/>
              </w:rPr>
              <w:t>Generic vs. Specific Meaning</w:t>
            </w:r>
          </w:p>
        </w:tc>
        <w:tc>
          <w:tcPr>
            <w:tcW w:type="dxa" w:w="6048"/>
            <w:shd w:fill="F7F9FA"/>
            <w:tcMar>
              <w:top w:w="70" w:type="dxa"/>
              <w:bottom w:w="70" w:type="dxa"/>
              <w:left w:w="90" w:type="dxa"/>
              <w:right w:w="90" w:type="dxa"/>
            </w:tcMar>
          </w:tcPr>
          <w:p>
            <w:r>
              <w:rPr>
                <w:rFonts w:ascii="Calibri" w:hAnsi="Calibri"/>
                <w:color w:val="212529"/>
                <w:sz w:val="17"/>
              </w:rPr>
              <w:t>Adopting the established generic legal meaning of agricultural lands rather than narrow agricultural usage.</w:t>
            </w:r>
          </w:p>
        </w:tc>
      </w:tr>
    </w:tbl>
    <w:p>
      <w:pPr>
        <w:spacing w:after="160"/>
      </w:pPr>
    </w:p>
    <w:p>
      <w:pPr>
        <w:keepNext/>
        <w:spacing w:before="320" w:after="40"/>
      </w:pPr>
      <w:r>
        <w:rPr>
          <w:rFonts w:ascii="Calibri" w:hAnsi="Calibri"/>
          <w:b/>
          <w:color w:val="A30000"/>
          <w:sz w:val="26"/>
        </w:rPr>
        <w:t xml:space="preserve">CASE 18: </w:t>
      </w:r>
      <w:r>
        <w:rPr>
          <w:rFonts w:ascii="Calibri" w:hAnsi="Calibri"/>
          <w:b/>
          <w:color w:val="182B49"/>
          <w:sz w:val="26"/>
        </w:rPr>
        <w:t>Francisco v. House of Representatives</w:t>
      </w:r>
    </w:p>
    <w:p>
      <w:pPr>
        <w:keepNext/>
        <w:spacing w:before="0" w:after="80"/>
      </w:pPr>
      <w:r>
        <w:rPr>
          <w:rFonts w:ascii="Calibri" w:hAnsi="Calibri"/>
          <w:b/>
          <w:i/>
          <w:color w:val="0F4C81"/>
          <w:sz w:val="19"/>
        </w:rPr>
        <w:t>G.R. No. 160261, November 10, 2003 | 415 SCRA 44 | Ponente: Carpio Morales,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A second impeachment complaint was filed against then Chief Justice Hilario G. Davide, Jr. by members of the House of Representatives within five months after an initial impeachment complaint against him had been filed and dismissed. Petitioners challenged the constitutionality of the second complaint, invoking Article XI, Section 3(5) of the 1987 Constitution, which provides: 'No impeachment proceeding shall be initiated against the same official more than once within a period of one year.' Respondents argued that 'initiated' means the filing of the Articles of Impeachment with the Senate, and not the mere filing of a complaint with the House.</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When is an impeachment proceeding deemed 'initiated' within the one-year constitutional bar under Article XI, Section 3(5).</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An impeachment proceeding is 'initiated' upon the filing of the verified complaint with the House of Representatives and its referral to the proper committee; hence, the second complaint was unconstitutional.</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DECLARED the second impeachment complaint against Chief Justice Davide UNCONSTITUTIONAL and VOID.</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The word 'initiate' was susceptible of two competing interpretations: (1) filing and referral of the complaint in the House, or (2) transmittal of Articles of Impeachment to the Senate.</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uphold the constitutional safeguard protecting public officials from repetitive and harassing impeachment proceedings.</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Verba Legis &amp; Constitutional Commission Deliberations: In ordinary and legal parlance, 'to initiate' means to begin, start, or commence. Deliberations of the 1986 Constitutional Commission showed that the framers explicitly meant the filing and taking cognizance of the complaint by the House.</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Records of the 1986 Constitutional Commission (statements of Commissioners Monsod, Maambong, and Regalado); Black's Law Dictionary; Rules of the House of Representatives.</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Verba Legis in Constitutional Law: </w:t>
      </w:r>
      <w:r>
        <w:rPr>
          <w:rFonts w:ascii="Calibri" w:hAnsi="Calibri"/>
          <w:color w:val="212529"/>
          <w:sz w:val="19"/>
        </w:rPr>
        <w:t>Words of the Constitution are interpreted in their natural, ordinary, and commonly accepted meaning.</w:t>
      </w:r>
    </w:p>
    <w:p>
      <w:pPr>
        <w:pStyle w:val="ListBullet"/>
        <w:spacing w:before="0" w:after="40" w:line="276" w:lineRule="auto"/>
        <w:ind w:left="360"/>
      </w:pPr>
      <w:r>
        <w:rPr>
          <w:rFonts w:ascii="Calibri" w:hAnsi="Calibri"/>
          <w:b/>
          <w:color w:val="212529"/>
          <w:sz w:val="19"/>
        </w:rPr>
        <w:t xml:space="preserve">• Constitutional Intent via Deliberations: </w:t>
      </w:r>
      <w:r>
        <w:rPr>
          <w:rFonts w:ascii="Calibri" w:hAnsi="Calibri"/>
          <w:color w:val="212529"/>
          <w:sz w:val="19"/>
        </w:rPr>
        <w:t>Records of the Constitutional Commission provide the conclusive intent of the framers.</w:t>
      </w:r>
    </w:p>
    <w:p>
      <w:pPr>
        <w:pStyle w:val="ListBullet"/>
        <w:spacing w:before="0" w:after="40" w:line="276" w:lineRule="auto"/>
        <w:ind w:left="360"/>
      </w:pPr>
      <w:r>
        <w:rPr>
          <w:rFonts w:ascii="Calibri" w:hAnsi="Calibri"/>
          <w:b/>
          <w:color w:val="212529"/>
          <w:sz w:val="19"/>
        </w:rPr>
        <w:t xml:space="preserve">• Judicial Review of Constitutional Boundaries: </w:t>
      </w:r>
      <w:r>
        <w:rPr>
          <w:rFonts w:ascii="Calibri" w:hAnsi="Calibri"/>
          <w:color w:val="212529"/>
          <w:sz w:val="19"/>
        </w:rPr>
        <w:t>The Court has the duty to enforce constitutional limitations on legislative impeachment powers.</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the term 'initiated' in Article XI, Section 3(5) to mean the filing and referral of an impeachment complaint, thereby activating the one-year bar against subsequent impeachment complaints.</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Verba Legis &amp; Constitutional Commission Deliberations: In ordinary and legal parlance, 'to initiate' means to begin, start, or commence. Deliberations of the 1986 Constitutional Commission showed that the framers explicitly meant the filing and taking cognizance of the complaint by the House.. Construction became imperative because The word 'initiate' was susceptible of two competing interpretations: (1) filing and referral of the complaint in the House, or (2) transmittal of Articles of Impeachment to the Senate. Under the maxim of Verba Legis in Constitutional Law, the law dictates that Words of the Constitution are interpreted in their natural, ordinary, and commonly accepted meaning. Under the maxim of Constitutional Intent via Deliberations, the law dictates that Records of the Constitutional Commission provide the conclusive intent of the framers. Under the maxim of Judicial Review of Constitutional Boundaries, the law dictates that The Court has the duty to enforce constitutional limitations on legislative impeachment powers. In summary, The Court construed the term 'initiated' in Article XI, Section 3(5) to mean the filing and referral of an impeachment complaint, thereby activating the one-year bar against subsequent impeachment complaints.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Verba Legis &amp; Constitutional Commission Deliberations: In ordinary and legal parlance, 'to initiate' means to begin, start, or commence. Deliberations of the 1986 Constitutional Commission showed that the framers explicitly meant the filing and taking cognizance of the complaint by the House.</w:t>
            </w:r>
          </w:p>
        </w:tc>
        <w:tc>
          <w:tcPr>
            <w:tcW w:type="dxa" w:w="6048"/>
            <w:shd w:fill="FFFFFF"/>
            <w:tcMar>
              <w:top w:w="70" w:type="dxa"/>
              <w:bottom w:w="70" w:type="dxa"/>
              <w:left w:w="90" w:type="dxa"/>
              <w:right w:w="90" w:type="dxa"/>
            </w:tcMar>
          </w:tcPr>
          <w:p>
            <w:r>
              <w:rPr>
                <w:rFonts w:ascii="Calibri" w:hAnsi="Calibri"/>
                <w:color w:val="212529"/>
                <w:sz w:val="17"/>
              </w:rPr>
              <w:t>To uphold the constitutional safeguard protecting public officials from repetitive and harassing impeachment proceedings.</w:t>
            </w:r>
          </w:p>
        </w:tc>
      </w:tr>
      <w:tr>
        <w:tc>
          <w:tcPr>
            <w:tcW w:type="dxa" w:w="3312"/>
            <w:shd w:fill="F7F9FA"/>
            <w:tcMar>
              <w:top w:w="70" w:type="dxa"/>
              <w:bottom w:w="70" w:type="dxa"/>
              <w:left w:w="80" w:type="dxa"/>
              <w:right w:w="80" w:type="dxa"/>
            </w:tcMar>
          </w:tcPr>
          <w:p>
            <w:r>
              <w:rPr>
                <w:rFonts w:ascii="Calibri" w:hAnsi="Calibri"/>
                <w:b/>
                <w:color w:val="0F4C81"/>
                <w:sz w:val="17"/>
              </w:rPr>
              <w:t>Verba Legis in Constitutional Law</w:t>
            </w:r>
          </w:p>
        </w:tc>
        <w:tc>
          <w:tcPr>
            <w:tcW w:type="dxa" w:w="6048"/>
            <w:shd w:fill="F7F9FA"/>
            <w:tcMar>
              <w:top w:w="70" w:type="dxa"/>
              <w:bottom w:w="70" w:type="dxa"/>
              <w:left w:w="90" w:type="dxa"/>
              <w:right w:w="90" w:type="dxa"/>
            </w:tcMar>
          </w:tcPr>
          <w:p>
            <w:r>
              <w:rPr>
                <w:rFonts w:ascii="Calibri" w:hAnsi="Calibri"/>
                <w:color w:val="212529"/>
                <w:sz w:val="17"/>
              </w:rPr>
              <w:t>Words of the Constitution are interpreted in their natural, ordinary, and commonly accepted meaning.</w:t>
            </w:r>
          </w:p>
        </w:tc>
      </w:tr>
      <w:tr>
        <w:tc>
          <w:tcPr>
            <w:tcW w:type="dxa" w:w="3312"/>
            <w:shd w:fill="FFFFFF"/>
            <w:tcMar>
              <w:top w:w="70" w:type="dxa"/>
              <w:bottom w:w="70" w:type="dxa"/>
              <w:left w:w="80" w:type="dxa"/>
              <w:right w:w="80" w:type="dxa"/>
            </w:tcMar>
          </w:tcPr>
          <w:p>
            <w:r>
              <w:rPr>
                <w:rFonts w:ascii="Calibri" w:hAnsi="Calibri"/>
                <w:b/>
                <w:color w:val="0F4C81"/>
                <w:sz w:val="17"/>
              </w:rPr>
              <w:t>Constitutional Intent via Deliberations</w:t>
            </w:r>
          </w:p>
        </w:tc>
        <w:tc>
          <w:tcPr>
            <w:tcW w:type="dxa" w:w="6048"/>
            <w:shd w:fill="FFFFFF"/>
            <w:tcMar>
              <w:top w:w="70" w:type="dxa"/>
              <w:bottom w:w="70" w:type="dxa"/>
              <w:left w:w="90" w:type="dxa"/>
              <w:right w:w="90" w:type="dxa"/>
            </w:tcMar>
          </w:tcPr>
          <w:p>
            <w:r>
              <w:rPr>
                <w:rFonts w:ascii="Calibri" w:hAnsi="Calibri"/>
                <w:color w:val="212529"/>
                <w:sz w:val="17"/>
              </w:rPr>
              <w:t>Records of the Constitutional Commission provide the conclusive intent of the framers.</w:t>
            </w:r>
          </w:p>
        </w:tc>
      </w:tr>
      <w:tr>
        <w:tc>
          <w:tcPr>
            <w:tcW w:type="dxa" w:w="3312"/>
            <w:shd w:fill="F7F9FA"/>
            <w:tcMar>
              <w:top w:w="70" w:type="dxa"/>
              <w:bottom w:w="70" w:type="dxa"/>
              <w:left w:w="80" w:type="dxa"/>
              <w:right w:w="80" w:type="dxa"/>
            </w:tcMar>
          </w:tcPr>
          <w:p>
            <w:r>
              <w:rPr>
                <w:rFonts w:ascii="Calibri" w:hAnsi="Calibri"/>
                <w:b/>
                <w:color w:val="0F4C81"/>
                <w:sz w:val="17"/>
              </w:rPr>
              <w:t>Judicial Review of Constitutional Boundaries</w:t>
            </w:r>
          </w:p>
        </w:tc>
        <w:tc>
          <w:tcPr>
            <w:tcW w:type="dxa" w:w="6048"/>
            <w:shd w:fill="F7F9FA"/>
            <w:tcMar>
              <w:top w:w="70" w:type="dxa"/>
              <w:bottom w:w="70" w:type="dxa"/>
              <w:left w:w="90" w:type="dxa"/>
              <w:right w:w="90" w:type="dxa"/>
            </w:tcMar>
          </w:tcPr>
          <w:p>
            <w:r>
              <w:rPr>
                <w:rFonts w:ascii="Calibri" w:hAnsi="Calibri"/>
                <w:color w:val="212529"/>
                <w:sz w:val="17"/>
              </w:rPr>
              <w:t>The Court has the duty to enforce constitutional limitations on legislative impeachment powers.</w:t>
            </w:r>
          </w:p>
        </w:tc>
      </w:tr>
    </w:tbl>
    <w:p>
      <w:pPr>
        <w:spacing w:after="160"/>
      </w:pPr>
    </w:p>
    <w:p>
      <w:pPr>
        <w:keepNext/>
        <w:spacing w:before="320" w:after="40"/>
      </w:pPr>
      <w:r>
        <w:rPr>
          <w:rFonts w:ascii="Calibri" w:hAnsi="Calibri"/>
          <w:b/>
          <w:color w:val="A30000"/>
          <w:sz w:val="26"/>
        </w:rPr>
        <w:t xml:space="preserve">CASE 19: </w:t>
      </w:r>
      <w:r>
        <w:rPr>
          <w:rFonts w:ascii="Calibri" w:hAnsi="Calibri"/>
          <w:b/>
          <w:color w:val="182B49"/>
          <w:sz w:val="26"/>
        </w:rPr>
        <w:t>De Castro v. Judicial and Bar Council</w:t>
      </w:r>
    </w:p>
    <w:p>
      <w:pPr>
        <w:keepNext/>
        <w:spacing w:before="0" w:after="80"/>
      </w:pPr>
      <w:r>
        <w:rPr>
          <w:rFonts w:ascii="Calibri" w:hAnsi="Calibri"/>
          <w:b/>
          <w:i/>
          <w:color w:val="0F4C81"/>
          <w:sz w:val="19"/>
        </w:rPr>
        <w:t>G.R. No. 191002, April 20, 2010 | 618 SCRA 639 | Ponente: Bersamin,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With the compulsory retirement of Chief Justice Reynato S. Puno on May 17, 2010 (seven days after the presidential election), petitioners questioned whether President Gloria Macapagal-Arroyo could appoint the next Chief Justice in light of Article VII, Section 15 of the 1987 Constitution, which prohibits the President from making appointments two months immediately before the next presidential elections and up to the end of his term (Midnight Appointments ban).</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the midnight appointments prohibition under Article VII, Section 15 applies to appointments to the Supreme Court governed by Article VIII, Section 4(1).</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NO. The constitutional ban on midnight appointments under Article VII applies exclusively to executive appointments and does not extend to vacancies in the Supreme Court.</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RULED that the President can appoint the successor Chief Justice, holding that the 90-day constitutional mandate to fill Supreme Court vacancies takes precedence.</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An apparent conflict existed between the general midnight appointments prohibition in the Executive Department article (Art. VII, Sec. 15) and the specific 90-day mandatory deadline to fill Supreme Court vacancies in the Judicial Department article (Art. VIII, Sec. 4[1]).</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prevent judicial vacancies and ensure the continuous, uninterrupted functioning of the Supreme Court.</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Generalia Specialibus Non Derogant &amp; Systematic Structural Construction: Specific constitutional provisions governing the Judiciary control over general provisions governing the Executive; the framers placed Section 15 specifically within Article VII.</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Constitutional layout and structure; Records of the 1986 Constitutional Commission; 90-day vacancy mandate under Article VIII, Section 4(1).</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Generalia Specialibus Non Derogant: </w:t>
      </w:r>
      <w:r>
        <w:rPr>
          <w:rFonts w:ascii="Calibri" w:hAnsi="Calibri"/>
          <w:color w:val="212529"/>
          <w:sz w:val="19"/>
        </w:rPr>
        <w:t>The specific 90-day judicial appointment mandate prevails over the general executive appointment restriction.</w:t>
      </w:r>
    </w:p>
    <w:p>
      <w:pPr>
        <w:pStyle w:val="ListBullet"/>
        <w:spacing w:before="0" w:after="40" w:line="276" w:lineRule="auto"/>
        <w:ind w:left="360"/>
      </w:pPr>
      <w:r>
        <w:rPr>
          <w:rFonts w:ascii="Calibri" w:hAnsi="Calibri"/>
          <w:b/>
          <w:color w:val="212529"/>
          <w:sz w:val="19"/>
        </w:rPr>
        <w:t xml:space="preserve">• Structural &amp; Systematic Construction: </w:t>
      </w:r>
      <w:r>
        <w:rPr>
          <w:rFonts w:ascii="Calibri" w:hAnsi="Calibri"/>
          <w:color w:val="212529"/>
          <w:sz w:val="19"/>
        </w:rPr>
        <w:t>The location of a section within a specific Article of the Constitution reveals its intended jurisdictional scope.</w:t>
      </w:r>
    </w:p>
    <w:p>
      <w:pPr>
        <w:pStyle w:val="ListBullet"/>
        <w:spacing w:before="0" w:after="40" w:line="276" w:lineRule="auto"/>
        <w:ind w:left="360"/>
      </w:pPr>
      <w:r>
        <w:rPr>
          <w:rFonts w:ascii="Calibri" w:hAnsi="Calibri"/>
          <w:b/>
          <w:color w:val="212529"/>
          <w:sz w:val="19"/>
        </w:rPr>
        <w:t xml:space="preserve">• Harmonization of Constitutional Provisions: </w:t>
      </w:r>
      <w:r>
        <w:rPr>
          <w:rFonts w:ascii="Calibri" w:hAnsi="Calibri"/>
          <w:color w:val="212529"/>
          <w:sz w:val="19"/>
        </w:rPr>
        <w:t>Reconciling distinct constitutional articles to preserve institutional stability.</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Article VII, Section 15 as an executive limitation that does not apply to the filling of Supreme Court vacancies mandated under Article VIII, Section 4(1).</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Generalia Specialibus Non Derogant &amp; Systematic Structural Construction: Specific constitutional provisions governing the Judiciary control over general provisions governing the Executive; the framers placed Section 15 specifically within Article VII.. Construction became imperative because An apparent conflict existed between the general midnight appointments prohibition in the Executive Department article (Art. VII, Sec. 15) and the specific 90-day mandatory deadline to fill Supreme Court vacancies in the Judicial Department article (Art. VIII, Sec. 4[1]). Under the maxim of Generalia Specialibus Non Derogant, the law dictates that The specific 90-day judicial appointment mandate prevails over the general executive appointment restriction. Under the maxim of Structural &amp; Systematic Construction, the law dictates that The location of a section within a specific Article of the Constitution reveals its intended jurisdictional scope. Under the maxim of Harmonization of Constitutional Provisions, the law dictates that Reconciling distinct constitutional articles to preserve institutional stability. In summary, The Court construed Article VII, Section 15 as an executive limitation that does not apply to the filling of Supreme Court vacancies mandated under Article VIII, Section 4(1).</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Generalia Specialibus Non Derogant &amp; Systematic Structural Construction: Specific constitutional provisions governing the Judiciary control over general provisions governing the Executive; the framers placed Section 15 specifically within Article VII.</w:t>
            </w:r>
          </w:p>
        </w:tc>
        <w:tc>
          <w:tcPr>
            <w:tcW w:type="dxa" w:w="6048"/>
            <w:shd w:fill="FFFFFF"/>
            <w:tcMar>
              <w:top w:w="70" w:type="dxa"/>
              <w:bottom w:w="70" w:type="dxa"/>
              <w:left w:w="90" w:type="dxa"/>
              <w:right w:w="90" w:type="dxa"/>
            </w:tcMar>
          </w:tcPr>
          <w:p>
            <w:r>
              <w:rPr>
                <w:rFonts w:ascii="Calibri" w:hAnsi="Calibri"/>
                <w:color w:val="212529"/>
                <w:sz w:val="17"/>
              </w:rPr>
              <w:t>To prevent judicial vacancies and ensure the continuous, uninterrupted functioning of the Supreme Court.</w:t>
            </w:r>
          </w:p>
        </w:tc>
      </w:tr>
      <w:tr>
        <w:tc>
          <w:tcPr>
            <w:tcW w:type="dxa" w:w="3312"/>
            <w:shd w:fill="F7F9FA"/>
            <w:tcMar>
              <w:top w:w="70" w:type="dxa"/>
              <w:bottom w:w="70" w:type="dxa"/>
              <w:left w:w="80" w:type="dxa"/>
              <w:right w:w="80" w:type="dxa"/>
            </w:tcMar>
          </w:tcPr>
          <w:p>
            <w:r>
              <w:rPr>
                <w:rFonts w:ascii="Calibri" w:hAnsi="Calibri"/>
                <w:b/>
                <w:color w:val="0F4C81"/>
                <w:sz w:val="17"/>
              </w:rPr>
              <w:t>Generalia Specialibus Non Derogant</w:t>
            </w:r>
          </w:p>
        </w:tc>
        <w:tc>
          <w:tcPr>
            <w:tcW w:type="dxa" w:w="6048"/>
            <w:shd w:fill="F7F9FA"/>
            <w:tcMar>
              <w:top w:w="70" w:type="dxa"/>
              <w:bottom w:w="70" w:type="dxa"/>
              <w:left w:w="90" w:type="dxa"/>
              <w:right w:w="90" w:type="dxa"/>
            </w:tcMar>
          </w:tcPr>
          <w:p>
            <w:r>
              <w:rPr>
                <w:rFonts w:ascii="Calibri" w:hAnsi="Calibri"/>
                <w:color w:val="212529"/>
                <w:sz w:val="17"/>
              </w:rPr>
              <w:t>The specific 90-day judicial appointment mandate prevails over the general executive appointment restriction.</w:t>
            </w:r>
          </w:p>
        </w:tc>
      </w:tr>
      <w:tr>
        <w:tc>
          <w:tcPr>
            <w:tcW w:type="dxa" w:w="3312"/>
            <w:shd w:fill="FFFFFF"/>
            <w:tcMar>
              <w:top w:w="70" w:type="dxa"/>
              <w:bottom w:w="70" w:type="dxa"/>
              <w:left w:w="80" w:type="dxa"/>
              <w:right w:w="80" w:type="dxa"/>
            </w:tcMar>
          </w:tcPr>
          <w:p>
            <w:r>
              <w:rPr>
                <w:rFonts w:ascii="Calibri" w:hAnsi="Calibri"/>
                <w:b/>
                <w:color w:val="0F4C81"/>
                <w:sz w:val="17"/>
              </w:rPr>
              <w:t>Structural &amp; Systematic Construction</w:t>
            </w:r>
          </w:p>
        </w:tc>
        <w:tc>
          <w:tcPr>
            <w:tcW w:type="dxa" w:w="6048"/>
            <w:shd w:fill="FFFFFF"/>
            <w:tcMar>
              <w:top w:w="70" w:type="dxa"/>
              <w:bottom w:w="70" w:type="dxa"/>
              <w:left w:w="90" w:type="dxa"/>
              <w:right w:w="90" w:type="dxa"/>
            </w:tcMar>
          </w:tcPr>
          <w:p>
            <w:r>
              <w:rPr>
                <w:rFonts w:ascii="Calibri" w:hAnsi="Calibri"/>
                <w:color w:val="212529"/>
                <w:sz w:val="17"/>
              </w:rPr>
              <w:t>The location of a section within a specific Article of the Constitution reveals its intended jurisdictional scope.</w:t>
            </w:r>
          </w:p>
        </w:tc>
      </w:tr>
      <w:tr>
        <w:tc>
          <w:tcPr>
            <w:tcW w:type="dxa" w:w="3312"/>
            <w:shd w:fill="F7F9FA"/>
            <w:tcMar>
              <w:top w:w="70" w:type="dxa"/>
              <w:bottom w:w="70" w:type="dxa"/>
              <w:left w:w="80" w:type="dxa"/>
              <w:right w:w="80" w:type="dxa"/>
            </w:tcMar>
          </w:tcPr>
          <w:p>
            <w:r>
              <w:rPr>
                <w:rFonts w:ascii="Calibri" w:hAnsi="Calibri"/>
                <w:b/>
                <w:color w:val="0F4C81"/>
                <w:sz w:val="17"/>
              </w:rPr>
              <w:t>Harmonization of Constitutional Provisions</w:t>
            </w:r>
          </w:p>
        </w:tc>
        <w:tc>
          <w:tcPr>
            <w:tcW w:type="dxa" w:w="6048"/>
            <w:shd w:fill="F7F9FA"/>
            <w:tcMar>
              <w:top w:w="70" w:type="dxa"/>
              <w:bottom w:w="70" w:type="dxa"/>
              <w:left w:w="90" w:type="dxa"/>
              <w:right w:w="90" w:type="dxa"/>
            </w:tcMar>
          </w:tcPr>
          <w:p>
            <w:r>
              <w:rPr>
                <w:rFonts w:ascii="Calibri" w:hAnsi="Calibri"/>
                <w:color w:val="212529"/>
                <w:sz w:val="17"/>
              </w:rPr>
              <w:t>Reconciling distinct constitutional articles to preserve institutional stability.</w:t>
            </w:r>
          </w:p>
        </w:tc>
      </w:tr>
    </w:tbl>
    <w:p>
      <w:pPr>
        <w:spacing w:after="160"/>
      </w:pPr>
    </w:p>
    <w:p>
      <w:pPr>
        <w:keepNext/>
        <w:spacing w:before="320" w:after="40"/>
      </w:pPr>
      <w:r>
        <w:rPr>
          <w:rFonts w:ascii="Calibri" w:hAnsi="Calibri"/>
          <w:b/>
          <w:color w:val="A30000"/>
          <w:sz w:val="26"/>
        </w:rPr>
        <w:t xml:space="preserve">CASE 20: </w:t>
      </w:r>
      <w:r>
        <w:rPr>
          <w:rFonts w:ascii="Calibri" w:hAnsi="Calibri"/>
          <w:b/>
          <w:color w:val="182B49"/>
          <w:sz w:val="26"/>
        </w:rPr>
        <w:t>Engle v. Commission on Elections</w:t>
      </w:r>
    </w:p>
    <w:p>
      <w:pPr>
        <w:keepNext/>
        <w:spacing w:before="0" w:after="80"/>
      </w:pPr>
      <w:r>
        <w:rPr>
          <w:rFonts w:ascii="Calibri" w:hAnsi="Calibri"/>
          <w:b/>
          <w:i/>
          <w:color w:val="0F4C81"/>
          <w:sz w:val="19"/>
        </w:rPr>
        <w:t>G.R. No. 215995, January 19, 2016 | 779 SCRA 355 | Ponente: Leonen, J.</w:t>
      </w:r>
    </w:p>
    <w:p>
      <w:pPr>
        <w:keepNext/>
        <w:spacing w:before="120" w:after="40"/>
      </w:pPr>
      <w:r>
        <w:rPr>
          <w:rFonts w:ascii="Calibri" w:hAnsi="Calibri"/>
          <w:b/>
          <w:color w:val="0F4C81"/>
          <w:sz w:val="21"/>
        </w:rPr>
        <w:t>I. SUBJECT MATTER &amp; PROVISION SCRUTINIZED</w:t>
      </w:r>
    </w:p>
    <w:p>
      <w:pPr>
        <w:pStyle w:val="ListBullet"/>
        <w:spacing w:before="0" w:after="40" w:line="276" w:lineRule="auto"/>
        <w:ind w:left="360"/>
      </w:pPr>
      <w:r>
        <w:rPr>
          <w:rFonts w:ascii="Calibri" w:hAnsi="Calibri"/>
          <w:b/>
          <w:color w:val="212529"/>
          <w:sz w:val="19"/>
        </w:rPr>
        <w:t xml:space="preserve">• Syllabus Classification: </w:t>
      </w:r>
      <w:r>
        <w:rPr>
          <w:rFonts w:ascii="Calibri" w:hAnsi="Calibri"/>
          <w:color w:val="212529"/>
          <w:sz w:val="19"/>
        </w:rPr>
      </w:r>
    </w:p>
    <w:p>
      <w:pPr>
        <w:pStyle w:val="ListBullet"/>
        <w:spacing w:before="0" w:after="40" w:line="276" w:lineRule="auto"/>
        <w:ind w:left="360"/>
      </w:pPr>
      <w:r>
        <w:rPr>
          <w:rFonts w:ascii="Calibri" w:hAnsi="Calibri"/>
          <w:b/>
          <w:color w:val="212529"/>
          <w:sz w:val="19"/>
        </w:rPr>
        <w:t xml:space="preserve">• Statutory Provision Scrutinized: </w:t>
      </w:r>
      <w:r>
        <w:rPr>
          <w:rFonts w:ascii="Calibri" w:hAnsi="Calibri"/>
          <w:color w:val="212529"/>
          <w:sz w:val="19"/>
        </w:rPr>
      </w:r>
    </w:p>
    <w:p>
      <w:pPr>
        <w:keepNext/>
        <w:spacing w:before="120" w:after="40"/>
      </w:pPr>
      <w:r>
        <w:rPr>
          <w:rFonts w:ascii="Calibri" w:hAnsi="Calibri"/>
          <w:b/>
          <w:color w:val="0F4C81"/>
          <w:sz w:val="21"/>
        </w:rPr>
        <w:t>II. FACTS OF THE CASE</w:t>
      </w:r>
    </w:p>
    <w:p>
      <w:pPr>
        <w:spacing w:before="0" w:after="60" w:line="276" w:lineRule="auto"/>
      </w:pPr>
      <w:r>
        <w:rPr>
          <w:rFonts w:ascii="Calibri" w:hAnsi="Calibri"/>
          <w:color w:val="212529"/>
          <w:sz w:val="20"/>
        </w:rPr>
        <w:t>James Engle filed a Certificate of Candidacy (COC) for Mayor of Babatngon, Leyte. After filing, he died. His wife, Maria Joyce Engle, filed a certificate of candidacy as substitute candidate for her deceased husband under Section 77 of the Omnibus Election Code. The COMELEC disqualified the wife on the ground that the deceased husband's COC had been previously subjected to a denial of due course due to alleged misrepresentation of residence.</w:t>
      </w:r>
    </w:p>
    <w:p>
      <w:pPr>
        <w:keepNext/>
        <w:spacing w:before="120" w:after="40"/>
      </w:pPr>
      <w:r>
        <w:rPr>
          <w:rFonts w:ascii="Calibri" w:hAnsi="Calibri"/>
          <w:b/>
          <w:color w:val="0F4C81"/>
          <w:sz w:val="21"/>
        </w:rPr>
        <w:t>III. ISSUE(S) ON STATUTORY CONSTRUCTION</w:t>
      </w:r>
    </w:p>
    <w:p>
      <w:pPr>
        <w:spacing w:before="0" w:after="60" w:line="276" w:lineRule="auto"/>
      </w:pPr>
      <w:r>
        <w:rPr>
          <w:rFonts w:ascii="Calibri" w:hAnsi="Calibri"/>
          <w:color w:val="212529"/>
          <w:sz w:val="20"/>
        </w:rPr>
        <w:t>Whether a valid substitution of a deceased candidate is permitted under Section 77 of the Omnibus Election Code when the deceased candidate's COC had not been cancelled by final judgment before death.</w:t>
      </w:r>
    </w:p>
    <w:p>
      <w:pPr>
        <w:keepNext/>
        <w:spacing w:before="120" w:after="40"/>
      </w:pPr>
      <w:r>
        <w:rPr>
          <w:rFonts w:ascii="Calibri" w:hAnsi="Calibri"/>
          <w:b/>
          <w:color w:val="0F4C81"/>
          <w:sz w:val="21"/>
        </w:rPr>
        <w:t>IV. COURT'S RULING &amp; DISPOSITION</w:t>
      </w:r>
    </w:p>
    <w:p>
      <w:pPr>
        <w:spacing w:before="0" w:after="60" w:line="276" w:lineRule="auto"/>
      </w:pPr>
      <w:r>
        <w:rPr>
          <w:rFonts w:ascii="Calibri" w:hAnsi="Calibri"/>
          <w:b/>
          <w:color w:val="212529"/>
          <w:sz w:val="20"/>
        </w:rPr>
        <w:t xml:space="preserve">ANSWER / RULING: </w:t>
      </w:r>
      <w:r>
        <w:rPr>
          <w:rFonts w:ascii="Calibri" w:hAnsi="Calibri"/>
          <w:color w:val="212529"/>
          <w:sz w:val="20"/>
        </w:rPr>
        <w:t>YES. Section 77 of the Omnibus Election Code allows candidate substitution upon death; election laws must be liberally construed to protect the sovereign will of the electorate.</w:t>
      </w:r>
    </w:p>
    <w:p>
      <w:pPr>
        <w:spacing w:before="0" w:after="60" w:line="276" w:lineRule="auto"/>
      </w:pPr>
      <w:r>
        <w:rPr>
          <w:rFonts w:ascii="Calibri" w:hAnsi="Calibri"/>
          <w:b/>
          <w:color w:val="212529"/>
          <w:sz w:val="20"/>
        </w:rPr>
        <w:t xml:space="preserve">DISPOSITIVE EFFECT: </w:t>
      </w:r>
      <w:r>
        <w:rPr>
          <w:rFonts w:ascii="Calibri" w:hAnsi="Calibri"/>
          <w:color w:val="212529"/>
          <w:sz w:val="20"/>
        </w:rPr>
        <w:t>The Supreme Court GRANTED the petition and ANNULLED the COMELEC resolutions disqualifying Maria Joyce Engle.</w:t>
      </w:r>
    </w:p>
    <w:p>
      <w:pPr>
        <w:keepNext/>
        <w:spacing w:before="120" w:after="40"/>
      </w:pPr>
      <w:r>
        <w:rPr>
          <w:rFonts w:ascii="Calibri" w:hAnsi="Calibri"/>
          <w:b/>
          <w:color w:val="0F4C81"/>
          <w:sz w:val="21"/>
        </w:rPr>
        <w:t>V. HOW THE COURT CONSTRUED THE LAW</w:t>
      </w:r>
    </w:p>
    <w:p>
      <w:pPr>
        <w:pStyle w:val="ListBullet"/>
        <w:spacing w:before="0" w:after="40" w:line="276" w:lineRule="auto"/>
        <w:ind w:left="360"/>
      </w:pPr>
      <w:r>
        <w:rPr>
          <w:rFonts w:ascii="Calibri" w:hAnsi="Calibri"/>
          <w:b/>
          <w:color w:val="212529"/>
          <w:sz w:val="19"/>
        </w:rPr>
        <w:t xml:space="preserve">1. Why Construction Was Necessary: </w:t>
      </w:r>
      <w:r>
        <w:rPr>
          <w:rFonts w:ascii="Calibri" w:hAnsi="Calibri"/>
          <w:color w:val="212529"/>
          <w:sz w:val="19"/>
        </w:rPr>
        <w:t>COMELEC applied a hyper-technical interpretation equating a pending disqualification petition with an automatic nullity of the COC upon death.</w:t>
      </w:r>
    </w:p>
    <w:p>
      <w:pPr>
        <w:pStyle w:val="ListBullet"/>
        <w:spacing w:before="0" w:after="40" w:line="276" w:lineRule="auto"/>
        <w:ind w:left="360"/>
      </w:pPr>
      <w:r>
        <w:rPr>
          <w:rFonts w:ascii="Calibri" w:hAnsi="Calibri"/>
          <w:b/>
          <w:color w:val="212529"/>
          <w:sz w:val="19"/>
        </w:rPr>
        <w:t xml:space="preserve">2. Purpose of Construction: </w:t>
      </w:r>
      <w:r>
        <w:rPr>
          <w:rFonts w:ascii="Calibri" w:hAnsi="Calibri"/>
          <w:color w:val="212529"/>
          <w:sz w:val="19"/>
        </w:rPr>
        <w:t>To give paramount effect to the democratic franchise and sovereign will of the voters (*Ratio Legis*).</w:t>
      </w:r>
    </w:p>
    <w:p>
      <w:pPr>
        <w:pStyle w:val="ListBullet"/>
        <w:spacing w:before="0" w:after="40" w:line="276" w:lineRule="auto"/>
        <w:ind w:left="360"/>
      </w:pPr>
      <w:r>
        <w:rPr>
          <w:rFonts w:ascii="Calibri" w:hAnsi="Calibri"/>
          <w:b/>
          <w:color w:val="212529"/>
          <w:sz w:val="19"/>
        </w:rPr>
        <w:t xml:space="preserve">3. Canon / Method Applied: </w:t>
      </w:r>
      <w:r>
        <w:rPr>
          <w:rFonts w:ascii="Calibri" w:hAnsi="Calibri"/>
          <w:color w:val="212529"/>
          <w:sz w:val="19"/>
        </w:rPr>
        <w:t>Liberal Construction of Election Laws: Election laws are construed liberally to give the electorate the widest possible opportunity to choose their public leaders, avoiding disenfranchisement through technicalities.</w:t>
      </w:r>
    </w:p>
    <w:p>
      <w:pPr>
        <w:pStyle w:val="ListBullet"/>
        <w:spacing w:before="0" w:after="40" w:line="276" w:lineRule="auto"/>
        <w:ind w:left="360"/>
      </w:pPr>
      <w:r>
        <w:rPr>
          <w:rFonts w:ascii="Calibri" w:hAnsi="Calibri"/>
          <w:b/>
          <w:color w:val="212529"/>
          <w:sz w:val="19"/>
        </w:rPr>
        <w:t xml:space="preserve">4. Extrinsic Aids / Other Sources Used: </w:t>
      </w:r>
      <w:r>
        <w:rPr>
          <w:rFonts w:ascii="Calibri" w:hAnsi="Calibri"/>
          <w:color w:val="212529"/>
          <w:sz w:val="19"/>
        </w:rPr>
        <w:t>Section 77, Omnibus Election Code (B.P. 881); constitutional democracy principles; Tagolino v. HRET.</w:t>
      </w:r>
    </w:p>
    <w:p>
      <w:pPr>
        <w:keepNext/>
        <w:spacing w:before="120" w:after="40"/>
      </w:pPr>
      <w:r>
        <w:rPr>
          <w:rFonts w:ascii="Calibri" w:hAnsi="Calibri"/>
          <w:b/>
          <w:color w:val="0F4C81"/>
          <w:sz w:val="21"/>
        </w:rPr>
        <w:t>VI. RELEVANT STATUTORY-CONSTRUCTION CONCEPTS APPLIED</w:t>
      </w:r>
    </w:p>
    <w:p>
      <w:pPr>
        <w:pStyle w:val="ListBullet"/>
        <w:spacing w:before="0" w:after="40" w:line="276" w:lineRule="auto"/>
        <w:ind w:left="360"/>
      </w:pPr>
      <w:r>
        <w:rPr>
          <w:rFonts w:ascii="Calibri" w:hAnsi="Calibri"/>
          <w:b/>
          <w:color w:val="212529"/>
          <w:sz w:val="19"/>
        </w:rPr>
        <w:t xml:space="preserve">• Liberal Construction of Election Laws: </w:t>
      </w:r>
      <w:r>
        <w:rPr>
          <w:rFonts w:ascii="Calibri" w:hAnsi="Calibri"/>
          <w:color w:val="212529"/>
          <w:sz w:val="19"/>
        </w:rPr>
        <w:t>Election statutes are interpreted liberally to uphold the democratic franchise of the voters.</w:t>
      </w:r>
    </w:p>
    <w:p>
      <w:pPr>
        <w:pStyle w:val="ListBullet"/>
        <w:spacing w:before="0" w:after="40" w:line="276" w:lineRule="auto"/>
        <w:ind w:left="360"/>
      </w:pPr>
      <w:r>
        <w:rPr>
          <w:rFonts w:ascii="Calibri" w:hAnsi="Calibri"/>
          <w:b/>
          <w:color w:val="212529"/>
          <w:sz w:val="19"/>
        </w:rPr>
        <w:t xml:space="preserve">• Presumption in Favor of Eligibility: </w:t>
      </w:r>
      <w:r>
        <w:rPr>
          <w:rFonts w:ascii="Calibri" w:hAnsi="Calibri"/>
          <w:color w:val="212529"/>
          <w:sz w:val="19"/>
        </w:rPr>
        <w:t>In case of doubt, the law favors eligibility and candidate substitution.</w:t>
      </w:r>
    </w:p>
    <w:p>
      <w:pPr>
        <w:pStyle w:val="ListBullet"/>
        <w:spacing w:before="0" w:after="40" w:line="276" w:lineRule="auto"/>
        <w:ind w:left="360"/>
      </w:pPr>
      <w:r>
        <w:rPr>
          <w:rFonts w:ascii="Calibri" w:hAnsi="Calibri"/>
          <w:b/>
          <w:color w:val="212529"/>
          <w:sz w:val="19"/>
        </w:rPr>
        <w:t xml:space="preserve">• Statutory Purpose Prevails over Technicalities: </w:t>
      </w:r>
      <w:r>
        <w:rPr>
          <w:rFonts w:ascii="Calibri" w:hAnsi="Calibri"/>
          <w:color w:val="212529"/>
          <w:sz w:val="19"/>
        </w:rPr>
        <w:t>Technical procedural defects should not defeat the substantive right of the people to vote.</w:t>
      </w:r>
    </w:p>
    <w:p>
      <w:pPr>
        <w:keepNext/>
        <w:spacing w:before="120" w:after="40"/>
      </w:pPr>
      <w:r>
        <w:rPr>
          <w:rFonts w:ascii="Calibri" w:hAnsi="Calibri"/>
          <w:b/>
          <w:color w:val="0F4C81"/>
          <w:sz w:val="21"/>
        </w:rPr>
        <w:t>VII. SUMMARY OF THE STATUTORY CONSTRUCTION MADE</w:t>
      </w:r>
    </w:p>
    <w:p>
      <w:pPr>
        <w:spacing w:before="0" w:after="60" w:line="276" w:lineRule="auto"/>
      </w:pPr>
      <w:r>
        <w:rPr>
          <w:rFonts w:ascii="Calibri" w:hAnsi="Calibri"/>
          <w:color w:val="212529"/>
          <w:sz w:val="20"/>
        </w:rPr>
        <w:t>The Court construed Section 77 of the Omnibus Election Code liberally, ruling that death before any final judgment cancelling a COC allows the timely substitution by the surviving spouse.</w:t>
      </w:r>
    </w:p>
    <w:p>
      <w:pPr>
        <w:keepNext/>
        <w:spacing w:before="120" w:after="40"/>
      </w:pPr>
      <w:r>
        <w:rPr>
          <w:rFonts w:ascii="Calibri" w:hAnsi="Calibri"/>
          <w:b/>
          <w:color w:val="0F4C81"/>
          <w:sz w:val="21"/>
        </w:rPr>
        <w:t>VIII. APPLICABLE CANONS OF CONSTRUCTION &amp; LEGAL MAXIMS:</w:t>
      </w:r>
    </w:p>
    <w:p>
      <w:pPr>
        <w:spacing w:before="0" w:after="60" w:line="276" w:lineRule="auto"/>
      </w:pPr>
      <w:r>
        <w:rPr>
          <w:rFonts w:ascii="Calibri" w:hAnsi="Calibri"/>
          <w:b/>
          <w:color w:val="212529"/>
          <w:sz w:val="20"/>
        </w:rPr>
        <w:t xml:space="preserve">Statutory Construction Synthesis &amp; Maxim Application: </w:t>
      </w:r>
      <w:r>
        <w:rPr>
          <w:rFonts w:ascii="Calibri" w:hAnsi="Calibri"/>
          <w:color w:val="212529"/>
          <w:sz w:val="20"/>
        </w:rPr>
        <w:t>In resolving the statutory ambiguity under  regarding , the Supreme Court rigorously applied the canon of Liberal Construction of Election Laws: Election laws are construed liberally to give the electorate the widest possible opportunity to choose their public leaders, avoiding disenfranchisement through technicalities.. Construction became imperative because COMELEC applied a hyper-technical interpretation equating a pending disqualification petition with an automatic nullity of the COC upon death. Under the maxim of Liberal Construction of Election Laws, the law dictates that Election statutes are interpreted liberally to uphold the democratic franchise of the voters. Under the maxim of Presumption in Favor of Eligibility, the law dictates that In case of doubt, the law favors eligibility and candidate substitution. Under the maxim of Statutory Purpose Prevails over Technicalities, the law dictates that Technical procedural defects should not defeat the substantive right of the people to vote. In summary, The Court construed Section 77 of the Omnibus Election Code liberally, ruling that death before any final judgment cancelling a COC allows the timely substitution by the surviving spouse.</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680"/>
        <w:gridCol w:w="4680"/>
      </w:tblGrid>
      <w:tr>
        <w:tc>
          <w:tcPr>
            <w:tcW w:type="dxa" w:w="3312"/>
            <w:shd w:fill="182B49"/>
            <w:tcMar>
              <w:top w:w="80" w:type="dxa"/>
              <w:bottom w:w="80" w:type="dxa"/>
              <w:left w:w="90" w:type="dxa"/>
              <w:right w:w="90" w:type="dxa"/>
            </w:tcMar>
          </w:tcPr>
          <w:p>
            <w:r>
              <w:rPr>
                <w:rFonts w:ascii="Calibri" w:hAnsi="Calibri"/>
                <w:b/>
                <w:color w:val="FFFFFF"/>
                <w:sz w:val="18"/>
              </w:rPr>
              <w:t>Canon of Construction / Maxim Involved</w:t>
            </w:r>
          </w:p>
        </w:tc>
        <w:tc>
          <w:tcPr>
            <w:tcW w:type="dxa" w:w="6048"/>
            <w:shd w:fill="182B49"/>
            <w:tcMar>
              <w:top w:w="80" w:type="dxa"/>
              <w:bottom w:w="80" w:type="dxa"/>
              <w:left w:w="90" w:type="dxa"/>
              <w:right w:w="90" w:type="dxa"/>
            </w:tcMar>
          </w:tcPr>
          <w:p>
            <w:r>
              <w:rPr>
                <w:rFonts w:ascii="Calibri" w:hAnsi="Calibri"/>
                <w:b/>
                <w:color w:val="FFFFFF"/>
                <w:sz w:val="18"/>
              </w:rPr>
              <w:t>Statutory Doctrine &amp; Case Application</w:t>
            </w:r>
          </w:p>
        </w:tc>
      </w:tr>
      <w:tr>
        <w:tc>
          <w:tcPr>
            <w:tcW w:type="dxa" w:w="3312"/>
            <w:shd w:fill="FFFFFF"/>
            <w:tcMar>
              <w:top w:w="70" w:type="dxa"/>
              <w:bottom w:w="70" w:type="dxa"/>
              <w:left w:w="80" w:type="dxa"/>
              <w:right w:w="80" w:type="dxa"/>
            </w:tcMar>
          </w:tcPr>
          <w:p>
            <w:r>
              <w:rPr>
                <w:rFonts w:ascii="Calibri" w:hAnsi="Calibri"/>
                <w:b/>
                <w:color w:val="0F4C81"/>
                <w:sz w:val="17"/>
              </w:rPr>
              <w:t>Liberal Construction of Election Laws: Election laws are construed liberally to give the electorate the widest possible opportunity to choose their public leaders, avoiding disenfranchisement through technicalities.</w:t>
            </w:r>
          </w:p>
        </w:tc>
        <w:tc>
          <w:tcPr>
            <w:tcW w:type="dxa" w:w="6048"/>
            <w:shd w:fill="FFFFFF"/>
            <w:tcMar>
              <w:top w:w="70" w:type="dxa"/>
              <w:bottom w:w="70" w:type="dxa"/>
              <w:left w:w="90" w:type="dxa"/>
              <w:right w:w="90" w:type="dxa"/>
            </w:tcMar>
          </w:tcPr>
          <w:p>
            <w:r>
              <w:rPr>
                <w:rFonts w:ascii="Calibri" w:hAnsi="Calibri"/>
                <w:color w:val="212529"/>
                <w:sz w:val="17"/>
              </w:rPr>
              <w:t>To give paramount effect to the democratic franchise and sovereign will of the voters (*Ratio Legis*).</w:t>
            </w:r>
          </w:p>
        </w:tc>
      </w:tr>
      <w:tr>
        <w:tc>
          <w:tcPr>
            <w:tcW w:type="dxa" w:w="3312"/>
            <w:shd w:fill="F7F9FA"/>
            <w:tcMar>
              <w:top w:w="70" w:type="dxa"/>
              <w:bottom w:w="70" w:type="dxa"/>
              <w:left w:w="80" w:type="dxa"/>
              <w:right w:w="80" w:type="dxa"/>
            </w:tcMar>
          </w:tcPr>
          <w:p>
            <w:r>
              <w:rPr>
                <w:rFonts w:ascii="Calibri" w:hAnsi="Calibri"/>
                <w:b/>
                <w:color w:val="0F4C81"/>
                <w:sz w:val="17"/>
              </w:rPr>
              <w:t>Liberal Construction of Election Laws</w:t>
            </w:r>
          </w:p>
        </w:tc>
        <w:tc>
          <w:tcPr>
            <w:tcW w:type="dxa" w:w="6048"/>
            <w:shd w:fill="F7F9FA"/>
            <w:tcMar>
              <w:top w:w="70" w:type="dxa"/>
              <w:bottom w:w="70" w:type="dxa"/>
              <w:left w:w="90" w:type="dxa"/>
              <w:right w:w="90" w:type="dxa"/>
            </w:tcMar>
          </w:tcPr>
          <w:p>
            <w:r>
              <w:rPr>
                <w:rFonts w:ascii="Calibri" w:hAnsi="Calibri"/>
                <w:color w:val="212529"/>
                <w:sz w:val="17"/>
              </w:rPr>
              <w:t>Election statutes are interpreted liberally to uphold the democratic franchise of the voters.</w:t>
            </w:r>
          </w:p>
        </w:tc>
      </w:tr>
      <w:tr>
        <w:tc>
          <w:tcPr>
            <w:tcW w:type="dxa" w:w="3312"/>
            <w:shd w:fill="FFFFFF"/>
            <w:tcMar>
              <w:top w:w="70" w:type="dxa"/>
              <w:bottom w:w="70" w:type="dxa"/>
              <w:left w:w="80" w:type="dxa"/>
              <w:right w:w="80" w:type="dxa"/>
            </w:tcMar>
          </w:tcPr>
          <w:p>
            <w:r>
              <w:rPr>
                <w:rFonts w:ascii="Calibri" w:hAnsi="Calibri"/>
                <w:b/>
                <w:color w:val="0F4C81"/>
                <w:sz w:val="17"/>
              </w:rPr>
              <w:t>Presumption in Favor of Eligibility</w:t>
            </w:r>
          </w:p>
        </w:tc>
        <w:tc>
          <w:tcPr>
            <w:tcW w:type="dxa" w:w="6048"/>
            <w:shd w:fill="FFFFFF"/>
            <w:tcMar>
              <w:top w:w="70" w:type="dxa"/>
              <w:bottom w:w="70" w:type="dxa"/>
              <w:left w:w="90" w:type="dxa"/>
              <w:right w:w="90" w:type="dxa"/>
            </w:tcMar>
          </w:tcPr>
          <w:p>
            <w:r>
              <w:rPr>
                <w:rFonts w:ascii="Calibri" w:hAnsi="Calibri"/>
                <w:color w:val="212529"/>
                <w:sz w:val="17"/>
              </w:rPr>
              <w:t>In case of doubt, the law favors eligibility and candidate substitution.</w:t>
            </w:r>
          </w:p>
        </w:tc>
      </w:tr>
      <w:tr>
        <w:tc>
          <w:tcPr>
            <w:tcW w:type="dxa" w:w="3312"/>
            <w:shd w:fill="F7F9FA"/>
            <w:tcMar>
              <w:top w:w="70" w:type="dxa"/>
              <w:bottom w:w="70" w:type="dxa"/>
              <w:left w:w="80" w:type="dxa"/>
              <w:right w:w="80" w:type="dxa"/>
            </w:tcMar>
          </w:tcPr>
          <w:p>
            <w:r>
              <w:rPr>
                <w:rFonts w:ascii="Calibri" w:hAnsi="Calibri"/>
                <w:b/>
                <w:color w:val="0F4C81"/>
                <w:sz w:val="17"/>
              </w:rPr>
              <w:t>Statutory Purpose Prevails over Technicalities</w:t>
            </w:r>
          </w:p>
        </w:tc>
        <w:tc>
          <w:tcPr>
            <w:tcW w:type="dxa" w:w="6048"/>
            <w:shd w:fill="F7F9FA"/>
            <w:tcMar>
              <w:top w:w="70" w:type="dxa"/>
              <w:bottom w:w="70" w:type="dxa"/>
              <w:left w:w="90" w:type="dxa"/>
              <w:right w:w="90" w:type="dxa"/>
            </w:tcMar>
          </w:tcPr>
          <w:p>
            <w:r>
              <w:rPr>
                <w:rFonts w:ascii="Calibri" w:hAnsi="Calibri"/>
                <w:color w:val="212529"/>
                <w:sz w:val="17"/>
              </w:rPr>
              <w:t>Technical procedural defects should not defeat the substantive right of the people to vote.</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MANILA LAW COLLEGE — Statutory Construction (StatCon)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Statutory Construction — Applied Case Digest Compendium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