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4"/>
              </w:rPr>
              <w:t>STATUTORY CONSTRUCTION COMPENDIUM: WEEK 7 CASE STUDIES</w:t>
              <w:br/>
            </w:r>
            <w:r>
              <w:rPr>
                <w:rFonts w:ascii="Arial" w:hAnsi="Arial"/>
                <w:i/>
                <w:color w:val="E6EBF5"/>
                <w:sz w:val="19"/>
              </w:rPr>
              <w:t>Chapters III, IV, V &amp; VI (Basic Guidelines, Aids to Construction, Words &amp; Phrases, Constitution &amp; Specific Statutes) | 12-Section Architecture</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III (Part 1)</w:t>
              <w:br/>
            </w:r>
            <w:r>
              <w:rPr>
                <w:rFonts w:ascii="Arial" w:hAnsi="Arial"/>
                <w:b/>
                <w:color w:val="FFFFFF"/>
                <w:sz w:val="24"/>
              </w:rPr>
              <w:t>BASIC GUIDELINES IN CONSTRUCTION: GENERAL GUIDELINES</w:t>
              <w:br/>
            </w:r>
            <w:r>
              <w:rPr>
                <w:rFonts w:ascii="Arial" w:hAnsi="Arial"/>
                <w:i/>
                <w:color w:val="D7E6FA"/>
                <w:sz w:val="19"/>
              </w:rPr>
              <w:t>Cases 1 to 11 | Legislative Intent, Plain Meaning, Nemo Tenetur, and Spirit of the Law</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Intention of Statute Must Prevail: Ratio legis est anima legis governs all interpretation</w:t>
            </w:r>
          </w:p>
          <w:p>
            <w:pPr>
              <w:spacing w:before="20" w:after="20"/>
            </w:pPr>
            <w:r>
              <w:rPr>
                <w:rFonts w:ascii="Calibri" w:hAnsi="Calibri"/>
                <w:color w:val="F0F5FF"/>
                <w:sz w:val="18"/>
              </w:rPr>
              <w:t>• • Legislative Intent from Text: Words are index of intention (Verba legis)</w:t>
            </w:r>
          </w:p>
          <w:p>
            <w:pPr>
              <w:spacing w:before="20" w:after="20"/>
            </w:pPr>
            <w:r>
              <w:rPr>
                <w:rFonts w:ascii="Calibri" w:hAnsi="Calibri"/>
                <w:color w:val="F0F5FF"/>
                <w:sz w:val="18"/>
              </w:rPr>
              <w:t>• • Verba Intentioni Non E Contra Debent Inservire: Words serve intention, not the reverse</w:t>
            </w:r>
          </w:p>
          <w:p>
            <w:pPr>
              <w:spacing w:before="20" w:after="20"/>
            </w:pPr>
            <w:r>
              <w:rPr>
                <w:rFonts w:ascii="Calibri" w:hAnsi="Calibri"/>
                <w:color w:val="F0F5FF"/>
                <w:sz w:val="18"/>
              </w:rPr>
              <w:t>• • Nemo Tenetur Ad Impossibile: The law requires no impossible compliance</w:t>
            </w:r>
          </w:p>
          <w:p>
            <w:pPr>
              <w:spacing w:before="20" w:after="20"/>
            </w:pPr>
            <w:r>
              <w:rPr>
                <w:rFonts w:ascii="Calibri" w:hAnsi="Calibri"/>
                <w:color w:val="F0F5FF"/>
                <w:sz w:val="18"/>
              </w:rPr>
              <w:t>• • Construction to Avoid Absurdity &amp; Injustice: Spirit of the law controls letter</w:t>
            </w:r>
          </w:p>
          <w:p>
            <w:pPr>
              <w:spacing w:before="20" w:after="20"/>
            </w:pPr>
            <w:r>
              <w:rPr>
                <w:rFonts w:ascii="Calibri" w:hAnsi="Calibri"/>
                <w:color w:val="F0F5FF"/>
                <w:sz w:val="18"/>
              </w:rPr>
              <w:t>• • Consideration of Statute as a Whole: Ex antecedentibus et consequentibus fit optima interpretatio</w:t>
            </w:r>
          </w:p>
        </w:tc>
      </w:tr>
    </w:tbl>
    <w:p>
      <w:pPr>
        <w:spacing w:before="120"/>
      </w:pPr>
    </w:p>
    <w:p>
      <w:pPr>
        <w:keepNext/>
        <w:spacing w:before="320" w:after="80"/>
      </w:pPr>
      <w:r>
        <w:rPr>
          <w:rFonts w:ascii="Arial" w:hAnsi="Arial"/>
          <w:b/>
          <w:color w:val="0F2043"/>
          <w:sz w:val="26"/>
        </w:rPr>
        <w:t>1. PHILIPPINE HEALTHCARE PROVIDERS, INC.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167330 | September 18, 2009 | 600 SCRA 413 | En Banc | Ponente: J. Corona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Healthcare Providers, Inc. (Maxicare)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regarding deficiency Documentary Stamp Tax (DST) assessment on Health Maintenance Organization (HMO) health care agreements.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Philippine Healthcare Providers, Inc. (operating Maxicare) is a domestic corporation engaged in providing prepaid medical and hospitalization services to enrolled members. In 2000, the CIR issued a formal assessment notice against Maxicare demanding deficiency Documentary Stamp Taxes (DST) for the taxable years 1996 and 1997 under Section 185 of the 1997 National Internal Revenue Code (NIRC), arguing that HMO agreements are contracts of insurance (fidelity and surety bonds, and policies of insurance). Maxicare protested, arguing that an HMO is not engaged in the insurance business but in the provision of healthcare services, and that tax statutes cannot be extended by implication.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Maxicare is an HMO that arranges doctor visits and hospital care for prepaid members. The Bureau of Internal Revenue (BIR) demanded millions in documentary stamp taxes, claiming that HMO membership cards and agreements are legally the same as life and health insurance policies. The Supreme Court ruled that HMO agreements are distinct health service contracts, not insurance policies, and tax laws cannot be stretched to tax something not clearly mentioned in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health care agreements of Health Maintenance Organizations (HMOs) are insurance contracts subject to Documentary Stamp Tax (DST) under Section 185 of the NIRC.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BIR impose documentary stamp tax on HMO health plans by treating them as insurance policies when the tax code does not clearly name HMOs?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health care agreements issued by HMOs are subject to Documentary Stamp Tax under the NIRC, testing the canon of strict construction of tax statutes (Strictissimi Juris)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Health care agreements of HMOs are NOT contracts of insurance within the contemplation of Section 185 of the NIRC and are NOT subject to DST. Tax statutes are strictly construed against the government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HMO agreements are for medical services, not insurance indemnity. Because tax laws must be strictly interpreted against the BIR, the government cannot invent a tax that Congress did not write.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HMO agreements are primarily service contracts for healthcare rather than insurance contracts of indemnity. Under Strictissimi Juris (strict interpretation of tax laws), tax statutes cannot be extended by implication."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185, National Internal Revenue Code (NIRC): </w:t>
            </w:r>
            <w:r>
              <w:rPr>
                <w:rFonts w:ascii="Calibri" w:hAnsi="Calibri"/>
                <w:color w:val="212529"/>
                <w:sz w:val="20"/>
              </w:rPr>
              <w:t>Imposes DST specifically on insurance policies, fidelity and surety bonds, but contains no mention of HMO agreements.</w:t>
            </w:r>
          </w:p>
          <w:p>
            <w:pPr>
              <w:spacing w:before="20" w:after="40" w:line="276" w:lineRule="auto"/>
            </w:pPr>
            <w:r>
              <w:rPr>
                <w:rFonts w:ascii="Calibri" w:hAnsi="Calibri"/>
                <w:b/>
                <w:color w:val="212529"/>
                <w:sz w:val="20"/>
              </w:rPr>
              <w:t xml:space="preserve">2. Strictissimi Juris (of the strictest interpretation) in Taxation: </w:t>
            </w:r>
            <w:r>
              <w:rPr>
                <w:rFonts w:ascii="Calibri" w:hAnsi="Calibri"/>
                <w:color w:val="212529"/>
                <w:sz w:val="20"/>
              </w:rPr>
              <w:t>Taxes are burdens that cannot be imposed unless the legislative intent to tax is clear and unambiguous.</w:t>
            </w:r>
          </w:p>
          <w:p>
            <w:pPr>
              <w:spacing w:before="20" w:after="40" w:line="276" w:lineRule="auto"/>
            </w:pPr>
            <w:r>
              <w:rPr>
                <w:rFonts w:ascii="Calibri" w:hAnsi="Calibri"/>
                <w:b/>
                <w:color w:val="212529"/>
                <w:sz w:val="20"/>
              </w:rPr>
              <w:t xml:space="preserve">3. Expressio Unius Est Exclusio Alterius (the express mention of one thing excludes all others): </w:t>
            </w:r>
            <w:r>
              <w:rPr>
                <w:rFonts w:ascii="Calibri" w:hAnsi="Calibri"/>
                <w:color w:val="212529"/>
                <w:sz w:val="20"/>
              </w:rPr>
              <w:t>Where the statute enumerates taxable insurance contracts, unlisted HMO agreements are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185 NIRC, Strictissimi Juris in tax law,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185 of the NIRC, governed by the canons of Strictissimi Juris in taxation and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HMO Business: </w:t>
            </w:r>
            <w:r>
              <w:rPr>
                <w:rFonts w:ascii="Calibri" w:hAnsi="Calibri"/>
                <w:color w:val="212529"/>
                <w:sz w:val="20"/>
              </w:rPr>
              <w:t>An HMO's primary undertaking is to arrange for medical services through accredited hospitals and doctors, not to indemnify for loss or assume financial risk like an insurance company.</w:t>
            </w:r>
          </w:p>
          <w:p>
            <w:pPr>
              <w:spacing w:before="20" w:after="40" w:line="276" w:lineRule="auto"/>
            </w:pPr>
            <w:r>
              <w:rPr>
                <w:rFonts w:ascii="Calibri" w:hAnsi="Calibri"/>
                <w:b/>
                <w:color w:val="212529"/>
                <w:sz w:val="20"/>
              </w:rPr>
              <w:t xml:space="preserve">2. Strict Construction of Tax Laws: </w:t>
            </w:r>
            <w:r>
              <w:rPr>
                <w:rFonts w:ascii="Calibri" w:hAnsi="Calibri"/>
                <w:color w:val="212529"/>
                <w:sz w:val="20"/>
              </w:rPr>
              <w:t>Taxes are never presumed. A statute will not be construed as imposing a tax unless its language clearly and expressly so provides. Doubts must be resolved strictly against the taxing authority.</w:t>
            </w:r>
          </w:p>
          <w:p>
            <w:pPr>
              <w:spacing w:before="20" w:after="40" w:line="276" w:lineRule="auto"/>
            </w:pPr>
            <w:r>
              <w:rPr>
                <w:rFonts w:ascii="Calibri" w:hAnsi="Calibri"/>
                <w:b/>
                <w:color w:val="212529"/>
                <w:sz w:val="20"/>
              </w:rPr>
              <w:t xml:space="preserve">3. Legislative Exclusion: </w:t>
            </w:r>
            <w:r>
              <w:rPr>
                <w:rFonts w:ascii="Calibri" w:hAnsi="Calibri"/>
                <w:color w:val="212529"/>
                <w:sz w:val="20"/>
              </w:rPr>
              <w:t>The legislature did not include HMO health agreements under Section 185. The BIR cannot expand the scope of a tax statute through administrative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what HMOs actually do: they arrange medical care rather than pool insurance risks. Because Congress did not include HMOs in the DST list, the BIR cannot add them by implication.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analyzed the primary purpose of HMOs as healthcare providers, distinguishing them from insurance underwriters. Applying strict tax construction, the Court held that the BIR cannot expand the reach of DST to entities not specified in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decision, CANCELLED the DST deficiency assessments against Philippine Healthcare Providers, Inc., and declared HMO health care agreements exempt from DST under Section 185 NIRC.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assessment was cancelled and Maxicare was declared exempt from DST.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and held HMO contracts exempt from DST based on strict construction of tax statutes."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a. Intention of the Statute Must Prevail (HMO VAT/DST Exemption)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law/interpretation.</w:t>
              <w:br/>
            </w:r>
            <w:r>
              <w:rPr>
                <w:rFonts w:ascii="Calibri" w:hAnsi="Calibri"/>
                <w:b/>
                <w:color w:val="212529"/>
                <w:sz w:val="19"/>
              </w:rPr>
              <w:t xml:space="preserve">   • Plain Legal Meaning &amp; StatCon Application: </w:t>
            </w:r>
            <w:r>
              <w:rPr>
                <w:rFonts w:ascii="Calibri" w:hAnsi="Calibri"/>
                <w:color w:val="212529"/>
                <w:sz w:val="19"/>
              </w:rPr>
              <w:t>Tax statutes are construed strictissimi juris against the government and liberally in favor of the taxpayer.</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taxable insurance policies excludes unmentioned HMO service agreements.</w:t>
            </w:r>
          </w:p>
          <w:p>
            <w:pPr>
              <w:spacing w:before="40" w:after="60" w:line="276" w:lineRule="auto"/>
            </w:pPr>
            <w:r>
              <w:rPr>
                <w:rFonts w:ascii="Calibri" w:hAnsi="Calibri"/>
                <w:b/>
                <w:color w:val="8C3200"/>
                <w:sz w:val="20"/>
              </w:rPr>
              <w:t>3.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distinctions, courts must make none.</w:t>
              <w:br/>
            </w:r>
            <w:r>
              <w:rPr>
                <w:rFonts w:ascii="Calibri" w:hAnsi="Calibri"/>
                <w:b/>
                <w:color w:val="212529"/>
                <w:sz w:val="19"/>
              </w:rPr>
              <w:t xml:space="preserve">   • Plain Legal Meaning &amp; StatCon Application: </w:t>
            </w:r>
            <w:r>
              <w:rPr>
                <w:rFonts w:ascii="Calibri" w:hAnsi="Calibri"/>
                <w:color w:val="212529"/>
                <w:sz w:val="19"/>
              </w:rPr>
              <w:t>Judicial interpretation cannot insert distinctions or categories not found in the tax code.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a. Intention of the Statute Must Prevail (HMO VAT/DST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burdens must be expressly authorized by the clear letter of the statute)</w:t>
              <w:br/>
              <w:br/>
              <w:t>Secondary:</w:t>
              <w:br/>
              <w:t>• Expressio unius est exclusio alterius (the express mention of one thing excludes another)</w:t>
              <w:br/>
              <w:t>• Ubi lex non distinguit (where the law does not distinguish)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violated the rule of strict construction of tax statutes by stretching the definition of insurance policies to cover HMO service agreements.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Revenue Laws: In dubio pro tributario (in doubt, rule in favor of the taxpayer); tax burdens cannot be extended beyond the express terms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Taxes cannot be imposed by guesswork or stretching definitions; if the statute does not explicitly name it, it cannot be taxed.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Philippine Healthcare Providers establishes that tax statutes are strictly construed against the State—administrative agencies cannot expand tax liability by implication."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Healthcare Providers, Inc.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167330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18,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Philippine Healthcare Providers, Inc. (operating Maxicare) is a domestic corporation engaged in providing prepaid medical and hospitalization services to enrolled members. In 2000, the CIR issued a formal assessment notice against Maxicare demanding deficiency Documentary Stamp Taxes (DST) for the taxable years 1996 and 1997 under Section 185 of the 1997 National Internal Revenue Code (NIRC), arguing that HMO agreements are contracts of insurance (fidelity and surety bonds, and policies of insurance). Maxicare protested, arguing that an HMO is not engaged in the insurance business but in the provision of healthcare services, and that tax statutes cannot be extended by implication.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185, National Internal Revenue Code (NIRC): Imposes DST specifically on insurance policies, fidelity and surety bonds, but contains no mention of HMO agreements.</w:t>
              <w:br/>
              <w:t>2. Strictissimi Juris (of the strictest interpretation) in Taxation: Taxes are burdens that cannot be imposed unless the legislative intent to tax is clear and unambiguous.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violated the rule of strict construction of tax statutes by stretching the definition of insurance policies to cover HMO service agreements.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health care agreements of Health Maintenance Organizations (HMOs) are insurance contracts subject to Documentary Stamp Tax (DST) under Section 185 of the NIRC.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Healthcare Providers, Inc. v. Commissioner of Internal Revenue,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185, National Internal Revenue Code (NIRC): Imposes DST specifically on insurance policies, fidelity and surety bonds, but contains no mention of HMO agreements.</w:t>
              <w:br/>
              <w:t>2. Strictissimi Juris (of the strictest interpretation) in Taxation: Taxes are burdens that cannot be imposed unless the legislative intent to tax is clear and unambiguous.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violated the rule of strict construction of tax statutes by stretching the definition of insurance policies to c...</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decision, CANCELLED the DST deficiency assessments against Philippine Healthcare Providers, Inc., and declared HMO health care agreements exempt from DST under Section 185 NIRC.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Health care agreements of HMOs are NOT contracts of insurance within the contemplation of Section 185 of the NIRC and are NOT subject to DST. Tax statutes are strictly construed against the government and liberally in favor of the taxpayer.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violated the rule of strict construction of tax statutes by stretching the definition of insurance policies to cover HMO service agr.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Revenue Laws: In dubio pro tributario (in doubt, rule in favor of the taxpayer); tax burdens cannot be extended beyond the express terms of the statute.</w:t>
              <w:br/>
              <w:t xml:space="preserve">   - Result: No. HMO agreements are for medical services, not insurance indemnity. Because tax laws must be strictly interpreted against the BIR, the government cannot invent a tax that Congress did not write.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(the express mention of one thing excludes another)</w:t>
              <w:br/>
              <w:t>• Ubi lex non distinguit (where the law does not distinguish)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Healthcare Providers, Inc. v. Commissioner of Internal Revenue to mean and apply strictly in accordance with Strictissimi juris, holding that No. HMO agreements are for medical services, not insurance indemnity. Because tax laws must be strictly interpreted against the BIR, the government cannot inven.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what HMOs actually do: they arrange medical care rather than pool insurance risks. Because Congress did not include HMOs in the DST list, the BIR cannot add them by implication.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Revenue Laws: In dubio pro tributario (in doubt, rule in favor of the taxpayer); tax burdens cannot be extended beyond the express terms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Taxes cannot be imposed by guesswork or stretching definitions; if the statute does not explicitly name it, it cannot be taxed.</w:t>
            </w:r>
          </w:p>
        </w:tc>
      </w:tr>
    </w:tbl>
    <w:p>
      <w:r>
        <w:br w:type="page"/>
      </w:r>
    </w:p>
    <w:p>
      <w:pPr>
        <w:keepNext/>
        <w:spacing w:before="320" w:after="80"/>
      </w:pPr>
      <w:r>
        <w:rPr>
          <w:rFonts w:ascii="Arial" w:hAnsi="Arial"/>
          <w:b/>
          <w:color w:val="0F2043"/>
          <w:sz w:val="26"/>
        </w:rPr>
        <w:t>2. SOCORRO D. RAMIREZ V. COURT OF APPEALS AND ESTER S. GARCIA</w:t>
      </w:r>
    </w:p>
    <w:p>
      <w:pPr>
        <w:spacing w:before="40" w:after="80" w:line="276" w:lineRule="auto"/>
      </w:pPr>
      <w:r>
        <w:rPr>
          <w:rFonts w:ascii="Calibri" w:hAnsi="Calibri"/>
          <w:b/>
          <w:color w:val="212529"/>
          <w:sz w:val="21"/>
        </w:rPr>
        <w:t xml:space="preserve">Citation: </w:t>
      </w:r>
      <w:r>
        <w:rPr>
          <w:rFonts w:ascii="Calibri" w:hAnsi="Calibri"/>
          <w:i/>
          <w:color w:val="212529"/>
          <w:sz w:val="21"/>
        </w:rPr>
        <w:t>G.R. No. 93833 | September 25, 1995 | 248 SCRA 590 | Second Division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Socorro D. Ramirez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Ester S. Garcia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80)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criminal prosecution under Republic Act No. 4200 (Anti-Wiretapping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Socorro Ramirez filed a civil action for damages against Ester Garcia for alleged insults and offensive remarks. To support her case, Ramirez secretly tape-recorded a heated confrontation inside Garcia's office without Garcia's consent. Upon discovering the secret recording, Garcia filed a criminal complaint against Ramirez for violation of Republic Act No. 4200 (Anti-Wiretapping Act). Ramirez moved to quash the information, arguing that RA 4200 penalizes only third-party eavesdroppers, not a party who is an active participant in the private conversation.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woman secretly recorded an argument with her boss inside an office. When she used the recording in court, her boss filed criminal charges under the Anti-Wiretapping Law. The woman argued the law only applies to third-party spies and wiretappers, not to a person who is part of the conversation. The Supreme Court held that the law plainly says 'any person' and makes no exception for participants.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Republic Act No. 4200 (The Anti-Wiretapping Act) applies to a party to a private conversation who secretly records it without the consent of all parties.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Anti-Wiretapping Law apply to a participant in a conversation who secretly records the other person without permission?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'any person' in Section 1 of RA 4200 applies to a participant in a private conversation, testing the canon of Verba Legis (the words of the law) and Ubi lex non distinguit nec nos distinguere debemus (where the law does not distinguish, we should not distinguish)."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1 of RA 4200 applies to ANY PERSON, including a participant in the conversation. The statutory phrase 'any person' is absolute and admits of no judicial qualification.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clearly says 'any person' who records a private conversation without consent of all parties commits a crime. Because the law did not make an exception for participants, the court cannot create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Verba Legis (the words of the law) and Ubi lex non distinguit (where the law does not distinguish, we should not distinguish), RA 4200 penalizes 'any person' who secretly records a private conversation without the consent of all participants, even if that person is a party to the conversation."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Republic Act No. 4200 (Anti-Wiretapping Act): </w:t>
            </w:r>
            <w:r>
              <w:rPr>
                <w:rFonts w:ascii="Calibri" w:hAnsi="Calibri"/>
                <w:color w:val="212529"/>
                <w:sz w:val="20"/>
              </w:rPr>
              <w:t>Provides that it shall be unlawful for any person, not being authorized by all the parties to any private communication, to secretly record such communication.</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When the statutory language is plain and unambiguous, it must be given its literal meaning.</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RA 4200 does not distinguish between a third-party snooper and a participant, courts must not distinguish.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of RA 4200, Verba Legis, and Ubi lex non distinguit nec nos distinguere debemus.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RA 4200, guided by Verba legis non est recedendum (from the words of the statute there should be no departure) and Ubi lex non distinguit nec nos distinguere debemus (where the law does not distinguish, we should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Text: </w:t>
            </w:r>
            <w:r>
              <w:rPr>
                <w:rFonts w:ascii="Calibri" w:hAnsi="Calibri"/>
                <w:color w:val="212529"/>
                <w:sz w:val="20"/>
              </w:rPr>
              <w:t>Section 1 clearly makes it unlawful for 'any person' not authorized by 'all the parties' to record a private communication. The word 'all' implies that every party must give consent.</w:t>
            </w:r>
          </w:p>
          <w:p>
            <w:pPr>
              <w:spacing w:before="20" w:after="40" w:line="276" w:lineRule="auto"/>
            </w:pPr>
            <w:r>
              <w:rPr>
                <w:rFonts w:ascii="Calibri" w:hAnsi="Calibri"/>
                <w:b/>
                <w:color w:val="212529"/>
                <w:sz w:val="20"/>
              </w:rPr>
              <w:t xml:space="preserve">2. Legislative Deliberations: </w:t>
            </w:r>
            <w:r>
              <w:rPr>
                <w:rFonts w:ascii="Calibri" w:hAnsi="Calibri"/>
                <w:color w:val="212529"/>
                <w:sz w:val="20"/>
              </w:rPr>
              <w:t>Congressional records show that Senator Tañada expressly intended to protect the complete privacy of communication against unauthorized recordings by anyone, including participants.</w:t>
            </w:r>
          </w:p>
          <w:p>
            <w:pPr>
              <w:spacing w:before="20" w:after="40" w:line="276" w:lineRule="auto"/>
            </w:pPr>
            <w:r>
              <w:rPr>
                <w:rFonts w:ascii="Calibri" w:hAnsi="Calibri"/>
                <w:b/>
                <w:color w:val="212529"/>
                <w:sz w:val="20"/>
              </w:rPr>
              <w:t xml:space="preserve">3. Prohibition Against Judicial Legislation: </w:t>
            </w:r>
            <w:r>
              <w:rPr>
                <w:rFonts w:ascii="Calibri" w:hAnsi="Calibri"/>
                <w:color w:val="212529"/>
                <w:sz w:val="20"/>
              </w:rPr>
              <w:t>Exempting conversation participants would be an act of judicial legislation, inserting an exception that Congress deliberately withheld.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statute says 'any person' and requires consent of 'all parties'. If one person secretly records without the other's consent, the statute is breached. The court cannot add exceptions that Congress left 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Ubi Lex Non Distinguit. The statute clearly protects private conversations from unauthorized recording by 'any person'. The Court affirmed that where the law does not distinguish, judges cannot create exemptions."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Court of Appeals decision, holding that the criminal information against Socorro Ramirez for violation of RA 4200 was valid and properly charged.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secret recording was held to be illegal under the Anti-Wiretapping Law, and the criminal case against the recorder was allowed to proceed.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validity of the criminal charge, holding that secretly recording a private conversation without consent of all parties violates RA 4200."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b. Legislative Intent from Plain Language (Anti-Wiretapping RA 4200)</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does not distinguish, we ought not to distinguish.</w:t>
              <w:br/>
            </w:r>
            <w:r>
              <w:rPr>
                <w:rFonts w:ascii="Calibri" w:hAnsi="Calibri"/>
                <w:b/>
                <w:color w:val="212529"/>
                <w:sz w:val="19"/>
              </w:rPr>
              <w:t xml:space="preserve">   • Plain Legal Meaning &amp; StatCon Application: </w:t>
            </w:r>
            <w:r>
              <w:rPr>
                <w:rFonts w:ascii="Calibri" w:hAnsi="Calibri"/>
                <w:color w:val="212529"/>
                <w:sz w:val="19"/>
              </w:rPr>
              <w:t>The term 'any person' in RA 4200 applies to everyone without distinction between third parties and participants.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Plain statutory words must be given their direct literal effect.</w:t>
            </w:r>
          </w:p>
          <w:p>
            <w:pPr>
              <w:spacing w:before="40" w:after="60" w:line="276" w:lineRule="auto"/>
            </w:pPr>
            <w:r>
              <w:rPr>
                <w:rFonts w:ascii="Calibri" w:hAnsi="Calibri"/>
                <w:b/>
                <w:color w:val="8C3200"/>
                <w:sz w:val="20"/>
              </w:rPr>
              <w:t>3. Index animi sermo est (speech is the index of the mind)</w:t>
              <w:br/>
            </w:r>
            <w:r>
              <w:rPr>
                <w:rFonts w:ascii="Calibri" w:hAnsi="Calibri"/>
                <w:b/>
                <w:color w:val="212529"/>
                <w:sz w:val="19"/>
              </w:rPr>
              <w:t xml:space="preserve">   • Literal English Translation: </w:t>
            </w:r>
            <w:r>
              <w:rPr>
                <w:rFonts w:ascii="Calibri" w:hAnsi="Calibri"/>
                <w:i/>
                <w:color w:val="212529"/>
                <w:sz w:val="19"/>
              </w:rPr>
              <w:t>Language is the indicator of legislative intent.</w:t>
              <w:br/>
            </w:r>
            <w:r>
              <w:rPr>
                <w:rFonts w:ascii="Calibri" w:hAnsi="Calibri"/>
                <w:b/>
                <w:color w:val="212529"/>
                <w:sz w:val="19"/>
              </w:rPr>
              <w:t xml:space="preserve">   • Plain Legal Meaning &amp; StatCon Application: </w:t>
            </w:r>
            <w:r>
              <w:rPr>
                <w:rFonts w:ascii="Calibri" w:hAnsi="Calibri"/>
                <w:color w:val="212529"/>
                <w:sz w:val="19"/>
              </w:rPr>
              <w:t>The clear words of RA 4200 reveal the absolute legislative intent to protect conversational privacy.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b. Legislative Intent from Plain Language (Anti-Wiretapping RA 4200)</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'any person' includes participants in private conversations)</w:t>
              <w:br/>
              <w:br/>
              <w:t>Secondary:</w:t>
              <w:br/>
              <w:t>• Verba legis non est recedendum (from the words of the statute there should be no departure)</w:t>
              <w:br/>
              <w:t>• Index animi sermo est (speech is the index of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attempted to read an unwritten exception into RA 4200 by claiming that participants to conversations are excluded from 'any person'.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General Terms: When a statute employs broad, comprehensive language ('any person') without qualification, courts must apply it universally.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uses a universal word like 'anyone' without exceptions, courts cannot create an exception for a specific person.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Ramirez v. CA is the textbook example of Ubi lex non distinguit: 'any person' under the Anti-Wiretapping Act covers everyone, including parties to the conversation."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Socorro D. Ramirez v. Court of Appeals and Ester S. Garcia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93833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25,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Socorro Ramirez filed a civil action for damages against Ester Garcia for alleged insults and offensive remarks. To support her case, Ramirez secretly tape-recorded a heated confrontation inside Garcia's office without Garcia's consent. Upon discovering the secret recording, Garcia filed a criminal complaint against Ramirez for violation of Republic Act No. 4200 (Anti-Wiretapping Act). Ramirez moved to quash the information, arguing that RA 4200 penalizes only third-party eavesdroppers, not a party who is an active participant in the private conversation.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Republic Act No. 4200 (Anti-Wiretapping Act): Provides that it shall be unlawful for any person, not being authorized by all the parties to any private communication, to secretly record such communication.</w:t>
              <w:br/>
              <w:t>2. Verba Legis Non Est Recedendum (from the words of the statute there should be no departure): When the statutory language is plain and unambiguous, it must be given its literal meaning.</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attempted to read an unwritten exception into RA 4200 by claiming that participants to conversations are excluded from 'any person'.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Republic Act No. 4200 (The Anti-Wiretapping Act) applies to a party to a private conversation who secretly records it without the consent of all parties.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Socorro D. Ramirez v. Court of Appeals and Ester S. Garcia,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Republic Act No. 4200 (Anti-Wiretapping Act): Provides that it shall be unlawful for any person, not being authorized by all the parties to any private communication, to secretly record such communication.</w:t>
              <w:br/>
              <w:t>2. Verba Legis Non Est Recedendum (from the words of the statute there should be no departure): When the statutory language is plain and unambiguous, it must be given its literal meaning.</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Court of Appeals decision, holding that the criminal information against Socorro Ramirez for violation of RA 4200 was valid and properly charged.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1 of RA 4200 applies to ANY PERSON, including a participant in the conversation. The statutory phrase 'any person' is absolute and admits of no judicial qualification.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attempted to read an unwritten exception into RA 4200 by claiming that participants to conversations are excluded from 'any perso.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General Terms: When a statute employs broad, comprehensive language ('any person') without qualification, courts must apply it universally.</w:t>
              <w:br/>
              <w:t xml:space="preserve">   - Result: Yes. The law clearly says 'any person' who records a private conversation without consent of all parties commits a crime. Because the law did not make an exception for participants, the court cannot create 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Index animi sermo est (speech is the index of legislative intent)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Socorro D. Ramirez v. Court of Appeals and Ester S. Garcia to mean and apply strictly in accordance with Ubi lex non distinguit, nec nos distinguere debemus, holding that Yes. The law clearly says 'any person' who records a private conversation without consent of all parties commits a crime. Because the law did not make an except.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statute says 'any person' and requires consent of 'all parties'. If one person secretly records without the other's consent, the statute is breached. The court cannot add exceptions that Congress left out.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General Terms: When a statute employs broad, comprehensive language ('any person') without qualification, courts must apply it universally.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uses a universal word like 'anyone' without exceptions, courts cannot create an exception for a specific person.</w:t>
            </w:r>
          </w:p>
        </w:tc>
      </w:tr>
    </w:tbl>
    <w:p>
      <w:r>
        <w:br w:type="page"/>
      </w:r>
    </w:p>
    <w:p>
      <w:pPr>
        <w:keepNext/>
        <w:spacing w:before="320" w:after="80"/>
      </w:pPr>
      <w:r>
        <w:rPr>
          <w:rFonts w:ascii="Arial" w:hAnsi="Arial"/>
          <w:b/>
          <w:color w:val="0F2043"/>
          <w:sz w:val="26"/>
        </w:rPr>
        <w:t>3. ANA TORRES V. JOSE LIMJAP</w:t>
      </w:r>
    </w:p>
    <w:p>
      <w:pPr>
        <w:spacing w:before="40" w:after="80" w:line="276" w:lineRule="auto"/>
      </w:pPr>
      <w:r>
        <w:rPr>
          <w:rFonts w:ascii="Calibri" w:hAnsi="Calibri"/>
          <w:b/>
          <w:color w:val="212529"/>
          <w:sz w:val="21"/>
        </w:rPr>
        <w:t xml:space="preserve">Citation: </w:t>
      </w:r>
      <w:r>
        <w:rPr>
          <w:rFonts w:ascii="Calibri" w:hAnsi="Calibri"/>
          <w:i/>
          <w:color w:val="212529"/>
          <w:sz w:val="21"/>
        </w:rPr>
        <w:t>G.R. No. 34385-86 | September 21, 1931 | 56 Phil. 141 | En Banc | Ponente: J. Johnson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Ana Torres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Jose Limjap (Defendant-Appellant)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Action for recovery of possession and foreclosure of chattel mortgages on pharmacy merchandise stocks.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Torres held chattel mortgages over two drugstores owned by Limjap. The mortgage deeds contained a stipulation that the mortgages would cover not only the existing drug stocks but also all subsequent merchandise and drug inventory that Limjap would acquire and place in the stores to replenish sales. When Limjap defaulted, Torres moved to foreclose on all stocks, including after-acquired goods. Limjap argued that under Section 7 of Act No. 1508 (The Chattel Mortgage Law), a chattel mortgage cannot cover after-acquired properties and is strictly limited to properties owned at the time of mortgage execution.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pharmacy owner mortgaged his drugstores and agreed that newly bought medicine stocks would also be covered by the mortgage. Later, he refused to surrender the new stocks, claiming the Chattel Mortgage Law literally prohibits mortgaging future property. The Supreme Court held that the law must be interpreted reasonably to reflect commercial reality: in rotating retail stores, mortgages on fluctuating inventory are valid to fulfill the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chattel mortgage covering fluctuating retail inventory and after-acquired replenishing goods is valid under Act No. 1508.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chattel mortgage cover newly purchased store stocks that replace sold inventory, despite the literal wording of Section 7 of the Chattel Mortgage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 No. 1508 permits a chattel mortgage over replenishing store inventory, testing whether the Spirit and Intention of the Law prevails over its literal letter (Ratio Legis Est Anima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chattel mortgage over after-acquired replenishing merchandise in a drugstore business is VALID. Legislative intent and commercial necessity prevail over a rigid, literal reading of Section 7.</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was intended to support commercial transactions. In retail businesses where goods are sold and replaced daily, forbidding mortgages on new stock would kill commerce, defeating the purpose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Ratio legis est anima legis (the reason of the law is the soul of the law), the Supreme Court held that Act No. 1508 must be construed to give effect to commercial reality and legislative intent, sustaining the validity of mortgages on replenishing inventory."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 Act No. 1508 (The Chattel Mortgage Law): </w:t>
            </w:r>
            <w:r>
              <w:rPr>
                <w:rFonts w:ascii="Calibri" w:hAnsi="Calibri"/>
                <w:color w:val="212529"/>
                <w:sz w:val="20"/>
              </w:rPr>
              <w:t>General rule requiring specific description of mortgaged property, construed alongside commercial usage.</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Statutes must be interpreted in light of the practical mischief they were designed to address.</w:t>
            </w:r>
          </w:p>
          <w:p>
            <w:pPr>
              <w:spacing w:before="20" w:after="40" w:line="276" w:lineRule="auto"/>
            </w:pPr>
            <w:r>
              <w:rPr>
                <w:rFonts w:ascii="Calibri" w:hAnsi="Calibri"/>
                <w:b/>
                <w:color w:val="212529"/>
                <w:sz w:val="20"/>
              </w:rPr>
              <w:t xml:space="preserve">3. Cessante Ratione Legis, Cessat Ipsa Lex (when the reason of the law ceases, the law itself ceases): </w:t>
            </w:r>
            <w:r>
              <w:rPr>
                <w:rFonts w:ascii="Calibri" w:hAnsi="Calibri"/>
                <w:color w:val="212529"/>
                <w:sz w:val="20"/>
              </w:rPr>
              <w:t>The prohibition against mortgaging future goods does not apply where inventory replacement is essential to the business.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 Act No. 1508, Ratio Legis Est Anima Legis, and commercial necessity.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Act No. 1508, harmonized through Ratio legis est anima legis (the reason of the law is the soul of the law) and Cessante ratione legis cessat ipsa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Purpose of Chattel Mortgage Law: </w:t>
            </w:r>
            <w:r>
              <w:rPr>
                <w:rFonts w:ascii="Calibri" w:hAnsi="Calibri"/>
                <w:color w:val="212529"/>
                <w:sz w:val="20"/>
              </w:rPr>
              <w:t>The statute was designed to facilitate credit for commercial enterprises, not to cripple mercantile operations by rendering retail inventory unmortgageable.</w:t>
            </w:r>
          </w:p>
          <w:p>
            <w:pPr>
              <w:spacing w:before="20" w:after="40" w:line="276" w:lineRule="auto"/>
            </w:pPr>
            <w:r>
              <w:rPr>
                <w:rFonts w:ascii="Calibri" w:hAnsi="Calibri"/>
                <w:b/>
                <w:color w:val="212529"/>
                <w:sz w:val="20"/>
              </w:rPr>
              <w:t xml:space="preserve">2. Distinction Between Ordinary Goods and Retail Stock: </w:t>
            </w:r>
            <w:r>
              <w:rPr>
                <w:rFonts w:ascii="Calibri" w:hAnsi="Calibri"/>
                <w:color w:val="212529"/>
                <w:sz w:val="20"/>
              </w:rPr>
              <w:t>In a drugstore, merchandise is bought specifically to be sold and immediately replenished. The covenant to cover new stock simply maintains the original security value.</w:t>
            </w:r>
          </w:p>
          <w:p>
            <w:pPr>
              <w:spacing w:before="20" w:after="40" w:line="276" w:lineRule="auto"/>
            </w:pPr>
            <w:r>
              <w:rPr>
                <w:rFonts w:ascii="Calibri" w:hAnsi="Calibri"/>
                <w:b/>
                <w:color w:val="212529"/>
                <w:sz w:val="20"/>
              </w:rPr>
              <w:t xml:space="preserve">3. Spirit Prevails Over Letter: </w:t>
            </w:r>
            <w:r>
              <w:rPr>
                <w:rFonts w:ascii="Calibri" w:hAnsi="Calibri"/>
                <w:color w:val="212529"/>
                <w:sz w:val="20"/>
              </w:rPr>
              <w:t>A statute must not be given a literal interpretation that leads to commercial paralysis or defeats the very purpose of the legislation.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retail drugstore must sell and restock goods daily. If the mortgage only attached to the first batch of medicines, the lender would lose all security once sold. To carry out the true purpose of the credit law, the court upheld the mortgage over replacement stock.</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Ratio Legis. A rigid literal reading of Act No. 1508 would destroy mercantile credit for retail businesses. The Court held that the intention of the lawgiver to foster business credit must prevail over the strict letter."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judgment in favor of Ana Torres, sustaining the foreclosure over the after-acquired drugstore merchandise.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mortgage on the replacement drugstore stocks was declared valid and enforceable.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foreclosure, validating chattel mortgages over replenishing inventory under the spirit and purpose of Act No. 1508."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c. Verba Intentioni Non E Contra Debent Inservire (Chattel Mortgage Act)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commercial purpose of Act No. 1508 to facilitate business credit governs over its rigid literal terms.</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should serve the intention, not intention the words.</w:t>
              <w:br/>
            </w:r>
            <w:r>
              <w:rPr>
                <w:rFonts w:ascii="Calibri" w:hAnsi="Calibri"/>
                <w:b/>
                <w:color w:val="212529"/>
                <w:sz w:val="19"/>
              </w:rPr>
              <w:t xml:space="preserve">   • Plain Legal Meaning &amp; StatCon Application: </w:t>
            </w:r>
            <w:r>
              <w:rPr>
                <w:rFonts w:ascii="Calibri" w:hAnsi="Calibri"/>
                <w:color w:val="212529"/>
                <w:sz w:val="19"/>
              </w:rPr>
              <w:t>Statutory words must bend to accomplish the core legislative objective.</w:t>
            </w:r>
          </w:p>
          <w:p>
            <w:pPr>
              <w:spacing w:before="40" w:after="60" w:line="276" w:lineRule="auto"/>
            </w:pPr>
            <w:r>
              <w:rPr>
                <w:rFonts w:ascii="Calibri" w:hAnsi="Calibri"/>
                <w:b/>
                <w:color w:val="8C3200"/>
                <w:sz w:val="20"/>
              </w:rPr>
              <w:t>3.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for a law ceases, the law itself ceases.</w:t>
              <w:br/>
            </w:r>
            <w:r>
              <w:rPr>
                <w:rFonts w:ascii="Calibri" w:hAnsi="Calibri"/>
                <w:b/>
                <w:color w:val="212529"/>
                <w:sz w:val="19"/>
              </w:rPr>
              <w:t xml:space="preserve">   • Plain Legal Meaning &amp; StatCon Application: </w:t>
            </w:r>
            <w:r>
              <w:rPr>
                <w:rFonts w:ascii="Calibri" w:hAnsi="Calibri"/>
                <w:color w:val="212529"/>
                <w:sz w:val="19"/>
              </w:rPr>
              <w:t>The prohibition against mortgaging future goods has no reason to apply in rotating retail stock.</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c. Verba Intentioni Non E Contra Debent Inservire (Chattel Mortgage Act)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commercial intent of Chattel Mortgage Law overrides literalism)</w:t>
              <w:br/>
              <w:br/>
              <w:t>Secondary:</w:t>
              <w:br/>
              <w:t>• Verba intentioni non e contra debent inservire (words must serve the intent)</w:t>
              <w:br/>
              <w:t>• Cessante ratione legis cessat ipsa lex (when the reason ceases, the law ceases)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debtor attempted to use a literal interpretation of Section 7 to defeat his own contractual agreement and the commercial purpose of the Chattel Mortgage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Purposive Commercial Construction: Commercial statutes must be interpreted flexibly to advance commerce and fulfill legislative intent rather than stifle trade.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must be interpreted according to their true purpose and reason, not in a rigid way that destroys practical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Torres v. Limjap establishes that the spirit and purpose of a commercial statute prevail over its literal letter—Ratio legis est anima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Ana Torres v. Jose Limjap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34385-86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21, 1931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Torres held chattel mortgages over two drugstores owned by Limjap. The mortgage deeds contained a stipulation that the mortgages would cover not only the existing drug stocks but also all subsequent merchandise and drug inventory that Limjap would acquire and place in the stores to replenish sales. When Limjap defaulted, Torres moved to foreclose on all stocks, including after-acquired goods. Limjap argued that under Section 7 of Act No. 1508 (The Chattel Mortgage Law), a chattel mortgage cannot cover after-acquired properties and is strictly limited to properties owned at the time of mortgage execution.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 Act No. 1508 (The Chattel Mortgage Law): General rule requiring specific description of mortgaged property, construed alongside commercial usage.</w:t>
              <w:br/>
              <w:t>2. Ratio Legis Est Anima Legis (the reason of the law is the soul of the law): Statutes must be interpreted in light of the practical mischief they were designed to address.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debtor attempted to use a literal interpretation of Section 7 to defeat his own contractual agreement and the commercial purpose of the Chattel Mortgage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chattel mortgage covering fluctuating retail inventory and after-acquired replenishing goods is valid under Act No. 1508.</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Ana Torres v. Jose Limjap,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 Act No. 1508 (The Chattel Mortgage Law): General rule requiring specific description of mortgaged property, construed alongside commercial usage.</w:t>
              <w:br/>
              <w:t>2. Ratio Legis Est Anima Legis (the reason of the law is the soul of the law): Statutes must be interpreted in light of the practical mischief they were designed to address.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debtor attempted to use a literal interpretation of Section 7 to defeat his own contractual agreement and the commer...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judgment in favor of Ana Torres, sustaining the foreclosure over the after-acquired drugstore merchandise.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chattel mortgage over after-acquired replenishing merchandise in a drugstore business is VALID. Legislative intent and commercial necessity prevail over a rigid, literal reading of Section 7.</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debtor attempted to use a literal interpretation of Section 7 to defeat his own contractual agreement and the commercial purpose of the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Purposive Commercial Construction: Commercial statutes must be interpreted flexibly to advance commerce and fulfill legislative intent rather than stifle trade.</w:t>
              <w:br/>
              <w:t xml:space="preserve">   - Result: Yes. The law was intended to support commercial transactions. In retail businesses where goods are sold and replaced daily, forbidding mortgages on new stock would kill commerce, defeating the purpose of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intentioni non e contra debent inservire (words must serve the intent)</w:t>
              <w:br/>
              <w:t>• Cessante ratione legis cessat ipsa lex (when the reason ceases, the law ceases)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Ana Torres v. Jose Limjap to mean and apply strictly in accordance with Ratio legis est anima legis, holding that Yes. The law was intended to support commercial transactions. In retail businesses where goods are sold and replaced daily, forbidding mortgages on new stock wo.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retail drugstore must sell and restock goods daily. If the mortgage only attached to the first batch of medicines, the lender would lose all security once sold. To carry out the true purpose of the credit law, the court upheld the mortgage over replacement stock.</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Purposive Commercial Construction: Commercial statutes must be interpreted flexibly to advance commerce and fulfill legislative intent rather than stifle trade.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must be interpreted according to their true purpose and reason, not in a rigid way that destroys practical business.</w:t>
            </w:r>
          </w:p>
        </w:tc>
      </w:tr>
    </w:tbl>
    <w:p>
      <w:r>
        <w:br w:type="page"/>
      </w:r>
    </w:p>
    <w:p>
      <w:pPr>
        <w:keepNext/>
        <w:spacing w:before="320" w:after="80"/>
      </w:pPr>
      <w:r>
        <w:rPr>
          <w:rFonts w:ascii="Arial" w:hAnsi="Arial"/>
          <w:b/>
          <w:color w:val="0F2043"/>
          <w:sz w:val="26"/>
        </w:rPr>
        <w:t>4. JUAN LLORIN, JR. V. COURT OF APPEALS AND MAXIMO MALICSI</w:t>
      </w:r>
    </w:p>
    <w:p>
      <w:pPr>
        <w:spacing w:before="40" w:after="80" w:line="276" w:lineRule="auto"/>
      </w:pPr>
      <w:r>
        <w:rPr>
          <w:rFonts w:ascii="Calibri" w:hAnsi="Calibri"/>
          <w:b/>
          <w:color w:val="212529"/>
          <w:sz w:val="21"/>
        </w:rPr>
        <w:t xml:space="preserve">Citation: </w:t>
      </w:r>
      <w:r>
        <w:rPr>
          <w:rFonts w:ascii="Calibri" w:hAnsi="Calibri"/>
          <w:i/>
          <w:color w:val="212529"/>
          <w:sz w:val="21"/>
        </w:rPr>
        <w:t>G.R. No. 103592 | February 4, 1993 | 218 SCRA 436 | Third Division | Ponente: J. Bidin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 Llorin,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Maximo Malicsi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Metropolitan Trial Court of Manila (Branch 27) / Regional Trial Court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jurisdictional requirement of Barangay conciliation under Presidential Decree No. 1508 (Katarungang Pambarangay Law).</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Juan Llorin filed an ejectment complaint against his tenant Maximo Malicsi before the MTC of Manila. Malicsi moved to dismiss the complaint on the ground of non-compliance with P.D. No. 1508 (Katarungang Pambarangay Law), because the confrontation before the Lupon Tagapayapa occurred before the Barangay Captain of a neighboring barangay rather than the exact barangay where the leased property was situated. Llorin showed that both parties voluntarily appeared and participated in multiple mediation sessions before the Barangay Captain without objection, but failed to reach an amicable settlement, leading to the issuance of a Certification to File Action.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landlord sued to evict a tenant after both tried and failed to settle their dispute before a barangay captain. In court, the tenant asked to dismiss the case because they went to the neighboring barangay hall instead of the exact barangay where the house stood. The Supreme Court ruled that since the parties actively tried to settle, the spirit of the Katarungang Pambarangay Law was fully satisfied, and procedural technicalities cannot derail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ejectment suit should be dismissed for lack of jurisdiction due to technical venue defect under P.D. No. 1508 despite actual conciliation proceedings.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Should a case be dismissed because the parties held their barangay settlement talks in the wrong barangay hall even though they fully participated in mediation?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substantial compliance with the conciliation process satisfies PD 1508, testing whether the Spirit and Purpose of the Law prevails over strict literal technicalities (Ratio Legis /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suit should NOT be dismissed. The primary objective of P.D. No. 1508 is to encourage amicable settlement of disputes at the community level. Since the parties actually underwent mediation and failed to settle, the purpose of the law was achieved.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main goal of the Barangay law is to make neighbors talk and try to settle. Because they actually did talk and could not agree, the purpose of the law was fulfilled. Technical venue errors were waived by their active participation.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procedural rules under PD 1508 are designed to promote amicable settlement. Where the parties actually participated in conciliation, the spirit and purpose of the law have been satisfied, and procedural technicalities cannot defeat substantive justice."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1508 (Katarungang Pambarangay Law): </w:t>
            </w:r>
            <w:r>
              <w:rPr>
                <w:rFonts w:ascii="Calibri" w:hAnsi="Calibri"/>
                <w:color w:val="212529"/>
                <w:sz w:val="20"/>
              </w:rPr>
              <w:t>Mandates conciliation as a condition precedent to filing court actions to unclog court dockets.</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core aim is dispute settlement, not procedural trapping.</w:t>
            </w:r>
          </w:p>
          <w:p>
            <w:pPr>
              <w:spacing w:before="20" w:after="40" w:line="276" w:lineRule="auto"/>
            </w:pPr>
            <w:r>
              <w:rPr>
                <w:rFonts w:ascii="Calibri" w:hAnsi="Calibri"/>
                <w:b/>
                <w:color w:val="212529"/>
                <w:sz w:val="20"/>
              </w:rPr>
              <w:t xml:space="preserve">3. Doctrine of Substantial Compliance: </w:t>
            </w:r>
            <w:r>
              <w:rPr>
                <w:rFonts w:ascii="Calibri" w:hAnsi="Calibri"/>
                <w:color w:val="212529"/>
                <w:sz w:val="20"/>
              </w:rPr>
              <w:t>Substantial fulfillment of statutory purpose cures technical irregularities where no substantial rights are prejudiced.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1508, Ratio Legis Est Anima Legis, and the Doctrine of Substantial Compliance.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1508, interpreted under Ratio legis est anima legis (the reason of the law is the soul of the law) and the doctrine of substantial compliance."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Katarungang Pambarangay Law: </w:t>
            </w:r>
            <w:r>
              <w:rPr>
                <w:rFonts w:ascii="Calibri" w:hAnsi="Calibri"/>
                <w:color w:val="212529"/>
                <w:sz w:val="20"/>
              </w:rPr>
              <w:t>The law was enacted to promote peaceful settlement and relieve court congestion, not to create rigid technical traps for litigants.</w:t>
            </w:r>
          </w:p>
          <w:p>
            <w:pPr>
              <w:spacing w:before="20" w:after="40" w:line="276" w:lineRule="auto"/>
            </w:pPr>
            <w:r>
              <w:rPr>
                <w:rFonts w:ascii="Calibri" w:hAnsi="Calibri"/>
                <w:b/>
                <w:color w:val="212529"/>
                <w:sz w:val="20"/>
              </w:rPr>
              <w:t xml:space="preserve">2. Waiver of Venue: </w:t>
            </w:r>
            <w:r>
              <w:rPr>
                <w:rFonts w:ascii="Calibri" w:hAnsi="Calibri"/>
                <w:color w:val="212529"/>
                <w:sz w:val="20"/>
              </w:rPr>
              <w:t>Venue in barangay conciliation is non-jurisdictional and waivable. By participating without protest in the mediation proceedings, the tenant waived any defect in venue.</w:t>
            </w:r>
          </w:p>
          <w:p>
            <w:pPr>
              <w:spacing w:before="20" w:after="40" w:line="276" w:lineRule="auto"/>
            </w:pPr>
            <w:r>
              <w:rPr>
                <w:rFonts w:ascii="Calibri" w:hAnsi="Calibri"/>
                <w:b/>
                <w:color w:val="212529"/>
                <w:sz w:val="20"/>
              </w:rPr>
              <w:t xml:space="preserve">3. Subordination of Form to Substance: </w:t>
            </w:r>
            <w:r>
              <w:rPr>
                <w:rFonts w:ascii="Calibri" w:hAnsi="Calibri"/>
                <w:color w:val="212529"/>
                <w:sz w:val="20"/>
              </w:rPr>
              <w:t>Courts must not exalt technical procedural rules above the substantial fulfillment of statutory objectives.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the true reason behind the law: helping parties settle before going to court. Since both parties spent time in mediation and could not settle, forcing them to redo the talks in a different barangay hall would be a useless formality.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principle that the spirit of the law dominates over the letter. Since the actual conciliation purpose was achieved, the procedural defect was deemed waived and substantial justice was upheld."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Court of Appeals dismissal, and ORDERED the trial court to proceed with the ejectment case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ejectment case was allowed to proceed to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holding that substantial compliance with barangay conciliation satisfies the statutory objective of PD 1508."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d. Statute Must Be Capable of Interpretation (Rent Control Law BP 877)</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statutory intent to foster mediation controls over rigid geographic venue boundaries.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conciliation rules must be construed to give effect to actual mediation rather than nullify proceedings.</w:t>
            </w:r>
          </w:p>
          <w:p>
            <w:pPr>
              <w:spacing w:before="40" w:after="60" w:line="276" w:lineRule="auto"/>
            </w:pPr>
            <w:r>
              <w:rPr>
                <w:rFonts w:ascii="Calibri" w:hAnsi="Calibri"/>
                <w:b/>
                <w:color w:val="8C3200"/>
                <w:sz w:val="20"/>
              </w:rPr>
              <w:t>3.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Substantial attainment of statutory purpose overrides formal procedural defects.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d. Statute Must Be Capable of Interpretation (Rent Control Law BP 877)</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fulfillment of mediation purpose overrules formal venue defects)</w:t>
              <w:br/>
              <w:br/>
              <w:t>Secondary:</w:t>
              <w:br/>
              <w:t>• Ut res magis valeat quam pereat (construction to make the law effective)</w:t>
              <w:br/>
              <w:t>• Substantia praevalet formae (substance over form)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error by prioritizing literal venue rules over the actual fulfillment of the statutory conciliation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Substantial Compliance Doctrine: Where the fundamental policy objective of a statute has been achieved in substance, technical defects of form will not be allowed to defeat the action.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goal and spirit of a law matter more than empty procedural technicalities when the real purpose of the law has already been achieved.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Llorin v. CA demonstrates that in procedural statutory construction, the spirit and purpose of the statute prevail over literal formalisms—substance prevails over form."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 Llorin, Jr. v. Court of Appeals and Maximo Malicsi</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103592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4,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Juan Llorin filed an ejectment complaint against his tenant Maximo Malicsi before the MTC of Manila. Malicsi moved to dismiss the complaint on the ground of non-compliance with P.D. No. 1508 (Katarungang Pambarangay Law), because the confrontation before the Lupon Tagapayapa occurred before the Barangay Captain of a neighboring barangay rather than the exact barangay where the leased property was situated. Llorin showed that both parties voluntarily appeared and participated in multiple mediation sessions before the Barangay Captain without objection, but failed to reach an amicable settlement, leading to the issuance of a Certification to File Action.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1508 (Katarungang Pambarangay Law): Mandates conciliation as a condition precedent to filing court actions to unclog court dockets.</w:t>
              <w:br/>
              <w:t>2. Ratio Legis Est Anima Legis (the reason of the law is the soul of the law): The core aim is dispute settlement, not procedural trapping.</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error by prioritizing literal venue rules over the actual fulfillment of the statutory conciliation purpose.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ejectment suit should be dismissed for lack of jurisdiction due to technical venue defect under P.D. No. 1508 despite actual conciliation proceedings.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 Llorin, Jr. v. Court of Appeals and Maximo Malicsi,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1508 (Katarungang Pambarangay Law): Mandates conciliation as a condition precedent to filing court actions to unclog court dockets.</w:t>
              <w:br/>
              <w:t>2. Ratio Legis Est Anima Legis (the reason of the law is the soul of the law): The core aim is dispute settlement, not procedural trapping.</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error by prioritizing literal venue rules over the actual fulfillment of the statutory con...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Court of Appeals dismissal, and ORDERED the trial court to proceed with the ejectment case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suit should NOT be dismissed. The primary objective of P.D. No. 1508 is to encourage amicable settlement of disputes at the community level. Since the parties actually underwent mediation and failed to settle, the purpose of the law was achieved.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appellate court committed error by prioritizing literal venue rules over the actual fulfillment of the statutory conciliation purpose..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Substantial Compliance Doctrine: Where the fundamental policy objective of a statute has been achieved in substance, technical defects of form will not be allowed to defeat the action.</w:t>
              <w:br/>
              <w:t xml:space="preserve">   - Result: No. The main goal of the Barangay law is to make neighbors talk and try to settle. Because they actually did talk and could not agree, the purpose of the law was fulfilled. Technical venue errors were waived by their active participation.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make the law effective)</w:t>
              <w:br/>
              <w:t>• Substantia praevalet formae (substance over form)</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 Llorin, Jr. v. Court of Appeals and Maximo Malicsi to mean and apply strictly in accordance with Ratio legis est anima legis, holding that No. The main goal of the Barangay law is to make neighbors talk and try to settle. Because they actually did talk and could not agree, the purpose of the law wa.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the true reason behind the law: helping parties settle before going to court. Since both parties spent time in mediation and could not settle, forcing them to redo the talks in a different barangay hall would be a useless formality.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Substantial Compliance Doctrine: Where the fundamental policy objective of a statute has been achieved in substance, technical defects of form will not be allowed to defeat the action.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goal and spirit of a law matter more than empty procedural technicalities when the real purpose of the law has already been achieved.</w:t>
            </w:r>
          </w:p>
        </w:tc>
      </w:tr>
    </w:tbl>
    <w:p>
      <w:r>
        <w:br w:type="page"/>
      </w:r>
    </w:p>
    <w:p>
      <w:pPr>
        <w:keepNext/>
        <w:spacing w:before="320" w:after="80"/>
      </w:pPr>
      <w:r>
        <w:rPr>
          <w:rFonts w:ascii="Arial" w:hAnsi="Arial"/>
          <w:b/>
          <w:color w:val="0F2043"/>
          <w:sz w:val="26"/>
        </w:rPr>
        <w:t>5. MUNICIPALITY OF NUEVA ERA, ILOCOS NORTE V. MUNICIPALITY OF MARCOS, ILOCOS NORTE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169435 | February 27, 2008 | 546 SCRA 708 | First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Municipality of Nueva Era, Ilocos Norte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Municipality of Marcos, Ilocos Norte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Laoag City (Branch 14)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municipal boundary dispute and interpretation of legislative charter Republic Act No. 3753.</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1963, Congress enacted Republic Act No. 3753 creating the Municipality of Marcos out of specified named barrios of the Municipality of Dingras, Ilocos Norte. Years later, a boundary dispute arose between the Municipality of Marcos and the neighboring Municipality of Nueva Era over a 7,935-hectare unclassified forest tract. Marcos claimed that its eastern boundary extended to Mount Burnay within Nueva Era's ancestral domain, relying on general boundary descriptions in its charter. Nueva Era countered that its territory was never mentioned in RA 3753, which created Marcos solely from the barrios of Dingras, and invoked Casus Omissus.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a law creating the new town of Marcos entirely out of specific villages taken from the town of Dingras. Years later, Marcos claimed land belonging to the town of Nueva Era, arguing the boundary lines pointed that way. The Supreme Court ruled that because the legislative charter never mentioned taking any land from Nueva Era, courts cannot add Nueva Era's territory into the charter of Marcos.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legislative charter (R.A. No. 3753) creating the Municipality of Marcos included any portion of the territorial jurisdiction of the Municipality of Nueva Era.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town claim land from a neighbor when the legislative law creating the town only mentions taking land from a completely different municipality?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3753 intended to include territory from Nueva Era in creating the Municipality of Marcos, testing the canon of Casus Omissus Pro Omisso Habendus Est (a person, object or thing omitted from an enumeration must be held to have been omitted intentionally)."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R.A. No. 3753 did NOT include any territory from Nueva Era. Under the doctrine of Casus Omissus, an omission from the statutory text must be held intentional, and courts cannot supply omitted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creating Marcos specifically named only Dingras as the source of its territory. Since Nueva Era was omitted from the statute, the omission was intentional and courts cannot supply what Congress omitted.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Casus omissus pro omisso habendus est (a person, object, or thing omitted must be held to be intentionally omitted), since RA 3753 expressly named only Dingras, territory from Nueva Era cannot be included by judicial interpretation."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3753 (Charter of Municipality of Marcos): </w:t>
            </w:r>
            <w:r>
              <w:rPr>
                <w:rFonts w:ascii="Calibri" w:hAnsi="Calibri"/>
                <w:color w:val="212529"/>
                <w:sz w:val="20"/>
              </w:rPr>
              <w:t>Expressly states that the municipality is created from barrios separated from the Municipality of Dingras.</w:t>
            </w:r>
          </w:p>
          <w:p>
            <w:pPr>
              <w:spacing w:before="20" w:after="40" w:line="276" w:lineRule="auto"/>
            </w:pPr>
            <w:r>
              <w:rPr>
                <w:rFonts w:ascii="Calibri" w:hAnsi="Calibri"/>
                <w:b/>
                <w:color w:val="212529"/>
                <w:sz w:val="20"/>
              </w:rPr>
              <w:t xml:space="preserve">2. Casus Omissus Pro Omisso Habendus Est (a person, object or thing omitted must be held to be intentionally omitted): </w:t>
            </w:r>
            <w:r>
              <w:rPr>
                <w:rFonts w:ascii="Calibri" w:hAnsi="Calibri"/>
                <w:color w:val="212529"/>
                <w:sz w:val="20"/>
              </w:rPr>
              <w:t>A matter omitted from a statute is presumed to be intentional and cannot be supplied by the courts.</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Expressly creating a town from Dingras excludes all other municipalities.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3753, Casus Omissus Pro Omisso Habendus Est,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3753, governed by Casus omissus pro omisso habendus est (an omission must be held intentional) and Expressio unius est exclusio alterius (the express mention of one is the exclusion of others)."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Express Legislative Delimitation: </w:t>
            </w:r>
            <w:r>
              <w:rPr>
                <w:rFonts w:ascii="Calibri" w:hAnsi="Calibri"/>
                <w:color w:val="212529"/>
                <w:sz w:val="20"/>
              </w:rPr>
              <w:t>Section 1 of R.A. No. 3753 unequivocally enumerated the specific barrios taken from Dingras. It contains no reference whatsoever to Nueva Era.</w:t>
            </w:r>
          </w:p>
          <w:p>
            <w:pPr>
              <w:spacing w:before="20" w:after="40" w:line="276" w:lineRule="auto"/>
            </w:pPr>
            <w:r>
              <w:rPr>
                <w:rFonts w:ascii="Calibri" w:hAnsi="Calibri"/>
                <w:b/>
                <w:color w:val="212529"/>
                <w:sz w:val="20"/>
              </w:rPr>
              <w:t xml:space="preserve">2. Application of Casus Omissus: </w:t>
            </w:r>
            <w:r>
              <w:rPr>
                <w:rFonts w:ascii="Calibri" w:hAnsi="Calibri"/>
                <w:color w:val="212529"/>
                <w:sz w:val="20"/>
              </w:rPr>
              <w:t>Under the rule of casus omissus, when the legislature omits a matter from the statute, courts have no authority to supply the omission under the guise of statutory interpretation.</w:t>
            </w:r>
          </w:p>
          <w:p>
            <w:pPr>
              <w:spacing w:before="20" w:after="40" w:line="276" w:lineRule="auto"/>
            </w:pPr>
            <w:r>
              <w:rPr>
                <w:rFonts w:ascii="Calibri" w:hAnsi="Calibri"/>
                <w:b/>
                <w:color w:val="212529"/>
                <w:sz w:val="20"/>
              </w:rPr>
              <w:t xml:space="preserve">3. Preservation of Ancestral Territorial Rights: </w:t>
            </w:r>
            <w:r>
              <w:rPr>
                <w:rFonts w:ascii="Calibri" w:hAnsi="Calibri"/>
                <w:color w:val="212529"/>
                <w:sz w:val="20"/>
              </w:rPr>
              <w:t>Nueva Era's historical jurisdiction and ancestral domains cannot be diminished without an express, unmistakable legislative act.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specifically named the villages of Dingras to form Marcos. It said nothing about Nueva Era. When a statute specifically lists some things and leaves out others, the omission is deliberate. Courts cannot rewrite the law to give away Nueva Era's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Casus Omissus and Expressio Unius. Since Congress explicitly limited the territory of Marcos to Dingras barrios, the omission of Nueva Era was intentional, and the judiciary cannot supply territory that the legislature omitted."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DECLARED the disputed 7,935-hectare area to be part of the Municipality of Nueva Era, and BARRED Marcos from claiming territory outside Dingras.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Nueva Era won the boundary dispute and retained its 7,935 hectares of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awarded the disputed territory to Nueva Era under the doctrine of Casus Omissus, holding that legislative charters cannot be judicially expanded."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e. Interpreted to Accomplish Purpose (Boundary Dispute / RA 379)</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Casus omissus pro omisso habendus est (a person, object or thing omitted must be held to be intentionally omitted)</w:t>
              <w:br/>
            </w:r>
            <w:r>
              <w:rPr>
                <w:rFonts w:ascii="Calibri" w:hAnsi="Calibri"/>
                <w:b/>
                <w:color w:val="212529"/>
                <w:sz w:val="19"/>
              </w:rPr>
              <w:t xml:space="preserve">   • Literal English Translation: </w:t>
            </w:r>
            <w:r>
              <w:rPr>
                <w:rFonts w:ascii="Calibri" w:hAnsi="Calibri"/>
                <w:i/>
                <w:color w:val="212529"/>
                <w:sz w:val="19"/>
              </w:rPr>
              <w:t>A case omitted is to be held as intentionally omitted.</w:t>
              <w:br/>
            </w:r>
            <w:r>
              <w:rPr>
                <w:rFonts w:ascii="Calibri" w:hAnsi="Calibri"/>
                <w:b/>
                <w:color w:val="212529"/>
                <w:sz w:val="19"/>
              </w:rPr>
              <w:t xml:space="preserve">   • Plain Legal Meaning &amp; StatCon Application: </w:t>
            </w:r>
            <w:r>
              <w:rPr>
                <w:rFonts w:ascii="Calibri" w:hAnsi="Calibri"/>
                <w:color w:val="212529"/>
                <w:sz w:val="19"/>
              </w:rPr>
              <w:t>The failure of Congress to mention Nueva Era in RA 3753 means its territory was intentionally excluded.</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inclusion of Dingras territory excludes the territory of Nueva Era.</w:t>
            </w:r>
          </w:p>
          <w:p>
            <w:pPr>
              <w:spacing w:before="40" w:after="60" w:line="276" w:lineRule="auto"/>
            </w:pPr>
            <w:r>
              <w:rPr>
                <w:rFonts w:ascii="Calibri" w:hAnsi="Calibri"/>
                <w:b/>
                <w:color w:val="8C3200"/>
                <w:sz w:val="20"/>
              </w:rPr>
              <w:t>3.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needs no expositor.</w:t>
              <w:br/>
            </w:r>
            <w:r>
              <w:rPr>
                <w:rFonts w:ascii="Calibri" w:hAnsi="Calibri"/>
                <w:b/>
                <w:color w:val="212529"/>
                <w:sz w:val="19"/>
              </w:rPr>
              <w:t xml:space="preserve">   • Plain Legal Meaning &amp; StatCon Application: </w:t>
            </w:r>
            <w:r>
              <w:rPr>
                <w:rFonts w:ascii="Calibri" w:hAnsi="Calibri"/>
                <w:color w:val="212529"/>
                <w:sz w:val="19"/>
              </w:rPr>
              <w:t>The clear charter language needs no interpretation beyond its literal text.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e. Interpreted to Accomplish Purpose (Boundary Dispute / RA 379)</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Casus omissus pro omisso habendus est</w:t>
              <w:br/>
              <w:t>(a thing omitted must be held to be intentionally omitted / courts cannot insert omitted territory into a municipal charter)</w:t>
              <w:br/>
              <w:br/>
              <w:t>Secondary:</w:t>
              <w:br/>
              <w:t>• Expressio unius est exclusio alterius (express mention of one excludes another)</w:t>
              <w:br/>
              <w:t>• Absoluta sententia expositore non eget (clear text requires no exposition)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municipality attempted to supply an omitted territory into a legislative charter, violating the doctrine of Casus Omissus.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Casus Omissus: What is omitted from a statute must be treated as intentionally omitted by the legislature; courts cannot supply statutory omissions through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Congress deliberately leaves something out of a law, judges cannot add it back in under the excuse of interpreting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Municipality of Nueva Era v. Municipality of Marcos is the leading authority on Casus omissus pro omisso habendus est: courts cannot supply statutory omissions."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Municipality of Nueva Era, Ilocos Norte v. Municipality of Marcos, Ilocos Norte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169435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27, 2008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1963, Congress enacted Republic Act No. 3753 creating the Municipality of Marcos out of specified named barrios of the Municipality of Dingras, Ilocos Norte. Years later, a boundary dispute arose between the Municipality of Marcos and the neighboring Municipality of Nueva Era over a 7,935-hectare unclassified forest tract. Marcos claimed that its eastern boundary extended to Mount Burnay within Nueva Era's ancestral domain, relying on general boundary descriptions in its charter. Nueva Era countered that its territory was never mentioned in RA 3753, which created Marcos solely from the barrios of Dingras, and invoked Casus Omissus.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3753 (Charter of Municipality of Marcos): Expressly states that the municipality is created from barrios separated from the Municipality of Dingras.</w:t>
              <w:br/>
              <w:t>2. Casus Omissus Pro Omisso Habendus Est (a person, object or thing omitted must be held to be intentionally omitted): A matter omitted from a statute is presumed to be intentional and cannot be supplied by the courts.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municipality attempted to supply an omitted territory into a legislative charter, violating the doctrine of Casus Omissus.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legislative charter (R.A. No. 3753) creating the Municipality of Marcos included any portion of the territorial jurisdiction of the Municipality of Nueva Era.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Municipality of Nueva Era, Ilocos Norte v. Municipality of Marcos, Ilocos Norte, under the canon of Casus omissus pro omisso habendus 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3753 (Charter of Municipality of Marcos): Expressly states that the municipality is created from barrios separated from the Municipality of Dingras.</w:t>
              <w:br/>
              <w:t>2. Casus Omissus Pro Omisso Habendus Est (a person, object or thing omitted must be held to be intentionally omitted): A matter omitted from a statute is presumed to be intentional and cannot be supplied by the courts.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municipality attempted to supply an omitted territory into a legislative charter, violating the doctrine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DECLARED the disputed 7,935-hectare area to be part of the Municipality of Nueva Era, and BARRED Marcos from claiming territory outside Dingras.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R.A. No. 3753 did NOT include any territory from Nueva Era. Under the doctrine of Casus Omissus, an omission from the statutory text must be held intentional, and courts cannot supply omitted terms.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Casus omissus pro omisso habendus est</w:t>
              <w:br/>
              <w:t xml:space="preserve">   - Application: Doctrine of Casus Omissus: What is omitted from a statute must be treated as intentionally omitted by the legislature; courts cannot supply statutory omissions through interpretation.</w:t>
              <w:br/>
              <w:t xml:space="preserve">   - Result: No. The law creating Marcos specifically named only Dingras as the source of its territory. Since Nueva Era was omitted from the statute, the omission was intentional and courts cannot supply what Congress omitted.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mention of one excludes another)</w:t>
              <w:br/>
              <w:t>• Absoluta sententia expositore non eget (clear text requires no exposition)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Municipality of Nueva Era, Ilocos Norte v. Municipality of Marcos, Ilocos Norte to mean and apply strictly in accordance with Casus omissus pro omisso habendus est, holding that No. The law creating Marcos specifically named only Dingras as the source of its territory. Since Nueva Era was omitted from the statute, the omission was inten.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specifically named the villages of Dingras to form Marcos. It said nothing about Nueva Era. When a statute specifically lists some things and leaves out others, the omission is deliberate. Courts cannot rewrite the law to give away Nueva Era's land.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Casus omissus pro omisso habendus 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Casus Omissus: What is omitted from a statute must be treated as intentionally omitted by the legislature; courts cannot supply statutory omissions through interpretation.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Congress deliberately leaves something out of a law, judges cannot add it back in under the excuse of interpreting the law.</w:t>
            </w:r>
          </w:p>
        </w:tc>
      </w:tr>
    </w:tbl>
    <w:p>
      <w:r>
        <w:br w:type="page"/>
      </w:r>
    </w:p>
    <w:p>
      <w:pPr>
        <w:keepNext/>
        <w:spacing w:before="320" w:after="80"/>
      </w:pPr>
      <w:r>
        <w:rPr>
          <w:rFonts w:ascii="Arial" w:hAnsi="Arial"/>
          <w:b/>
          <w:color w:val="0F2043"/>
          <w:sz w:val="26"/>
        </w:rPr>
        <w:t>6. CLUB FILIPINO, INC. AND ATTY. ROBERTO F. DE LEON V. BENJAMIN BAUTISTA,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168406 | July 13, 2009 | 592 SCRA 471 | Third Division | Ponente: J. Nachura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Club Filipino, Inc. and Atty. Roberto F. De Leon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Benjamin Bautista, et al.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Labor Relations Commission (NLRC)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strike illegality and dismissal of union officers under Article 264 of the Labor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Club Filipino Employees Association (Union) filed a Notice of Strike with the NCMB due to a collective bargaining deadlock. The union conducted a strike vote and submitted the strike vote results to the DOLE, but failed to observe the mandatory seven-day strike vote cooling-off/waiting period before staging the strike. Club Filipino filed a petition to declare the strike illegal and dismissed the participating union officers pursuant to Article 264 of the Labor Code. The union officers argued that their substantial compliance and good faith in conducting the strike vote should protect them from termination.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labor union went on strike because collective bargaining negotiations broke down. They filed all required notices and held a strike vote, but they staged the strike without waiting for the full 7-day waiting period after submitting the vote results. The company fired all the union officers, claiming the strike was illegal. The Supreme Court ruled that while the strike was technically illegal for jumping the gun on the 7-day period, the union officers acted in good faith believing negotiations were deadlocked, so the harsh penalty of dismissal should not be automatically applied.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failure to observe the mandatory seven-day strike vote cooling-off period under Article 263(f) renders the strike illegal and automatically justifies the dismissal of all union officers.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jumping the gun on the 7-day strike waiting period automatically require the firing of union officers even if they acted in good faith?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non-compliance with the 7-day strike waiting period under Article 263(f) of the Labor Code automatically warrants the dismissal of union officers, testing the liberal construction of labor laws in favor of labor (In Dubio Pro Operario) and Spirit of the Law over rigid punishment."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strike was ILLEGAL for violating the mandatory 7-day cooling-off period, BUT the union officers could NOT be automatically dismissed without proof of bad faith or commission of illegal acts during the strike.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strike was technically illegal because they didn't wait 7 days, but the officers should not be fired because they acted in good faith without violence or sabotage. Labor laws protect workers against disproportionate penalties.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while the strike was illegal due to the mandatory nature of the 7-day waiting period under Verba Legis, under Article 4 of the Labor Code and In Dubio Pro Operario (in doubt, rule in favor of labor), union officers who acted in good faith without violence are entitled to reinstatement or separation pay rather than forfeiture of employment."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Articles 263 and 264, Labor Code of the Philippines: </w:t>
            </w:r>
            <w:r>
              <w:rPr>
                <w:rFonts w:ascii="Calibri" w:hAnsi="Calibri"/>
                <w:color w:val="212529"/>
                <w:sz w:val="20"/>
              </w:rPr>
              <w:t>Mandatory procedural requirements for a valid strike and grounds for declaring strike illegality and union officer termination.</w:t>
            </w:r>
          </w:p>
          <w:p>
            <w:pPr>
              <w:spacing w:before="20" w:after="40" w:line="276" w:lineRule="auto"/>
            </w:pPr>
            <w:r>
              <w:rPr>
                <w:rFonts w:ascii="Calibri" w:hAnsi="Calibri"/>
                <w:b/>
                <w:color w:val="212529"/>
                <w:sz w:val="20"/>
              </w:rPr>
              <w:t xml:space="preserve">2. Article 4, Labor Code of the Philippines: </w:t>
            </w:r>
            <w:r>
              <w:rPr>
                <w:rFonts w:ascii="Calibri" w:hAnsi="Calibri"/>
                <w:color w:val="212529"/>
                <w:sz w:val="20"/>
              </w:rPr>
              <w:t>All doubts in the implementation and interpretation of the provisions of this Code shall be resolved in favor of labor.</w:t>
            </w:r>
          </w:p>
          <w:p>
            <w:pPr>
              <w:spacing w:before="20" w:after="40" w:line="276" w:lineRule="auto"/>
            </w:pPr>
            <w:r>
              <w:rPr>
                <w:rFonts w:ascii="Calibri" w:hAnsi="Calibri"/>
                <w:b/>
                <w:color w:val="212529"/>
                <w:sz w:val="20"/>
              </w:rPr>
              <w:t xml:space="preserve">3. In Dubio Pro Operario (in doubt, rule in favor of the worker): </w:t>
            </w:r>
            <w:r>
              <w:rPr>
                <w:rFonts w:ascii="Calibri" w:hAnsi="Calibri"/>
                <w:color w:val="212529"/>
                <w:sz w:val="20"/>
              </w:rPr>
              <w:t>Labor statutes and statutory penalties are construed liberally in favor of workingmen.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Articles 4, 263, and 264 Labor Code, and In Dubio Pro Operario.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Articles 4, 263, and 264 of the Labor Code, applied through the canon In dubio pro operario (all doubts resolved in favor of labor)."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Nature of Strike Requirements: </w:t>
            </w:r>
            <w:r>
              <w:rPr>
                <w:rFonts w:ascii="Calibri" w:hAnsi="Calibri"/>
                <w:color w:val="212529"/>
                <w:sz w:val="20"/>
              </w:rPr>
              <w:t>The procedural requirements for staging a strike—including the 7-day waiting period following the strike vote—are mandatory and jurisdictional.</w:t>
            </w:r>
          </w:p>
          <w:p>
            <w:pPr>
              <w:spacing w:before="20" w:after="40" w:line="276" w:lineRule="auto"/>
            </w:pPr>
            <w:r>
              <w:rPr>
                <w:rFonts w:ascii="Calibri" w:hAnsi="Calibri"/>
                <w:b/>
                <w:color w:val="212529"/>
                <w:sz w:val="20"/>
              </w:rPr>
              <w:t xml:space="preserve">2. Separation of Strike Illegality from Individual Liability: </w:t>
            </w:r>
            <w:r>
              <w:rPr>
                <w:rFonts w:ascii="Calibri" w:hAnsi="Calibri"/>
                <w:color w:val="212529"/>
                <w:sz w:val="20"/>
              </w:rPr>
              <w:t>A finding that a strike is illegal does not automatically result in the termination of union officers unless it is proven that they knowingly participated in an illegal strike with malicious intent or committed illegal acts.</w:t>
            </w:r>
          </w:p>
          <w:p>
            <w:pPr>
              <w:spacing w:before="20" w:after="40" w:line="276" w:lineRule="auto"/>
            </w:pPr>
            <w:r>
              <w:rPr>
                <w:rFonts w:ascii="Calibri" w:hAnsi="Calibri"/>
                <w:b/>
                <w:color w:val="212529"/>
                <w:sz w:val="20"/>
              </w:rPr>
              <w:t xml:space="preserve">3. Harmonization of Labor Protection and Statutory Rules: </w:t>
            </w:r>
            <w:r>
              <w:rPr>
                <w:rFonts w:ascii="Calibri" w:hAnsi="Calibri"/>
                <w:color w:val="212529"/>
                <w:sz w:val="20"/>
              </w:rPr>
              <w:t>Statutory construction of labor laws requires balancing strict regulatory compliance with the constitutional mandate of security of tenure and social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balanced two things: the rules on strikes must be followed (so the strike was technically illegal), but the penalty of losing one's livelihood should only be applied to union leaders who commit violence or bad faith. Since they only miscalculated the days, they should not be stripped of all rights.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statutory provisions: under Verba Legis, procedural strike rules are mandatory, but under In Dubio Pro Operario and Article 4, penalties against workers are construed strictly against termination where good faith exists."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DECLARED the strike ILLEGAL, but ORDERED Club Filipino to pay separation pay to the dismissed union officers in lieu of reinstatement, modifying the NLRC ruling.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strike was ruled illegal, but the officers were awarded separation pay because they acted in good faith.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strike's illegality but granted separation pay to the officers under the protective construction of the Labor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f. Nemo Tenetur Ad Impossibile (Labor Code / Union Financial Reports)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Doubts in the application of Labor Code penalty provisions are resolved in favor of labor protection.</w:t>
            </w:r>
          </w:p>
          <w:p>
            <w:pPr>
              <w:spacing w:before="40" w:after="60" w:line="276" w:lineRule="auto"/>
            </w:pPr>
            <w:r>
              <w:rPr>
                <w:rFonts w:ascii="Calibri" w:hAnsi="Calibri"/>
                <w:b/>
                <w:color w:val="8C3200"/>
                <w:sz w:val="20"/>
              </w:rPr>
              <w:t>2. Favorabilia sunt amplianda, odiosa restringenda (favorable things should be expanded, odious things restricted)</w:t>
              <w:br/>
            </w:r>
            <w:r>
              <w:rPr>
                <w:rFonts w:ascii="Calibri" w:hAnsi="Calibri"/>
                <w:b/>
                <w:color w:val="212529"/>
                <w:sz w:val="19"/>
              </w:rPr>
              <w:t xml:space="preserve">   • Literal English Translation: </w:t>
            </w:r>
            <w:r>
              <w:rPr>
                <w:rFonts w:ascii="Calibri" w:hAnsi="Calibri"/>
                <w:i/>
                <w:color w:val="212529"/>
                <w:sz w:val="19"/>
              </w:rPr>
              <w:t>Matters of favor should be enlarged, and hateful matters restrained.</w:t>
              <w:br/>
            </w:r>
            <w:r>
              <w:rPr>
                <w:rFonts w:ascii="Calibri" w:hAnsi="Calibri"/>
                <w:b/>
                <w:color w:val="212529"/>
                <w:sz w:val="19"/>
              </w:rPr>
              <w:t xml:space="preserve">   • Plain Legal Meaning &amp; StatCon Application: </w:t>
            </w:r>
            <w:r>
              <w:rPr>
                <w:rFonts w:ascii="Calibri" w:hAnsi="Calibri"/>
                <w:color w:val="212529"/>
                <w:sz w:val="19"/>
              </w:rPr>
              <w:t>Rights protective of workers must be expanded, while severe penal sanctions like forfeiture of livelihood must be restricted.</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Procedural cooling-off periods for strikes are mandatory and must be observed.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f. Nemo Tenetur Ad Impossibile (Labor Code / Union Financial Reports)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pro operario</w:t>
              <w:br/>
              <w:t>(in doubt, rule in favor of the worker / Labor Code penalties construed strictly against employment forfeiture)</w:t>
              <w:br/>
              <w:br/>
              <w:t>Secondary:</w:t>
              <w:br/>
              <w:t>• Favorabilia sunt amplianda odiosa restringenda (favor broad interpretation of rights, restrict penalties)</w:t>
              <w:br/>
              <w:t>• Dura lex sed lex (mandatory procedural strike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employer sought an automatic, inflexible termination of union officers based on a procedural technicality without considering good faith.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Labor Statutes: Social legislation must be interpreted to protect the constitutional right to security of tenure unless bad faith or illegal acts are established.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Labor laws are written to protect workers; when applying penalties, courts will look for fair balance and good faith rather than imposing automatic ruin on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Club Filipino v. Bautista demonstrates how labor statutes are construed liberally in favor of workers (In dubio pro operario) to prevent harsh automatic forfeitures."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Club Filipino, Inc. and Atty. Roberto F. De Leon v. Benjamin Bautista,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168406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13,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Club Filipino Employees Association (Union) filed a Notice of Strike with the NCMB due to a collective bargaining deadlock. The union conducted a strike vote and submitted the strike vote results to the DOLE, but failed to observe the mandatory seven-day strike vote cooling-off/waiting period before staging the strike. Club Filipino filed a petition to declare the strike illegal and dismissed the participating union officers pursuant to Article 264 of the Labor Code. The union officers argued that their substantial compliance and good faith in conducting the strike vote should protect them from termination.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Articles 263 and 264, Labor Code of the Philippines: Mandatory procedural requirements for a valid strike and grounds for declaring strike illegality and union officer termination.</w:t>
              <w:br/>
              <w:t>2. Article 4, Labor Code of the Philippines: All doubts in the implementation and interpretation of the provisions of this Code shall be resolved in favor of labor.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employer sought an automatic, inflexible termination of union officers based on a procedural technicality without considering good faith.</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failure to observe the mandatory seven-day strike vote cooling-off period under Article 263(f) renders the strike illegal and automatically justifies the dismissal of all union officers.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Club Filipino, Inc. and Atty. Roberto F. De Leon v. Benjamin Bautista, et al., under the canon of In dubio pro operario.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Articles 263 and 264, Labor Code of the Philippines: Mandatory procedural requirements for a valid strike and grounds for declaring strike illegality and union officer termination.</w:t>
              <w:br/>
              <w:t>2. Article 4, Labor Code of the Philippines: All doubts in the implementation and interpretation of the provisions of this Code shall be resolved in favor of labor.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employer sought an automatic, inflexible termination of union officers based on a procedural technicality without co...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DECLARED the strike ILLEGAL, but ORDERED Club Filipino to pay separation pay to the dismissed union officers in lieu of reinstatement, modifying the NLRC ruling.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strike was ILLEGAL for violating the mandatory 7-day cooling-off period, BUT the union officers could NOT be automatically dismissed without proof of bad faith or commission of illegal acts during the strike.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employer sought an automatic, inflexible termination of union officers based on a procedural technicality without considering good faith.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pro operario</w:t>
              <w:br/>
              <w:t xml:space="preserve">   - Application: Protective Construction of Labor Statutes: Social legislation must be interpreted to protect the constitutional right to security of tenure unless bad faith or illegal acts are established.</w:t>
              <w:br/>
              <w:t xml:space="preserve">   - Result: The strike was technically illegal because they didn't wait 7 days, but the officers should not be fired because they acted in good faith without violence or sabotage. Labor laws protect workers against disproportionate penalties.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odiosa restringenda (favor broad interpretation of rights, restrict penalties)</w:t>
              <w:br/>
              <w:t>• Dura lex sed lex (mandatory procedural strike rules)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Club Filipino, Inc. and Atty. Roberto F. De Leon v. Benjamin Bautista, et al. to mean and apply strictly in accordance with In dubio pro operario, holding that The strike was technically illegal because they didn't wait 7 days, but the officers should not be fired because they acted in good faith without violence or sa.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balanced two things: the rules on strikes must be followed (so the strike was technically illegal), but the penalty of losing one's livelihood should only be applied to union leaders who commit violence or bad faith. Since they only miscalculated the days, they should not be stripped of all rights.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pro operario,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Labor Statutes: Social legislation must be interpreted to protect the constitutional right to security of tenure unless bad faith or illegal acts are established.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Labor laws are written to protect workers; when applying penalties, courts will look for fair balance and good faith rather than imposing automatic ruin on workers.</w:t>
            </w:r>
          </w:p>
        </w:tc>
      </w:tr>
    </w:tbl>
    <w:p>
      <w:r>
        <w:br w:type="page"/>
      </w:r>
    </w:p>
    <w:p>
      <w:pPr>
        <w:keepNext/>
        <w:spacing w:before="320" w:after="80"/>
      </w:pPr>
      <w:r>
        <w:rPr>
          <w:rFonts w:ascii="Arial" w:hAnsi="Arial"/>
          <w:b/>
          <w:color w:val="0F2043"/>
          <w:sz w:val="26"/>
        </w:rPr>
        <w:t>7. AURELIO P. YU V. HON. MA. THERESA L. SAMSON-TATAD AND PEOPLE OF THE PHILIPPINES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170979 | February 9, 2011 | 642 SCRA 421 | Third Division | Ponente: J. Brion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Aurelio P. Yu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Ma. Theresa L. Samson-Tatad (Presiding Judge, RTC Quezon City, Branch 105) and Spouses Dennis &amp; Lily Tiu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105)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applicability of the Neypes 'Fresh Period Rule' to appeals in criminal cases under Rule 122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a criminal case for Estafa, the RTC dismissed the charges against the accused Spouses Tiu. The private complainant Aurelio Yu filed a motion for reconsideration, which the RTC denied. The private complainant received the notice of denial on November 3, 2005, and filed his Notice of Appeal on November 10, 2005 (within the fresh 15-day period counted from receipt of the denial order, but beyond the remaining days of the original 15-day period). The RTC denied the appeal for being filed out of time, holding that the 'fresh period rule' established in Neypes v. Court of Appeals applies exclusively to civil actions under Rule 41 and not to criminal appeals under Rule 122.</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victim of fraud filed an appeal in a criminal case within 15 days after the court denied his motion for reconsideration. The judge rejected the appeal, claiming that the famous Neypes 'fresh period rule' (giving a fresh 15 days after denial of an MR) only applies to civil cases, not criminal cases. The Supreme Court ruled that the fresh period rule applies to criminal cases as well, because procedural rules must be harmonized to standardize appeal periods and ensure 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Neypes 'Fresh Period Rule' applies to appeals in criminal cases under Rule 122 of the Rules of Court.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party in a criminal case get a fresh 15 days to file an appeal after the court denies a motion for reconsideration, just like in civil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Neypes 'fresh period rule' applies to appeals in criminal cases under Rule 122, testing the canon of Pari Materia (statutes on the same subject) and liberal construction of remedial statutes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'Fresh Period Rule' laid down in Neypes applies to appeals in criminal cases under Section 3, Rule 122 of the Revised Rules of Criminal Procedure. Procedural rules must be construed harmoniously to standardize appeal periods.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fresh period rule applies equally to criminal cases. Procedural rules are interpreted liberally so that parties do not lose their right to appeal due to confusing differences in counting deadlines.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Neypes fresh period rule applies to criminal appeals under Rule 122. Under the canon of In Pari Materia and liberal construction of remedial laws, the rules of procedure must be harmonized to provide a uniform 15-day fresh period for all appeals."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3, Rule 122, Revised Rules of Criminal Procedure: </w:t>
            </w:r>
            <w:r>
              <w:rPr>
                <w:rFonts w:ascii="Calibri" w:hAnsi="Calibri"/>
                <w:color w:val="212529"/>
                <w:sz w:val="20"/>
              </w:rPr>
              <w:t>Governs the period and manner of taking appeals in criminal cases.</w:t>
            </w:r>
          </w:p>
          <w:p>
            <w:pPr>
              <w:spacing w:before="20" w:after="40" w:line="276" w:lineRule="auto"/>
            </w:pPr>
            <w:r>
              <w:rPr>
                <w:rFonts w:ascii="Calibri" w:hAnsi="Calibri"/>
                <w:b/>
                <w:color w:val="212529"/>
                <w:sz w:val="20"/>
              </w:rPr>
              <w:t xml:space="preserve">2. Rule 41, Section 3, Rules of Court (as construed in Neypes v. CA): </w:t>
            </w:r>
            <w:r>
              <w:rPr>
                <w:rFonts w:ascii="Calibri" w:hAnsi="Calibri"/>
                <w:color w:val="212529"/>
                <w:sz w:val="20"/>
              </w:rPr>
              <w:t>Standardized the fresh 15-day period from receipt of the denial of a motion for new trial or reconsideration.</w:t>
            </w:r>
          </w:p>
          <w:p>
            <w:pPr>
              <w:spacing w:before="20" w:after="40" w:line="276" w:lineRule="auto"/>
            </w:pPr>
            <w:r>
              <w:rPr>
                <w:rFonts w:ascii="Calibri" w:hAnsi="Calibri"/>
                <w:b/>
                <w:color w:val="212529"/>
                <w:sz w:val="20"/>
              </w:rPr>
              <w:t xml:space="preserve">3. In Pari Materia (statutes relating to the same matter): </w:t>
            </w:r>
            <w:r>
              <w:rPr>
                <w:rFonts w:ascii="Calibri" w:hAnsi="Calibri"/>
                <w:color w:val="212529"/>
                <w:sz w:val="20"/>
              </w:rPr>
              <w:t>Rules of Court relating to appeals must be construed together to create a harmonious and consistent procedural system.</w:t>
            </w:r>
          </w:p>
          <w:p>
            <w:pPr>
              <w:spacing w:before="20" w:after="40" w:line="276" w:lineRule="auto"/>
            </w:pPr>
            <w:r>
              <w:rPr>
                <w:rFonts w:ascii="Calibri" w:hAnsi="Calibri"/>
                <w:b/>
                <w:color w:val="212529"/>
                <w:sz w:val="20"/>
              </w:rPr>
              <w:t xml:space="preserve">4. Liberal Construction of Remedial Statutes: </w:t>
            </w:r>
            <w:r>
              <w:rPr>
                <w:rFonts w:ascii="Calibri" w:hAnsi="Calibri"/>
                <w:color w:val="212529"/>
                <w:sz w:val="20"/>
              </w:rPr>
              <w:t>Rules of procedure are liberally construed to promote substantial justice and avoid loss of appellate rights on procedural traps.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122 Sec 3, Neypes v. CA, In Pari Materia, and liberal construction of remedial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Rule 122 in relation to Neypes v. CA, construed In Pari Materia (upon the same subject matter) and under the doctrine of liberal construction of procedural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Fresh Period Rule: </w:t>
            </w:r>
            <w:r>
              <w:rPr>
                <w:rFonts w:ascii="Calibri" w:hAnsi="Calibri"/>
                <w:color w:val="212529"/>
                <w:sz w:val="20"/>
              </w:rPr>
              <w:t>The Neypes doctrine was conceived to standardize appeal periods and eliminate confusion among litigants regarding the calculation of remaining appeal days.</w:t>
            </w:r>
          </w:p>
          <w:p>
            <w:pPr>
              <w:spacing w:before="20" w:after="40" w:line="276" w:lineRule="auto"/>
            </w:pPr>
            <w:r>
              <w:rPr>
                <w:rFonts w:ascii="Calibri" w:hAnsi="Calibri"/>
                <w:b/>
                <w:color w:val="212529"/>
                <w:sz w:val="20"/>
              </w:rPr>
              <w:t xml:space="preserve">2. Application of In Pari Materia to Rules of Court: </w:t>
            </w:r>
            <w:r>
              <w:rPr>
                <w:rFonts w:ascii="Calibri" w:hAnsi="Calibri"/>
                <w:color w:val="212529"/>
                <w:sz w:val="20"/>
              </w:rPr>
              <w:t>Rules 41, 42, 43, 45, and 122 all govern appeals from trial courts. There is no substantial difference in the nature of an appeal period between civil and criminal cases that would justify denying a fresh period in criminal cases.</w:t>
            </w:r>
          </w:p>
          <w:p>
            <w:pPr>
              <w:spacing w:before="20" w:after="40" w:line="276" w:lineRule="auto"/>
            </w:pPr>
            <w:r>
              <w:rPr>
                <w:rFonts w:ascii="Calibri" w:hAnsi="Calibri"/>
                <w:b/>
                <w:color w:val="212529"/>
                <w:sz w:val="20"/>
              </w:rPr>
              <w:t xml:space="preserve">3. Substantial Justice Over Rigidity: </w:t>
            </w:r>
            <w:r>
              <w:rPr>
                <w:rFonts w:ascii="Calibri" w:hAnsi="Calibri"/>
                <w:color w:val="212529"/>
                <w:sz w:val="20"/>
              </w:rPr>
              <w:t>Procedural rules are mere tools to facilitate the attainment of justice; they must be interpreted to allow full determination of cases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whole reason the Supreme Court invented the Neypes rule was to stop lawyers from making mathematical mistakes when counting remaining days. It makes no sense to give a fresh 15 days in a civil dispute over money, but refuse it in a criminal case where life, liberty, and justice are at stake.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In Pari Materia and purposive construction. The intent of the Neypes rule was to standardize all appeal periods across the board. The Court harmonized Rule 122 with Rule 41 to ensure uniformity and prevent procedural forfeitures."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RTC dismissal, and ORDERED the trial court to give due course to petitioner's Notice of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appeal was declared timely filed under the fresh period rule and the case was ordered to proceed.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petition, confirming that the Neypes fresh period rule applies to criminal appeals under Rule 122."</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g. Construction to Avoid Absurdity &amp; Injustice (Fresh Period Rule / Neypes)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pari materia (on the same subject matter)</w:t>
              <w:br/>
            </w:r>
            <w:r>
              <w:rPr>
                <w:rFonts w:ascii="Calibri" w:hAnsi="Calibri"/>
                <w:b/>
                <w:color w:val="212529"/>
                <w:sz w:val="19"/>
              </w:rPr>
              <w:t xml:space="preserve">   • Literal English Translation: </w:t>
            </w:r>
            <w:r>
              <w:rPr>
                <w:rFonts w:ascii="Calibri" w:hAnsi="Calibri"/>
                <w:i/>
                <w:color w:val="212529"/>
                <w:sz w:val="19"/>
              </w:rPr>
              <w:t>Upon the same matter.</w:t>
              <w:br/>
            </w:r>
            <w:r>
              <w:rPr>
                <w:rFonts w:ascii="Calibri" w:hAnsi="Calibri"/>
                <w:b/>
                <w:color w:val="212529"/>
                <w:sz w:val="19"/>
              </w:rPr>
              <w:t xml:space="preserve">   • Plain Legal Meaning &amp; StatCon Application: </w:t>
            </w:r>
            <w:r>
              <w:rPr>
                <w:rFonts w:ascii="Calibri" w:hAnsi="Calibri"/>
                <w:color w:val="212529"/>
                <w:sz w:val="19"/>
              </w:rPr>
              <w:t>Statutes and procedural rules relating to the same subject (appeals) must be read and harmonized together.</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rules must be construed to save appeals and allow decisions on the merits rather than dismiss them on technicalities.</w:t>
            </w:r>
          </w:p>
          <w:p>
            <w:pPr>
              <w:spacing w:before="40" w:after="60" w:line="276" w:lineRule="auto"/>
            </w:pPr>
            <w:r>
              <w:rPr>
                <w:rFonts w:ascii="Calibri" w:hAnsi="Calibri"/>
                <w:b/>
                <w:color w:val="8C3200"/>
                <w:sz w:val="20"/>
              </w:rPr>
              <w:t>3. Interpretatio fienda est ut res magis valeat quam pereat (interpretation should be made so that the matter may have effect rather than fail)</w:t>
              <w:br/>
            </w:r>
            <w:r>
              <w:rPr>
                <w:rFonts w:ascii="Calibri" w:hAnsi="Calibri"/>
                <w:b/>
                <w:color w:val="212529"/>
                <w:sz w:val="19"/>
              </w:rPr>
              <w:t xml:space="preserve">   • Literal English Translation: </w:t>
            </w:r>
            <w:r>
              <w:rPr>
                <w:rFonts w:ascii="Calibri" w:hAnsi="Calibri"/>
                <w:i/>
                <w:color w:val="212529"/>
                <w:sz w:val="19"/>
              </w:rPr>
              <w:t>Interpretation should be made to preserve the efficacy of the law.</w:t>
              <w:br/>
            </w:r>
            <w:r>
              <w:rPr>
                <w:rFonts w:ascii="Calibri" w:hAnsi="Calibri"/>
                <w:b/>
                <w:color w:val="212529"/>
                <w:sz w:val="19"/>
              </w:rPr>
              <w:t xml:space="preserve">   • Plain Legal Meaning &amp; StatCon Application: </w:t>
            </w:r>
            <w:r>
              <w:rPr>
                <w:rFonts w:ascii="Calibri" w:hAnsi="Calibri"/>
                <w:color w:val="212529"/>
                <w:sz w:val="19"/>
              </w:rPr>
              <w:t>Rules of procedure must be given a practical, workable construction.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g. Construction to Avoid Absurdity &amp; Injustice (Fresh Period Rule / Neypes)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pari materia</w:t>
              <w:br/>
              <w:t>(on the same subject matter / harmonizing civil and criminal procedural appeal rules under the Neypes doctrine)</w:t>
              <w:br/>
              <w:br/>
              <w:t>Secondary:</w:t>
              <w:br/>
              <w:t>• Ut res magis valeat quam pereat (construed to preserve procedural efficacy)</w:t>
              <w:br/>
              <w:t>• Substantia praevalet formae (substance over technicalities)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created a fractured, contradictory interpretation of the Rules of Court by restricting the fresh period rule solely to civil actions.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Harmonious Construction of Procedural Codes: Sections of the Rules of Court dealing with the same subject matter must be construed in pari materia to establish a uniform, predictable system of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that govern the same topic must be read together like parts of a single book so they do not contradict each other.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Yu v. Samson-Tatad demonstrates In Pari Materia applied to the Rules of Court, harmonizing civil and criminal appeal deadlines under the Neypes fresh period rule."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Aurelio P. Yu v. Hon. Ma. Theresa L. Samson-Tatad and People of the Philippines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170979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9,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a criminal case for Estafa, the RTC dismissed the charges against the accused Spouses Tiu. The private complainant Aurelio Yu filed a motion for reconsideration, which the RTC denied. The private complainant received the notice of denial on November 3, 2005, and filed his Notice of Appeal on November 10, 2005 (within the fresh 15-day period counted from receipt of the denial order, but beyond the remaining days of the original 15-day period). The RTC denied the appeal for being filed out of time, holding that the 'fresh period rule' established in Neypes v. Court of Appeals applies exclusively to civil actions under Rule 41 and not to criminal appeals under Rule 122.</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3, Rule 122, Revised Rules of Criminal Procedure: Governs the period and manner of taking appeals in criminal cases.</w:t>
              <w:br/>
              <w:t>2. Rule 41, Section 3, Rules of Court (as construed in Neypes v. CA): Standardized the fresh 15-day period from receipt of the denial of a motion for new trial or reconsideration.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created a fractured, contradictory interpretation of the Rules of Court by restricting the fresh period rule solely to civil actions.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Neypes 'Fresh Period Rule' applies to appeals in criminal cases under Rule 122 of the Rules of Court.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Aurelio P. Yu v. Hon. Ma. Theresa L. Samson-Tatad and People of the Philippines, under the canon of In pari materia.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3, Rule 122, Revised Rules of Criminal Procedure: Governs the period and manner of taking appeals in criminal cases.</w:t>
              <w:br/>
              <w:t>2. Rule 41, Section 3, Rules of Court (as construed in Neypes v. CA): Standardized the fresh 15-day period from receipt of the denial of a motion for new trial or reconsideration.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Multiple statutes govern the same subject matter, requiring judicial harmonization to give full effect to legislative policy without creating an implied repeal.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RTC dismissal, and ORDERED the trial court to give due course to petitioner's Notice of Appeal.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'Fresh Period Rule' laid down in Neypes applies to appeals in criminal cases under Section 3, Rule 122 of the Revised Rules of Criminal Procedure. Procedural rules must be construed harmoniously to standardize appeal periods.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Multiple laws touched upon related subject matter, presenting an apparent inconsistency that required systematic harmonization.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harmonize conflicting provisions, give effect to all relevant enactments, and avoid implied repeals (*interpretare et concordare leges legibus est optimus interpretandi*).</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pari materia</w:t>
              <w:br/>
              <w:t xml:space="preserve">   - Application: Harmonious Construction of Procedural Codes: Sections of the Rules of Court dealing with the same subject matter must be construed in pari materia to establish a uniform, predictable system of justice.</w:t>
              <w:br/>
              <w:t xml:space="preserve">   - Result: Yes. The fresh period rule applies equally to criminal cases. Procedural rules are interpreted liberally so that parties do not lose their right to appeal due to confusing differences in counting deadlines.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(construed to preserve procedural efficacy)</w:t>
              <w:br/>
              <w:t>• Substantia praevalet formae (substance over technicalities)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Aurelio P. Yu v. Hon. Ma. Theresa L. Samson-Tatad and People of the Philippines to mean and apply strictly in accordance with In pari materia, holding that Yes. The fresh period rule applies equally to criminal cases. Procedural rules are interpreted liberally so that parties do not lose their right to appeal due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whole reason the Supreme Court invented the Neypes rule was to stop lawyers from making mathematical mistakes when counting remaining days. It makes no sense to give a fresh 15 days in a civil dispute over money, but refuse it in a criminal case where life, liberty, and justice are at stake.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pari materia,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Harmonious Construction of Procedural Codes: Sections of the Rules of Court dealing with the same subject matter must be construed in pari materia to establish a uniform, predictable system of 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that govern the same topic must be read together like parts of a single book so they do not contradict each other.</w:t>
            </w:r>
          </w:p>
        </w:tc>
      </w:tr>
    </w:tbl>
    <w:p>
      <w:r>
        <w:br w:type="page"/>
      </w:r>
    </w:p>
    <w:p>
      <w:pPr>
        <w:keepNext/>
        <w:spacing w:before="320" w:after="80"/>
      </w:pPr>
      <w:r>
        <w:rPr>
          <w:rFonts w:ascii="Arial" w:hAnsi="Arial"/>
          <w:b/>
          <w:color w:val="0F2043"/>
          <w:sz w:val="26"/>
        </w:rPr>
        <w:t>8. FLORENCIO EUGENIO V. EXECUTIVE SECRETARY FRANKLIN M. DRILON, HOUSING AND LAND USE REGULATORY BOARD (HLURB), AND PROSPERO PALMIANO</w:t>
      </w:r>
    </w:p>
    <w:p>
      <w:pPr>
        <w:spacing w:before="40" w:after="80" w:line="276" w:lineRule="auto"/>
      </w:pPr>
      <w:r>
        <w:rPr>
          <w:rFonts w:ascii="Calibri" w:hAnsi="Calibri"/>
          <w:b/>
          <w:color w:val="212529"/>
          <w:sz w:val="21"/>
        </w:rPr>
        <w:t xml:space="preserve">Citation: </w:t>
      </w:r>
      <w:r>
        <w:rPr>
          <w:rFonts w:ascii="Calibri" w:hAnsi="Calibri"/>
          <w:i/>
          <w:color w:val="212529"/>
          <w:sz w:val="21"/>
        </w:rPr>
        <w:t>G.R. No. 109404 | January 22, 1996 | 252 SCRA 106 | Second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Florencio Eugenio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Franklin M. Drilon, HLURB, and Prospero Palmiano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65 assailing the retroactive application of Section 23 of Presidential Decree No. 957 (Subdivision and Condominium Buyers' Protective Decree).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1972 (prior to the enactment of P.D. No. 957 in 1976), private respondent Prospero Palmiano purchased two subdivision lots on installment from subdivision developer Florencio Eugenio. In 1976, P.D. No. 957 took effect, Section 23 of which gives buyers the right to suspend installment payments if the developer fails to develop the subdivision according to approved plans. Palmiano suspended payment because Eugenio completely failed to construct roads, drainage, and facilities. Eugenio cancelled the sale and sold the lots to a third party. When Palmiano filed an action before the HLURB to enforce his rights, Eugenio argued that P.D. No. 957 cannot be applied retroactively to a contract entered into in 1972 without violating the non-retroactivity of laws and non-impairment of contracts.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bought subdivision lots on installment in 1972. In 1976, a new law (PD 957) was passed protecting subdivision buyers and allowing them to stop paying if the developer fails to build roads and drainage. The buyer stopped paying because the developer did zero work. The developer cancelled the contract, arguing the 1976 law cannot apply retroactively to a 1972 contract. The Supreme Court held that PD 957 is a remedial, social legislation intended to protect buyers against abusive developers, so it applies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Presidential Decree No. 957 (Section 23) applies retroactively to protect a lot buyer under an installment sale executed prior to the decree's enactment in 1976.</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(PD 957) apply retroactively to protect buyers who bought lots before the law was passed?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PD 957 applies retroactively to contracts executed prior to its enactment, testing the exception to the presumption of prospectivity for Remedial and Social Legislation (Lex Prospicit, Non Respicit vs.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Presidential Decree No. 957 applies RETROACTIVELY to contracts entered into before its enactment. As a remedial, curative, and social justice statute enacted under the police power, its protective provisions apply to pre-existing contracts.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While laws are generally prospective, social legislation and curative laws enacted under police power to protect vulnerable citizens apply retroactively to cure existing abuses.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PD 957 applies retroactively. While laws are generally prospective under Lex prospicit non respicit (the law looks forward, not backward), remedial, curative, and social welfare statutes enacted under police power operate retroactively to achieve their protective legislative intent."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23, Presidential Decree No. 957: </w:t>
            </w:r>
            <w:r>
              <w:rPr>
                <w:rFonts w:ascii="Calibri" w:hAnsi="Calibri"/>
                <w:color w:val="212529"/>
                <w:sz w:val="20"/>
              </w:rPr>
              <w:t>Right of installment buyer to suspend payment upon developer's failure to develop facilities.</w:t>
            </w:r>
          </w:p>
          <w:p>
            <w:pPr>
              <w:spacing w:before="20" w:after="40" w:line="276" w:lineRule="auto"/>
            </w:pPr>
            <w:r>
              <w:rPr>
                <w:rFonts w:ascii="Calibri" w:hAnsi="Calibri"/>
                <w:b/>
                <w:color w:val="212529"/>
                <w:sz w:val="20"/>
              </w:rPr>
              <w:t xml:space="preserve">2. Article 4, Civil Code of the Philippines: </w:t>
            </w:r>
            <w:r>
              <w:rPr>
                <w:rFonts w:ascii="Calibri" w:hAnsi="Calibri"/>
                <w:color w:val="212529"/>
                <w:sz w:val="20"/>
              </w:rPr>
              <w:t>General rule on prospectivity ('Laws shall have no retroactive effect, unless the contrary is provided').</w:t>
            </w:r>
          </w:p>
          <w:p>
            <w:pPr>
              <w:spacing w:before="20" w:after="40" w:line="276" w:lineRule="auto"/>
            </w:pPr>
            <w:r>
              <w:rPr>
                <w:rFonts w:ascii="Calibri" w:hAnsi="Calibri"/>
                <w:b/>
                <w:color w:val="212529"/>
                <w:sz w:val="20"/>
              </w:rPr>
              <w:t xml:space="preserve">3. Exception for Remedial, Curative, and Social Legislation: </w:t>
            </w:r>
            <w:r>
              <w:rPr>
                <w:rFonts w:ascii="Calibri" w:hAnsi="Calibri"/>
                <w:color w:val="212529"/>
                <w:sz w:val="20"/>
              </w:rPr>
              <w:t>Statutes enacted to remedy public evils and protect vulnerable consumers apply to existing situations.</w:t>
            </w:r>
          </w:p>
          <w:p>
            <w:pPr>
              <w:spacing w:before="20" w:after="40" w:line="276" w:lineRule="auto"/>
            </w:pPr>
            <w:r>
              <w:rPr>
                <w:rFonts w:ascii="Calibri" w:hAnsi="Calibri"/>
                <w:b/>
                <w:color w:val="212529"/>
                <w:sz w:val="20"/>
              </w:rPr>
              <w:t xml:space="preserve">4. Salus Populi Est Suprema Lex (the welfare of the people is the supreme law): </w:t>
            </w:r>
            <w:r>
              <w:rPr>
                <w:rFonts w:ascii="Calibri" w:hAnsi="Calibri"/>
                <w:color w:val="212529"/>
                <w:sz w:val="20"/>
              </w:rPr>
              <w:t>Police power legislation overrides private contractual stipulations to protect public welfare.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23 PD 957, Article 4 Civil Code exceptions,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23 of PD 957, construed as an exception to Article 4 of the Civil Code under the doctrines of Remedial Statute Retroactivity and Salus populi est suprema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and Intent of PD 957: </w:t>
            </w:r>
            <w:r>
              <w:rPr>
                <w:rFonts w:ascii="Calibri" w:hAnsi="Calibri"/>
                <w:color w:val="212529"/>
                <w:sz w:val="20"/>
              </w:rPr>
              <w:t>The decree was enacted to curb fraudulent and unscrupulous practices of subdivision developers who victimized innocent lot buyers.</w:t>
            </w:r>
          </w:p>
          <w:p>
            <w:pPr>
              <w:spacing w:before="20" w:after="40" w:line="276" w:lineRule="auto"/>
            </w:pPr>
            <w:r>
              <w:rPr>
                <w:rFonts w:ascii="Calibri" w:hAnsi="Calibri"/>
                <w:b/>
                <w:color w:val="212529"/>
                <w:sz w:val="20"/>
              </w:rPr>
              <w:t xml:space="preserve">2. Retroactivity of Curative and Remedial Laws: </w:t>
            </w:r>
            <w:r>
              <w:rPr>
                <w:rFonts w:ascii="Calibri" w:hAnsi="Calibri"/>
                <w:color w:val="212529"/>
                <w:sz w:val="20"/>
              </w:rPr>
              <w:t>A remedial or curative statute intended to correct an existing public mischief applies to all transactions whose evils it sought to remedy, even if entered into before enactment.</w:t>
            </w:r>
          </w:p>
          <w:p>
            <w:pPr>
              <w:spacing w:before="20" w:after="40" w:line="276" w:lineRule="auto"/>
            </w:pPr>
            <w:r>
              <w:rPr>
                <w:rFonts w:ascii="Calibri" w:hAnsi="Calibri"/>
                <w:b/>
                <w:color w:val="212529"/>
                <w:sz w:val="20"/>
              </w:rPr>
              <w:t xml:space="preserve">3. Police Power and Non-Impairment Clause: </w:t>
            </w:r>
            <w:r>
              <w:rPr>
                <w:rFonts w:ascii="Calibri" w:hAnsi="Calibri"/>
                <w:color w:val="212529"/>
                <w:sz w:val="20"/>
              </w:rPr>
              <w:t>Freedom of contract is subordinate to the police power of the State. The non-impairment clause must yield to legislation enacted for public interest and consumer protection.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why PD 957 was passed: thousands of Filipinos were being cheated by developers who took money and abandoned empty fields. If the law only protected future buyers, it would leave thousands of existing victims unprotected. Because it is a curative law, it acts retroactively to protect all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exception to prospectivity. PD 957 is remedial social legislation. To fulfill Ratio Legis and protect consumers against developer fraud, its curative provisions apply retroactively to pre-existing installment sales."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Executive Secretary and HLURB, UPHOLDING the buyer's right to suspend payments and ORDERING the developer to deliver clean title or refund payments with interest.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lost; the buyer's suspension of payments was upheld, and the developer was ordered to deliver the lot or refund the money.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retroactive application of PD 957, protecting the buyer's right to suspend payments against the defaulting developer."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h. Consideration of Statute as a Whole (PD 957 / Buyer Protection)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The general rule of prospectivity yields to the recognized exception for remedial, curative, and social welfare statutes.</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Consumer protective decrees enacted under police power override private contractual claims.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intent to eradicate real estate fraud justifies retroactive protection for all victimized buyers.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h. Consideration of Statute as a Whole (PD 957 / Buyer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prospicit, non respicit</w:t>
              <w:br/>
              <w:t>(the law looks forward, not backward / general rule on prospectivity yields to remedial and curative social legislation)</w:t>
              <w:br/>
              <w:br/>
              <w:t>Secondary:</w:t>
              <w:br/>
              <w:t>• Salus populi est suprema lex (the welfare of the people is supreme law)</w:t>
              <w:br/>
              <w:t>• Ratio legis est anima legis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shield his fraudulent non-development behind the general rule on prospectivity to deprive the buyer of statutory remedy.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Curative and Remedial Exception to Prospectivity: Statutes enacted to cure administrative defects, prevent consumer exploitation, and advance social justice are given retroactive application.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While laws usually look forward, laws made to cure widespread fraud and protect cheated consumers reach back to fix existing problems.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Eugenio v. Drilon is the benchmark case for the retroactive application of remedial and social legislation—qualifying the general maxim Lex prospicit non respicit."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Florencio Eugenio v. Executive Secretary Franklin M. Drilon, Housing and Land Use Regulatory Board (HLURB), and Prospero Palmiano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109404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22,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1972 (prior to the enactment of P.D. No. 957 in 1976), private respondent Prospero Palmiano purchased two subdivision lots on installment from subdivision developer Florencio Eugenio. In 1976, P.D. No. 957 took effect, Section 23 of which gives buyers the right to suspend installment payments if the developer fails to develop the subdivision according to approved plans. Palmiano suspended payment because Eugenio completely failed to construct roads, drainage, and facilities. Eugenio cancelled the sale and sold the lots to a third party. When Palmiano filed an action before the HLURB to enforce his rights, Eugenio argued that P.D. No. 957 cannot be applied retroactively to a contract entered into in 1972 without violating the non-retroactivity of laws and non-impairment of contracts.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23, Presidential Decree No. 957: Right of installment buyer to suspend payment upon developer's failure to develop facilities.</w:t>
              <w:br/>
              <w:t>2. Article 4, Civil Code of the Philippines: General rule on prospectivity ('Laws shall have no retroactive effect, unless the contrary is provided').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shield his fraudulent non-development behind the general rule on prospectivity to deprive the buyer of statutory remedy.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Presidential Decree No. 957 (Section 23) applies retroactively to protect a lot buyer under an installment sale executed prior to the decree's enactment in 1976.</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Florencio Eugenio v. Executive Secretary Franklin M. Drilon, Housing and Land Use Regulatory Board (HLURB), and Prospero Palmiano, under the canon of Lex prospicit, non respicit.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23, Presidential Decree No. 957: Right of installment buyer to suspend payment upon developer's failure to develop facilities.</w:t>
              <w:br/>
              <w:t>2. Article 4, Civil Code of the Philippines: General rule on prospectivity ('Laws shall have no retroactive effect, unless the contrary is provided').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developer attempted to shield his fraudulent non-development behind the general rule on prospectivity to deprive the...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Executive Secretary and HLURB, UPHOLDING the buyer's right to suspend payments and ORDERING the developer to deliver clean title or refund payments with interest.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Presidential Decree No. 957 applies RETROACTIVELY to contracts entered into before its enactment. As a remedial, curative, and social justice statute enacted under the police power, its protective provisions apply to pre-existing contracts.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shield his fraudulent non-development behind the general rule on prospectivity to deprive the buyer of statutory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prospicit, non respicit</w:t>
              <w:br/>
              <w:t xml:space="preserve">   - Application: Curative and Remedial Exception to Prospectivity: Statutes enacted to cure administrative defects, prevent consumer exploitation, and advance social justice are given retroactive application.</w:t>
              <w:br/>
              <w:t xml:space="preserve">   - Result: Yes. While laws are generally prospective, social legislation and curative laws enacted under police power to protect vulnerable citizens apply retroactively to cure existing abuses.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fundamental principle that laws and judicial constructions operate prospectively unless the legislative intent for retroactivity is expressly declared or clearly implied.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(the welfare of the people is supreme law)</w:t>
              <w:br/>
              <w:t>• Ratio legis est anima legis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Florencio Eugenio v. Executive Secretary Franklin M. Drilon, Housing and Land Use Regulatory Board (HLURB), and Prospero Palmiano to mean and apply strictly in accordance with Lex prospicit, non respicit, holding that Yes. While laws are generally prospective, social legislation and curative laws enacted under police power to protect vulnerable citizens apply retroactively to.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why PD 957 was passed: thousands of Filipinos were being cheated by developers who took money and abandoned empty fields. If the law only protected future buyers, it would leave thousands of existing victims unprotected. Because it is a curative law, it acts retroactively to protect all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prospicit, non respicit,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Curative and Remedial Exception to Prospectivity: Statutes enacted to cure administrative defects, prevent consumer exploitation, and advance social justice are given retroactive application.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While laws usually look forward, laws made to cure widespread fraud and protect cheated consumers reach back to fix existing problems.</w:t>
            </w:r>
          </w:p>
        </w:tc>
      </w:tr>
    </w:tbl>
    <w:p>
      <w:r>
        <w:br w:type="page"/>
      </w:r>
    </w:p>
    <w:p>
      <w:pPr>
        <w:keepNext/>
        <w:spacing w:before="320" w:after="80"/>
      </w:pPr>
      <w:r>
        <w:rPr>
          <w:rFonts w:ascii="Arial" w:hAnsi="Arial"/>
          <w:b/>
          <w:color w:val="0F2043"/>
          <w:sz w:val="26"/>
        </w:rPr>
        <w:t>9. ALONZO V. INTERMEDIATE APPELLATE COURT AND TECLA PADUA</w:t>
      </w:r>
    </w:p>
    <w:p>
      <w:pPr>
        <w:spacing w:before="40" w:after="80" w:line="276" w:lineRule="auto"/>
      </w:pPr>
      <w:r>
        <w:rPr>
          <w:rFonts w:ascii="Calibri" w:hAnsi="Calibri"/>
          <w:b/>
          <w:color w:val="212529"/>
          <w:sz w:val="21"/>
        </w:rPr>
        <w:t xml:space="preserve">Citation: </w:t>
      </w:r>
      <w:r>
        <w:rPr>
          <w:rFonts w:ascii="Calibri" w:hAnsi="Calibri"/>
          <w:i/>
          <w:color w:val="212529"/>
          <w:sz w:val="21"/>
        </w:rPr>
        <w:t>G.R. No. 72873 | May 28, 1987 | 150 SCRA 259 | First Division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Alonzo and Casimira Alonzo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Intermediate Appellate Court and Tecla Padua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Tarlac / Intermediate Appellate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legal redemption by co-heirs under Article 1088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siblings sold their inherited land shares to buyers who built a house and lived there openly for 13 years. More than a decade later, another sister tried to redeem the land, claiming she had the right to buy it back because she was never given a formal 'written notice' of the sale. The Supreme Court ruled that 13 years of actual knowledge is far better than a piece of paper, and the law will not allow a party to weaponize a literal technicality to commit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co-heir demand to redeem land 13 years after the sale by arguing that she never received a formal written notice, even though she lived right next to the buyers the whole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notice satisfies the written notice requirement of Article 1088 of the Civil Code, testing the immortal doctrine that the Spirit and Intention of the Law Prevails Over the Letter (Ratio Legis / Scire Leges Non Hoc Est Verba Earum Tenere)."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right of redemption had LAPSED. Actual knowledge of the sale for over a decade dispensed with the need for written notice. The spirit and purpose of the law prevail over a rigid, literal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Isagani Cruz famously penned, 'The spirit, rather than the letter of a statute, determines its construction.' Under Ratio legis est anima legis and Scire leges non hoc est verba earum tenere (to know laws is not to know their words, but their force and power), actual knowledge for 13 years satisfies the statutory purpose of written notice."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1088, Civil Code of the Philippines: </w:t>
            </w:r>
            <w:r>
              <w:rPr>
                <w:rFonts w:ascii="Calibri" w:hAnsi="Calibri"/>
                <w:color w:val="212529"/>
                <w:sz w:val="20"/>
              </w:rPr>
              <w:t>Provides that co-heirs have 30 days to redeem sold shares from the date they are notified in writing by the vendor.</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purpose of the written notice requirement is solely to ensure that co-heirs have actual knowledge of the sale.</w:t>
            </w:r>
          </w:p>
          <w:p>
            <w:pPr>
              <w:spacing w:before="20" w:after="40" w:line="276" w:lineRule="auto"/>
            </w:pPr>
            <w:r>
              <w:rPr>
                <w:rFonts w:ascii="Calibri" w:hAnsi="Calibri"/>
                <w:b/>
                <w:color w:val="212529"/>
                <w:sz w:val="20"/>
              </w:rPr>
              <w:t xml:space="preserve">3. Scire Leges Non Hoc Est Verba Earum Tenere, Sed Vim Ac Potestatem (to know the laws is not to observe their words, but their force and power): </w:t>
            </w:r>
            <w:r>
              <w:rPr>
                <w:rFonts w:ascii="Calibri" w:hAnsi="Calibri"/>
                <w:color w:val="212529"/>
                <w:sz w:val="20"/>
              </w:rPr>
              <w:t>Judicial interpretation must prevent the law from being used to foster injustice or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1088 Civil Code, Ratio Legis Est Anima Legis, and Scire leges non hoc est verba earum tenere.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1088 of the Civil Code, interpreted through Ratio legis est anima legis (the reason of the law is its soul) and Scire leges non hoc est verba earum tenere (to know laws is to understand their spirit, not merely their words)."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Written Notice: </w:t>
            </w:r>
            <w:r>
              <w:rPr>
                <w:rFonts w:ascii="Calibri" w:hAnsi="Calibri"/>
                <w:color w:val="212529"/>
                <w:sz w:val="20"/>
              </w:rPr>
              <w:t>The written notice required by Article 1088 is not an ornamental sacramental ritual; its sole reason for existence is to inform the co-heir so that he can exercise redemption promptly.</w:t>
            </w:r>
          </w:p>
          <w:p>
            <w:pPr>
              <w:spacing w:before="20" w:after="40" w:line="276" w:lineRule="auto"/>
            </w:pPr>
            <w:r>
              <w:rPr>
                <w:rFonts w:ascii="Calibri" w:hAnsi="Calibri"/>
                <w:b/>
                <w:color w:val="212529"/>
                <w:sz w:val="20"/>
              </w:rPr>
              <w:t xml:space="preserve">2. Impossibility of Ignorance for 13 Years: </w:t>
            </w:r>
            <w:r>
              <w:rPr>
                <w:rFonts w:ascii="Calibri" w:hAnsi="Calibri"/>
                <w:color w:val="212529"/>
                <w:sz w:val="20"/>
              </w:rPr>
              <w:t>The co-heirs lived in the same vicinity, saw the buyers build a house, and coexisted for more than a decade. To claim ignorance due to absence of paper notice is bad faith and sheer absurdity.</w:t>
            </w:r>
          </w:p>
          <w:p>
            <w:pPr>
              <w:spacing w:before="20" w:after="40" w:line="276" w:lineRule="auto"/>
            </w:pPr>
            <w:r>
              <w:rPr>
                <w:rFonts w:ascii="Calibri" w:hAnsi="Calibri"/>
                <w:b/>
                <w:color w:val="212529"/>
                <w:sz w:val="20"/>
              </w:rPr>
              <w:t xml:space="preserve">3. Subordination of the Letter to Equity and Justice: </w:t>
            </w:r>
            <w:r>
              <w:rPr>
                <w:rFonts w:ascii="Calibri" w:hAnsi="Calibri"/>
                <w:color w:val="212529"/>
                <w:sz w:val="20"/>
              </w:rPr>
              <w:t>When the literal interpretation leads to patent injustice, absurdity, or mischief, the spirit and purpose of the statute must prevail.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Justice Cruz declared that courts must not be stymied by a pedantic allegiance to literal words. Since the co-heir had actual knowledge for over a decade, the 30-day redemption period had long expired under the true spirit of Article 1088."</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Intermediate Appellate Court, DISMISSED the complaint for legal redemption, and DECLARED the Alonzos' title absolute and indefeasible.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redemption suit was dismissed and the buyers were confirmed as absolute owners of the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appellate court and dismissed the redemption suit, holding that actual notice for 13 years barred redemption under the spirit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g. Construction to Avoid Absurdity &amp; Injustice (Spirit over Letter / Art. 1088)</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Scire leges non hoc est verba earum tenere, sed vim ac potestatem (to know laws is not to memorize their words, but to comprehend their intent and scope)</w:t>
              <w:br/>
            </w:r>
            <w:r>
              <w:rPr>
                <w:rFonts w:ascii="Calibri" w:hAnsi="Calibri"/>
                <w:b/>
                <w:color w:val="212529"/>
                <w:sz w:val="19"/>
              </w:rPr>
              <w:t xml:space="preserve">   • Literal English Translation: </w:t>
            </w:r>
            <w:r>
              <w:rPr>
                <w:rFonts w:ascii="Calibri" w:hAnsi="Calibri"/>
                <w:i/>
                <w:color w:val="212529"/>
                <w:sz w:val="19"/>
              </w:rPr>
              <w:t>To know the laws is not to hold their words, but their force and power.</w:t>
              <w:br/>
            </w:r>
            <w:r>
              <w:rPr>
                <w:rFonts w:ascii="Calibri" w:hAnsi="Calibri"/>
                <w:b/>
                <w:color w:val="212529"/>
                <w:sz w:val="19"/>
              </w:rPr>
              <w:t xml:space="preserve">   • Plain Legal Meaning &amp; StatCon Application: </w:t>
            </w:r>
            <w:r>
              <w:rPr>
                <w:rFonts w:ascii="Calibri" w:hAnsi="Calibri"/>
                <w:color w:val="212529"/>
                <w:sz w:val="19"/>
              </w:rPr>
              <w:t>True statutory interpretation grasps the underlying purpose rather than getting enslaved by literal phrasing.</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informational purpose of written notice was fully accomplished by 13 years of actual knowledge.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allow redemption 13 years later based on the absence of a written piece of paper.</w:t>
            </w:r>
          </w:p>
          <w:p>
            <w:pPr>
              <w:spacing w:before="40" w:after="60" w:line="276" w:lineRule="auto"/>
            </w:pPr>
            <w:r>
              <w:rPr>
                <w:rFonts w:ascii="Calibri" w:hAnsi="Calibri"/>
                <w:b/>
                <w:color w:val="8C3200"/>
                <w:sz w:val="20"/>
              </w:rPr>
              <w:t>4. Ius summum saepe summa malitia est (the highest law is often the greatest malice / extreme law is extreme injustice)</w:t>
              <w:br/>
            </w:r>
            <w:r>
              <w:rPr>
                <w:rFonts w:ascii="Calibri" w:hAnsi="Calibri"/>
                <w:b/>
                <w:color w:val="212529"/>
                <w:sz w:val="19"/>
              </w:rPr>
              <w:t xml:space="preserve">   • Literal English Translation: </w:t>
            </w:r>
            <w:r>
              <w:rPr>
                <w:rFonts w:ascii="Calibri" w:hAnsi="Calibri"/>
                <w:i/>
                <w:color w:val="212529"/>
                <w:sz w:val="19"/>
              </w:rPr>
              <w:t>Extreme law is extreme injustice.</w:t>
              <w:br/>
            </w:r>
            <w:r>
              <w:rPr>
                <w:rFonts w:ascii="Calibri" w:hAnsi="Calibri"/>
                <w:b/>
                <w:color w:val="212529"/>
                <w:sz w:val="19"/>
              </w:rPr>
              <w:t xml:space="preserve">   • Plain Legal Meaning &amp; StatCon Application: </w:t>
            </w:r>
            <w:r>
              <w:rPr>
                <w:rFonts w:ascii="Calibri" w:hAnsi="Calibri"/>
                <w:color w:val="212529"/>
                <w:sz w:val="19"/>
              </w:rPr>
              <w:t>A rigid, blind application of literal text produces injustice rather than law.</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g. Construction to Avoid Absurdity &amp; Injustice (Spirit over Letter / Art. 1088)</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Scire leges non hoc est verba earum tenere, sed vim ac potestatem</w:t>
              <w:br/>
              <w:t>(to know laws is to understand their spirit and power, not merely their literal words / Justice Isagani Cruz's landmark doctrine)</w:t>
              <w:br/>
              <w:br/>
              <w:t>Secondary:</w:t>
              <w:br/>
              <w:t>• Ratio legis est anima legis (the reason of the law is its soul)</w:t>
              <w:br/>
              <w:t>• Lex non intendit absurdum (the law does not intend absurdity)</w:t>
              <w:br/>
              <w:t>• Ius summum saepe summa malitia est (extreme literalism is extreme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grave error by adhering to a blind, mechanical literalism that rewarded bad faith and produced gross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Spirit Over the Letter Doctrine: The letter of the law killeth, but the spirit giveth life. When literal adherence defeats legislative intent and produces injustice, the spirit governs.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are not robots; they must interpret the law with wisdom, common sense, and fairness, ensuring the spirit of the law defeats legalistic trickery.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Alonzo v. IAC is the supreme landmark decision penned by Justice Isagani Cruz on Ratio Legis and Scire Leges: the spirit of the law must always triumph over the literal letter to prevent absurdity and injustice."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Alonzo v. Intermediate Appellate Court and Tecla Padua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grave error by adhering to a blind, mechanical literalism that rewarded bad faith and produced gross injustice.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Alonzo v. Intermediate Appellate Court and Tecla Padua, under the canon of Scire leges non hoc est verba earum tenere, sed vim ac potestatem.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grave error by adhering to a blind, mechanical literalism that rewarded bad faith and prod...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Intermediate Appellate Court, DISMISSED the complaint for legal redemption, and DECLARED the Alonzos' title absolute and indefeasible.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right of redemption had LAPSED. Actual knowledge of the sale for over a decade dispensed with the need for written notice. The spirit and purpose of the law prevail over a rigid, literal requirement.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Scire leges non hoc est verba earum tenere, sed vim ac potestatem</w:t>
              <w:br/>
              <w:t xml:space="preserve">   - Application: The Spirit Over the Letter Doctrine: The letter of the law killeth, but the spirit giveth life. When literal adherence defeats legislative intent and produces injustice, the spirit governs.</w:t>
              <w:br/>
              <w:t xml:space="preserve">   - Result: 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(the reason of the law is its soul)</w:t>
              <w:br/>
              <w:t>• Lex non intendit absurdum (the law does not intend absurdity)</w:t>
              <w:br/>
              <w:t>• Ius summum saepe summa malitia est (extreme literalism is extreme injustice)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Alonzo v. Intermediate Appellate Court and Tecla Padua to mean and apply strictly in accordance with Scire leges non hoc est verba earum tenere, sed vim ac potestatem, holding that Yes, the right to redeem expired long ago. Written notice is just a tool to give knowledge. When a co-heir has lived next to the buyer's house for 13 years, she.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Scire leges non hoc est verba earum tenere, sed vim ac potestatem,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Spirit Over the Letter Doctrine: The letter of the law killeth, but the spirit giveth life. When literal adherence defeats legislative intent and produces injustice, the spirit governs.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are not robots; they must interpret the law with wisdom, common sense, and fairness, ensuring the spirit of the law defeats legalistic trickery.</w:t>
            </w:r>
          </w:p>
        </w:tc>
      </w:tr>
    </w:tbl>
    <w:p>
      <w:r>
        <w:br w:type="page"/>
      </w:r>
    </w:p>
    <w:p>
      <w:pPr>
        <w:keepNext/>
        <w:spacing w:before="320" w:after="80"/>
      </w:pPr>
      <w:r>
        <w:rPr>
          <w:rFonts w:ascii="Arial" w:hAnsi="Arial"/>
          <w:b/>
          <w:color w:val="0F2043"/>
          <w:sz w:val="26"/>
        </w:rPr>
        <w:t>10. JOSE V. MELCHOR, JR. V. COMMISSION ON AUDIT</w:t>
      </w:r>
    </w:p>
    <w:p>
      <w:pPr>
        <w:spacing w:before="40" w:after="80" w:line="276" w:lineRule="auto"/>
      </w:pPr>
      <w:r>
        <w:rPr>
          <w:rFonts w:ascii="Calibri" w:hAnsi="Calibri"/>
          <w:b/>
          <w:color w:val="212529"/>
          <w:sz w:val="21"/>
        </w:rPr>
        <w:t xml:space="preserve">Citation: </w:t>
      </w:r>
      <w:r>
        <w:rPr>
          <w:rFonts w:ascii="Calibri" w:hAnsi="Calibri"/>
          <w:i/>
          <w:color w:val="212529"/>
          <w:sz w:val="21"/>
        </w:rPr>
        <w:t>G.R. No. 95398 | August 16, 1991 | 200 SCRA 704 | En Banc | Ponente: J. Gutierrez,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V. Melchor,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Audit (COA)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(COA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COA decision disallowing payments for completed infrastructure repair work based on absence of prior public bidding and certificate of availability of funds.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hired contractors to fix storm-damaged facilities. The contractors finished the work and the government used the buildings. The COA auditor disallowed the payments because the project lacked prior public bidding and an advance funding certificate, ordering the agency head to pay millions out of his own pocket. The Supreme Court ruled that because the government got the benefit of the completed work, it cannot unjustifiably enrich itself: under the principle of Quantum Meruit, the contractor must be paid the fair value of the work, and the official is not personally liable where there is no fraud.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government keep the benefits of completed repair work for free and make a public official pay out of his own pocket just because technical bidding papers were missing?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principle of Quantum Meruit applies to compensate completed government contracts despite procedural auditing defects under PD 1445, testing the canon that the Law Does Not Intend Unjust Enrichment (Nemo Cum Alterius Detrimento Locupletari Potest / Lex Non Intendit Absurdum)."</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doctrine of Quantum Meruit (as much as he deserved) and the equitable maxim Nemo cum alterius detrimento locupletari potest (no one should be enriched at the expense of another), the government cannot keep the benefit of completed work without compensating the contractor, and personal liability cannot be imposed on an official in the absence of bad faith or fraud."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85, 86, and 87, Presidential Decree No. 1445 (Government Auditing Code): </w:t>
            </w:r>
            <w:r>
              <w:rPr>
                <w:rFonts w:ascii="Calibri" w:hAnsi="Calibri"/>
                <w:color w:val="212529"/>
                <w:sz w:val="20"/>
              </w:rPr>
              <w:t>Auditing requirements for government contracts, balanced against equitable principles of public contracting.</w:t>
            </w:r>
          </w:p>
          <w:p>
            <w:pPr>
              <w:spacing w:before="20" w:after="40" w:line="276" w:lineRule="auto"/>
            </w:pPr>
            <w:r>
              <w:rPr>
                <w:rFonts w:ascii="Calibri" w:hAnsi="Calibri"/>
                <w:b/>
                <w:color w:val="212529"/>
                <w:sz w:val="20"/>
              </w:rPr>
              <w:t xml:space="preserve">2. Quantum Meruit (as much as he deserved): </w:t>
            </w:r>
            <w:r>
              <w:rPr>
                <w:rFonts w:ascii="Calibri" w:hAnsi="Calibri"/>
                <w:color w:val="212529"/>
                <w:sz w:val="20"/>
              </w:rPr>
              <w:t>Equitable remedy allowing compensation for actual value of goods or services rendered and accepted.</w:t>
            </w:r>
          </w:p>
          <w:p>
            <w:pPr>
              <w:spacing w:before="20" w:after="40" w:line="276" w:lineRule="auto"/>
            </w:pPr>
            <w:r>
              <w:rPr>
                <w:rFonts w:ascii="Calibri" w:hAnsi="Calibri"/>
                <w:b/>
                <w:color w:val="212529"/>
                <w:sz w:val="20"/>
              </w:rPr>
              <w:t xml:space="preserve">3. Nemo Cum Alterius Detrimento Locupletari Potest (no one shall enrich himself at the expense of another): </w:t>
            </w:r>
            <w:r>
              <w:rPr>
                <w:rFonts w:ascii="Calibri" w:hAnsi="Calibri"/>
                <w:color w:val="212529"/>
                <w:sz w:val="20"/>
              </w:rPr>
              <w:t>Fundamental principle against unjust enrichment by the government.</w:t>
            </w:r>
          </w:p>
          <w:p>
            <w:pPr>
              <w:spacing w:before="20" w:after="40" w:line="276" w:lineRule="auto"/>
            </w:pPr>
            <w:r>
              <w:rPr>
                <w:rFonts w:ascii="Calibri" w:hAnsi="Calibri"/>
                <w:b/>
                <w:color w:val="212529"/>
                <w:sz w:val="20"/>
              </w:rPr>
              <w:t xml:space="preserve">4. Lex Non Intendit Aliquid Impossibile Aut Absurdum (the law does not intend anything impossible or absurd): </w:t>
            </w:r>
            <w:r>
              <w:rPr>
                <w:rFonts w:ascii="Calibri" w:hAnsi="Calibri"/>
                <w:color w:val="212529"/>
                <w:sz w:val="20"/>
              </w:rPr>
              <w:t>Statutory auditing rules must not be construed to authorize state confiscation of private labor.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Quantum Meruit,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harmonized with the doctrine of Quantum Meruit and the bedrock maxim Nemo cum alterius detrimento locupletari potest (no one shall enrich himself at another's loss)."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Prevention of Government Unjust Enrichment: </w:t>
            </w:r>
            <w:r>
              <w:rPr>
                <w:rFonts w:ascii="Calibri" w:hAnsi="Calibri"/>
                <w:color w:val="212529"/>
                <w:sz w:val="20"/>
              </w:rPr>
              <w:t>The government received and currently enjoys the full benefit of the typhoon repair work. To deny compensation would amount to state enrichment at the expense of private contractors.</w:t>
            </w:r>
          </w:p>
          <w:p>
            <w:pPr>
              <w:spacing w:before="20" w:after="40" w:line="276" w:lineRule="auto"/>
            </w:pPr>
            <w:r>
              <w:rPr>
                <w:rFonts w:ascii="Calibri" w:hAnsi="Calibri"/>
                <w:b/>
                <w:color w:val="212529"/>
                <w:sz w:val="20"/>
              </w:rPr>
              <w:t xml:space="preserve">2. Scope of Quantum Meruit in Government Contracts: </w:t>
            </w:r>
            <w:r>
              <w:rPr>
                <w:rFonts w:ascii="Calibri" w:hAnsi="Calibri"/>
                <w:color w:val="212529"/>
                <w:sz w:val="20"/>
              </w:rPr>
              <w:t>Where a contract is invalid solely due to procedural auditing omissions but involves no fraud or overpricing, equity demands compensation based on the reasonable value of labor and materials.</w:t>
            </w:r>
          </w:p>
          <w:p>
            <w:pPr>
              <w:spacing w:before="20" w:after="40" w:line="276" w:lineRule="auto"/>
            </w:pPr>
            <w:r>
              <w:rPr>
                <w:rFonts w:ascii="Calibri" w:hAnsi="Calibri"/>
                <w:b/>
                <w:color w:val="212529"/>
                <w:sz w:val="20"/>
              </w:rPr>
              <w:t xml:space="preserve">3. Public Officer Good Faith: </w:t>
            </w:r>
            <w:r>
              <w:rPr>
                <w:rFonts w:ascii="Calibri" w:hAnsi="Calibri"/>
                <w:color w:val="212529"/>
                <w:sz w:val="20"/>
              </w:rPr>
              <w:t>An administrative official who acted in good faith to address an emergency without personal gain cannot be held personally liable for the contractor's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Quantum Meruit and equitable statutory interpretation. While auditing rules under PD 1445 are mandatory, they cannot be interpreted to allow the State to confiscate private work without compensation. The Court relieved the official of personal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COA disallowance, AUTHORIZED payment to the contractors on the basis of QUANTUM MERUIT, and ABSOLVED petitioner Jose Melchor, Jr. from personal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disallowance was set aside; contractors were ordered paid under quantum meruit, and the official was cleared of personal liability.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personal disallowance and authorized payment on quantum meruit, preventing unjust enrichment by the State."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g. Construction to Avoid Injustice (COA Quantum Meruit Compensation)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Nemo cum alterius detrimento locupletari potest (no one should be enriched to the damage or injury of another)</w:t>
              <w:br/>
            </w:r>
            <w:r>
              <w:rPr>
                <w:rFonts w:ascii="Calibri" w:hAnsi="Calibri"/>
                <w:b/>
                <w:color w:val="212529"/>
                <w:sz w:val="19"/>
              </w:rPr>
              <w:t xml:space="preserve">   • Literal English Translation: </w:t>
            </w:r>
            <w:r>
              <w:rPr>
                <w:rFonts w:ascii="Calibri" w:hAnsi="Calibri"/>
                <w:i/>
                <w:color w:val="212529"/>
                <w:sz w:val="19"/>
              </w:rPr>
              <w:t>No one should be enriched at another's expense.</w:t>
              <w:br/>
            </w:r>
            <w:r>
              <w:rPr>
                <w:rFonts w:ascii="Calibri" w:hAnsi="Calibri"/>
                <w:b/>
                <w:color w:val="212529"/>
                <w:sz w:val="19"/>
              </w:rPr>
              <w:t xml:space="preserve">   • Plain Legal Meaning &amp; StatCon Application: </w:t>
            </w:r>
            <w:r>
              <w:rPr>
                <w:rFonts w:ascii="Calibri" w:hAnsi="Calibri"/>
                <w:color w:val="212529"/>
                <w:sz w:val="19"/>
              </w:rPr>
              <w:t>The government cannot use auditing technicalities to confiscate completed private work for free.</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interpret auditing statutes as permitting state confiscation of completed repairs.</w:t>
            </w:r>
          </w:p>
          <w:p>
            <w:pPr>
              <w:spacing w:before="40" w:after="60" w:line="276" w:lineRule="auto"/>
            </w:pPr>
            <w:r>
              <w:rPr>
                <w:rFonts w:ascii="Calibri" w:hAnsi="Calibri"/>
                <w:b/>
                <w:color w:val="8C3200"/>
                <w:sz w:val="20"/>
              </w:rPr>
              <w:t>3. Quantum meruit (as much as he deserved)</w:t>
              <w:br/>
            </w:r>
            <w:r>
              <w:rPr>
                <w:rFonts w:ascii="Calibri" w:hAnsi="Calibri"/>
                <w:b/>
                <w:color w:val="212529"/>
                <w:sz w:val="19"/>
              </w:rPr>
              <w:t xml:space="preserve">   • Literal English Translation: </w:t>
            </w:r>
            <w:r>
              <w:rPr>
                <w:rFonts w:ascii="Calibri" w:hAnsi="Calibri"/>
                <w:i/>
                <w:color w:val="212529"/>
                <w:sz w:val="19"/>
              </w:rPr>
              <w:t>As much as he deserved.</w:t>
              <w:br/>
            </w:r>
            <w:r>
              <w:rPr>
                <w:rFonts w:ascii="Calibri" w:hAnsi="Calibri"/>
                <w:b/>
                <w:color w:val="212529"/>
                <w:sz w:val="19"/>
              </w:rPr>
              <w:t xml:space="preserve">   • Plain Legal Meaning &amp; StatCon Application: </w:t>
            </w:r>
            <w:r>
              <w:rPr>
                <w:rFonts w:ascii="Calibri" w:hAnsi="Calibri"/>
                <w:color w:val="212529"/>
                <w:sz w:val="19"/>
              </w:rPr>
              <w:t>Fair and reasonable compensation must be paid for actual benefits accepted and used by the government.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g. Construction to Avoid Injustice (COA Quantum Meruit Compensation)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Nemo cum alterius detrimento locupletari potest</w:t>
              <w:br/>
              <w:t>(no one should be enriched at the expense of another / government cannot invoke technical contract nullity to confiscate completed works without compensation)</w:t>
              <w:br/>
              <w:br/>
              <w:t>Secondary:</w:t>
              <w:br/>
              <w:t>• Quantum meruit (as much as he deserved)</w:t>
              <w:br/>
              <w:t>• Lex non intendit absurdum (the law does not intend absurdity)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COA interpreted auditing rules with mechanical rigidity to confiscate private construction work without compensation, creating unjust enrichment.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laws must be applied with fairness; the government cannot take private services and refuse to pay by crying technicality.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Melchor v. COA establishes that statutory auditing rules under PD 1445 cannot override the equitable principle against unjust enrichment—authorizing payment under Quantum Meruit."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V. Melchor, Jr. v. Commission on Audit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95398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16, 1991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COA interpreted auditing rules with mechanical rigidity to confiscate private construction work without compensation, creating unjust enrichment.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V. Melchor, Jr. v. Commission on Audit, under the canon of Nemo cum alterius detrimento locupletari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COA interpreted auditing rules with mechanical rigidity to confiscate private construction work without compensation, cr...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COA disallowance, AUTHORIZED payment to the contractors on the basis of QUANTUM MERUIT, and ABSOLVED petitioner Jose Melchor, Jr. from personal liability.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COA interpreted auditing rules with mechanical rigidity to confiscate private construction work without compensation, creating unjust enrich.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Nemo cum alterius detrimento locupletari potest</w:t>
              <w:br/>
              <w:t xml:space="preserve">   - Application: Equitable Construction Against Unjust Enrichment: Auditing statutes must be construed in harmony with equity; procedural defects will not bar recovery on quantum meruit for completed, beneficial works.</w:t>
              <w:br/>
              <w:t xml:space="preserve">   - Result: 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Quantum meruit (as much as he deserved)</w:t>
              <w:br/>
              <w:t>• Lex non intendit absurdum (the law does not intend absurdity)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V. Melchor, Jr. v. Commission on Audit to mean and apply strictly in accordance with Nemo cum alterius detrimento locupletari potest, holding that No. The government cannot take completed buildings for free. Under Quantum Meruit, the contractor is entitled to fair payment for actual work done, and an offic.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Nemo cum alterius detrimento locupletari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Auditing laws must be applied with fairness; the government cannot take private services and refuse to pay by crying technicality.</w:t>
            </w:r>
          </w:p>
        </w:tc>
      </w:tr>
    </w:tbl>
    <w:p>
      <w:r>
        <w:br w:type="page"/>
      </w:r>
    </w:p>
    <w:p>
      <w:pPr>
        <w:keepNext/>
        <w:spacing w:before="320" w:after="80"/>
      </w:pPr>
      <w:r>
        <w:rPr>
          <w:rFonts w:ascii="Arial" w:hAnsi="Arial"/>
          <w:b/>
          <w:color w:val="0F2043"/>
          <w:sz w:val="26"/>
        </w:rPr>
        <w:t>11. PEOPLE OF THE PHILIPPINES V. PATRICIO GARCIA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L-2873 | February 28, 1950 | 85 Phil. 651 | En Banc | Ponente: J. Tuason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Patricio Garcia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criminal conviction for Robbery with Homicide involving the statutory benefit of suspended sentence under Article 80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17-year-old boy committed a robbery. By the time his trial finished, he was 20 years old. The law (Article 80 RPC) gives juvenile delinquents suspended sentences instead of prison, sending them to reformatories. The trial judge refused to grant the youth reformatory benefits, saying the accused was already an adult on the day of sentencing. The Supreme Court ruled that age at the time the crime was committed determines whether you get the benefit of the youth rehabilitation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teenager get the benefit of the juvenile suspended sentence law if he was 17 when he committed the crime, but turned 20 before the judge finished the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80 RPC applies based on the age of the offender at the time of the commission of the offense rather than at the time of trial or judgment, testing the canon Favorabilia Sunt Amplianda, Odiosa Restringenda (favorable things should be enlarged, hateful things restricted) and In Dubio Pro Reo."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the canon Favorabilia sunt amplianda, odiosa restringenda (matters of favor are enlarged, and hateful matters restricted) and strict construction of penal laws in favor of the accused, the Supreme Court held that the age at the time of the commission of the crime controls, preserving juvenile reformatory benefits."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80, Revised Penal Code (as amended): </w:t>
            </w:r>
            <w:r>
              <w:rPr>
                <w:rFonts w:ascii="Calibri" w:hAnsi="Calibri"/>
                <w:color w:val="212529"/>
                <w:sz w:val="20"/>
              </w:rPr>
              <w:t>Suspension of sentence and commitment of juvenile delinquents to training institutions.</w:t>
            </w:r>
          </w:p>
          <w:p>
            <w:pPr>
              <w:spacing w:before="20" w:after="40" w:line="276" w:lineRule="auto"/>
            </w:pPr>
            <w:r>
              <w:rPr>
                <w:rFonts w:ascii="Calibri" w:hAnsi="Calibri"/>
                <w:b/>
                <w:color w:val="212529"/>
                <w:sz w:val="20"/>
              </w:rPr>
              <w:t xml:space="preserve">2. Favorabilia Sunt Amplianda, Odiosa Restringenda (favorable things should be enlarged, odious things restricted): </w:t>
            </w:r>
            <w:r>
              <w:rPr>
                <w:rFonts w:ascii="Calibri" w:hAnsi="Calibri"/>
                <w:color w:val="212529"/>
                <w:sz w:val="20"/>
              </w:rPr>
              <w:t>Beneficial statutory provisions are interpreted broadly, while punitive or restrictive rules are interpreted narrowly.</w:t>
            </w:r>
          </w:p>
          <w:p>
            <w:pPr>
              <w:spacing w:before="20" w:after="40" w:line="276" w:lineRule="auto"/>
            </w:pPr>
            <w:r>
              <w:rPr>
                <w:rFonts w:ascii="Calibri" w:hAnsi="Calibri"/>
                <w:b/>
                <w:color w:val="212529"/>
                <w:sz w:val="20"/>
              </w:rPr>
              <w:t xml:space="preserve">3. In Favorem Libertatis / In Dubio Pro Reo (in favor of liberty / in doubt, rule for the accused): </w:t>
            </w:r>
            <w:r>
              <w:rPr>
                <w:rFonts w:ascii="Calibri" w:hAnsi="Calibri"/>
                <w:color w:val="212529"/>
                <w:sz w:val="20"/>
              </w:rPr>
              <w:t>All doubts in criminal statutory provisions are resolved in favor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80 RPC, Favorabilia Sunt Amplianda, Odiosa Restringenda, and In Favorem Libertatis.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80 RPC, governed by Favorabilia sunt amplianda, odiosa restringenda (favorable things enlarged, hateful things restricted) and In favorem libertatis (in favor of personal liberty)."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Juvenile Delinquency Legislation: </w:t>
            </w:r>
            <w:r>
              <w:rPr>
                <w:rFonts w:ascii="Calibri" w:hAnsi="Calibri"/>
                <w:color w:val="212529"/>
                <w:sz w:val="20"/>
              </w:rPr>
              <w:t>The primary intention of Article 80 RPC is reformative and rehabilitative rather than retributive, recognizing the immature discernment of youthful offenders.</w:t>
            </w:r>
          </w:p>
          <w:p>
            <w:pPr>
              <w:spacing w:before="20" w:after="40" w:line="276" w:lineRule="auto"/>
            </w:pPr>
            <w:r>
              <w:rPr>
                <w:rFonts w:ascii="Calibri" w:hAnsi="Calibri"/>
                <w:b/>
                <w:color w:val="212529"/>
                <w:sz w:val="20"/>
              </w:rPr>
              <w:t xml:space="preserve">2. Prevention of Prejudice Through Court Delay: </w:t>
            </w:r>
            <w:r>
              <w:rPr>
                <w:rFonts w:ascii="Calibri" w:hAnsi="Calibri"/>
                <w:color w:val="212529"/>
                <w:sz w:val="20"/>
              </w:rPr>
              <w:t>An accused should not be deprived of statutory leniency and juvenile protection simply because judicial proceedings were delayed through no fault of his own.</w:t>
            </w:r>
          </w:p>
          <w:p>
            <w:pPr>
              <w:spacing w:before="20" w:after="40" w:line="276" w:lineRule="auto"/>
            </w:pPr>
            <w:r>
              <w:rPr>
                <w:rFonts w:ascii="Calibri" w:hAnsi="Calibri"/>
                <w:b/>
                <w:color w:val="212529"/>
                <w:sz w:val="20"/>
              </w:rPr>
              <w:t xml:space="preserve">3. Liberal Construction of Beneficial Provisions: </w:t>
            </w:r>
            <w:r>
              <w:rPr>
                <w:rFonts w:ascii="Calibri" w:hAnsi="Calibri"/>
                <w:color w:val="212529"/>
                <w:sz w:val="20"/>
              </w:rPr>
              <w:t>Statutes that alleviate the harshness of criminal punishment must be given the most expansive, favorable interpretation permitted by reason.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Favorabilia Sunt Amplianda. The purpose of juvenile legislation is rehabilitation. Interpreting the law to require minority at the date of sentence would make youth benefits depend on accidental court delays, defeating the humane intent of the legislature."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prison sentence and ORDERED the trial court to apply the rehabilitative benefits of Article 80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youth was granted the benefits of juvenile rehabilitation rather than adult prison.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regular prison penalty, holding that age at the time of the offense governs under the rule of liberal construction of beneficial penal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A. General Guidelines -&gt; i. Give Effect to Every Word of Statute (RPC Art. 80 / Juvenile Suspension)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to be extended, matters of burden or penalty are to be restrained.</w:t>
              <w:br/>
            </w:r>
            <w:r>
              <w:rPr>
                <w:rFonts w:ascii="Calibri" w:hAnsi="Calibri"/>
                <w:b/>
                <w:color w:val="212529"/>
                <w:sz w:val="19"/>
              </w:rPr>
              <w:t xml:space="preserve">   • Plain Legal Meaning &amp; StatCon Application: </w:t>
            </w:r>
            <w:r>
              <w:rPr>
                <w:rFonts w:ascii="Calibri" w:hAnsi="Calibri"/>
                <w:color w:val="212529"/>
                <w:sz w:val="19"/>
              </w:rPr>
              <w:t>Beneficial statutory provisions for juvenile offenders must be given the widest possible scope.</w:t>
            </w:r>
          </w:p>
          <w:p>
            <w:pPr>
              <w:spacing w:before="40" w:after="60" w:line="276" w:lineRule="auto"/>
            </w:pPr>
            <w:r>
              <w:rPr>
                <w:rFonts w:ascii="Calibri" w:hAnsi="Calibri"/>
                <w:b/>
                <w:color w:val="8C3200"/>
                <w:sz w:val="20"/>
              </w:rPr>
              <w:t>2. In favorem libertatis (in favor of personal liberty)</w:t>
              <w:br/>
            </w:r>
            <w:r>
              <w:rPr>
                <w:rFonts w:ascii="Calibri" w:hAnsi="Calibri"/>
                <w:b/>
                <w:color w:val="212529"/>
                <w:sz w:val="19"/>
              </w:rPr>
              <w:t xml:space="preserve">   • Literal English Translation: </w:t>
            </w:r>
            <w:r>
              <w:rPr>
                <w:rFonts w:ascii="Calibri" w:hAnsi="Calibri"/>
                <w:i/>
                <w:color w:val="212529"/>
                <w:sz w:val="19"/>
              </w:rPr>
              <w:t>In favor of liberty.</w:t>
              <w:br/>
            </w:r>
            <w:r>
              <w:rPr>
                <w:rFonts w:ascii="Calibri" w:hAnsi="Calibri"/>
                <w:b/>
                <w:color w:val="212529"/>
                <w:sz w:val="19"/>
              </w:rPr>
              <w:t xml:space="preserve">   • Plain Legal Meaning &amp; StatCon Application: </w:t>
            </w:r>
            <w:r>
              <w:rPr>
                <w:rFonts w:ascii="Calibri" w:hAnsi="Calibri"/>
                <w:color w:val="212529"/>
                <w:sz w:val="19"/>
              </w:rPr>
              <w:t>Penal and procedural statutes are interpreted to favor personal liberty and human rehabilitation.</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rehabilitative objective of youth laws determines their proper statutory scope.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A. General Guidelines -&gt; i. Give Effect to Every Word of Statute (RPC Art. 80 / Juvenile Suspension)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beneficial juvenile penal provisions are given broad, humane construction)</w:t>
              <w:br/>
              <w:br/>
              <w:t>Secondary:</w:t>
              <w:br/>
              <w:t>• In favorem libertatis (in favor of liberty)</w:t>
              <w:br/>
              <w:t>• Ratio legis est anima legis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applied a harsh, restrictive interpretation that converted court docket delays into an instrument to strip a juvenile offender of statutory reformatory benefits.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Beneficial Statutes: Statutory provisions that mitigate criminal penalties or provide rehabilitation must be interpreted broadly in favor of the beneficiary.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offers mercy, pardon, or rehabilitation, judges must interpret it broadly to give the person a second chance.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Garcia is the foremost authority on Favorabilia sunt amplianda, odiosa restringenda: beneficial provisions in criminal law are interpreted expansively in favor of the accused."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Patricio Garcia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28, 1950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applied a harsh, restrictive interpretation that converted court docket delays into an instrument to strip a juvenile offender of statutory reformatory benefits.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Patricio Garcia,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applied a harsh, restrictive interpretation that converted court docket delays into an instrument to str...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prison sentence and ORDERED the trial court to apply the rehabilitative benefits of Article 80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applied a harsh, restrictive interpretation that converted court docket delays into an instrument to strip a juvenile offend.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Liberal Construction of Beneficial Statutes: Statutory provisions that mitigate criminal penalties or provide rehabilitation must be interpreted broadly in favor of the beneficiary.</w:t>
              <w:br/>
              <w:t xml:space="preserve">   - Result: 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favorem libertatis (in favor of liberty)</w:t>
              <w:br/>
              <w:t>• Ratio legis est anima legis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Patricio Garcia to mean and apply strictly in accordance with Favorabilia sunt amplianda, odiosa restringenda, holding that Yes. What matters is how old the youth was when he committed the act. Because penal laws that help the accused must be interpreted broadly and generously, court.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Beneficial Statutes: Statutory provisions that mitigate criminal penalties or provide rehabilitation must be interpreted broadly in favor of the beneficiary.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offers mercy, pardon, or rehabilitation, judges must interpret it broadly to give the person a second chance.</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III (Part 2)</w:t>
              <w:br/>
            </w:r>
            <w:r>
              <w:rPr>
                <w:rFonts w:ascii="Arial" w:hAnsi="Arial"/>
                <w:b/>
                <w:color w:val="FFFFFF"/>
                <w:sz w:val="24"/>
              </w:rPr>
              <w:t>BASIC GUIDELINES IN CONSTRUCTION: CONSIDERATIONS WITHIN THE STATUTE</w:t>
              <w:br/>
            </w:r>
            <w:r>
              <w:rPr>
                <w:rFonts w:ascii="Arial" w:hAnsi="Arial"/>
                <w:i/>
                <w:color w:val="D7E6FA"/>
                <w:sz w:val="19"/>
              </w:rPr>
              <w:t>Cases 12 to 23 | Ubi Lex, Ejusdem Generis, Noscitur a Sociis, Expressio Unius &amp; Casus Omissus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Ubi Lex Non Distinguit: Where law does not distinguish, courts must not distinguish</w:t>
            </w:r>
          </w:p>
          <w:p>
            <w:pPr>
              <w:spacing w:before="20" w:after="20"/>
            </w:pPr>
            <w:r>
              <w:rPr>
                <w:rFonts w:ascii="Calibri" w:hAnsi="Calibri"/>
                <w:color w:val="F0F5FF"/>
                <w:sz w:val="18"/>
              </w:rPr>
              <w:t>• • Ejusdem Generis: General words following specific list are confined to same class</w:t>
            </w:r>
          </w:p>
          <w:p>
            <w:pPr>
              <w:spacing w:before="20" w:after="20"/>
            </w:pPr>
            <w:r>
              <w:rPr>
                <w:rFonts w:ascii="Calibri" w:hAnsi="Calibri"/>
                <w:color w:val="F0F5FF"/>
                <w:sz w:val="18"/>
              </w:rPr>
              <w:t>• • Noscitur a Sociis: Meaning of a word is known from its associated words</w:t>
            </w:r>
          </w:p>
          <w:p>
            <w:pPr>
              <w:spacing w:before="20" w:after="20"/>
            </w:pPr>
            <w:r>
              <w:rPr>
                <w:rFonts w:ascii="Calibri" w:hAnsi="Calibri"/>
                <w:color w:val="F0F5FF"/>
                <w:sz w:val="18"/>
              </w:rPr>
              <w:t>• • Doctrine of Necessary Implication: What is implied in a statute is as much a part as what is expressed</w:t>
            </w:r>
          </w:p>
          <w:p>
            <w:pPr>
              <w:spacing w:before="20" w:after="20"/>
            </w:pPr>
            <w:r>
              <w:rPr>
                <w:rFonts w:ascii="Calibri" w:hAnsi="Calibri"/>
                <w:color w:val="F0F5FF"/>
                <w:sz w:val="18"/>
              </w:rPr>
              <w:t>• • Expressio Unius Est Exclusio Alterius: Express mention of one excludes all others</w:t>
            </w:r>
          </w:p>
          <w:p>
            <w:pPr>
              <w:spacing w:before="20" w:after="20"/>
            </w:pPr>
            <w:r>
              <w:rPr>
                <w:rFonts w:ascii="Calibri" w:hAnsi="Calibri"/>
                <w:color w:val="F0F5FF"/>
                <w:sz w:val="18"/>
              </w:rPr>
              <w:t>• • Casus Omissus Pro Omisso Habendus Est: A case omitted must be held to be intentionally omitted</w:t>
            </w:r>
          </w:p>
        </w:tc>
      </w:tr>
    </w:tbl>
    <w:p>
      <w:pPr>
        <w:spacing w:before="120"/>
      </w:pPr>
    </w:p>
    <w:p>
      <w:pPr>
        <w:keepNext/>
        <w:spacing w:before="320" w:after="80"/>
      </w:pPr>
      <w:r>
        <w:rPr>
          <w:rFonts w:ascii="Arial" w:hAnsi="Arial"/>
          <w:b/>
          <w:color w:val="0F2043"/>
          <w:sz w:val="26"/>
        </w:rPr>
        <w:t>12. PEOPLE OF THE PHILIPPINES V. THE HONORABLE SANDIGANBAYAN (FOURTH DIVISION) AND CEFERINO S. PAREDES, JR.</w:t>
      </w:r>
    </w:p>
    <w:p>
      <w:pPr>
        <w:spacing w:before="40" w:after="80" w:line="276" w:lineRule="auto"/>
      </w:pPr>
      <w:r>
        <w:rPr>
          <w:rFonts w:ascii="Calibri" w:hAnsi="Calibri"/>
          <w:b/>
          <w:color w:val="212529"/>
          <w:sz w:val="21"/>
        </w:rPr>
        <w:t xml:space="preserve">Citation: </w:t>
      </w:r>
      <w:r>
        <w:rPr>
          <w:rFonts w:ascii="Calibri" w:hAnsi="Calibri"/>
          <w:i/>
          <w:color w:val="212529"/>
          <w:sz w:val="21"/>
        </w:rPr>
        <w:t>G.R. Nos. 147706-07 | February 16, 2005 | 451 SCRA 413 | First Division | Ponente: J. Quisumbing</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Sandiganbayan (Fourth Division) and Ceferino S. Paredes, Jr.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(Fourth Division)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Sandiganbayan resolution allowing a plea of guilty to a lesser offense in a prosecution under R.A. No. 3019 (Anti-Graft and Corrupt Practices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Atty. Ceferino S. Paredes, Jr., former Provincial Attorney and Governor of Agusan del Sur, was charged before the Sandiganbayan with violation of Section 3(e) of Republic Act No. 3019 (Anti-Graft and Corrupt Practices Act) for unlawfully applying for and obtaining free patents over public land. During trial, Paredes offered to plead guilty to the lesser offense of Public Land Act violations. The Special Prosecutor consented, and the Sandiganbayan accepted the plea. The Solicitor General petitioned the Supreme Court, contending that the Sandiganbayan violated the Rules of Criminal Procedure because RA 3019 does not allow plea bargaining to an offense that is not necessarily included in the offense charged.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former governor was criminally charged with graft under the Anti-Graft Law for grabbing public land. In court, he negotiated a deal to plead guilty to a minor land registration offense instead of graft. The Sandiganbayan accepted the deal. The People challenged this before the Supreme Court, arguing that under the Rules of Court, you can only plead guilty to a lesser offense if all the legal elements of the lesser offense are naturally included in the original charge. The Supreme Court ruled that the plea bargaining was illegal because the lesser offense was not legally included in the graft charge.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accused charged with violation of Section 3(e) of R.A. No. 3019 may validly plead guilty to a lesser offense under the Public Land Act that is not necessarily included in the offense charged.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accused plead guilty to a minor crime if that minor crime is not legally included inside the graft charge filed by the prosecutor?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plea bargaining to a lesser offense requires that the lesser crime be necessarily included in the charged offense under Rule 116, testing the rule on Construing a Statute as a Whole (Ut Res Magis Valeat Quam Pereat)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plea of guilty to a lesser offense is valid ONLY IF the lesser offense is NECESSARILY INCLUDED in the offense charged. The Sandiganbayan committed grave abuse of discretion by accepting a plea to an offense with entirely different statutory elements.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procedural law, a lesser offense must be a smaller piece already contained inside the bigger crime charged. Because the Public Land Act has completely different elements from Graft, the plea bargain was totally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Section 2, Rule 116 of the Rules of Court, plea bargaining requires that the lesser offense be necessarily included in the offense charged. Interpreting the procedural rule as an integrated whole, courts have no authority to approve plea bargains to extraneous crimes."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Rule 116, Revised Rules of Criminal Procedure: </w:t>
            </w:r>
            <w:r>
              <w:rPr>
                <w:rFonts w:ascii="Calibri" w:hAnsi="Calibri"/>
                <w:color w:val="212529"/>
                <w:sz w:val="20"/>
              </w:rPr>
              <w:t>Governs plea of guilty to a lesser offense necessarily included in the offense charged.</w:t>
            </w:r>
          </w:p>
          <w:p>
            <w:pPr>
              <w:spacing w:before="20" w:after="40" w:line="276" w:lineRule="auto"/>
            </w:pPr>
            <w:r>
              <w:rPr>
                <w:rFonts w:ascii="Calibri" w:hAnsi="Calibri"/>
                <w:b/>
                <w:color w:val="212529"/>
                <w:sz w:val="20"/>
              </w:rPr>
              <w:t xml:space="preserve">2. Section 3(e), Republic Act No. 3019 (Anti-Graft and Corrupt Practices Act): </w:t>
            </w:r>
            <w:r>
              <w:rPr>
                <w:rFonts w:ascii="Calibri" w:hAnsi="Calibri"/>
                <w:color w:val="212529"/>
                <w:sz w:val="20"/>
              </w:rPr>
              <w:t>Statutory elements of graft and corruption.</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Procedural rules on criminal pleading must be construed as a consistent, integrated whole.</w:t>
            </w:r>
          </w:p>
          <w:p>
            <w:pPr>
              <w:spacing w:before="20" w:after="40" w:line="276" w:lineRule="auto"/>
            </w:pPr>
            <w:r>
              <w:rPr>
                <w:rFonts w:ascii="Calibri" w:hAnsi="Calibri"/>
                <w:b/>
                <w:color w:val="212529"/>
                <w:sz w:val="20"/>
              </w:rPr>
              <w:t xml:space="preserve">4. Verba Legis Non Est Recedendum (from the words of the statute there should be no departure): </w:t>
            </w:r>
            <w:r>
              <w:rPr>
                <w:rFonts w:ascii="Calibri" w:hAnsi="Calibri"/>
                <w:color w:val="212529"/>
                <w:sz w:val="20"/>
              </w:rPr>
              <w:t>The requirement of 'necessarily included' is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116 Sec 2, Section 3(e) RA 3019, Ut Res Magis Valeat Quam Pereat,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Rule 116 of the Rules of Court, interpreted under Ut res magis valeat quam pereat (construction to preserve the whole efficacy of the law) and Verba legis non est recedendum."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Statutory Definition of Included Offenses: </w:t>
            </w:r>
            <w:r>
              <w:rPr>
                <w:rFonts w:ascii="Calibri" w:hAnsi="Calibri"/>
                <w:color w:val="212529"/>
                <w:sz w:val="20"/>
              </w:rPr>
              <w:t>An offense is necessarily included in another when some of the essential elements of the crime charged constitute the lesser offense. The Public Land violation had elements outside Section 3(e) of RA 3019.</w:t>
            </w:r>
          </w:p>
          <w:p>
            <w:pPr>
              <w:spacing w:before="20" w:after="40" w:line="276" w:lineRule="auto"/>
            </w:pPr>
            <w:r>
              <w:rPr>
                <w:rFonts w:ascii="Calibri" w:hAnsi="Calibri"/>
                <w:b/>
                <w:color w:val="212529"/>
                <w:sz w:val="20"/>
              </w:rPr>
              <w:t xml:space="preserve">2. Construction of Rule 116 as a Whole: </w:t>
            </w:r>
            <w:r>
              <w:rPr>
                <w:rFonts w:ascii="Calibri" w:hAnsi="Calibri"/>
                <w:color w:val="212529"/>
                <w:sz w:val="20"/>
              </w:rPr>
              <w:t>Plea bargaining is not an unfettered compromise; it is strictly bounded by the structural requirements of procedural due process and statutory definitions.</w:t>
            </w:r>
          </w:p>
          <w:p>
            <w:pPr>
              <w:spacing w:before="20" w:after="40" w:line="276" w:lineRule="auto"/>
            </w:pPr>
            <w:r>
              <w:rPr>
                <w:rFonts w:ascii="Calibri" w:hAnsi="Calibri"/>
                <w:b/>
                <w:color w:val="212529"/>
                <w:sz w:val="20"/>
              </w:rPr>
              <w:t xml:space="preserve">3. Nullity of Ultra Vires Plea: </w:t>
            </w:r>
            <w:r>
              <w:rPr>
                <w:rFonts w:ascii="Calibri" w:hAnsi="Calibri"/>
                <w:color w:val="212529"/>
                <w:sz w:val="20"/>
              </w:rPr>
              <w:t>The Sandiganbayan exceeded its jurisdiction by inventing an unauthorized plea bargain that subverted the anti-graft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a lesser crime must fit inside the bigger crime like a Russian nesting doll. If the lesser crime contains foreign elements that were never alleged in the information, the court cannot accept the plea. Rules must be enforced as a coherent whole.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statutory harmonization. Procedural rules must be construed as a whole to give effect to every part (Ut Res Magis Valeat Quam Pereat). The trial court cannot disregard the mandatory statutory requirement that the lesser offense be legally included in the charge."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Sandiganbayan resolution approving the plea of guilty to the lesser offense, and ORDERED trial on the original graft information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plea bargain was struck down and the governor was ordered to stand trial for graft.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plea bargain and reinstated the original graft trial, holding that procedural rules on included offenses must be strictly enforced as a whole."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a. Ubi Lex Non Distinguit Nec Nos Distinguere Debemos (Anti-Graft RA 3019)</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statutes and criminal rules must be construed as a harmonious whole to make every provision effective.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'necessarily included' cannot be ignored by trial courts.</w:t>
            </w:r>
          </w:p>
          <w:p>
            <w:pPr>
              <w:spacing w:before="40" w:after="60" w:line="276" w:lineRule="auto"/>
            </w:pPr>
            <w:r>
              <w:rPr>
                <w:rFonts w:ascii="Calibri" w:hAnsi="Calibri"/>
                <w:b/>
                <w:color w:val="8C3200"/>
                <w:sz w:val="20"/>
              </w:rPr>
              <w:t>3.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preceding and following parts.</w:t>
              <w:br/>
            </w:r>
            <w:r>
              <w:rPr>
                <w:rFonts w:ascii="Calibri" w:hAnsi="Calibri"/>
                <w:b/>
                <w:color w:val="212529"/>
                <w:sz w:val="19"/>
              </w:rPr>
              <w:t xml:space="preserve">   • Plain Legal Meaning &amp; StatCon Application: </w:t>
            </w:r>
            <w:r>
              <w:rPr>
                <w:rFonts w:ascii="Calibri" w:hAnsi="Calibri"/>
                <w:color w:val="212529"/>
                <w:sz w:val="19"/>
              </w:rPr>
              <w:t>Rules on criminal pleading must be interpreted in connection with all related procedural provisions.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a. Ubi Lex Non Distinguit Nec Nos Distinguere Debemos (Anti-Graft RA 3019)</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procedural codes must be construed as an integrated, effective whole)</w:t>
              <w:br/>
              <w:br/>
              <w:t>Secondary:</w:t>
              <w:br/>
              <w:t>• Ex antecedentibus et consequentibus fit optima interpretatio (best interpretation from the whole context)</w:t>
              <w:br/>
              <w:t>• Verba legis non est recedendum (from statutory words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Sandiganbayan created an ad-hoc plea bargain that severed Section 2, Rule 116 from its statutory requirement of necessary inclusion.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Holistic Construction of Procedural Codes: Every part of a statute or procedural rule must be construed in connection with every other part to create a consistent, unbroken system of law.</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and laws cannot be chopped up into pieces; every sentence must be read alongside the rest of the rule so it works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Sandiganbayan demonstrates that procedural rules on plea bargaining must be construed as an integrated whole—Ut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The Honorable Sandiganbayan (Fourth Division) and Ceferino S. Paredes,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Nos. 147706-07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16,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Atty. Ceferino S. Paredes, Jr., former Provincial Attorney and Governor of Agusan del Sur, was charged before the Sandiganbayan with violation of Section 3(e) of Republic Act No. 3019 (Anti-Graft and Corrupt Practices Act) for unlawfully applying for and obtaining free patents over public land. During trial, Paredes offered to plead guilty to the lesser offense of Public Land Act violations. The Special Prosecutor consented, and the Sandiganbayan accepted the plea. The Solicitor General petitioned the Supreme Court, contending that the Sandiganbayan violated the Rules of Criminal Procedure because RA 3019 does not allow plea bargaining to an offense that is not necessarily included in the offense charged.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Rule 116, Revised Rules of Criminal Procedure: Governs plea of guilty to a lesser offense necessarily included in the offense charged.</w:t>
              <w:br/>
              <w:t>2. Section 3(e), Republic Act No. 3019 (Anti-Graft and Corrupt Practices Act): Statutory elements of graft and corruption.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Sandiganbayan created an ad-hoc plea bargain that severed Section 2, Rule 116 from its statutory requirement of necessary inclusion.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accused charged with violation of Section 3(e) of R.A. No. 3019 may validly plead guilty to a lesser offense under the Public Land Act that is not necessarily included in the offense charged.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The Honorable Sandiganbayan (Fourth Division) and Ceferino S. Paredes, Jr.,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Rule 116, Revised Rules of Criminal Procedure: Governs plea of guilty to a lesser offense necessarily included in the offense charged.</w:t>
              <w:br/>
              <w:t>2. Section 3(e), Republic Act No. 3019 (Anti-Graft and Corrupt Practices Act): Statutory elements of graft and corruption.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Sandiganbayan created an ad-hoc plea bargain that severed Section 2, Rule 116 from its statutory requirement of nece...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Sandiganbayan resolution approving the plea of guilty to the lesser offense, and ORDERED trial on the original graft information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plea of guilty to a lesser offense is valid ONLY IF the lesser offense is NECESSARILY INCLUDED in the offense charged. The Sandiganbayan committed grave abuse of discretion by accepting a plea to an offense with entirely different statutory elements.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Sandiganbayan created an ad-hoc plea bargain that severed Section 2, Rule 116 from its statutory requirement of necessary inclusion..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Holistic Construction of Procedural Codes: Every part of a statute or procedural rule must be construed in connection with every other part to create a consistent, unbroken system of law.</w:t>
              <w:br/>
              <w:t xml:space="preserve">   - Result: No. Under procedural law, a lesser offense must be a smaller piece already contained inside the bigger crime charged. Because the Public Land Act has completely different elements from Graft, the plea bargain was totally illegal.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fit optima interpretatio (best interpretation from the whole context)</w:t>
              <w:br/>
              <w:t>• Verba legis non est recedendum (from statutory words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The Honorable Sandiganbayan (Fourth Division) and Ceferino S. Paredes, Jr. to mean and apply strictly in accordance with Ut res magis valeat quam pereat, holding that No. Under procedural law, a lesser offense must be a smaller piece already contained inside the bigger crime charged. Because the Public Land Act has completely.</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a lesser crime must fit inside the bigger crime like a Russian nesting doll. If the lesser crime contains foreign elements that were never alleged in the information, the court cannot accept the plea. Rules must be enforced as a coherent whole.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Holistic Construction of Procedural Codes: Every part of a statute or procedural rule must be construed in connection with every other part to create a consistent, unbroken system of law.</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and laws cannot be chopped up into pieces; every sentence must be read alongside the rest of the rule so it works properly.</w:t>
            </w:r>
          </w:p>
        </w:tc>
      </w:tr>
    </w:tbl>
    <w:p>
      <w:r>
        <w:br w:type="page"/>
      </w:r>
    </w:p>
    <w:p>
      <w:pPr>
        <w:keepNext/>
        <w:spacing w:before="320" w:after="80"/>
      </w:pPr>
      <w:r>
        <w:rPr>
          <w:rFonts w:ascii="Arial" w:hAnsi="Arial"/>
          <w:b/>
          <w:color w:val="0F2043"/>
          <w:sz w:val="26"/>
        </w:rPr>
        <w:t>13. PELIZLOY REALTY CORPORATION V. THE PROVINCE OF BENGUET</w:t>
      </w:r>
    </w:p>
    <w:p>
      <w:pPr>
        <w:spacing w:before="40" w:after="80" w:line="276" w:lineRule="auto"/>
      </w:pPr>
      <w:r>
        <w:rPr>
          <w:rFonts w:ascii="Calibri" w:hAnsi="Calibri"/>
          <w:b/>
          <w:color w:val="212529"/>
          <w:sz w:val="21"/>
        </w:rPr>
        <w:t xml:space="preserve">Citation: </w:t>
      </w:r>
      <w:r>
        <w:rPr>
          <w:rFonts w:ascii="Calibri" w:hAnsi="Calibri"/>
          <w:i/>
          <w:color w:val="212529"/>
          <w:sz w:val="21"/>
        </w:rPr>
        <w:t>G.R. No. 183137 | April 10, 2013 | 695 SCRA 491 | First Division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Pelizloy Realty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Province of Benguet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 Trinidad, Benguet (Branch 63)</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validity of Benguet Provincial Tax Ordinance No. 05-85 imposing amusement taxes on resorts and swimming pools.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Pelizloy Realty Corporation owns Palm Grove Resort in Tuba, Benguet, which features swimming pools and recreational facilities. The Province of Benguet enacted Provincial Tax Ordinance No. 05-85, Section 59 of which levied a 10% amusement tax on gross receipts of resorts, swimming pools, bath houses, and other tourist establishments. Pelizloy challenged the ordinance, arguing that under Section 140 of the Local Government Code (LGC), provinces can levy amusement taxes ONLY on theaters, cinemas, concert halls, circuses, and other places of amusement where one enters primarily to VIEW a dramatic or musical exhibition, invoking Ejusdem Generis.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Benguet passed a tax ordinance making resorts, swimming pools, and bath houses pay a 10% amusement tax. A resort owner objected, arguing that under the Local Government Code, amusement taxes can only be placed on show-business venues like movie theaters, cinemas, concert halls, and circuses. The Supreme Court ruled in favor of the resort, applying Ejusdem Generis: swimming pools and resorts are places for physical exercise and recreation, not places where you sit and watch theatrical shows.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provinces have the statutory authority under Section 140 of the Local Government Code to impose amusement taxes on resorts, swimming pools, and bath houses.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province collect amusement tax from resorts and swimming pools when the Local Government Code only authorizes amusement tax on theaters, cinemas, and concert halls?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140 of the Local Government Code authorizes an amusement tax on resorts and swimming pools, testing the canon of Ejusdem Generis (of the same kind) and strict construction of local taxing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140 of the Local Government Code does NOT authorize provinces to tax resorts and swimming pools. Under the rule of Ejusdem Generis, the general term 'other places of amusement' is restricted to venues of the same kind as theaters, cinemas, concert halls, and circuses.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Ejusdem Generis, when a law gives a specific list (theaters, cinemas, concert halls) followed by general words ('other places of amusement'), the general words only include things of the exact same kind—namely, places where you watch performances, not places where you swim.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Applying Ejusdem Generis (of the same kind), the Supreme Court held that the phrase 'other places of amusement' in Section 140 of the LGC is confined to venues for viewing theatrical or artistic performances. Resorts and swimming pools involve active physical recreation and cannot be taxed under Section 140."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140, Republic Act No. 7160 (Local Government Code of 1991): </w:t>
            </w:r>
            <w:r>
              <w:rPr>
                <w:rFonts w:ascii="Calibri" w:hAnsi="Calibri"/>
                <w:color w:val="212529"/>
                <w:sz w:val="20"/>
              </w:rPr>
              <w:t>Authorizes provinces to levy amusement taxes on 'theaters, cinemas, concert halls, circuses, boxing stadia, and other places of amusement'.</w:t>
            </w:r>
          </w:p>
          <w:p>
            <w:pPr>
              <w:spacing w:before="20" w:after="40" w:line="276" w:lineRule="auto"/>
            </w:pPr>
            <w:r>
              <w:rPr>
                <w:rFonts w:ascii="Calibri" w:hAnsi="Calibri"/>
                <w:b/>
                <w:color w:val="212529"/>
                <w:sz w:val="20"/>
              </w:rPr>
              <w:t xml:space="preserve">2. Ejusdem Generis (of the same kind or class): </w:t>
            </w:r>
            <w:r>
              <w:rPr>
                <w:rFonts w:ascii="Calibri" w:hAnsi="Calibri"/>
                <w:color w:val="212529"/>
                <w:sz w:val="20"/>
              </w:rPr>
              <w:t>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20"/>
              </w:rPr>
              <w:t xml:space="preserve">3. Strict Construction of Taxing Grants: </w:t>
            </w:r>
            <w:r>
              <w:rPr>
                <w:rFonts w:ascii="Calibri" w:hAnsi="Calibri"/>
                <w:color w:val="212529"/>
                <w:sz w:val="20"/>
              </w:rPr>
              <w:t>Delegated taxing powers to local government units are strictly construed against the local government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140 LGC, Ejusdem Generis, and strict construction of delegated taxing powers.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140 of RA 7160 (LGC), governed by Ejusdem generis (of the same kind or nature) and strictissimi juris in local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Application of Ejusdem Generis: </w:t>
            </w:r>
            <w:r>
              <w:rPr>
                <w:rFonts w:ascii="Calibri" w:hAnsi="Calibri"/>
                <w:color w:val="212529"/>
                <w:sz w:val="20"/>
              </w:rPr>
              <w:t>Section 140 explicitly enumerates theaters, cinemas, concert halls, circuses, and boxing stadia. The common, unifying characteristic is that they are venues for visual or performing entertainment.</w:t>
            </w:r>
          </w:p>
          <w:p>
            <w:pPr>
              <w:spacing w:before="20" w:after="40" w:line="276" w:lineRule="auto"/>
            </w:pPr>
            <w:r>
              <w:rPr>
                <w:rFonts w:ascii="Calibri" w:hAnsi="Calibri"/>
                <w:b/>
                <w:color w:val="212529"/>
                <w:sz w:val="20"/>
              </w:rPr>
              <w:t xml:space="preserve">2. Distinct Character of Resorts and Pools: </w:t>
            </w:r>
            <w:r>
              <w:rPr>
                <w:rFonts w:ascii="Calibri" w:hAnsi="Calibri"/>
                <w:color w:val="212529"/>
                <w:sz w:val="20"/>
              </w:rPr>
              <w:t>Resorts and swimming pools are venues for active recreation, rest, and sports, not spectator entertainment exhibitions.</w:t>
            </w:r>
          </w:p>
          <w:p>
            <w:pPr>
              <w:spacing w:before="20" w:after="40" w:line="276" w:lineRule="auto"/>
            </w:pPr>
            <w:r>
              <w:rPr>
                <w:rFonts w:ascii="Calibri" w:hAnsi="Calibri"/>
                <w:b/>
                <w:color w:val="212529"/>
                <w:sz w:val="20"/>
              </w:rPr>
              <w:t xml:space="preserve">3. Ultra Vires Local Legislation: </w:t>
            </w:r>
            <w:r>
              <w:rPr>
                <w:rFonts w:ascii="Calibri" w:hAnsi="Calibri"/>
                <w:color w:val="212529"/>
                <w:sz w:val="20"/>
              </w:rPr>
              <w:t>By including resorts and swimming pools in its tax ordinance, the Province of Benguet exceeded the statutory limits of Section 140 LGC, making that portion of the ordinance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specific list in the law consists entirely of spectator venues where audiences sit down to watch a show. A swimming pool is a place where you put on swimwear and do exercise. Because swimming is completely different from watching a concert, Ejusdem Generis forbids the province from taxing pools under that section.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Ejusdem Generis. The specific enumerations in Section 140 share the common feature of visual spectator entertainment. Applying Ejusdem Generis, 'other places of amusement' cannot be stretched to cover swimming pools and resorts, rendering the provincial tax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Section 59 of Benguet Provincial Tax Ordinance No. 05-85 NULL AND VOID insofar as it levied amusement tax on resorts and swimming pools, and ORDERED the province to drop the assessments.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resort won; the swimming pool tax was declared illegal and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provincial amusement tax on resorts and pools under the doctrine of Ejusdem Generis."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b. Ejusdem Generis Rule (Local Tax / Amusement Tax on Resorts)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Ejusdem generis (of the same kind or class)</w:t>
              <w:br/>
            </w:r>
            <w:r>
              <w:rPr>
                <w:rFonts w:ascii="Calibri" w:hAnsi="Calibri"/>
                <w:b/>
                <w:color w:val="212529"/>
                <w:sz w:val="19"/>
              </w:rPr>
              <w:t xml:space="preserve">   • Literal English Translation: </w:t>
            </w:r>
            <w:r>
              <w:rPr>
                <w:rFonts w:ascii="Calibri" w:hAnsi="Calibri"/>
                <w:i/>
                <w:color w:val="212529"/>
                <w:sz w:val="19"/>
              </w:rPr>
              <w:t>Of the same kind.</w:t>
              <w:br/>
            </w:r>
            <w:r>
              <w:rPr>
                <w:rFonts w:ascii="Calibri" w:hAnsi="Calibri"/>
                <w:b/>
                <w:color w:val="212529"/>
                <w:sz w:val="19"/>
              </w:rPr>
              <w:t xml:space="preserve">   • Plain Legal Meaning &amp; StatCon Application: </w:t>
            </w:r>
            <w:r>
              <w:rPr>
                <w:rFonts w:ascii="Calibri" w:hAnsi="Calibri"/>
                <w:color w:val="212529"/>
                <w:sz w:val="19"/>
              </w:rPr>
              <w:t>General words following an enumeration of specific items are restricted to things of the same class as those specifically mentioned.</w:t>
            </w:r>
          </w:p>
          <w:p>
            <w:pPr>
              <w:spacing w:before="40" w:after="60" w:line="276" w:lineRule="auto"/>
            </w:pPr>
            <w:r>
              <w:rPr>
                <w:rFonts w:ascii="Calibri" w:hAnsi="Calibri"/>
                <w:b/>
                <w:color w:val="8C3200"/>
                <w:sz w:val="20"/>
              </w:rPr>
              <w:t>2.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meaning of 'other places of amusement' is defined by its associated words: theaters, cinemas, and concert halls.</w:t>
            </w:r>
          </w:p>
          <w:p>
            <w:pPr>
              <w:spacing w:before="40" w:after="60" w:line="276" w:lineRule="auto"/>
            </w:pPr>
            <w:r>
              <w:rPr>
                <w:rFonts w:ascii="Calibri" w:hAnsi="Calibri"/>
                <w:b/>
                <w:color w:val="8C3200"/>
                <w:sz w:val="20"/>
              </w:rPr>
              <w:t>3.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Delegated taxing powers of local government units are strictly construed against the municipality.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b. Ejusdem Generis Rule (Local Tax / Amusement Tax on Resorts)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Ejusdem generis</w:t>
              <w:br/>
              <w:t>(of the same kind or class / 'other places of amusement' in Section 140 LGC is restricted to theatrical and spectator entertainment venues)</w:t>
              <w:br/>
              <w:br/>
              <w:t>Secondary:</w:t>
              <w:br/>
              <w:t>• Noscitur a sociis (known by its companions)</w:t>
              <w:br/>
              <w:t>• Strictissimi juris (strict construction of tax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province ignored the unifying genus of Section 140 LGC, expanding a spectator entertainment tax to cover active swimming and resort facilities.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Ejusdem Generis: Where general words follow particular and specific words, the general words must be confined to things of the same kind (ejusdem generis) as those specified.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lists specific examples followed by 'and others', the 'others' must be the exact same type of thing as the examples listed.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Pelizloy v. Province of Benguet is the premier modern case illustrating Ejusdem Generis: 'other places of amusement' is confined to the genus of spectator entertainment."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Pelizloy Realty Corporation v. The Province of Benguet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183137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10, 2013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Pelizloy Realty Corporation owns Palm Grove Resort in Tuba, Benguet, which features swimming pools and recreational facilities. The Province of Benguet enacted Provincial Tax Ordinance No. 05-85, Section 59 of which levied a 10% amusement tax on gross receipts of resorts, swimming pools, bath houses, and other tourist establishments. Pelizloy challenged the ordinance, arguing that under Section 140 of the Local Government Code (LGC), provinces can levy amusement taxes ONLY on theaters, cinemas, concert halls, circuses, and other places of amusement where one enters primarily to VIEW a dramatic or musical exhibition, invoking Ejusdem Generis.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140, Republic Act No. 7160 (Local Government Code of 1991): Authorizes provinces to levy amusement taxes on 'theaters, cinemas, concert halls, circuses, boxing stadia, and other places of amusement'.</w:t>
              <w:br/>
              <w:t>2. Ejusdem Generis (of the same kind or class): 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province ignored the unifying genus of Section 140 LGC, expanding a spectator entertainment tax to cover active swimming and resort facilities.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provinces have the statutory authority under Section 140 of the Local Government Code to impose amusement taxes on resorts, swimming pools, and bath houses.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Pelizloy Realty Corporation v. The Province of Benguet, under the canon of Ejusdem generis.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140, Republic Act No. 7160 (Local Government Code of 1991): Authorizes provinces to levy amusement taxes on 'theaters, cinemas, concert halls, circuses, boxing stadia, and other places of amusement'.</w:t>
              <w:br/>
              <w:t>2. Ejusdem Generis (of the same kind or class): 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Section 59 of Benguet Provincial Tax Ordinance No. 05-85 NULL AND VOID insofar as it levied amusement tax on resorts and swimming pools, and ORDERED the province to drop the assessments.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140 of the Local Government Code does NOT authorize provinces to tax resorts and swimming pools. Under the rule of Ejusdem Generis, the general term 'other places of amusement' is restricted to venues of the same kind as theaters, cinemas, concert halls, and circuses.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Ejusdem generis</w:t>
              <w:br/>
              <w:t xml:space="preserve">   - Application: Doctrine of Ejusdem Generis: Where general words follow particular and specific words, the general words must be confined to things of the same kind (ejusdem generis) as those specified.</w:t>
              <w:br/>
              <w:t xml:space="preserve">   - Result: No. Under Ejusdem Generis, when a law gives a specific list (theaters, cinemas, concert halls) followed by general words ('other places of amusement'), the general words only include things of the exact same kind—namely, places where you watch performances, not places where you swim.</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(known by its companions)</w:t>
              <w:br/>
              <w:t>• Strictissimi juris (strict construction of tax statutes)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Pelizloy Realty Corporation v. The Province of Benguet to mean and apply strictly in accordance with Ejusdem generis, holding that No. Under Ejusdem Generis, when a law gives a specific list (theaters, cinemas, concert halls) followed by general words ('other places of amusement'), the gene.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specific list in the law consists entirely of spectator venues where audiences sit down to watch a show. A swimming pool is a place where you put on swimwear and do exercise. Because swimming is completely different from watching a concert, Ejusdem Generis forbids the province from taxing pools under that section.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Ejusdem generis,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Ejusdem Generis: Where general words follow particular and specific words, the general words must be confined to things of the same kind (ejusdem generis) as those specified.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lists specific examples followed by 'and others', the 'others' must be the exact same type of thing as the examples listed.</w:t>
            </w:r>
          </w:p>
        </w:tc>
      </w:tr>
    </w:tbl>
    <w:p>
      <w:r>
        <w:br w:type="page"/>
      </w:r>
    </w:p>
    <w:p>
      <w:pPr>
        <w:keepNext/>
        <w:spacing w:before="320" w:after="80"/>
      </w:pPr>
      <w:r>
        <w:rPr>
          <w:rFonts w:ascii="Arial" w:hAnsi="Arial"/>
          <w:b/>
          <w:color w:val="0F2043"/>
          <w:sz w:val="26"/>
        </w:rPr>
        <w:t>14. COCA-COLA BOTTLERS, PHILS., INC. (CCBPI) V. CITY OF MANILA AND LIBERTY M. GOMEZ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154491 | November 14, 2008 | 571 SCRA 18 | First Division | Ponente: J. Azcuna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Coca-Cola Bottlers, Phils.,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City of Manila and Liberty M. Gomez, City Treasurer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21)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double taxation and interpretation of Section 143 of the Local Government Code versus Manila Tax Ordinance No. 7794 and 7807.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Coca-Cola Bottlers, Phils., Inc. manufactures and sells beverages in the City of Manila. The City of Manila assessed CCBPI under Section 14 of Manila Tax Ordinance No. 7794 as a 'manufacturer' of beverages, and simultaneously assessed CCBPI under Section 21 of the same ordinance as a 'distributor/dealer' of businesses subject to excise tax under the NIRC. CCBPI protested, arguing that under Section 143 of the Local Government Code, a single business enterprise cannot be subjected to double business tax on both manufacturing and distributing when the distribution is merely an incidental part of its manufacturing business.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of Manila taxed Coca-Cola twice on the very same bottles of soda: first as a manufacturer, and second as a distributor. Coca-Cola protested, arguing that making soda and delivering it are part of one single manufacturing business, and the Local Government Code does not allow cities to slap double business taxes on the same revenue. The Supreme Court ruled that double taxation is prohibited where the statute does not expressly authorize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City of Manila can tax a beverage company simultaneously as a manufacturer and as a distributor on the same sales receipts under the Local Government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city government charge a company double business taxes on the same soft drinks by taxing them once as a maker and again as a seller?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Local Government Code permits double taxation on the same business activity, testing the Presumption Against Double Taxation (In Dubio Contra Duplicem Taxationem) and strict construction of municipal taxing statutes."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City of Manila CANNOT subject CCBPI to double taxation. In statutory construction, there is a strong presumption against double taxation unless the statute expressly and unmistakably authorizes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Double taxation is heavily frowned upon by law. When a company manufactures soft drinks, selling them is part of manufacturing. A city cannot slice one business into two just to collect double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Presumption Against Double Taxation, tax statutes are construed strictly against the taxing power. Since Section 143 of the LGC treats manufacturing and distributing as separate categories, a manufacturer selling its own products cannot be taxed twice on both."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143, Republic Act No. 7160 (Local Government Code): </w:t>
            </w:r>
            <w:r>
              <w:rPr>
                <w:rFonts w:ascii="Calibri" w:hAnsi="Calibri"/>
                <w:color w:val="212529"/>
                <w:sz w:val="20"/>
              </w:rPr>
              <w:t>Governs local business taxes on manufacturers and wholesalers/distributors.</w:t>
            </w:r>
          </w:p>
          <w:p>
            <w:pPr>
              <w:spacing w:before="20" w:after="40" w:line="276" w:lineRule="auto"/>
            </w:pPr>
            <w:r>
              <w:rPr>
                <w:rFonts w:ascii="Calibri" w:hAnsi="Calibri"/>
                <w:b/>
                <w:color w:val="212529"/>
                <w:sz w:val="20"/>
              </w:rPr>
              <w:t xml:space="preserve">2. Presumption Against Double Taxation (In Dubio Contra Duplicem Taxationem): </w:t>
            </w:r>
            <w:r>
              <w:rPr>
                <w:rFonts w:ascii="Calibri" w:hAnsi="Calibri"/>
                <w:color w:val="212529"/>
                <w:sz w:val="20"/>
              </w:rPr>
              <w:t>Doubts are resolved against the imposition of multiple taxes on the same subject matter for the same purpose.</w:t>
            </w:r>
          </w:p>
          <w:p>
            <w:pPr>
              <w:spacing w:before="20" w:after="40" w:line="276" w:lineRule="auto"/>
            </w:pPr>
            <w:r>
              <w:rPr>
                <w:rFonts w:ascii="Calibri" w:hAnsi="Calibri"/>
                <w:b/>
                <w:color w:val="212529"/>
                <w:sz w:val="20"/>
              </w:rPr>
              <w:t xml:space="preserve">3. Strictissimi Juris (of the strictest interpretation) in Local Taxation: </w:t>
            </w:r>
            <w:r>
              <w:rPr>
                <w:rFonts w:ascii="Calibri" w:hAnsi="Calibri"/>
                <w:color w:val="212529"/>
                <w:sz w:val="20"/>
              </w:rPr>
              <w:t>Municipal corporations have no inherent power of taxation; delegated authority must be exercised strictly within legislative limits.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143 LGC, Presumption Against Double Taxation, and Strictissimi Juris in taxation.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143 of RA 7160, governed by the Presumption Against Double Taxation and Strictissimi Juris (strict construction against the taxing authority)."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Presumption Against Double Taxation: </w:t>
            </w:r>
            <w:r>
              <w:rPr>
                <w:rFonts w:ascii="Calibri" w:hAnsi="Calibri"/>
                <w:color w:val="212529"/>
                <w:sz w:val="20"/>
              </w:rPr>
              <w:t>Double taxation is obnoxious and condemned in our legal system. It is never presumed, and a statute will not be construed as imposing double taxation unless the legislative intent is expressed in clear and categorical terms.</w:t>
            </w:r>
          </w:p>
          <w:p>
            <w:pPr>
              <w:spacing w:before="20" w:after="40" w:line="276" w:lineRule="auto"/>
            </w:pPr>
            <w:r>
              <w:rPr>
                <w:rFonts w:ascii="Calibri" w:hAnsi="Calibri"/>
                <w:b/>
                <w:color w:val="212529"/>
                <w:sz w:val="20"/>
              </w:rPr>
              <w:t xml:space="preserve">2. Incidental Nature of Distribution: </w:t>
            </w:r>
            <w:r>
              <w:rPr>
                <w:rFonts w:ascii="Calibri" w:hAnsi="Calibri"/>
                <w:color w:val="212529"/>
                <w:sz w:val="20"/>
              </w:rPr>
              <w:t>A manufacturer necessarily sells and distributes what it produces. To tax it as both manufacturer and distributor on the exact same gross sales creates prohibited double taxation.</w:t>
            </w:r>
          </w:p>
          <w:p>
            <w:pPr>
              <w:spacing w:before="20" w:after="40" w:line="276" w:lineRule="auto"/>
            </w:pPr>
            <w:r>
              <w:rPr>
                <w:rFonts w:ascii="Calibri" w:hAnsi="Calibri"/>
                <w:b/>
                <w:color w:val="212529"/>
                <w:sz w:val="20"/>
              </w:rPr>
              <w:t xml:space="preserve">3. Strict Interpretation Against Municipal Power: </w:t>
            </w:r>
            <w:r>
              <w:rPr>
                <w:rFonts w:ascii="Calibri" w:hAnsi="Calibri"/>
                <w:color w:val="212529"/>
                <w:sz w:val="20"/>
              </w:rPr>
              <w:t>Any ambiguity in municipal tax ordinances must be resolved strictly against the city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Selling is part of making goods—you can't be a manufacturer without selling your products. If the city taxes you for making the soda, it cannot tax you again for handing the soda to stores. The Court held that unless Congress says 'tax them twice', the presumption against double taxation blocks the second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against double taxation. Statutes granting local taxing powers are strictly construed. The Court held that manufacturing includes distribution, and subjecting both to separate local taxes on the same gross receipts constitutes invalid double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Court of Appeals, and DECLARED the second tax assessment under Section 21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Coca-Cola won and the second duplicate tax assessment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double assessment, reaffirming the statutory presumption against double taxation."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b. Ejusdem Generis &amp; Noscitur a Sociis (City Tax Ordinance)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contra duplicem taxationem (in doubt, rule against double taxation)</w:t>
              <w:br/>
            </w:r>
            <w:r>
              <w:rPr>
                <w:rFonts w:ascii="Calibri" w:hAnsi="Calibri"/>
                <w:b/>
                <w:color w:val="212529"/>
                <w:sz w:val="19"/>
              </w:rPr>
              <w:t xml:space="preserve">   • Literal English Translation: </w:t>
            </w:r>
            <w:r>
              <w:rPr>
                <w:rFonts w:ascii="Calibri" w:hAnsi="Calibri"/>
                <w:i/>
                <w:color w:val="212529"/>
                <w:sz w:val="19"/>
              </w:rPr>
              <w:t>In doubt, against double taxation.</w:t>
              <w:br/>
            </w:r>
            <w:r>
              <w:rPr>
                <w:rFonts w:ascii="Calibri" w:hAnsi="Calibri"/>
                <w:b/>
                <w:color w:val="212529"/>
                <w:sz w:val="19"/>
              </w:rPr>
              <w:t xml:space="preserve">   • Plain Legal Meaning &amp; StatCon Application: </w:t>
            </w:r>
            <w:r>
              <w:rPr>
                <w:rFonts w:ascii="Calibri" w:hAnsi="Calibri"/>
                <w:color w:val="212529"/>
                <w:sz w:val="19"/>
              </w:rPr>
              <w:t>Tax statutes are never construed as imposing duplicate burdens on the same subject unless explicitly commanded.</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Grants of taxing power to local government units are strictly construed against the municipality.</w:t>
            </w:r>
          </w:p>
          <w:p>
            <w:pPr>
              <w:spacing w:before="40" w:after="60" w:line="276" w:lineRule="auto"/>
            </w:pPr>
            <w:r>
              <w:rPr>
                <w:rFonts w:ascii="Calibri" w:hAnsi="Calibri"/>
                <w:b/>
                <w:color w:val="8C3200"/>
                <w:sz w:val="20"/>
              </w:rPr>
              <w:t>3. Nemo debet bis vexari pro una et eadem causa (no one should be twice troubled for one and the same cause)</w:t>
              <w:br/>
            </w:r>
            <w:r>
              <w:rPr>
                <w:rFonts w:ascii="Calibri" w:hAnsi="Calibri"/>
                <w:b/>
                <w:color w:val="212529"/>
                <w:sz w:val="19"/>
              </w:rPr>
              <w:t xml:space="preserve">   • Literal English Translation: </w:t>
            </w:r>
            <w:r>
              <w:rPr>
                <w:rFonts w:ascii="Calibri" w:hAnsi="Calibri"/>
                <w:i/>
                <w:color w:val="212529"/>
                <w:sz w:val="19"/>
              </w:rPr>
              <w:t>No one ought to be twice vexed for the same cause.</w:t>
              <w:br/>
            </w:r>
            <w:r>
              <w:rPr>
                <w:rFonts w:ascii="Calibri" w:hAnsi="Calibri"/>
                <w:b/>
                <w:color w:val="212529"/>
                <w:sz w:val="19"/>
              </w:rPr>
              <w:t xml:space="preserve">   • Plain Legal Meaning &amp; StatCon Application: </w:t>
            </w:r>
            <w:r>
              <w:rPr>
                <w:rFonts w:ascii="Calibri" w:hAnsi="Calibri"/>
                <w:color w:val="212529"/>
                <w:sz w:val="19"/>
              </w:rPr>
              <w:t>A taxpayer cannot be subjected to repetitive taxes for the same commercial enterprise.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b. Ejusdem Generis &amp; Noscitur a Sociis (City Tax Ordinance)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contra duplicem taxationem</w:t>
              <w:br/>
              <w:t>(in doubt, rule against double taxation / statutes are presumed not to authorize duplicate municipal taxes on single business activities)</w:t>
              <w:br/>
              <w:br/>
              <w:t>Secondary:</w:t>
              <w:br/>
              <w:t>• Strictissimi juris (strict interpretation of tax laws)</w:t>
              <w:br/>
              <w:t>• Nemo debet bis vexari (no one should be twice burdened for the same cause)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of Manila created double taxation by splitting a unified manufacturing business into separate taxable entities without statutory authorization.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Against Double Taxation: Double taxation is obnoxious to the law; statutes must be construed to prevent double taxation unless the legislative intent to impose it is clear beyond question.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Taxes cannot be charged twice on the same money unless the law specifically and unmistakably orders a double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Coca-Cola Bottlers v. Gomez is the leading authority on the statutory presumption against double taxation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Coca-Cola Bottlers, Phils., Inc. (CCBPI) v. City of Manila and Liberty M. Gomez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154491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14, 2008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Coca-Cola Bottlers, Phils., Inc. manufactures and sells beverages in the City of Manila. The City of Manila assessed CCBPI under Section 14 of Manila Tax Ordinance No. 7794 as a 'manufacturer' of beverages, and simultaneously assessed CCBPI under Section 21 of the same ordinance as a 'distributor/dealer' of businesses subject to excise tax under the NIRC. CCBPI protested, arguing that under Section 143 of the Local Government Code, a single business enterprise cannot be subjected to double business tax on both manufacturing and distributing when the distribution is merely an incidental part of its manufacturing business.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143, Republic Act No. 7160 (Local Government Code): Governs local business taxes on manufacturers and wholesalers/distributors.</w:t>
              <w:br/>
              <w:t>2. Presumption Against Double Taxation (In Dubio Contra Duplicem Taxationem): Doubts are resolved against the imposition of multiple taxes on the same subject matter for the same purpose.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of Manila created double taxation by splitting a unified manufacturing business into separate taxable entities without statutory authorization.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City of Manila can tax a beverage company simultaneously as a manufacturer and as a distributor on the same sales receipts under the Local Government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Coca-Cola Bottlers, Phils., Inc. (CCBPI) v. City of Manila and Liberty M. Gomez, under the canon of In dubio contra duplicem taxationem.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143, Republic Act No. 7160 (Local Government Code): Governs local business taxes on manufacturers and wholesalers/distributors.</w:t>
              <w:br/>
              <w:t>2. Presumption Against Double Taxation (In Dubio Contra Duplicem Taxationem): Doubts are resolved against the imposition of multiple taxes on the same subject matter for the same purpose.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of Manila created double taxation by splitting a unified manufacturing business into separate taxable entities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Court of Appeals, and DECLARED the second tax assessment under Section 21 NULL AND VOID.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City of Manila CANNOT subject CCBPI to double taxation. In statutory construction, there is a strong presumption against double taxation unless the statute expressly and unmistakably authorizes 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of Manila created double taxation by splitting a unified manufacturing business into separate taxable entities without statutory au.</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contra duplicem taxationem</w:t>
              <w:br/>
              <w:t xml:space="preserve">   - Application: Presumption Against Double Taxation: Double taxation is obnoxious to the law; statutes must be construed to prevent double taxation unless the legislative intent to impose it is clear beyond question.</w:t>
              <w:br/>
              <w:t xml:space="preserve">   - Result: No. Double taxation is heavily frowned upon by law. When a company manufactures soft drinks, selling them is part of manufacturing. A city cannot slice one business into two just to collect double tax.</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interpretation of tax laws)</w:t>
              <w:br/>
              <w:t>• Nemo debet bis vexari (no one should be twice burdened for the same cause)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Coca-Cola Bottlers, Phils., Inc. (CCBPI) v. City of Manila and Liberty M. Gomez to mean and apply strictly in accordance with In dubio contra duplicem taxationem, holding that No. Double taxation is heavily frowned upon by law. When a company manufactures soft drinks, selling them is part of manufacturing. A city cannot slice one busi.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Selling is part of making goods—you can't be a manufacturer without selling your products. If the city taxes you for making the soda, it cannot tax you again for handing the soda to stores. The Court held that unless Congress says 'tax them twice', the presumption against double taxation blocks the second tax.</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contra duplicem taxationem,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Against Double Taxation: Double taxation is obnoxious to the law; statutes must be construed to prevent double taxation unless the legislative intent to impose it is clear beyond question.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Taxes cannot be charged twice on the same money unless the law specifically and unmistakably orders a double tax.</w:t>
            </w:r>
          </w:p>
        </w:tc>
      </w:tr>
    </w:tbl>
    <w:p>
      <w:r>
        <w:br w:type="page"/>
      </w:r>
    </w:p>
    <w:p>
      <w:pPr>
        <w:keepNext/>
        <w:spacing w:before="320" w:after="80"/>
      </w:pPr>
      <w:r>
        <w:rPr>
          <w:rFonts w:ascii="Arial" w:hAnsi="Arial"/>
          <w:b/>
          <w:color w:val="0F2043"/>
          <w:sz w:val="26"/>
        </w:rPr>
        <w:t>15. JOSE G. ATIENZA, JR. V. JOSE L. VILLAROSA</w:t>
      </w:r>
    </w:p>
    <w:p>
      <w:pPr>
        <w:spacing w:before="40" w:after="80" w:line="276" w:lineRule="auto"/>
      </w:pPr>
      <w:r>
        <w:rPr>
          <w:rFonts w:ascii="Calibri" w:hAnsi="Calibri"/>
          <w:b/>
          <w:color w:val="212529"/>
          <w:sz w:val="21"/>
        </w:rPr>
        <w:t xml:space="preserve">Citation: </w:t>
      </w:r>
      <w:r>
        <w:rPr>
          <w:rFonts w:ascii="Calibri" w:hAnsi="Calibri"/>
          <w:i/>
          <w:color w:val="212529"/>
          <w:sz w:val="21"/>
        </w:rPr>
        <w:t>G.R. No. 161081 | May 10, 2005 | 458 SCRA 385 | En Banc | Ponente: J. Callejo, Sr.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G. Atienza,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Jose L. Villarosa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Occidental Mindoro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statutory allocation of administrative and appointing powers between the Provincial Governor and the Vice-Governor under Republic Act No. 7160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 bitter political conflict erupted in Occidental Mindoro between Governor Jose Villarosa and Vice-Governor Jose Atienza, Jr. over who had the authority to appoint personnel of the Sangguniang Panlalawigan and sign purchase orders and disbursement vouchers for legislative branch expenses. Governor Villarosa insisted that Section 465 of the Local Government Code gives the Provincial Governor supreme administrative authority over all provincial employees and finances. Vice-Governor Atienza countered that Section 466 explicitly designates the Vice-Governor as the presiding officer of the Sangguniang Panlalawigan with the exclusive power to appoint all legislative officials and approve vouchers payable from legislative funds.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and Vice-Governor of Occidental Mindoro fought over who had the right to hire employees and sign checks for the provincial legislative board (Sangguniang Panlalawigan). The Governor claimed he runs the entire province, while the Vice-Governor claimed the law gives him control over the legislative board. The Supreme Court harmonized all sections of the Local Government Code, ruling that the Vice-Governor has sole power to hire legislative staff and sign legislative expenses, while the Governor controls the executive branch.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Vice-Governor, as presiding officer of the Sangguniang Panlalawigan, has the statutory authority to appoint personnel of the legislative council and approve disbursement vouchers for legislative operations, to the exclusion of the Provincial Governor.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Vice-Governor or the Governor have the legal power to hire staff and sign checks for the provincial legislative board?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appointing and spending powers over the Sangguniang Panlalawigan belong to the Vice-Governor or the Governor under RA 7160, testing the canon of Construing a Statute as a Whole (Ut Res Magis Valeat Quam Pereat / Ex Antecedentibus Et Consequentibus)."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VICE-GOVERNOR has the exclusive authority to appoint all officials and employees of the Sangguniang Panlalawigan and to sign purchase orders and vouchers payable from legislative appropriations. The Local Government Code must be construed as a whole to harmonize executive and legislative powers.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When you read the whole Local Government Code together, it is clear that the Governor heads the Executive branch and the Vice-Governor heads the Legislative branch. The Governor cannot meddle in legislative hiring and checks.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Ut res magis valeat quam pereat (that the thing may have effect rather than perish) and construing the Local Government Code as an integrated whole, Section 466 gives the Vice-Governor exclusive authority over legislative staff and vouchers, while the Governor's powers under Section 465 are confined to executive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465, 466, and 468, Republic Act No. 7160 (Local Government Code of 1991): </w:t>
            </w:r>
            <w:r>
              <w:rPr>
                <w:rFonts w:ascii="Calibri" w:hAnsi="Calibri"/>
                <w:color w:val="212529"/>
                <w:sz w:val="20"/>
              </w:rPr>
              <w:t>Allocation of powers between the Provincial Governor (executive) and Vice-Governor (presiding officer of the sanggunian).</w:t>
            </w:r>
          </w:p>
          <w:p>
            <w:pPr>
              <w:spacing w:before="20" w:after="40" w:line="276" w:lineRule="auto"/>
            </w:pPr>
            <w:r>
              <w:rPr>
                <w:rFonts w:ascii="Calibri" w:hAnsi="Calibri"/>
                <w:b/>
                <w:color w:val="212529"/>
                <w:sz w:val="20"/>
              </w:rPr>
              <w:t xml:space="preserve">2. Ut Res Magis Valeat Quam Pereat (that the thing may rather have effect than perish): </w:t>
            </w:r>
            <w:r>
              <w:rPr>
                <w:rFonts w:ascii="Calibri" w:hAnsi="Calibri"/>
                <w:color w:val="212529"/>
                <w:sz w:val="20"/>
              </w:rPr>
              <w:t>All provisions of the Local Government Code must be harmonized so that each section operates with full vitality.</w:t>
            </w:r>
          </w:p>
          <w:p>
            <w:pPr>
              <w:spacing w:before="20" w:after="40" w:line="276" w:lineRule="auto"/>
            </w:pPr>
            <w:r>
              <w:rPr>
                <w:rFonts w:ascii="Calibri" w:hAnsi="Calibri"/>
                <w:b/>
                <w:color w:val="212529"/>
                <w:sz w:val="20"/>
              </w:rPr>
              <w:t xml:space="preserve">3. Ex Antecedentibus Et Consequentibus Fit Optima Interpretatio (the best interpretation is made from the context): </w:t>
            </w:r>
            <w:r>
              <w:rPr>
                <w:rFonts w:ascii="Calibri" w:hAnsi="Calibri"/>
                <w:color w:val="212529"/>
                <w:sz w:val="20"/>
              </w:rPr>
              <w:t>Statutory clauses must be interpreted in connection with preceding and succeeding clauses.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465 &amp; 466 RA 7160, Ut Res Magis Valeat Quam Pereat, and Ex Antecedentibus Et Consequentibus.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465 and 466 of RA 7160, construed under Ut res magis valeat quam pereat (that the statute may have effect rather than perish) and Ex antecedentibus et consequentibus fit optima interpretatio."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Construction as an Integrated Whole: </w:t>
            </w:r>
            <w:r>
              <w:rPr>
                <w:rFonts w:ascii="Calibri" w:hAnsi="Calibri"/>
                <w:color w:val="212529"/>
                <w:sz w:val="20"/>
              </w:rPr>
              <w:t>A statute must be read in its entirety. Section 465 cannot be read in isolation to swallow up Section 466; both sections must be harmonized to reflect the separation of executive and legislative powers at the local government level.</w:t>
            </w:r>
          </w:p>
          <w:p>
            <w:pPr>
              <w:spacing w:before="20" w:after="40" w:line="276" w:lineRule="auto"/>
            </w:pPr>
            <w:r>
              <w:rPr>
                <w:rFonts w:ascii="Calibri" w:hAnsi="Calibri"/>
                <w:b/>
                <w:color w:val="212529"/>
                <w:sz w:val="20"/>
              </w:rPr>
              <w:t xml:space="preserve">2. Presiding Officer's Inherent Administrative Prerogative: </w:t>
            </w:r>
            <w:r>
              <w:rPr>
                <w:rFonts w:ascii="Calibri" w:hAnsi="Calibri"/>
                <w:color w:val="212529"/>
                <w:sz w:val="20"/>
              </w:rPr>
              <w:t>The Vice-Governor is the head of the legislative body. Giving the Governor power over legislative personnel would destroy legislative independence and subvert local checks and balances.</w:t>
            </w:r>
          </w:p>
          <w:p>
            <w:pPr>
              <w:spacing w:before="20" w:after="40" w:line="276" w:lineRule="auto"/>
            </w:pPr>
            <w:r>
              <w:rPr>
                <w:rFonts w:ascii="Calibri" w:hAnsi="Calibri"/>
                <w:b/>
                <w:color w:val="212529"/>
                <w:sz w:val="20"/>
              </w:rPr>
              <w:t xml:space="preserve">3. Specific vs. General Allocation: </w:t>
            </w:r>
            <w:r>
              <w:rPr>
                <w:rFonts w:ascii="Calibri" w:hAnsi="Calibri"/>
                <w:color w:val="212529"/>
                <w:sz w:val="20"/>
              </w:rPr>
              <w:t>Section 466 specifically assigns legislative appointments and sanggunian voucher approvals to the Vice-Governor, acting as an exception to the Governor's general executive authority under Section 465.</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read one section of a law and ignore the rest. If the Governor controlled the legislative employees, the legislative council would lose its independence. By reading the whole statute together, the Court gave full meaning to both the Governor's executive role and the Vice-Governor's legislative role.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entire Local Government Code. Under Ut Res Magis Valeat Quam Pereat, the statute maintains local separation of powers: the Governor administers executive offices, while the Vice-Governor exercises exclusive appointing and fiscal authority over the Sangguniang Panlalawigan."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PARTIALLY GRANTED the petition, DECLARING that the Vice-Governor has the exclusive power to appoint Sangguniang Panlalawigan personnel and sign legislative purchase orders and disbursement vouchers.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was affirmed as the exclusive authority over legislative staff and vouchers.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Vice-Governor's exclusive authority over legislative personnel and expenditures through harmonious statutory construction."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d. Doctrine of Necessary Implication (Vice-Governor Signatory Powers)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All parts of the Local Government Code must be construed together to give full meaning and operation to every section.</w:t>
            </w:r>
          </w:p>
          <w:p>
            <w:pPr>
              <w:spacing w:before="40" w:after="60" w:line="276" w:lineRule="auto"/>
            </w:pPr>
            <w:r>
              <w:rPr>
                <w:rFonts w:ascii="Calibri" w:hAnsi="Calibri"/>
                <w:b/>
                <w:color w:val="8C3200"/>
                <w:sz w:val="20"/>
              </w:rPr>
              <w:t>2.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preceding and following clauses.</w:t>
              <w:br/>
            </w:r>
            <w:r>
              <w:rPr>
                <w:rFonts w:ascii="Calibri" w:hAnsi="Calibri"/>
                <w:b/>
                <w:color w:val="212529"/>
                <w:sz w:val="19"/>
              </w:rPr>
              <w:t xml:space="preserve">   • Plain Legal Meaning &amp; StatCon Application: </w:t>
            </w:r>
            <w:r>
              <w:rPr>
                <w:rFonts w:ascii="Calibri" w:hAnsi="Calibri"/>
                <w:color w:val="212529"/>
                <w:sz w:val="19"/>
              </w:rPr>
              <w:t>The Governor's general powers in Section 465 must be read alongside the Vice-Governor's specific powers in Section 466.</w:t>
            </w:r>
          </w:p>
          <w:p>
            <w:pPr>
              <w:spacing w:before="40" w:after="60" w:line="276" w:lineRule="auto"/>
            </w:pPr>
            <w:r>
              <w:rPr>
                <w:rFonts w:ascii="Calibri" w:hAnsi="Calibri"/>
                <w:b/>
                <w:color w:val="8C3200"/>
                <w:sz w:val="20"/>
              </w:rPr>
              <w:t>3.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provisions do not override specific provisions.</w:t>
              <w:br/>
            </w:r>
            <w:r>
              <w:rPr>
                <w:rFonts w:ascii="Calibri" w:hAnsi="Calibri"/>
                <w:b/>
                <w:color w:val="212529"/>
                <w:sz w:val="19"/>
              </w:rPr>
              <w:t xml:space="preserve">   • Plain Legal Meaning &amp; StatCon Application: </w:t>
            </w:r>
            <w:r>
              <w:rPr>
                <w:rFonts w:ascii="Calibri" w:hAnsi="Calibri"/>
                <w:color w:val="212529"/>
                <w:sz w:val="19"/>
              </w:rPr>
              <w:t>General executive powers of the Governor yield to the specific legislative appointing powers of the Vice-Governor.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d. Doctrine of Necessary Implication (Vice-Governor Signatory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harmonizing executive and legislative powers across the Local Government Code)</w:t>
              <w:br/>
              <w:br/>
              <w:t>Secondary:</w:t>
              <w:br/>
              <w:t>• Ex antecedentibus et consequentibus fit optima interpretatio (best interpretation from the whole context)</w:t>
              <w:br/>
              <w:t>• Generalia specialibus non derogant (general provisions yield to specific ones)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Governor isolated Section 465 from the rest of the Local Government Code, attempting to usurp powers specifically granted to the Vice-Governor under Section 466.</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Harmonious Whole: A statute must be construed as a harmonious whole; no single provision should be isolated to defeat or render another provision superfluous or meaningless.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section of a code must be read together like gears in a clock so that every part works smoothly without jamming.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Atienza v. Villarosa is the textbook case on construing a statute as a whole (Ut res magis valeat quam pereat), harmonizing executive and legislative powers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G. Atienza, Jr. v. Jose L. Villarosa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161081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10,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 bitter political conflict erupted in Occidental Mindoro between Governor Jose Villarosa and Vice-Governor Jose Atienza, Jr. over who had the authority to appoint personnel of the Sangguniang Panlalawigan and sign purchase orders and disbursement vouchers for legislative branch expenses. Governor Villarosa insisted that Section 465 of the Local Government Code gives the Provincial Governor supreme administrative authority over all provincial employees and finances. Vice-Governor Atienza countered that Section 466 explicitly designates the Vice-Governor as the presiding officer of the Sangguniang Panlalawigan with the exclusive power to appoint all legislative officials and approve vouchers payable from legislative funds.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465, 466, and 468, Republic Act No. 7160 (Local Government Code of 1991): Allocation of powers between the Provincial Governor (executive) and Vice-Governor (presiding officer of the sanggunian).</w:t>
              <w:br/>
              <w:t>2. Ut Res Magis Valeat Quam Pereat (that the thing may rather have effect than perish): All provisions of the Local Government Code must be harmonized so that each section operates with full vitality.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Governor isolated Section 465 from the rest of the Local Government Code, attempting to usurp powers specifically granted to the Vice-Governor under Section 466.</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Vice-Governor, as presiding officer of the Sangguniang Panlalawigan, has the statutory authority to appoint personnel of the legislative council and approve disbursement vouchers for legislative operations, to the exclusion of the Provincial Governor.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G. Atienza, Jr. v. Jose L. Villarosa,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465, 466, and 468, Republic Act No. 7160 (Local Government Code of 1991): Allocation of powers between the Provincial Governor (executive) and Vice-Governor (presiding officer of the sanggunian).</w:t>
              <w:br/>
              <w:t>2. Ut Res Magis Valeat Quam Pereat (that the thing may rather have effect than perish): All provisions of the Local Government Code must be harmonized so that each section operates with full vitality.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Governor isolated Section 465 from the rest of the Local Government Code, attempting to usurp powers specifically gr...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PARTIALLY GRANTED the petition, DECLARING that the Vice-Governor has the exclusive power to appoint Sangguniang Panlalawigan personnel and sign legislative purchase orders and disbursement vouchers.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VICE-GOVERNOR has the exclusive authority to appoint all officials and employees of the Sangguniang Panlalawigan and to sign purchase orders and vouchers payable from legislative appropriations. The Local Government Code must be construed as a whole to harmonize executive and legislative powers.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Governor isolated Section 465 from the rest of the Local Government Code, attempting to usurp powers specifically granted to the Vice-Go.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Doctrine of Harmonious Whole: A statute must be construed as a harmonious whole; no single provision should be isolated to defeat or render another provision superfluous or meaningless.</w:t>
              <w:br/>
              <w:t xml:space="preserve">   - Result: The Vice-Governor. When you read the whole Local Government Code together, it is clear that the Governor heads the Executive branch and the Vice-Governor heads the Legislative branch. The Governor cannot meddle in legislative hiring and checks.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fit optima interpretatio (best interpretation from the whole context)</w:t>
              <w:br/>
              <w:t>• Generalia specialibus non derogant (general provisions yield to specific ones)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G. Atienza, Jr. v. Jose L. Villarosa to mean and apply strictly in accordance with Ut res magis valeat quam pereat, holding that The Vice-Governor. When you read the whole Local Government Code together, it is clear that the Governor heads the Executive branch and the Vice-Governor heads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You cannot read one section of a law and ignore the rest. If the Governor controlled the legislative employees, the legislative council would lose its independence. By reading the whole statute together, the Court gave full meaning to both the Governor's executive role and the Vice-Governor's legislative role.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Harmonious Whole: A statute must be construed as a harmonious whole; no single provision should be isolated to defeat or render another provision superfluous or meaningless.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section of a code must be read together like gears in a clock so that every part works smoothly without jamming.</w:t>
            </w:r>
          </w:p>
        </w:tc>
      </w:tr>
    </w:tbl>
    <w:p>
      <w:r>
        <w:br w:type="page"/>
      </w:r>
    </w:p>
    <w:p>
      <w:pPr>
        <w:keepNext/>
        <w:spacing w:before="320" w:after="80"/>
      </w:pPr>
      <w:r>
        <w:rPr>
          <w:rFonts w:ascii="Arial" w:hAnsi="Arial"/>
          <w:b/>
          <w:color w:val="0F2043"/>
          <w:sz w:val="26"/>
        </w:rPr>
        <w:t>16. COMMISSION ON HUMAN RIGHTS EMPLOYEES' ASSOCIATION (CHREA) V. COMMISSION ON HUMAN RIGHTS</w:t>
      </w:r>
    </w:p>
    <w:p>
      <w:pPr>
        <w:spacing w:before="40" w:after="80" w:line="276" w:lineRule="auto"/>
      </w:pPr>
      <w:r>
        <w:rPr>
          <w:rFonts w:ascii="Calibri" w:hAnsi="Calibri"/>
          <w:b/>
          <w:color w:val="212529"/>
          <w:sz w:val="21"/>
        </w:rPr>
        <w:t xml:space="preserve">Citation: </w:t>
      </w:r>
      <w:r>
        <w:rPr>
          <w:rFonts w:ascii="Calibri" w:hAnsi="Calibri"/>
          <w:i/>
          <w:color w:val="212529"/>
          <w:sz w:val="21"/>
        </w:rPr>
        <w:t>G.R. No. 155336 | November 25, 2004 | 444 SCRA 300 | First Division | Ponente: J. Ynares-Santiago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Human Rights Employees' Association (CHREA)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Human Rights (CHR)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Civil Service Commission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validity of CHR Resolution No. A98-047 upgrading and reclassifying rank-and-file plantilla positions without approval of the Department of Budget and Management (DBM).</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Commission on Human Rights (CHR) issued Resolution No. A98-047 adopting an internal 'Upgrading and Reclassification Scheme' that elevated certain high-level legal and executive positions while collapsing and leaving behind lower rank-and-file plantilla positions. CHREA (the employees' union) protested, arguing that the upgrading violated Republic Act No. 6758 (The Compensation and Position Classification Act of 1989 / Salary Standardization Law) and lacked the mandatory approval of the DBM and Civil Service Commission. CHR claimed that as an independent constitutional office under Article XIII, Section 17 of the 1987 Constitution, it possessed full fiscal autonomy to reclassify positions and fix salaries without DBM interference.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Commission on Human Rights promoted its top bosses and lawyers using an internal reorganization plan, leaving the rank-and-file workers behind. The employees' union objected because the plan was never approved by the Department of Budget and Management (DBM) or Civil Service Commission as required by the Salary Standardization Law. CHR claimed it is an independent body that can do whatever it wants with its salaries. The Supreme Court ruled that CHR is not a constitutional commission with full fiscal autonomy and must strictly obey the Salary Standardization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Commission on Human Rights (CHR) has the statutory and constitutional authority to reclassify and upgrade positions and salaries without the approval of the DBM under R.A. No. 6758.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Commission on Human Rights raise salaries and change job titles without DBM approval by claiming constitutional independence?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CHR is exempt from the Compensation and Position Classification Act (RA 6758), testing the canon of Expressio Unius Est Exclusio Alterius (the express mention of one thing is the exclusion of another) and the boundaries of administrative rule-making."</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CHR is NOT exempt from R.A. No. 6758 and CANNOT upgrade positions without DBM approval. CHR is an independent constitutional office, but it is NOT one of the three Constitutional Commissions granted fiscal autonomy under the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Constitution grants fiscal autonomy only to the CSC, COMELEC, and COA. Because CHR is not on that list, Expressio Unius excludes it. CHR must follow the Salary Standardization Law and get DBM approval.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Expressio unius est exclusio alterius (the express mention of one thing is the exclusion of another), the constitutional grant of fiscal autonomy is strictly limited to the three Constitutional Commissions (CSC, COMELEC, COA). CHR must comply with RA 6758 and obtain DBM approval for any position upgrading."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6758 (Salary Standardization Law): </w:t>
            </w:r>
            <w:r>
              <w:rPr>
                <w:rFonts w:ascii="Calibri" w:hAnsi="Calibri"/>
                <w:color w:val="212529"/>
                <w:sz w:val="20"/>
              </w:rPr>
              <w:t>Mandates unified position classification and compensation system across all government agencies administered by DBM.</w:t>
            </w:r>
          </w:p>
          <w:p>
            <w:pPr>
              <w:spacing w:before="20" w:after="40" w:line="276" w:lineRule="auto"/>
            </w:pPr>
            <w:r>
              <w:rPr>
                <w:rFonts w:ascii="Calibri" w:hAnsi="Calibri"/>
                <w:b/>
                <w:color w:val="212529"/>
                <w:sz w:val="20"/>
              </w:rPr>
              <w:t xml:space="preserve">2. Article IX-A, Section 5, 1987 Constitution: </w:t>
            </w:r>
            <w:r>
              <w:rPr>
                <w:rFonts w:ascii="Calibri" w:hAnsi="Calibri"/>
                <w:color w:val="212529"/>
                <w:sz w:val="20"/>
              </w:rPr>
              <w:t>Confers fiscal autonomy specifically on the three Constitutional Commissions (CSC, COMELEC, COA).</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enumeration of entities possessing fiscal autonomy excludes all unlisted agencies.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6758, Article IX-A Sec 5 Constitution,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6758 and Article IX-A, Section 5 of the Constitution, governed by Expressio unius est exclusio alterius (the express mention of one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Constitutional Scope of Fiscal Autonomy: </w:t>
            </w:r>
            <w:r>
              <w:rPr>
                <w:rFonts w:ascii="Calibri" w:hAnsi="Calibri"/>
                <w:color w:val="212529"/>
                <w:sz w:val="20"/>
              </w:rPr>
              <w:t>The 1987 Constitution explicitly named the Civil Service Commission, the Commission on Elections, and the Commission on Audit as Constitutional Commissions with fiscal autonomy. CHR is created under Article XIII as an independent office, not a Constitutional Commission.</w:t>
            </w:r>
          </w:p>
          <w:p>
            <w:pPr>
              <w:spacing w:before="20" w:after="40" w:line="276" w:lineRule="auto"/>
            </w:pPr>
            <w:r>
              <w:rPr>
                <w:rFonts w:ascii="Calibri" w:hAnsi="Calibri"/>
                <w:b/>
                <w:color w:val="212529"/>
                <w:sz w:val="20"/>
              </w:rPr>
              <w:t xml:space="preserve">2. Application of Expressio Unius: </w:t>
            </w:r>
            <w:r>
              <w:rPr>
                <w:rFonts w:ascii="Calibri" w:hAnsi="Calibri"/>
                <w:color w:val="212529"/>
                <w:sz w:val="20"/>
              </w:rPr>
              <w:t>Where the Constitution and the law expressly enumerate the specific bodies endowed with fiscal autonomy and exemption from DBM standardization, all other offices are excluded under the doctrine of expressio unius.</w:t>
            </w:r>
          </w:p>
          <w:p>
            <w:pPr>
              <w:spacing w:before="20" w:after="40" w:line="276" w:lineRule="auto"/>
            </w:pPr>
            <w:r>
              <w:rPr>
                <w:rFonts w:ascii="Calibri" w:hAnsi="Calibri"/>
                <w:b/>
                <w:color w:val="212529"/>
                <w:sz w:val="20"/>
              </w:rPr>
              <w:t xml:space="preserve">3. Subordination of Administrative Regulations to Statutes: </w:t>
            </w:r>
            <w:r>
              <w:rPr>
                <w:rFonts w:ascii="Calibri" w:hAnsi="Calibri"/>
                <w:color w:val="212529"/>
                <w:sz w:val="20"/>
              </w:rPr>
              <w:t>An administrative agency cannot expand its powers or create salary schemes that violate the mandatory provisions of RA 6758.</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specifically lists the three commissions that have financial independence: Civil Service, Elections, and Audit. CHR is not on that list. Under Expressio Unius, when the law makes a specific list, what is left off the list is excluded. Therefore, CHR must obey the salary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The Constitution specifically grants fiscal autonomy only to the three Constitutional Commissions in Article IX. CHR cannot claim fiscal autonomy by implication, and its administrative upgrading without DBM approval was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CHR Resolution No. A98-047, and DECLARED the reclassification scheme void for lack of DBM approval.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union won; the salary upgrading scheme was declared void and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CHR reclassification scheme for violating RA 6758 and the principle of Expressio Unius."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e. Expressio Unius Est Exclusio Alterius (CHR Reorganization Powers)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constitutional grant of fiscal autonomy to CSC, COMELEC, and COA excludes CHR.</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Administrative agencies cannot usurp legislative salary-fixing authority.</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6758 establishes universal compensation control across all non-autonomous offices.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e. Expressio Unius Est Exclusio Alterius (CHR Reorganization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constitutional enumeration of fiscally autonomous bodies excludes CHR)</w:t>
              <w:br/>
              <w:br/>
              <w:t>Secondary:</w:t>
              <w:br/>
              <w:t>• Optima statuti interpretatrix est ipsum statutum (the statute itself is its best interpreter)</w:t>
              <w:br/>
              <w:t>• Potestas delegata non delegari potest (delegated power limits)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CHR attempted to arrogate constitutional fiscal autonomy by implication, violating the explicit enumeration in the Constitution and RA 6758.</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Expressio Unius: When the Constitution or a statute expressly enumerates the subjects to which a privilege applies, it is an unmistakable indication that all unmentioned subjects are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Constitution names three specific commissions that have total budget freedom, other agencies cannot pretend they are included.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CHREA v. CHR demonstrates Expressio unius est exclusio alterius: the constitutional enumeration of fiscally autonomous commissions excludes all other independent bodies."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Human Rights Employees' Association (CHREA) v. Commission on Human Rights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155336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25, 2004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Commission on Human Rights (CHR) issued Resolution No. A98-047 adopting an internal 'Upgrading and Reclassification Scheme' that elevated certain high-level legal and executive positions while collapsing and leaving behind lower rank-and-file plantilla positions. CHREA (the employees' union) protested, arguing that the upgrading violated Republic Act No. 6758 (The Compensation and Position Classification Act of 1989 / Salary Standardization Law) and lacked the mandatory approval of the DBM and Civil Service Commission. CHR claimed that as an independent constitutional office under Article XIII, Section 17 of the 1987 Constitution, it possessed full fiscal autonomy to reclassify positions and fix salaries without DBM interference.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6758 (Salary Standardization Law): Mandates unified position classification and compensation system across all government agencies administered by DBM.</w:t>
              <w:br/>
              <w:t>2. Article IX-A, Section 5, 1987 Constitution: Confers fiscal autonomy specifically on the three Constitutional Commissions (CSC, COMELEC, COA).</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CHR attempted to arrogate constitutional fiscal autonomy by implication, violating the explicit enumeration in the Constitution and RA 6758.</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Commission on Human Rights (CHR) has the statutory and constitutional authority to reclassify and upgrade positions and salaries without the approval of the DBM under R.A. No. 6758.</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Human Rights Employees' Association (CHREA) v. Commission on Human Rights,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6758 (Salary Standardization Law): Mandates unified position classification and compensation system across all government agencies administered by DBM.</w:t>
              <w:br/>
              <w:t>2. Article IX-A, Section 5, 1987 Constitution: Confers fiscal autonomy specifically on the three Constitutional Commissions (CSC, COMELEC, COA).</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CHR Resolution No. A98-047, and DECLARED the reclassification scheme void for lack of DBM approval.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CHR is NOT exempt from R.A. No. 6758 and CANNOT upgrade positions without DBM approval. CHR is an independent constitutional office, but it is NOT one of the three Constitutional Commissions granted fiscal autonomy under the Constitution.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Doctrine of Expressio Unius: When the Constitution or a statute expressly enumerates the subjects to which a privilege applies, it is an unmistakable indication that all unmentioned subjects are excluded.</w:t>
              <w:br/>
              <w:t xml:space="preserve">   - Result: No. The Constitution grants fiscal autonomy only to the CSC, COMELEC, and COA. Because CHR is not on that list, Expressio Unius excludes it. CHR must follow the Salary Standardization Law and get DBM approval.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est ipsum statutum (the statute itself is its best interpreter)</w:t>
              <w:br/>
              <w:t>• Potestas delegata non delegari potest (delegated power limits)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Human Rights Employees' Association (CHREA) v. Commission on Human Rights to mean and apply strictly in accordance with Expressio unius est exclusio alterius, holding that No. The Constitution grants fiscal autonomy only to the CSC, COMELEC, and COA. Because CHR is not on that list, Expressio Unius excludes it. CHR must follow the.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specifically lists the three commissions that have financial independence: Civil Service, Elections, and Audit. CHR is not on that list. Under Expressio Unius, when the law makes a specific list, what is left off the list is excluded. Therefore, CHR must obey the salary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Expressio Unius: When the Constitution or a statute expressly enumerates the subjects to which a privilege applies, it is an unmistakable indication that all unmentioned subjects are excluded.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Constitution names three specific commissions that have total budget freedom, other agencies cannot pretend they are included.</w:t>
            </w:r>
          </w:p>
        </w:tc>
      </w:tr>
    </w:tbl>
    <w:p>
      <w:r>
        <w:br w:type="page"/>
      </w:r>
    </w:p>
    <w:p>
      <w:pPr>
        <w:keepNext/>
        <w:spacing w:before="320" w:after="80"/>
      </w:pPr>
      <w:r>
        <w:rPr>
          <w:rFonts w:ascii="Arial" w:hAnsi="Arial"/>
          <w:b/>
          <w:color w:val="0F2043"/>
          <w:sz w:val="26"/>
        </w:rPr>
        <w:t>17. STERLING SELECTIONS CORPORATION V. LAGUNA LAKE DEVELOPMENT AUTHORITY (LLDA)</w:t>
      </w:r>
    </w:p>
    <w:p>
      <w:pPr>
        <w:spacing w:before="40" w:after="80" w:line="276" w:lineRule="auto"/>
      </w:pPr>
      <w:r>
        <w:rPr>
          <w:rFonts w:ascii="Calibri" w:hAnsi="Calibri"/>
          <w:b/>
          <w:color w:val="212529"/>
          <w:sz w:val="21"/>
        </w:rPr>
        <w:t xml:space="preserve">Citation: </w:t>
      </w:r>
      <w:r>
        <w:rPr>
          <w:rFonts w:ascii="Calibri" w:hAnsi="Calibri"/>
          <w:i/>
          <w:color w:val="212529"/>
          <w:sz w:val="21"/>
        </w:rPr>
        <w:t>G.R. No. 171427 | March 30, 2011 | 646 SCRA 715 | Third Division | Ponente: J. Peralta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Sterling Selections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Laguna Lake Development Authority (LLDA)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regulatory and police power of LLDA to require clearance and penalize pollution under Republic Act No. 4850.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Sterling Selections Corporation operates a manufacturing facility in Novaliches, Quezon City, producing handicraft and metal gifts, discharging industrial wastewater into a drainage that eventually leads to the Laguna de Bay basin. The Laguna Lake Development Authority (LLDA) inspected the factory, found unpermitted wastewater discharge, and issued an Order of Closure and imposed administrative fines pursuant to Republic Act No. 4850, as amended by P.D. No. 813. Sterling argued that LLDA had no territorial jurisdiction over its factory because Quezon City is not located directly on the shores of Laguna Lake, and contended that LLDA's charter should be strictly construed to cover only lakeshore municipalities.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handicraft factory in Quezon City was pouring industrial waste into drains that flow into river tributaries leading to Laguna Lake. The Laguna Lake Development Authority (LLDA) shut down the factory and fined them. The factory sued, claiming LLDA only has authority over towns physically bordering the lake, not Quezon City. The Supreme Court ruled that LLDA's power covers the entire watershed and all tributaries feeding the lake, because environmental laws must be interpreted broadly to protect the water basin.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regulatory and police powers of the LLDA under R.A. No. 4850 extend to industrial establishments located in river basins and tributaries outside direct lakeshore municipalities.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Laguna Lake Authority have the legal power to shut down a polluting factory in Quezon City if the factory's dirty water drains into rivers that flow into Laguna Lake?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territorial jurisdiction of the LLDA under RA 4850 covers the entire watershed basin, testing the canon of Liberal Construction of Environmental and Police Power Statutes (Salus Populi Est Suprema Lex /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LLDA's authority EXTENDS to all industrial establishments within the entire Laguna de Bay watershed basin, including tributaries in Quezon City. Environmental statutes enacted under police power are liberally construed to effectuate resource conservation.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Pollution dumped into a river in Quezon City flows directly into Laguna Lake. To protect the lake, the law gave LLDA authority over the entire watershed basin, not just the water's edge. Police power laws for the environment are interpreted broadly.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Salus populi est suprema lex (the welfare of the people is the supreme law) and purposive statutory construction, RA 4850 gives LLDA comprehensive jurisdiction over the entire Laguna de Bay watershed basin to protect the environmental integrity of the lake."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4850 (as amended by P.D. No. 813 and E.O. No. 927): </w:t>
            </w:r>
            <w:r>
              <w:rPr>
                <w:rFonts w:ascii="Calibri" w:hAnsi="Calibri"/>
                <w:color w:val="212529"/>
                <w:sz w:val="20"/>
              </w:rPr>
              <w:t>Charter of the Laguna Lake Development Authority granting regulatory, licensing, and water quality control powers.</w:t>
            </w:r>
          </w:p>
          <w:p>
            <w:pPr>
              <w:spacing w:before="20" w:after="40" w:line="276" w:lineRule="auto"/>
            </w:pPr>
            <w:r>
              <w:rPr>
                <w:rFonts w:ascii="Calibri" w:hAnsi="Calibri"/>
                <w:b/>
                <w:color w:val="212529"/>
                <w:sz w:val="20"/>
              </w:rPr>
              <w:t xml:space="preserve">2. Salus Populi Est Suprema Lex (the welfare of the people is the supreme law): </w:t>
            </w:r>
            <w:r>
              <w:rPr>
                <w:rFonts w:ascii="Calibri" w:hAnsi="Calibri"/>
                <w:color w:val="212529"/>
                <w:sz w:val="20"/>
              </w:rPr>
              <w:t>Environmental protection statutes enacted pursuant to the State's police power are given expansive, efficacious interpretation.</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Statutes creating regulatory agencies must be interpreted to make their environmental mandate effective rather than toothless.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4850, PD 813, Salus Populi Est Suprema Lex,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4850 as amended, construed under Salus populi est suprema lex (the welfare of the people is supreme law) and Ut res magis valeat quam pereat (construction to preserve statutory effectiveness)."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Ecological and Hydrological Reality: </w:t>
            </w:r>
            <w:r>
              <w:rPr>
                <w:rFonts w:ascii="Calibri" w:hAnsi="Calibri"/>
                <w:color w:val="212529"/>
                <w:sz w:val="20"/>
              </w:rPr>
              <w:t>Laguna de Bay is a hydrological basin fed by over 21 river tributaries. Regulating only the shoreline while ignoring upstream polluters would render the law futile and defeat the statutory mandate.</w:t>
            </w:r>
          </w:p>
          <w:p>
            <w:pPr>
              <w:spacing w:before="20" w:after="40" w:line="276" w:lineRule="auto"/>
            </w:pPr>
            <w:r>
              <w:rPr>
                <w:rFonts w:ascii="Calibri" w:hAnsi="Calibri"/>
                <w:b/>
                <w:color w:val="212529"/>
                <w:sz w:val="20"/>
              </w:rPr>
              <w:t xml:space="preserve">2. Broad Police Power Grant: </w:t>
            </w:r>
            <w:r>
              <w:rPr>
                <w:rFonts w:ascii="Calibri" w:hAnsi="Calibri"/>
                <w:color w:val="212529"/>
                <w:sz w:val="20"/>
              </w:rPr>
              <w:t>Executive Order No. 927 explicitly defined the Laguna de Bay Region to encompass the surrounding drainage basins and catchment areas, including parts of Metro Manila.</w:t>
            </w:r>
          </w:p>
          <w:p>
            <w:pPr>
              <w:spacing w:before="20" w:after="40" w:line="276" w:lineRule="auto"/>
            </w:pPr>
            <w:r>
              <w:rPr>
                <w:rFonts w:ascii="Calibri" w:hAnsi="Calibri"/>
                <w:b/>
                <w:color w:val="212529"/>
                <w:sz w:val="20"/>
              </w:rPr>
              <w:t xml:space="preserve">3. Purposive Interpretation of Environmental Laws: </w:t>
            </w:r>
            <w:r>
              <w:rPr>
                <w:rFonts w:ascii="Calibri" w:hAnsi="Calibri"/>
                <w:color w:val="212529"/>
                <w:sz w:val="20"/>
              </w:rPr>
              <w:t>Courts must construe environmental protection charters with sufficient breadth to enable administrative agencies to fulfill their ecological mandates.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Water flows downhill. If factories upstream could dump poison into rivers without LLDA control, the lake would be ruined within months. The Court ruled that the law must be interpreted to match the reality of nature: you cannot protect a lake without protecting the rivers that feed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ecological construction. Under Ut Res Magis Valeat Quam Pereat, statutory charters protecting public resources must be interpreted to cover the entire ecological watershed; otherwise, upstream pollution would defeat the entire purpose of RA 4850."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closure order and administrative fines against Sterling Selections Corporation, and UPHELD LLDA's watershed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factory lost; LLDA's shutdown order and pollution fines were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LLDA's jurisdiction over the entire watershed basin under liberal construction of environmental police powers."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e. Expressio Unius &amp; Noscitur a Sociis (LLDA Waste Clearance Powers)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Statutes protecting public health and environmental water resources are granted broad, effective construction.</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Environmental protection statutes must be construed to make resource preservation effective rather than futile.</w:t>
            </w:r>
          </w:p>
          <w:p>
            <w:pPr>
              <w:spacing w:before="40" w:after="60" w:line="276" w:lineRule="auto"/>
            </w:pPr>
            <w:r>
              <w:rPr>
                <w:rFonts w:ascii="Calibri" w:hAnsi="Calibri"/>
                <w:b/>
                <w:color w:val="8C3200"/>
                <w:sz w:val="20"/>
              </w:rPr>
              <w:t>3. Sic utere tuo ut alienum non laedas (use your own property so as not to injure that of another)</w:t>
              <w:br/>
            </w:r>
            <w:r>
              <w:rPr>
                <w:rFonts w:ascii="Calibri" w:hAnsi="Calibri"/>
                <w:b/>
                <w:color w:val="212529"/>
                <w:sz w:val="19"/>
              </w:rPr>
              <w:t xml:space="preserve">   • Literal English Translation: </w:t>
            </w:r>
            <w:r>
              <w:rPr>
                <w:rFonts w:ascii="Calibri" w:hAnsi="Calibri"/>
                <w:i/>
                <w:color w:val="212529"/>
                <w:sz w:val="19"/>
              </w:rPr>
              <w:t>Use your property so as not to harm others.</w:t>
              <w:br/>
            </w:r>
            <w:r>
              <w:rPr>
                <w:rFonts w:ascii="Calibri" w:hAnsi="Calibri"/>
                <w:b/>
                <w:color w:val="212529"/>
                <w:sz w:val="19"/>
              </w:rPr>
              <w:t xml:space="preserve">   • Plain Legal Meaning &amp; StatCon Application: </w:t>
            </w:r>
            <w:r>
              <w:rPr>
                <w:rFonts w:ascii="Calibri" w:hAnsi="Calibri"/>
                <w:color w:val="212529"/>
                <w:sz w:val="19"/>
              </w:rPr>
              <w:t>Industrial property owners cannot claim freedom from regulation while discharging toxic effluent.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e. Expressio Unius &amp; Noscitur a Sociis (LLDA Waste Clearance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broad interpretation of environmental police powers over watershed basins)</w:t>
              <w:br/>
              <w:br/>
              <w:t>Secondary:</w:t>
              <w:br/>
              <w:t>• Ut res magis valeat quam pereat (construction to preserve statutory effectiveness)</w:t>
              <w:br/>
              <w:t>• Sic utere tuo ut alienum non laedas (use property without harming others)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factory attempted to construct an artificial, geographic loophole to bypass environmental regulation and discharge industrial wastewater into the public water basin.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Ecological Police Power Construction: Environmental statutes are construed liberally to encompass entire natural drainage systems necessary to achieve pollution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Environmental laws are interpreted broadly so that polluters cannot find clever geographic excuses to poison public waters.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Sterling Selections v. LLDA shows that police power and environmental statutes are interpreted broadly under Salus populi est suprema lex to protect natural watersheds."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Sterling Selections Corporation v. Laguna Lake Development Authority (LLDA)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171427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30,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Sterling Selections Corporation operates a manufacturing facility in Novaliches, Quezon City, producing handicraft and metal gifts, discharging industrial wastewater into a drainage that eventually leads to the Laguna de Bay basin. The Laguna Lake Development Authority (LLDA) inspected the factory, found unpermitted wastewater discharge, and issued an Order of Closure and imposed administrative fines pursuant to Republic Act No. 4850, as amended by P.D. No. 813. Sterling argued that LLDA had no territorial jurisdiction over its factory because Quezon City is not located directly on the shores of Laguna Lake, and contended that LLDA's charter should be strictly construed to cover only lakeshore municipalities.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4850 (as amended by P.D. No. 813 and E.O. No. 927): Charter of the Laguna Lake Development Authority granting regulatory, licensing, and water quality control powers.</w:t>
              <w:br/>
              <w:t>2. Salus Populi Est Suprema Lex (the welfare of the people is the supreme law): Environmental protection statutes enacted pursuant to the State's police power are given expansive, efficacious interpretation.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factory attempted to construct an artificial, geographic loophole to bypass environmental regulation and discharge industrial wastewater into the public water basin.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regulatory and police powers of the LLDA under R.A. No. 4850 extend to industrial establishments located in river basins and tributaries outside direct lakeshore municipalities.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Sterling Selections Corporation v. Laguna Lake Development Authority (LLDA),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4850 (as amended by P.D. No. 813 and E.O. No. 927): Charter of the Laguna Lake Development Authority granting regulatory, licensing, and water quality control powers.</w:t>
              <w:br/>
              <w:t>2. Salus Populi Est Suprema Lex (the welfare of the people is the supreme law): Environmental protection statutes enacted pursuant to the State's police power are given expansive, efficacious interpretation.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factory attempted to construct an artificial, geographic loophole to bypass environmental regulation and discharge 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closure order and administrative fines against Sterling Selections Corporation, and UPHELD LLDA's watershed jurisdiction.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LLDA's authority EXTENDS to all industrial establishments within the entire Laguna de Bay watershed basin, including tributaries in Quezon City. Environmental statutes enacted under police power are liberally construed to effectuate resource conservation.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factory attempted to construct an artificial, geographic loophole to bypass environmental regulation and discharge industrial wastewater.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Ecological Police Power Construction: Environmental statutes are construed liberally to encompass entire natural drainage systems necessary to achieve pollution control.</w:t>
              <w:br/>
              <w:t xml:space="preserve">   - Result: Yes. Pollution dumped into a river in Quezon City flows directly into Laguna Lake. To protect the lake, the law gave LLDA authority over the entire watershed basin, not just the water's edge. Police power laws for the environment are interpreted broadly.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statutory effectiveness)</w:t>
              <w:br/>
              <w:t>• Sic utere tuo ut alienum non laedas (use property without harming others)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Sterling Selections Corporation v. Laguna Lake Development Authority (LLDA) to mean and apply strictly in accordance with Salus populi est suprema lex, holding that Yes. Pollution dumped into a river in Quezon City flows directly into Laguna Lake. To protect the lake, the law gave LLDA authority over the entire watershed ba.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Water flows downhill. If factories upstream could dump poison into rivers without LLDA control, the lake would be ruined within months. The Court ruled that the law must be interpreted to match the reality of nature: you cannot protect a lake without protecting the rivers that feed 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Ecological Police Power Construction: Environmental statutes are construed liberally to encompass entire natural drainage systems necessary to achieve pollution control.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Environmental laws are interpreted broadly so that polluters cannot find clever geographic excuses to poison public waters.</w:t>
            </w:r>
          </w:p>
        </w:tc>
      </w:tr>
    </w:tbl>
    <w:p>
      <w:r>
        <w:br w:type="page"/>
      </w:r>
    </w:p>
    <w:p>
      <w:pPr>
        <w:keepNext/>
        <w:spacing w:before="320" w:after="80"/>
      </w:pPr>
      <w:r>
        <w:rPr>
          <w:rFonts w:ascii="Arial" w:hAnsi="Arial"/>
          <w:b/>
          <w:color w:val="0F2043"/>
          <w:sz w:val="26"/>
        </w:rPr>
        <w:t>18. COMMISSION ON AUDIT OF THE PROVINCE OF CEBU V. PROVINCE OF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141386 | November 29, 2001 | 371 SCRA 126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Audit of the Province of Cebu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Province of Cebu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64 assailing COA disallowance of salaries paid to provincial teachers and clerks charged against the Special Education Fund (SEF) under Section 272 of the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Cebu used its Special Education Fund (a special tax collected for schools) to hire extra teachers, sports coaches, and school clerks. The COA auditor blocked the payroll, arguing that the Local Government Code strictly lists what the education fund can be spent on (building classrooms, sports, and extension classes) and does not list regular school clerks or permanent teachers. The Supreme Court ruled that under Expressio Unius, the specific statutory list of authorized expenses is exclusive, but actual extension teachers hired for extension classes were legally payable.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local governments spend the Special Education Fund on salaries of regular school clerks and non-extension personnel when the law specifies only extension classes, sports, and facilities?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272 of RA 7160 permits the use of the Special Education Fund for expenses outside its statutory enumeration, testing the canon Expressio Unius Est Exclusio Alterius (the express mention of one thing is the exclusion of another)."</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Expressio unius est exclusio alterius (the express mention of one thing is the exclusion of another), the statutory enumeration of allowable SEF expenditures in Section 272 of the LGC is exclusive. The SEF can only pay for extension teachers, sports, and school facilities, not regular administrative clerks."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272, Republic Act No. 7160 (Local Government Code of 1991): </w:t>
            </w:r>
            <w:r>
              <w:rPr>
                <w:rFonts w:ascii="Calibri" w:hAnsi="Calibri"/>
                <w:color w:val="212529"/>
                <w:sz w:val="20"/>
              </w:rPr>
              <w:t>Specifically enumerates authorized uses of the Special Education Fund (operation and maintenance of extension classes, sports, construction of facilities).</w:t>
            </w:r>
          </w:p>
          <w:p>
            <w:pPr>
              <w:spacing w:before="20" w:after="40" w:line="276" w:lineRule="auto"/>
            </w:pPr>
            <w:r>
              <w:rPr>
                <w:rFonts w:ascii="Calibri" w:hAnsi="Calibri"/>
                <w:b/>
                <w:color w:val="212529"/>
                <w:sz w:val="20"/>
              </w:rPr>
              <w:t xml:space="preserve">2. Republic Act No. 5447 (Special Education Fund Act): </w:t>
            </w:r>
            <w:r>
              <w:rPr>
                <w:rFonts w:ascii="Calibri" w:hAnsi="Calibri"/>
                <w:color w:val="212529"/>
                <w:sz w:val="20"/>
              </w:rPr>
              <w:t>Original enabling law establishing the special education fund.</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statutory specification of authorized expense items excludes all unlisted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272 RA 7160, RA 5447,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272 of RA 7160, governed by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the Special Education Fund: </w:t>
            </w:r>
            <w:r>
              <w:rPr>
                <w:rFonts w:ascii="Calibri" w:hAnsi="Calibri"/>
                <w:color w:val="212529"/>
                <w:sz w:val="20"/>
              </w:rPr>
              <w:t>The SEF is a dedicated trust fund created from an additional 1% real property tax, strictly earmarked for specific statutory educational purposes.</w:t>
            </w:r>
          </w:p>
          <w:p>
            <w:pPr>
              <w:spacing w:before="20" w:after="40" w:line="276" w:lineRule="auto"/>
            </w:pPr>
            <w:r>
              <w:rPr>
                <w:rFonts w:ascii="Calibri" w:hAnsi="Calibri"/>
                <w:b/>
                <w:color w:val="212529"/>
                <w:sz w:val="20"/>
              </w:rPr>
              <w:t xml:space="preserve">2. Exclusivity of Statutory Enumeration: </w:t>
            </w:r>
            <w:r>
              <w:rPr>
                <w:rFonts w:ascii="Calibri" w:hAnsi="Calibri"/>
                <w:color w:val="212529"/>
                <w:sz w:val="20"/>
              </w:rPr>
              <w:t>Section 272 explicitly specifies: (a) extension classes; (b) facilities construction and repair; (c) educational research; (d) purchase of books; and (e) sports development. Under Expressio Unius, salaries of regular teachers and clerical personnel are excluded.</w:t>
            </w:r>
          </w:p>
          <w:p>
            <w:pPr>
              <w:spacing w:before="20" w:after="40" w:line="276" w:lineRule="auto"/>
            </w:pPr>
            <w:r>
              <w:rPr>
                <w:rFonts w:ascii="Calibri" w:hAnsi="Calibri"/>
                <w:b/>
                <w:color w:val="212529"/>
                <w:sz w:val="20"/>
              </w:rPr>
              <w:t xml:space="preserve">3. Validity of Extension Teachers: </w:t>
            </w:r>
            <w:r>
              <w:rPr>
                <w:rFonts w:ascii="Calibri" w:hAnsi="Calibri"/>
                <w:color w:val="212529"/>
                <w:sz w:val="20"/>
              </w:rPr>
              <w:t>Salaries of extension teachers hired precisely to handle newly opened extension classes fall squarely within 'operation and maintenance of extension classes' and are validly chargeable against the SEF.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Since Section 272 explicitly enumerates the allowable uses of the SEF, unlisted items like clerical salaries are excluded. The Court allowed salaries for genuine extension teachers but disallowed regular non-extension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WITH MODIFICATION the COA decision, SUSTAINING the disallowance of salaries for clerks and non-extension personnel, but ALLOWING the disbursements for genuine extension class teachers.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salaries of extension teachers were approved, but clerical and regular salaries were disallowed.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modified the disallowance, upholding Expressio Unius to restrict SEF usage strictly to statutory categories."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e. Expressio Unius &amp; Statutory Harmonization (Special Education Fund)</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statutory listing of permitted SEF disbursements excludes unlisted administrative expenditures.</w:t>
            </w:r>
          </w:p>
          <w:p>
            <w:pPr>
              <w:spacing w:before="40" w:after="60" w:line="276" w:lineRule="auto"/>
            </w:pPr>
            <w:r>
              <w:rPr>
                <w:rFonts w:ascii="Calibri" w:hAnsi="Calibri"/>
                <w:b/>
                <w:color w:val="8C3200"/>
                <w:sz w:val="20"/>
              </w:rPr>
              <w:t>2. Expressum facit cessare tacitum (what is expressed puts an end to that which is implied)</w:t>
              <w:br/>
            </w:r>
            <w:r>
              <w:rPr>
                <w:rFonts w:ascii="Calibri" w:hAnsi="Calibri"/>
                <w:b/>
                <w:color w:val="212529"/>
                <w:sz w:val="19"/>
              </w:rPr>
              <w:t xml:space="preserve">   • Literal English Translation: </w:t>
            </w:r>
            <w:r>
              <w:rPr>
                <w:rFonts w:ascii="Calibri" w:hAnsi="Calibri"/>
                <w:i/>
                <w:color w:val="212529"/>
                <w:sz w:val="19"/>
              </w:rPr>
              <w:t>That which is expressed supersedes that which is implied.</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fund purposes leaves no room for implied spending categories.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Statutory fiscal restrictions on trust funds must be strictly followed regardless of local convenience.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e. Expressio Unius &amp; Statutory Harmonization (Special Education Fund)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statutory list of allowable Special Education Fund expenses is exclusive)</w:t>
              <w:br/>
              <w:br/>
              <w:t>Secondary:</w:t>
              <w:br/>
              <w:t>• Expressum facit cessare tacitum (what is expressed ends what is implied)</w:t>
              <w:br/>
              <w:t>• Dura lex sed lex (fiscal fund restrictions are strictly enforced)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local government attempted to divert earmarked special education trust funds to general administrative salaries not enumerated in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Exclusivity of Statutory Enumeration for Special Funds: When a statute creates a special trust fund and enumerates allowable disbursements, the enumeration is exclusive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gives a specific shopping list for spending special tax money, you cannot buy items that are not on the list.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COA v. Province of Cebu establishes that statutory enumerations of special fund disbursements are exclusive under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Audit of the Province of Cebu v. Province of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141386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29,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local government attempted to divert earmarked special education trust funds to general administrative salaries not enumerated in the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Audit of the Province of Cebu v. Province of Cebu,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WITH MODIFICATION the COA decision, SUSTAINING the disallowance of salaries for clerks and non-extension personnel, but ALLOWING the disbursements for genuine extension class teachers.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Exclusivity of Statutory Enumeration for Special Funds: When a statute creates a special trust fund and enumerates allowable disbursements, the enumeration is exclusive under Expressio Unius.</w:t>
              <w:br/>
              <w:t xml:space="preserve">   - Result: 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Expressum facit cessare tacitum (what is expressed ends what is implied)</w:t>
              <w:br/>
              <w:t>• Dura lex sed lex (fiscal fund restrictions are strictly enforced)</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Audit of the Province of Cebu v. Province of Cebu to mean and apply strictly in accordance with Expressio unius est exclusio alterius, holding that No for office clerks and regular staff; yes for teachers who actually run extension classes. Because the law specifically lists what the Special Education Fund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Exclusivity of Statutory Enumeration for Special Funds: When a statute creates a special trust fund and enumerates allowable disbursements, the enumeration is exclusive under Expressio Unius.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gives a specific shopping list for spending special tax money, you cannot buy items that are not on the list.</w:t>
            </w:r>
          </w:p>
        </w:tc>
      </w:tr>
    </w:tbl>
    <w:p>
      <w:r>
        <w:br w:type="page"/>
      </w:r>
    </w:p>
    <w:p>
      <w:pPr>
        <w:keepNext/>
        <w:spacing w:before="320" w:after="80"/>
      </w:pPr>
      <w:r>
        <w:rPr>
          <w:rFonts w:ascii="Arial" w:hAnsi="Arial"/>
          <w:b/>
          <w:color w:val="0F2043"/>
          <w:sz w:val="26"/>
        </w:rPr>
        <w:t>19. PEOPLE OF THE PHILIPPINES V. PATRICIO GARCIA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L-2873 | February 28, 1950 | 85 Phil. 651 | En Banc | Ponente: J. Tuason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Patricio Garcia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criminal conviction for Robbery with Homicide involving the statutory benefit of suspended sentence under Article 80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17-year-old boy committed a robbery. By the time his trial finished, he was 20 years old. The law (Article 80 RPC) gives juvenile delinquents suspended sentences instead of prison, sending them to reformatories. The trial judge refused to grant the youth reformatory benefits, saying the accused was already an adult on the day of sentencing. The Supreme Court ruled that age at the time the crime was committed determines whether you get the benefit of the youth rehabilitation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teenager get the benefit of the juvenile suspended sentence law if he was 17 when he committed the crime, but turned 20 before the judge finished the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80 RPC applies based on the age of the offender at the time of the commission of the offense rather than at the time of trial or judgment, testing the canon Favorabilia Sunt Amplianda, Odiosa Restringenda (favorable things should be enlarged, hateful things restricted) and In Dubio Pro Reo."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the canon Favorabilia sunt amplianda, odiosa restringenda (matters of favor are enlarged, and hateful matters restricted) and strict construction of penal laws in favor of the accused, the Supreme Court held that the age at the time of the commission of the crime controls, preserving juvenile reformatory benefits."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80, Revised Penal Code (as amended): </w:t>
            </w:r>
            <w:r>
              <w:rPr>
                <w:rFonts w:ascii="Calibri" w:hAnsi="Calibri"/>
                <w:color w:val="212529"/>
                <w:sz w:val="20"/>
              </w:rPr>
              <w:t>Suspension of sentence and commitment of juvenile delinquents to training institutions.</w:t>
            </w:r>
          </w:p>
          <w:p>
            <w:pPr>
              <w:spacing w:before="20" w:after="40" w:line="276" w:lineRule="auto"/>
            </w:pPr>
            <w:r>
              <w:rPr>
                <w:rFonts w:ascii="Calibri" w:hAnsi="Calibri"/>
                <w:b/>
                <w:color w:val="212529"/>
                <w:sz w:val="20"/>
              </w:rPr>
              <w:t xml:space="preserve">2. Favorabilia Sunt Amplianda, Odiosa Restringenda (favorable things should be enlarged, odious things restricted): </w:t>
            </w:r>
            <w:r>
              <w:rPr>
                <w:rFonts w:ascii="Calibri" w:hAnsi="Calibri"/>
                <w:color w:val="212529"/>
                <w:sz w:val="20"/>
              </w:rPr>
              <w:t>Beneficial statutory provisions are interpreted broadly, while punitive or restrictive rules are interpreted narrowly.</w:t>
            </w:r>
          </w:p>
          <w:p>
            <w:pPr>
              <w:spacing w:before="20" w:after="40" w:line="276" w:lineRule="auto"/>
            </w:pPr>
            <w:r>
              <w:rPr>
                <w:rFonts w:ascii="Calibri" w:hAnsi="Calibri"/>
                <w:b/>
                <w:color w:val="212529"/>
                <w:sz w:val="20"/>
              </w:rPr>
              <w:t xml:space="preserve">3. In Favorem Libertatis / In Dubio Pro Reo (in favor of liberty / in doubt, rule for the accused): </w:t>
            </w:r>
            <w:r>
              <w:rPr>
                <w:rFonts w:ascii="Calibri" w:hAnsi="Calibri"/>
                <w:color w:val="212529"/>
                <w:sz w:val="20"/>
              </w:rPr>
              <w:t>All doubts in criminal statutory provisions are resolved in favor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80 RPC, Favorabilia Sunt Amplianda, Odiosa Restringenda, and In Favorem Libertatis.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80 RPC, governed by Favorabilia sunt amplianda, odiosa restringenda (favorable things enlarged, hateful things restricted) and In favorem libertatis (in favor of personal liberty)."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Juvenile Delinquency Legislation: </w:t>
            </w:r>
            <w:r>
              <w:rPr>
                <w:rFonts w:ascii="Calibri" w:hAnsi="Calibri"/>
                <w:color w:val="212529"/>
                <w:sz w:val="20"/>
              </w:rPr>
              <w:t>The primary intention of Article 80 RPC is reformative and rehabilitative rather than retributive, recognizing the immature discernment of youthful offenders.</w:t>
            </w:r>
          </w:p>
          <w:p>
            <w:pPr>
              <w:spacing w:before="20" w:after="40" w:line="276" w:lineRule="auto"/>
            </w:pPr>
            <w:r>
              <w:rPr>
                <w:rFonts w:ascii="Calibri" w:hAnsi="Calibri"/>
                <w:b/>
                <w:color w:val="212529"/>
                <w:sz w:val="20"/>
              </w:rPr>
              <w:t xml:space="preserve">2. Prevention of Prejudice Through Court Delay: </w:t>
            </w:r>
            <w:r>
              <w:rPr>
                <w:rFonts w:ascii="Calibri" w:hAnsi="Calibri"/>
                <w:color w:val="212529"/>
                <w:sz w:val="20"/>
              </w:rPr>
              <w:t>An accused should not be deprived of statutory leniency and juvenile protection simply because judicial proceedings were delayed through no fault of his own.</w:t>
            </w:r>
          </w:p>
          <w:p>
            <w:pPr>
              <w:spacing w:before="20" w:after="40" w:line="276" w:lineRule="auto"/>
            </w:pPr>
            <w:r>
              <w:rPr>
                <w:rFonts w:ascii="Calibri" w:hAnsi="Calibri"/>
                <w:b/>
                <w:color w:val="212529"/>
                <w:sz w:val="20"/>
              </w:rPr>
              <w:t xml:space="preserve">3. Liberal Construction of Beneficial Provisions: </w:t>
            </w:r>
            <w:r>
              <w:rPr>
                <w:rFonts w:ascii="Calibri" w:hAnsi="Calibri"/>
                <w:color w:val="212529"/>
                <w:sz w:val="20"/>
              </w:rPr>
              <w:t>Statutes that alleviate the harshness of criminal punishment must be given the most expansive, favorable interpretation permitted by reason.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Favorabilia Sunt Amplianda. The purpose of juvenile legislation is rehabilitation. Interpreting the law to require minority at the date of sentence would make youth benefits depend on accidental court delays, defeating the humane intent of the legislature."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prison sentence and ORDERED the trial court to apply the rehabilitative benefits of Article 80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youth was granted the benefits of juvenile rehabilitation rather than adult prison.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regular prison penalty, holding that age at the time of the offense governs under the rule of liberal construction of beneficial penal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g. Casus Omissus Pro Omisso Habendus Est (RPC Art. 80 / Juvenile Sentence)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to be extended, matters of burden or penalty are to be restrained.</w:t>
              <w:br/>
            </w:r>
            <w:r>
              <w:rPr>
                <w:rFonts w:ascii="Calibri" w:hAnsi="Calibri"/>
                <w:b/>
                <w:color w:val="212529"/>
                <w:sz w:val="19"/>
              </w:rPr>
              <w:t xml:space="preserve">   • Plain Legal Meaning &amp; StatCon Application: </w:t>
            </w:r>
            <w:r>
              <w:rPr>
                <w:rFonts w:ascii="Calibri" w:hAnsi="Calibri"/>
                <w:color w:val="212529"/>
                <w:sz w:val="19"/>
              </w:rPr>
              <w:t>Beneficial statutory provisions for juvenile offenders must be given the widest possible scope.</w:t>
            </w:r>
          </w:p>
          <w:p>
            <w:pPr>
              <w:spacing w:before="40" w:after="60" w:line="276" w:lineRule="auto"/>
            </w:pPr>
            <w:r>
              <w:rPr>
                <w:rFonts w:ascii="Calibri" w:hAnsi="Calibri"/>
                <w:b/>
                <w:color w:val="8C3200"/>
                <w:sz w:val="20"/>
              </w:rPr>
              <w:t>2. In favorem libertatis (in favor of personal liberty)</w:t>
              <w:br/>
            </w:r>
            <w:r>
              <w:rPr>
                <w:rFonts w:ascii="Calibri" w:hAnsi="Calibri"/>
                <w:b/>
                <w:color w:val="212529"/>
                <w:sz w:val="19"/>
              </w:rPr>
              <w:t xml:space="preserve">   • Literal English Translation: </w:t>
            </w:r>
            <w:r>
              <w:rPr>
                <w:rFonts w:ascii="Calibri" w:hAnsi="Calibri"/>
                <w:i/>
                <w:color w:val="212529"/>
                <w:sz w:val="19"/>
              </w:rPr>
              <w:t>In favor of liberty.</w:t>
              <w:br/>
            </w:r>
            <w:r>
              <w:rPr>
                <w:rFonts w:ascii="Calibri" w:hAnsi="Calibri"/>
                <w:b/>
                <w:color w:val="212529"/>
                <w:sz w:val="19"/>
              </w:rPr>
              <w:t xml:space="preserve">   • Plain Legal Meaning &amp; StatCon Application: </w:t>
            </w:r>
            <w:r>
              <w:rPr>
                <w:rFonts w:ascii="Calibri" w:hAnsi="Calibri"/>
                <w:color w:val="212529"/>
                <w:sz w:val="19"/>
              </w:rPr>
              <w:t>Penal and procedural statutes are interpreted to favor personal liberty and human rehabilitation.</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rehabilitative objective of youth laws determines their proper statutory scope.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g. Casus Omissus Pro Omisso Habendus Est (RPC Art. 80 / Juvenile Sentence)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beneficial juvenile penal provisions are given broad, humane construction)</w:t>
              <w:br/>
              <w:br/>
              <w:t>Secondary:</w:t>
              <w:br/>
              <w:t>• In favorem libertatis (in favor of liberty)</w:t>
              <w:br/>
              <w:t>• Ratio legis est anima legis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applied a harsh, restrictive interpretation that converted court docket delays into an instrument to strip a juvenile offender of statutory reformatory benefits.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Beneficial Statutes: Statutory provisions that mitigate criminal penalties or provide rehabilitation must be interpreted broadly in favor of the beneficiary.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offers mercy, pardon, or rehabilitation, judges must interpret it broadly to give the person a second chance.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Garcia is the foremost authority on Favorabilia sunt amplianda, odiosa restringenda: beneficial provisions in criminal law are interpreted expansively in favor of the accused."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Patricio Garcia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28, 1950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applied a harsh, restrictive interpretation that converted court docket delays into an instrument to strip a juvenile offender of statutory reformatory benefits.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Patricio Garcia,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applied a harsh, restrictive interpretation that converted court docket delays into an instrument to str...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prison sentence and ORDERED the trial court to apply the rehabilitative benefits of Article 80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applied a harsh, restrictive interpretation that converted court docket delays into an instrument to strip a juvenile offend.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Liberal Construction of Beneficial Statutes: Statutory provisions that mitigate criminal penalties or provide rehabilitation must be interpreted broadly in favor of the beneficiary.</w:t>
              <w:br/>
              <w:t xml:space="preserve">   - Result: 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favorem libertatis (in favor of liberty)</w:t>
              <w:br/>
              <w:t>• Ratio legis est anima legis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Patricio Garcia to mean and apply strictly in accordance with Favorabilia sunt amplianda, odiosa restringenda, holding that Yes. What matters is how old the youth was when he committed the act. Because penal laws that help the accused must be interpreted broadly and generously, court.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Beneficial Statutes: Statutory provisions that mitigate criminal penalties or provide rehabilitation must be interpreted broadly in favor of the beneficiary.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offers mercy, pardon, or rehabilitation, judges must interpret it broadly to give the person a second chance.</w:t>
            </w:r>
          </w:p>
        </w:tc>
      </w:tr>
    </w:tbl>
    <w:p>
      <w:r>
        <w:br w:type="page"/>
      </w:r>
    </w:p>
    <w:p>
      <w:pPr>
        <w:keepNext/>
        <w:spacing w:before="320" w:after="80"/>
      </w:pPr>
      <w:r>
        <w:rPr>
          <w:rFonts w:ascii="Arial" w:hAnsi="Arial"/>
          <w:b/>
          <w:color w:val="0F2043"/>
          <w:sz w:val="26"/>
        </w:rPr>
        <w:t>20. COLGATE-PALMOLIVE PHILIPPINES, INC. V. PEDRO M. GIMENEZ</w:t>
      </w:r>
    </w:p>
    <w:p>
      <w:pPr>
        <w:spacing w:before="40" w:after="80" w:line="276" w:lineRule="auto"/>
      </w:pPr>
      <w:r>
        <w:rPr>
          <w:rFonts w:ascii="Calibri" w:hAnsi="Calibri"/>
          <w:b/>
          <w:color w:val="212529"/>
          <w:sz w:val="21"/>
        </w:rPr>
        <w:t xml:space="preserve">Citation: </w:t>
      </w:r>
      <w:r>
        <w:rPr>
          <w:rFonts w:ascii="Calibri" w:hAnsi="Calibri"/>
          <w:i/>
          <w:color w:val="212529"/>
          <w:sz w:val="21"/>
        </w:rPr>
        <w:t>G.R. No. L-14787 | January 28, 1961 | 1 SCRA 267 | En Banc | Ponente: J. Gutierrez David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Colgate-Palmolive Philippines,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Pedro M. Gimenez, as Auditor General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Auditor General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Auditor General ruling denying refund of 17% foreign exchange margin levy on imported Irish moss and dental cream stabilizers under Republic Act No. 601.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Colgate-Palmolive imported 'Irish moss extract' and sodium carboxymethylcellulose to be used as stabilizers and emulsifiers in manufacturing dental cream (toothpaste). The Central Bank collected the 17% special foreign exchange tax under Republic Act No. 601. Colgate claimed a tax refund under Section 2 of RA 601, which exempts foreign exchange used for importation of 'stabilizers and flavors... for food, and medical and hospital supplies.' The Auditor General denied the refund, contending that dental cream is not a food or medicine, and that under Ejusdem Generis, 'stabilizers' must be restricted strictly to food stabilizers.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Colgate imported stabilizers to make toothpaste and asked for a tax refund under a law that exempts foreign exchange for 'stabilizers and flavors... for food, and medical and hospital supplies.' The government auditor refused the refund, claiming the word 'stabilizers' only applies to food stabilizers, not toothpaste stabilizers. The Supreme Court ruled in favor of Colgate, holding that the general word 'stabilizers' stood alone without the modifying phrase 'for food', and Ejusdem Generis cannot be used to restrict a word that the legislature deliberately left broad.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exemption for 'stabilizers and flavors' in Section 2 of R.A. No. 601 includes stabilizers used for dental cream, testing the limits of Ejusdem Generis and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tax exemption for 'stabilizers and flavors' include toothpaste stabilizers, or is it limited strictly to food stabilizers?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term 'stabilizers' in RA 601 is limited to food stabilizers or covers toothpaste stabilizers, testing the proper application and limits of Ejusdem Generis (of the same kind)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imported stabilizers used for dental cream ARE EXEMPT from the foreign exchange levy. Ejusdem Generis does NOT apply because the word 'stabilizers' is preceded by no specific enumeration of food items.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Toothpaste stabilizers are exempt. Ejusdem Generis only works when there is a specific list of items followed by general words. Here, Congress wrote 'stabilizers and flavors' as independent categories, so the court cannot invent a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rule of Ejusdem Generis (of the same kind) applies ONLY when specific words are followed by general words. In Section 2 of RA 601, 'stabilizers' is a general term standing alone; hence, under Verba Legis and Ubi Lex Non Distinguit, it covers all stabilizers, including those for dental cream."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601 (Foreign Exchange Tax Act): </w:t>
            </w:r>
            <w:r>
              <w:rPr>
                <w:rFonts w:ascii="Calibri" w:hAnsi="Calibri"/>
                <w:color w:val="212529"/>
                <w:sz w:val="20"/>
              </w:rPr>
              <w:t>Provides foreign exchange tax exemption for 'stabilizers and flavors, cattle, medical and hospital supplies'.</w:t>
            </w:r>
          </w:p>
          <w:p>
            <w:pPr>
              <w:spacing w:before="20" w:after="40" w:line="276" w:lineRule="auto"/>
            </w:pPr>
            <w:r>
              <w:rPr>
                <w:rFonts w:ascii="Calibri" w:hAnsi="Calibri"/>
                <w:b/>
                <w:color w:val="212529"/>
                <w:sz w:val="20"/>
              </w:rPr>
              <w:t xml:space="preserve">2. Limits of Ejusdem Generis (of the same kind): </w:t>
            </w:r>
            <w:r>
              <w:rPr>
                <w:rFonts w:ascii="Calibri" w:hAnsi="Calibri"/>
                <w:color w:val="212529"/>
                <w:sz w:val="20"/>
              </w:rPr>
              <w:t>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the statute said 'stabilizers' without qualification, courts cannot distinguish between food stabilizers and toothpaste stabilizers.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601, Limits of Ejusdem Generis, and Ubi Lex Non Distinguit.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601, guided by the rule on the Limits of Ejusdem Generis and Ubi lex non distinguit nec nos distinguere debemus (where the law does not distinguish, we must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Inapplicability of Ejusdem Generis: </w:t>
            </w:r>
            <w:r>
              <w:rPr>
                <w:rFonts w:ascii="Calibri" w:hAnsi="Calibri"/>
                <w:color w:val="212529"/>
                <w:sz w:val="20"/>
              </w:rPr>
              <w:t>For ejusdem generis to apply, there must be: (1) an enumeration of specific words belonging to a class; (2) followed by general words; and (3) no contrary legislative intent. Here, 'stabilizers' was not preceded by specific food items.</w:t>
            </w:r>
          </w:p>
          <w:p>
            <w:pPr>
              <w:spacing w:before="20" w:after="40" w:line="276" w:lineRule="auto"/>
            </w:pPr>
            <w:r>
              <w:rPr>
                <w:rFonts w:ascii="Calibri" w:hAnsi="Calibri"/>
                <w:b/>
                <w:color w:val="212529"/>
                <w:sz w:val="20"/>
              </w:rPr>
              <w:t xml:space="preserve">2. Syntax and Punctuation: </w:t>
            </w:r>
            <w:r>
              <w:rPr>
                <w:rFonts w:ascii="Calibri" w:hAnsi="Calibri"/>
                <w:color w:val="212529"/>
                <w:sz w:val="20"/>
              </w:rPr>
              <w:t>The statute separated 'flavors' and other items. The phrase 'for food' modified only certain categories, not the independent term 'stabilizers'.</w:t>
            </w:r>
          </w:p>
          <w:p>
            <w:pPr>
              <w:spacing w:before="20" w:after="40" w:line="276" w:lineRule="auto"/>
            </w:pPr>
            <w:r>
              <w:rPr>
                <w:rFonts w:ascii="Calibri" w:hAnsi="Calibri"/>
                <w:b/>
                <w:color w:val="212529"/>
                <w:sz w:val="20"/>
              </w:rPr>
              <w:t xml:space="preserve">3. Plain Meaning Rule: </w:t>
            </w:r>
            <w:r>
              <w:rPr>
                <w:rFonts w:ascii="Calibri" w:hAnsi="Calibri"/>
                <w:color w:val="212529"/>
                <w:sz w:val="20"/>
              </w:rPr>
              <w:t>When the statutory term is broad and unqualified, it must be given its ordinary commercial and technical meaning encompassing all chemical stabilizers.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government auditor tried to use Ejusdem Generis backwards. Ejusdem Generis only applies when a law lists specific examples and ends with general words. Here, the word 'stabilizers' was a standalone category. Where the law does not distinguish what kind of stabilizer, the auditor cannot add his own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explained the limits of Ejusdem Generis. Because there was no specific list preceding 'stabilizers', the general term must be given its full natural scope under Ubi Lex Non Distinguit. The Court ordered the tax refund."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Auditor General's decision and ORDERED the refund of the 17% foreign exchange tax paid by Colgate-Palmolive.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Colgate won and the government was ordered to refund the foreign exchange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denial and ordered the tax refund, clarifying the strict prerequisites for applying Ejusdem Generis."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b. Ejusdem Generis Rule (Foreign Exchange Margin Fee / Stabilizer Exemption)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Ejusdem generis (of the same kind or class)</w:t>
              <w:br/>
            </w:r>
            <w:r>
              <w:rPr>
                <w:rFonts w:ascii="Calibri" w:hAnsi="Calibri"/>
                <w:b/>
                <w:color w:val="212529"/>
                <w:sz w:val="19"/>
              </w:rPr>
              <w:t xml:space="preserve">   • Literal English Translation: </w:t>
            </w:r>
            <w:r>
              <w:rPr>
                <w:rFonts w:ascii="Calibri" w:hAnsi="Calibri"/>
                <w:i/>
                <w:color w:val="212529"/>
                <w:sz w:val="19"/>
              </w:rPr>
              <w:t>Of the same kind.</w:t>
              <w:br/>
            </w:r>
            <w:r>
              <w:rPr>
                <w:rFonts w:ascii="Calibri" w:hAnsi="Calibri"/>
                <w:b/>
                <w:color w:val="212529"/>
                <w:sz w:val="19"/>
              </w:rPr>
              <w:t xml:space="preserve">   • Plain Legal Meaning &amp; StatCon Application: </w:t>
            </w:r>
            <w:r>
              <w:rPr>
                <w:rFonts w:ascii="Calibri" w:hAnsi="Calibri"/>
                <w:color w:val="212529"/>
                <w:sz w:val="19"/>
              </w:rPr>
              <w:t>The maxim applies only when specific enumerations are followed by general terms—it cannot be used to restrict standalone general words.</w:t>
            </w:r>
          </w:p>
          <w:p>
            <w:pPr>
              <w:spacing w:before="40" w:after="60" w:line="276" w:lineRule="auto"/>
            </w:pPr>
            <w:r>
              <w:rPr>
                <w:rFonts w:ascii="Calibri" w:hAnsi="Calibri"/>
                <w:b/>
                <w:color w:val="8C3200"/>
                <w:sz w:val="20"/>
              </w:rPr>
              <w:t>2.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must make none.</w:t>
              <w:br/>
            </w:r>
            <w:r>
              <w:rPr>
                <w:rFonts w:ascii="Calibri" w:hAnsi="Calibri"/>
                <w:b/>
                <w:color w:val="212529"/>
                <w:sz w:val="19"/>
              </w:rPr>
              <w:t xml:space="preserve">   • Plain Legal Meaning &amp; StatCon Application: </w:t>
            </w:r>
            <w:r>
              <w:rPr>
                <w:rFonts w:ascii="Calibri" w:hAnsi="Calibri"/>
                <w:color w:val="212529"/>
                <w:sz w:val="19"/>
              </w:rPr>
              <w:t>The statute made no distinction between food stabilizers and toothpaste stabilizers.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General statutory words must be given their direct literal effect.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b. Ejusdem Generis Rule (Foreign Exchange Margin Fee / Stabilizer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Ejusdem generis</w:t>
              <w:br/>
              <w:t>(of the same kind or class / the maxim requires specific words followed by general words and cannot restrict standalone general terms)</w:t>
              <w:br/>
              <w:br/>
              <w:t>Secondary:</w:t>
              <w:br/>
              <w:t>• Ubi lex non distinguit (where the law does not distinguish)</w:t>
              <w:br/>
              <w:t>• Verba legis non est recedendum (from the words of the statute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Auditor General misapplied Ejusdem Generis to restrict a standalone general statutory term that was not preceded by specific enumerations.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Prerequisites of Ejusdem Generis: The doctrine of ejusdem generis cannot be applied unless there is an actual enumeration of specific things followed by general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use the Ejusdem Generis rule to shrink a broad word unless the law actually started with a list of specific examples.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Colgate-Palmolive v. Gimenez is the leading authority defining the exact prerequisites of Ejusdem Generis: it cannot restrict a standalone general word."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Colgate-Palmolive Philippines, Inc. v. Pedro M. Gimenez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L-14787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28, 1961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Colgate-Palmolive imported 'Irish moss extract' and sodium carboxymethylcellulose to be used as stabilizers and emulsifiers in manufacturing dental cream (toothpaste). The Central Bank collected the 17% special foreign exchange tax under Republic Act No. 601. Colgate claimed a tax refund under Section 2 of RA 601, which exempts foreign exchange used for importation of 'stabilizers and flavors... for food, and medical and hospital supplies.' The Auditor General denied the refund, contending that dental cream is not a food or medicine, and that under Ejusdem Generis, 'stabilizers' must be restricted strictly to food stabilizers.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601 (Foreign Exchange Tax Act): Provides foreign exchange tax exemption for 'stabilizers and flavors, cattle, medical and hospital supplies'.</w:t>
              <w:br/>
              <w:t>2. Limits of Ejusdem Generis (of the same kind): 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Auditor General misapplied Ejusdem Generis to restrict a standalone general statutory term that was not preceded by specific enumerations.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exemption for 'stabilizers and flavors' in Section 2 of R.A. No. 601 includes stabilizers used for dental cream, testing the limits of Ejusdem Generis and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Colgate-Palmolive Philippines, Inc. v. Pedro M. Gimenez, under the canon of Ejusdem generis.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601 (Foreign Exchange Tax Act): Provides foreign exchange tax exemption for 'stabilizers and flavors, cattle, medical and hospital supplies'.</w:t>
              <w:br/>
              <w:t>2. Limits of Ejusdem Generis (of the same kind): 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Auditor General's decision and ORDERED the refund of the 17% foreign exchange tax paid by Colgate-Palmolive.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imported stabilizers used for dental cream ARE EXEMPT from the foreign exchange levy. Ejusdem Generis does NOT apply because the word 'stabilizers' is preceded by no specific enumeration of food items.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Ejusdem generis</w:t>
              <w:br/>
              <w:t xml:space="preserve">   - Application: Prerequisites of Ejusdem Generis: The doctrine of ejusdem generis cannot be applied unless there is an actual enumeration of specific things followed by general terms.</w:t>
              <w:br/>
              <w:t xml:space="preserve">   - Result: Yes. Toothpaste stabilizers are exempt. Ejusdem Generis only works when there is a specific list of items followed by general words. Here, Congress wrote 'stabilizers and flavors' as independent categories, so the court cannot invent a restriction.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Ubi lex non distinguit (where the law does not distinguish)</w:t>
              <w:br/>
              <w:t>• Verba legis non est recedendum (from the words of the statute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Colgate-Palmolive Philippines, Inc. v. Pedro M. Gimenez to mean and apply strictly in accordance with Ejusdem generis, holding that Yes. Toothpaste stabilizers are exempt. Ejusdem Generis only works when there is a specific list of items followed by general words. Here, Congress wrote 'stabi.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government auditor tried to use Ejusdem Generis backwards. Ejusdem Generis only applies when a law lists specific examples and ends with general words. Here, the word 'stabilizers' was a standalone category. Where the law does not distinguish what kind of stabilizer, the auditor cannot add his own restriction.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Ejusdem generis,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Prerequisites of Ejusdem Generis: The doctrine of ejusdem generis cannot be applied unless there is an actual enumeration of specific things followed by general terms.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You cannot use the Ejusdem Generis rule to shrink a broad word unless the law actually started with a list of specific examples.</w:t>
            </w:r>
          </w:p>
        </w:tc>
      </w:tr>
    </w:tbl>
    <w:p>
      <w:r>
        <w:br w:type="page"/>
      </w:r>
    </w:p>
    <w:p>
      <w:pPr>
        <w:keepNext/>
        <w:spacing w:before="320" w:after="80"/>
      </w:pPr>
      <w:r>
        <w:rPr>
          <w:rFonts w:ascii="Arial" w:hAnsi="Arial"/>
          <w:b/>
          <w:color w:val="0F2043"/>
          <w:sz w:val="26"/>
        </w:rPr>
        <w:t>21. ROMAN CATHOLIC ARCHBISHOP OF MANILA V. SOCIAL SECURITY COMMISSION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L-15045 | January 20, 1961 | 1 SCRA 10 | En Banc | Ponente: J. Gutierrez David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Roman Catholic Archbishop of Manila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Social Security Commission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Social Security Commission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Social Security Commission Resolution denying exemption of religious and charitable institutions from compulsory coverage under Republic Act No. 1161 (Social Security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Roman Catholic Archbishop of Manila requested an exemption from compulsory coverage under the Social Security Act (R.A. No. 1161, as amended) for all Catholic religious, charitable, and educational institutions, and their lay personnel. The Archbishop argued that Section 8(j) of the SSS Act, which defines 'employment' as 'any service performed by an employee for his employer,' should be restricted through Ejusdem Generis and Noscitur a Sociis to purely commercial, industrial, and profit-making enterprises. The Social Security Commission denied the exemption, holding that the law makes no exception for non-profit or religious institutions.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Catholic Church asked the Social Security Commission to exempt all religious, charitable, and Catholic school lay employees from mandatory SSS contributions. The Church argued that SSS was meant only for commercial, money-making businesses, and invoked the rules of Ejusdem Generis and Noscitur a Sociis. The Supreme Court ruled that the SSS Act covers all employers and employees regardless of whether the organization makes a profit or is a religious institution, because social welfare laws protect all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religious, charitable, and non-profit institutions are exempt from compulsory SSS coverage under Republic Act No. 1161 through the application of Ejusdem Generis or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Catholic Church exempt from paying SSS contributions for its lay staff on the ground that it is a religious non-profit organization?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religious and non-profit institutions are excluded from compulsory SSS coverage, testing the proper scope of Ejusdem Generis (of the same kind), Noscitur a Sociis (known by its companions),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Religious and non-profit institutions are NOT EXEMPT from compulsory SSS coverage. The statutory definition of 'employer' and 'employment' under R.A. No. 1161 is all-inclusive and admits of no implied religious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covers all employment without exception. Lay workers in churches and religious schools need disability and retirement protection just like workers in commercial factories. Where the law does not make an exception, courts cannot make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Ubi lex non distinguit nec nos distinguere debemus (where the law does not distinguish, we should not distinguish), the SSS Act applies to all employers and employees. The rules of Ejusdem Generis and Noscitur a Sociis cannot be applied to defeat the universal, protective intent of social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8(c) and 8(j), Republic Act No. 1161 (Social Security Act): </w:t>
            </w:r>
            <w:r>
              <w:rPr>
                <w:rFonts w:ascii="Calibri" w:hAnsi="Calibri"/>
                <w:color w:val="212529"/>
                <w:sz w:val="20"/>
              </w:rPr>
              <w:t>Defines 'employer' as any person or entity carrying on any enterprise, and 'employment' as any service performed for an employer.</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8 does not distinguish between profit and non-profit employers, courts cannot distinguish.</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Section 8(j) contains an express list of exempt services (e.g., domestic service, government employment), which does not include religious institutions.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 RA 1161, Ubi Lex Non Distinguit,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 of RA 1161, governed by Ubi lex non distinguit nec nos distinguere debemus (where the law does not distinguish, we must not distinguish) and Expressio unius est exclusio alterius."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Universal Scope of Social Welfare: </w:t>
            </w:r>
            <w:r>
              <w:rPr>
                <w:rFonts w:ascii="Calibri" w:hAnsi="Calibri"/>
                <w:color w:val="212529"/>
                <w:sz w:val="20"/>
              </w:rPr>
              <w:t>The Social Security Act is a remedial social welfare legislation enacted pursuant to police power. Lay workers in churches face the same hazards of disability, sickness, and old age as industrial workers.</w:t>
            </w:r>
          </w:p>
          <w:p>
            <w:pPr>
              <w:spacing w:before="20" w:after="40" w:line="276" w:lineRule="auto"/>
            </w:pPr>
            <w:r>
              <w:rPr>
                <w:rFonts w:ascii="Calibri" w:hAnsi="Calibri"/>
                <w:b/>
                <w:color w:val="212529"/>
                <w:sz w:val="20"/>
              </w:rPr>
              <w:t xml:space="preserve">2. Inapplicability of Ejusdem Generis and Noscitur a Sociis: </w:t>
            </w:r>
            <w:r>
              <w:rPr>
                <w:rFonts w:ascii="Calibri" w:hAnsi="Calibri"/>
                <w:color w:val="212529"/>
                <w:sz w:val="20"/>
              </w:rPr>
              <w:t>The statutory definition of 'employer' in the SSS Act is comprehensive and clear. Construction canons cannot be used to restrict clear universal words.</w:t>
            </w:r>
          </w:p>
          <w:p>
            <w:pPr>
              <w:spacing w:before="20" w:after="40" w:line="276" w:lineRule="auto"/>
            </w:pPr>
            <w:r>
              <w:rPr>
                <w:rFonts w:ascii="Calibri" w:hAnsi="Calibri"/>
                <w:b/>
                <w:color w:val="212529"/>
                <w:sz w:val="20"/>
              </w:rPr>
              <w:t xml:space="preserve">3. Explicit Statutory Exemptions: </w:t>
            </w:r>
            <w:r>
              <w:rPr>
                <w:rFonts w:ascii="Calibri" w:hAnsi="Calibri"/>
                <w:color w:val="212529"/>
                <w:sz w:val="20"/>
              </w:rPr>
              <w:t>Congress explicitly enumerated exempt services in Section 8(j). By including agricultural and domestic exemptions but omitting religious institutions, the legislative intent to cover religious lay workers is conclusive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Churches employ janitors, teachers, and clerks who get sick, grow old, and retire. SSS is designed to protect all human workers. Because Congress created an explicit list of exemptions and chose not to include religious institutions, the Church cannot invent an exemption through interpretation canons.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the maxims Ejusdem Generis and Noscitur a Sociis cannot be used to defeat the plain universal language of a social welfare statute. Under Ubi Lex Non Distinguit and Expressio Unius, religious and charitable lay workers are fully covered by SSS."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resolution of the Social Security Commission, DECLARING religious and charitable institutions subject to compulsory SSS coverage.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Church's petition was denied and religious institutions were declared subject to mandatory SSS.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compulsory SSS coverage for religious institutions, holding that construction maxims cannot narrow broad social legislation."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c. Noscitur a Sociis &amp; Ejusdem Generis (SSS Coverage of Religious Staff)</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The SSS Act does not distinguish between profit and non-profit employers.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list of SSS exemptions in Section 8(j) excludes unmentioned religious institutions.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Social security protection for workers takes precedence over institutional exemptions.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c. Noscitur a Sociis &amp; Ejusdem Generis (SSS Coverage of Religious Staff)</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SSS Act covers all employment without distinguishing profit from non-profit)</w:t>
              <w:br/>
              <w:br/>
              <w:t>Secondary:</w:t>
              <w:br/>
              <w:t>• Expressio unius est exclusio alterius (express exemptions exclude religious institutions)</w:t>
              <w:br/>
              <w:t>• Salus populi est suprema lex (the welfare of workers is supreme)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use Ejusdem Generis and Noscitur a Sociis to manufacture an unwritten religious exemption to a universal social welfare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Construction of Social Welfare Statutes: Where a social welfare statute employs all-inclusive language and provides specific exemptions, courts will not apply construction canons to create additional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protecting all working people lists specific exemptions, courts cannot invent a new exemption for religious employers.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Roman Catholic Archbishop v. SSC establishes that statutory construction maxims like Ejusdem Generis cannot be used to restrict universal social legislation—Ubi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Roman Catholic Archbishop of Manila v. Social Security Commission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L-15045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20, 1961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Roman Catholic Archbishop of Manila requested an exemption from compulsory coverage under the Social Security Act (R.A. No. 1161, as amended) for all Catholic religious, charitable, and educational institutions, and their lay personnel. The Archbishop argued that Section 8(j) of the SSS Act, which defines 'employment' as 'any service performed by an employee for his employer,' should be restricted through Ejusdem Generis and Noscitur a Sociis to purely commercial, industrial, and profit-making enterprises. The Social Security Commission denied the exemption, holding that the law makes no exception for non-profit or religious institutions.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8(c) and 8(j), Republic Act No. 1161 (Social Security Act): Defines 'employer' as any person or entity carrying on any enterprise, and 'employment' as any service performed for an employer.</w:t>
              <w:br/>
              <w:t>2. Ubi Lex Non Distinguit, Nec Nos Distinguere Debemus (where the law does not distinguish, we should not distinguish): Since Section 8 does not distinguish between profit and non-profit employers, courts cannot distinguish.</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use Ejusdem Generis and Noscitur a Sociis to manufacture an unwritten religious exemption to a universal social welfare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religious, charitable, and non-profit institutions are exempt from compulsory SSS coverage under Republic Act No. 1161 through the application of Ejusdem Generis or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Roman Catholic Archbishop of Manila v. Social Security Commission,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8(c) and 8(j), Republic Act No. 1161 (Social Security Act): Defines 'employer' as any person or entity carrying on any enterprise, and 'employment' as any service performed for an employer.</w:t>
              <w:br/>
              <w:t>2. Ubi Lex Non Distinguit, Nec Nos Distinguere Debemus (where the law does not distinguish, we should not distinguish): Since Section 8 does not distinguish between profit and non-profit employers, courts cannot distinguish.</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resolution of the Social Security Commission, DECLARING religious and charitable institutions subject to compulsory SSS coverage.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Religious and non-profit institutions are NOT EXEMPT from compulsory SSS coverage. The statutory definition of 'employer' and 'employment' under R.A. No. 1161 is all-inclusive and admits of no implied religious exemptions.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use Ejusdem Generis and Noscitur a Sociis to manufacture an unwritten religious exemption to a universal social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Construction of Social Welfare Statutes: Where a social welfare statute employs all-inclusive language and provides specific exemptions, courts will not apply construction canons to create additional exemptions.</w:t>
              <w:br/>
              <w:t xml:space="preserve">   - Result: No. The law covers all employment without exception. Lay workers in churches and religious schools need disability and retirement protection just like workers in commercial factories. Where the law does not make an exception, courts cannot make 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exemptions exclude religious institutions)</w:t>
              <w:br/>
              <w:t>• Salus populi est suprema lex (the welfare of workers is supreme)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Roman Catholic Archbishop of Manila v. Social Security Commission to mean and apply strictly in accordance with Ubi lex non distinguit, nec nos distinguere debemus, holding that No. The law covers all employment without exception. Lay workers in churches and religious schools need disability and retirement protection just like workers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Churches employ janitors, teachers, and clerks who get sick, grow old, and retire. SSS is designed to protect all human workers. Because Congress created an explicit list of exemptions and chose not to include religious institutions, the Church cannot invent an exemption through interpretation canons.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Construction of Social Welfare Statutes: Where a social welfare statute employs all-inclusive language and provides specific exemptions, courts will not apply construction canons to create additional exemptions.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protecting all working people lists specific exemptions, courts cannot invent a new exemption for religious employers.</w:t>
            </w:r>
          </w:p>
        </w:tc>
      </w:tr>
    </w:tbl>
    <w:p>
      <w:r>
        <w:br w:type="page"/>
      </w:r>
    </w:p>
    <w:p>
      <w:pPr>
        <w:keepNext/>
        <w:spacing w:before="320" w:after="80"/>
      </w:pPr>
      <w:r>
        <w:rPr>
          <w:rFonts w:ascii="Arial" w:hAnsi="Arial"/>
          <w:b/>
          <w:color w:val="0F2043"/>
          <w:sz w:val="26"/>
        </w:rPr>
        <w:t>22. JOSE ESCRIBANO V. HON. BERNARDO AVILA AND CITY FISCAL OF COTABATO</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L-30375 | September 12, 1978 | 85 SCRA 245 | Second Division | Ponente: J. Aquino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Escribano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Bernardo Avila (Judge of City Court of Cotabato) and Mayor Juan J. Syquia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Court of Cotabato City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the jurisdiction of a City Court judge to conduct preliminary investigation in written libel cases under Republic Act No. 4363.</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city mayor sued a critic for libel directly before the City Court judge. The defendant objected, arguing that Congress amended the libel law (RA 4363) specifically to strip city and municipal judges of the power to conduct preliminary investigations in libel cases, giving that power solely to city prosecutors and RTC judges to stop local politicians from harassing critics in friendly municipal courts. The Supreme Court agreed with the defendant, holding that a specific penal amendment overrides general judicial charters.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city judge have the power to conduct preliminary investigation in a libel case after Congress amended the law to give that power only to prosecutors and RTC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4363 stripped municipal and city judges of preliminary investigation authority in libel cases, testing the canon Generalia Specialibus Non Derogant (general laws do not derogate from special laws)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express legislative intent of RA 4363, municipal and city judges were stripped of jurisdiction to conduct preliminary investigations in written defamation, vesting that power exclusively in prosecutors and RTC judges."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360, Revised Penal Code (as amended by Republic Act No. 4363): </w:t>
            </w:r>
            <w:r>
              <w:rPr>
                <w:rFonts w:ascii="Calibri" w:hAnsi="Calibri"/>
                <w:color w:val="212529"/>
                <w:sz w:val="20"/>
              </w:rPr>
              <w:t>Specifically enumerates officers authorized to conduct preliminary investigations in written defamation cases.</w:t>
            </w:r>
          </w:p>
          <w:p>
            <w:pPr>
              <w:spacing w:before="20" w:after="40" w:line="276" w:lineRule="auto"/>
            </w:pPr>
            <w:r>
              <w:rPr>
                <w:rFonts w:ascii="Calibri" w:hAnsi="Calibri"/>
                <w:b/>
                <w:color w:val="212529"/>
                <w:sz w:val="20"/>
              </w:rPr>
              <w:t xml:space="preserve">2. Generalia Specialibus Non Derogant (general provisions do not derogate from specific ones): </w:t>
            </w:r>
            <w:r>
              <w:rPr>
                <w:rFonts w:ascii="Calibri" w:hAnsi="Calibri"/>
                <w:color w:val="212529"/>
                <w:sz w:val="20"/>
              </w:rPr>
              <w:t>The specific procedural amendment on libel governs over general judicial powers under the Judiciary Act and City Charters.</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statutory enumeration of Fiscals and CFI Judges excludes City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360 RPC as amended by RA 4363, Generalia Specialibus Non Derogant, and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360 RPC, as amended by RA 4363, applied under Generalia specialibus non derogant (general provisions yield to special laws) and Expressio unius est exclusio alterius."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Historical Purpose and Legislative Intent of RA 4363: </w:t>
            </w:r>
            <w:r>
              <w:rPr>
                <w:rFonts w:ascii="Calibri" w:hAnsi="Calibri"/>
                <w:color w:val="212529"/>
                <w:sz w:val="20"/>
              </w:rPr>
              <w:t>Congress amended Article 360 RPC precisely to eliminate the rampant harassment of journalists and political critics by influential local politicians who filed baseless libel suits before beholden local municipal courts.</w:t>
            </w:r>
          </w:p>
          <w:p>
            <w:pPr>
              <w:spacing w:before="20" w:after="40" w:line="276" w:lineRule="auto"/>
            </w:pPr>
            <w:r>
              <w:rPr>
                <w:rFonts w:ascii="Calibri" w:hAnsi="Calibri"/>
                <w:b/>
                <w:color w:val="212529"/>
                <w:sz w:val="20"/>
              </w:rPr>
              <w:t xml:space="preserve">2. Exclusivity of Statutory Designation: </w:t>
            </w:r>
            <w:r>
              <w:rPr>
                <w:rFonts w:ascii="Calibri" w:hAnsi="Calibri"/>
                <w:color w:val="212529"/>
                <w:sz w:val="20"/>
              </w:rPr>
              <w:t>By expressly providing that preliminary investigations 'shall be conducted by the provincial or city fiscal or by the judge of the Court of First Instance,' RA 4363 excluded municipal and city courts under expressio unius.</w:t>
            </w:r>
          </w:p>
          <w:p>
            <w:pPr>
              <w:spacing w:before="20" w:after="40" w:line="276" w:lineRule="auto"/>
            </w:pPr>
            <w:r>
              <w:rPr>
                <w:rFonts w:ascii="Calibri" w:hAnsi="Calibri"/>
                <w:b/>
                <w:color w:val="212529"/>
                <w:sz w:val="20"/>
              </w:rPr>
              <w:t xml:space="preserve">3. Conflict Between General and Specific Laws: </w:t>
            </w:r>
            <w:r>
              <w:rPr>
                <w:rFonts w:ascii="Calibri" w:hAnsi="Calibri"/>
                <w:color w:val="212529"/>
                <w:sz w:val="20"/>
              </w:rPr>
              <w:t>The specific enactment governing libel procedures prevails over general statutory provisions governing municipal court preliminary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historical legislative intent and Generalia Specialibus Non Derogant. Congress deliberately enacted RA 4363 to protect free speech from harassment in local courts. The specific restriction in Article 360 RPC completely deprived city judges of preliminary investigation authority in libel."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ISSUED a writ of prohibition, and RESTRAINED respondent City Judge Avila from conducting the preliminary investigation in the libel case.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judge was ordered to stop and the libel proceedings before him were halted.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prohibition, affirming that city judges lack jurisdiction to conduct preliminary investigations in libel under RA 4363."</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Associated Words &amp; Special Jurisdiction (Libel Preliminary Investigation)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amendment in Article 360 RPC on libel controls over general judicial charter provisions.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specific enumeration of Fiscals and CFI Judges excludes City and Municipal Judges.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purpose to prevent harassment of the press dictates strict enforcement of the venue and investigator restrictions.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Associated Words &amp; Special Jurisdiction (Libel Preliminary Investigation)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preliminary investigation rules under RA 4363 prevail over general city court charters)</w:t>
              <w:br/>
              <w:br/>
              <w:t>Secondary:</w:t>
              <w:br/>
              <w:t>• Expressio unius est exclusio alterius (express enumeration excludes city judges)</w:t>
              <w:br/>
              <w:t>• Ratio legis est anima legis (anti-harassment intent of libel amendments)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court judge attempted to assert general charter powers in direct violation of a specific amendatory statute enacted to curb local judicial abuse in libel cases.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law passed to stop a specific evil always beats a general law that talks about court powers in general.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Escribano v. Avila is the classic illustration of Generalia specialibus non derogant, proving that specific amendatory penal rules override general municipal charters."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Escribano v. Hon. Bernardo Avila and City Fiscal of Cotabato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12, 1978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court judge attempted to assert general charter powers in direct violation of a specific amendatory statute enacted to curb local judicial abuse in libel cases.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Escribano v. Hon. Bernardo Avila and City Fiscal of Cotabato,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court judge attempted to assert general charter powers in direct violation of a specific amendatory statute ena...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ISSUED a writ of prohibition, and RESTRAINED respondent City Judge Avila from conducting the preliminary investigation in the libel case.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court judge attempted to assert general charter powers in direct violation of a specific amendatory statute enacted to curb local j.</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Special Penal Procedures Prevail Over General Charters: A specific statutory enactment establishing exclusive investigative officers for a particular crime controls over all general jurisdictional grants.</w:t>
              <w:br/>
              <w:t xml:space="preserve">   - Result: 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enumeration excludes city judges)</w:t>
              <w:br/>
              <w:t>• Ratio legis est anima legis (anti-harassment intent of libel amendments)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Escribano v. Hon. Bernardo Avila and City Fiscal of Cotabato to mean and apply strictly in accordance with Generalia specialibus non derogant, holding that No. Congress specifically amended the libel law to take preliminary investigation power away from local municipal judges. Under Generalia Specialibus Non Deroga.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law passed to stop a specific evil always beats a general law that talks about court powers in general.</w:t>
            </w:r>
          </w:p>
        </w:tc>
      </w:tr>
    </w:tbl>
    <w:p>
      <w:r>
        <w:br w:type="page"/>
      </w:r>
    </w:p>
    <w:p>
      <w:pPr>
        <w:keepNext/>
        <w:spacing w:before="320" w:after="80"/>
      </w:pPr>
      <w:r>
        <w:rPr>
          <w:rFonts w:ascii="Arial" w:hAnsi="Arial"/>
          <w:b/>
          <w:color w:val="0F2043"/>
          <w:sz w:val="26"/>
        </w:rPr>
        <w:t>23. PEOPLE OF THE PHILIPPINES V. GUILLERMO MANANTAN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L-14129 | July 31, 1962 | 5 SCRA 684 | En Banc | Ponente: J. Regala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Guillermo Manantan (Appellee)</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Pangasinan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by the State from an order dismissing a criminal information for violation of Section 54 of the Revised Election Code (Electioneering by public officers).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municipal judge actively campaigned for a political candidate. When charged under the election law, he argued that while the old election law specifically listed 'justice of the peace', the new law replaced that phrase with the general word 'judge'. He claimed that under Expressio Unius and Casus Omissus, the disappearance of the exact words 'justice of the peace' meant municipal judges were free to campaign! The Supreme Court rejected this absurd excuse, holding that 'judge' is a broad term that includes all judges, and maxims cannot be used to defeat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 municipal trial judge included in the word 'judge' in the electioneering ban, or did the omission of the exact words 'justice of the peace' create a legal loophole?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Justice of the Peace falls under the term 'judge' in Section 54 of the Revised Election Code, testing the proper limits of Casus Omissus and Expressio Unius Est Exclusio Alterius versus Legislative Intent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 Justice of the Peace IS INCLUDED within the comprehensive term 'judge'. Expressio Unius and Casus Omissus CANNOT be applied to defeat the manifest legislative purpose of insulating the entire judiciary from partisan politics.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'judge' is a genus that includes Justices of the Peace. As Justice Regala established, Expressio unius est exclusio alterius and Casus Omissus are mere auxiliary aids that can never be used to defeat manifest legislative intent or create an absurd loophole in judicial neutrality."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54, Republic Act No. 180 (Revised Election Code of 1947): </w:t>
            </w:r>
            <w:r>
              <w:rPr>
                <w:rFonts w:ascii="Calibri" w:hAnsi="Calibri"/>
                <w:color w:val="212529"/>
                <w:sz w:val="20"/>
              </w:rPr>
              <w:t>Prohibits judges, fiscals, treasurers, and police officers from engaging in partisan political activity.</w:t>
            </w:r>
          </w:p>
          <w:p>
            <w:pPr>
              <w:spacing w:before="20" w:after="40" w:line="276" w:lineRule="auto"/>
            </w:pPr>
            <w:r>
              <w:rPr>
                <w:rFonts w:ascii="Calibri" w:hAnsi="Calibri"/>
                <w:b/>
                <w:color w:val="212529"/>
                <w:sz w:val="20"/>
              </w:rPr>
              <w:t xml:space="preserve">2. Limits of Expressio Unius Est Exclusio Alterius (the express mention of one is the exclusion of another): </w:t>
            </w:r>
            <w:r>
              <w:rPr>
                <w:rFonts w:ascii="Calibri" w:hAnsi="Calibri"/>
                <w:color w:val="212529"/>
                <w:sz w:val="20"/>
              </w:rPr>
              <w:t>The maxim cannot be applied where the legislative intent to include the broader class is obvious.</w:t>
            </w:r>
          </w:p>
          <w:p>
            <w:pPr>
              <w:spacing w:before="20" w:after="40" w:line="276" w:lineRule="auto"/>
            </w:pPr>
            <w:r>
              <w:rPr>
                <w:rFonts w:ascii="Calibri" w:hAnsi="Calibri"/>
                <w:b/>
                <w:color w:val="212529"/>
                <w:sz w:val="20"/>
              </w:rPr>
              <w:t xml:space="preserve">3. Inapplicability of Casus Omissus (omitted case): </w:t>
            </w:r>
            <w:r>
              <w:rPr>
                <w:rFonts w:ascii="Calibri" w:hAnsi="Calibri"/>
                <w:color w:val="212529"/>
                <w:sz w:val="20"/>
              </w:rPr>
              <w:t>Casus Omissus applies only when the omission is clear; it does not apply when the legislature substitutes a broader generic term ('judge') for specific sub-categories.</w:t>
            </w:r>
          </w:p>
          <w:p>
            <w:pPr>
              <w:spacing w:before="20" w:after="40" w:line="276" w:lineRule="auto"/>
            </w:pPr>
            <w:r>
              <w:rPr>
                <w:rFonts w:ascii="Calibri" w:hAnsi="Calibri"/>
                <w:b/>
                <w:color w:val="212529"/>
                <w:sz w:val="20"/>
              </w:rPr>
              <w:t xml:space="preserve">4. Ratio Legis Est Anima Legis (the reason of the law is the soul of the law): </w:t>
            </w:r>
            <w:r>
              <w:rPr>
                <w:rFonts w:ascii="Calibri" w:hAnsi="Calibri"/>
                <w:color w:val="212529"/>
                <w:sz w:val="20"/>
              </w:rPr>
              <w:t>The purpose of the electioneering ban is absolute judicial neutrality.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54 RA 180, Limits of Expressio Unius and Casus Omissus,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54 of the Revised Election Code, interpreted through the rule on the Limits of Expressio Unius and Casus Omissus, subordinated to Ratio legis est anima legis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Section 54: </w:t>
            </w:r>
            <w:r>
              <w:rPr>
                <w:rFonts w:ascii="Calibri" w:hAnsi="Calibri"/>
                <w:color w:val="212529"/>
                <w:sz w:val="20"/>
              </w:rPr>
              <w:t>The legislature did not intend to exempt justices of the peace. Instead, it simplified the statutory language by using the comprehensive term 'judge' to cover Judges of First Instance, Municipal Judges, and Justices of the Peace alike.</w:t>
            </w:r>
          </w:p>
          <w:p>
            <w:pPr>
              <w:spacing w:before="20" w:after="40" w:line="276" w:lineRule="auto"/>
            </w:pPr>
            <w:r>
              <w:rPr>
                <w:rFonts w:ascii="Calibri" w:hAnsi="Calibri"/>
                <w:b/>
                <w:color w:val="212529"/>
                <w:sz w:val="20"/>
              </w:rPr>
              <w:t xml:space="preserve">2. Auxiliary Nature of Interpretation Maxims: </w:t>
            </w:r>
            <w:r>
              <w:rPr>
                <w:rFonts w:ascii="Calibri" w:hAnsi="Calibri"/>
                <w:color w:val="212529"/>
                <w:sz w:val="20"/>
              </w:rPr>
              <w:t>Canons like Expressio Unius and Casus Omissus are servants of legislative intent, not its masters. They cannot be used to subvert the primary purpose of the statute.</w:t>
            </w:r>
          </w:p>
          <w:p>
            <w:pPr>
              <w:spacing w:before="20" w:after="40" w:line="276" w:lineRule="auto"/>
            </w:pPr>
            <w:r>
              <w:rPr>
                <w:rFonts w:ascii="Calibri" w:hAnsi="Calibri"/>
                <w:b/>
                <w:color w:val="212529"/>
                <w:sz w:val="20"/>
              </w:rPr>
              <w:t xml:space="preserve">3. Absurdity of Exempting Lower Judges: </w:t>
            </w:r>
            <w:r>
              <w:rPr>
                <w:rFonts w:ascii="Calibri" w:hAnsi="Calibri"/>
                <w:color w:val="212529"/>
                <w:sz w:val="20"/>
              </w:rPr>
              <w:t>It would be grotesque and absurd to prohibit high court judges from electioneering while allowing grassroots municipal judges—who interact daily with voters—to act as partisan political ward leaders.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delivered a landmark ruling on the limits of statutory maxims. Canons like Expressio Unius are mere tools. Since the term 'judge' encompasses all judicial officers, Casus Omissus cannot be applied to manufacture an absurd exemption that destroys judicial impartiality."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dismissal order, REINSTATED the criminal information against Justice of the Peace Guillermo Manantan, and REMANDED the case for trial.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judge was ordered to face criminal trial for illegal campaigning.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ruling that all judges, including justices of the peace, are barred from electioneering under Section 54."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e. Expressio Unius &amp; Casus Omissus (Electioneering Ban on Judges)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absolute policy of preserving judicial impartiality overrides formalistic linguistic arguments.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maxim is not a rigid rule of law and cannot defeat the manifest purpose of the legislature.</w:t>
            </w:r>
          </w:p>
          <w:p>
            <w:pPr>
              <w:spacing w:before="40" w:after="60" w:line="276" w:lineRule="auto"/>
            </w:pPr>
            <w:r>
              <w:rPr>
                <w:rFonts w:ascii="Calibri" w:hAnsi="Calibri"/>
                <w:b/>
                <w:color w:val="8C3200"/>
                <w:sz w:val="20"/>
              </w:rPr>
              <w:t>3. Casus omissus pro omisso habendus est (a person, object or thing omitted must be held to be intentionally omitted)</w:t>
              <w:br/>
            </w:r>
            <w:r>
              <w:rPr>
                <w:rFonts w:ascii="Calibri" w:hAnsi="Calibri"/>
                <w:b/>
                <w:color w:val="212529"/>
                <w:sz w:val="19"/>
              </w:rPr>
              <w:t xml:space="preserve">   • Literal English Translation: </w:t>
            </w:r>
            <w:r>
              <w:rPr>
                <w:rFonts w:ascii="Calibri" w:hAnsi="Calibri"/>
                <w:i/>
                <w:color w:val="212529"/>
                <w:sz w:val="19"/>
              </w:rPr>
              <w:t>A case omitted is to be held as intentionally omitted.</w:t>
              <w:br/>
            </w:r>
            <w:r>
              <w:rPr>
                <w:rFonts w:ascii="Calibri" w:hAnsi="Calibri"/>
                <w:b/>
                <w:color w:val="212529"/>
                <w:sz w:val="19"/>
              </w:rPr>
              <w:t xml:space="preserve">   • Plain Legal Meaning &amp; StatCon Application: </w:t>
            </w:r>
            <w:r>
              <w:rPr>
                <w:rFonts w:ascii="Calibri" w:hAnsi="Calibri"/>
                <w:color w:val="212529"/>
                <w:sz w:val="19"/>
              </w:rPr>
              <w:t>The doctrine cannot be applied where a generic term ('judge') was intended to absorb specific classifications.</w:t>
            </w:r>
          </w:p>
          <w:p>
            <w:pPr>
              <w:spacing w:before="40" w:after="60" w:line="276" w:lineRule="auto"/>
            </w:pPr>
            <w:r>
              <w:rPr>
                <w:rFonts w:ascii="Calibri" w:hAnsi="Calibri"/>
                <w:b/>
                <w:color w:val="8C3200"/>
                <w:sz w:val="20"/>
              </w:rPr>
              <w:t>4.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insulate superior judges from politics while freeing grassroots judges to electioneer.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e. Expressio Unius &amp; Casus Omissus (Electioneering Ban on Judges)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statutory maxims like Expressio Unius and Casus Omissus must yield to legislative intent)</w:t>
              <w:br/>
              <w:br/>
              <w:t>Secondary:</w:t>
              <w:br/>
              <w:t>• Expressio unius est exclusio alterius (subordinated to statutory purpose)</w:t>
              <w:br/>
              <w:t>• Casus omissus pro omisso habendus est (inapplicable where generic term applies)</w:t>
              <w:br/>
              <w:t>• Lex non intendit absurdum (the law rejects absurd loopholes)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allowed the defendant to use statutory construction maxims as mechanical loopholes to subvert the constitutional and statutory policy of judicial neutrality.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Legal maxims are just helping tools; they cannot be used like magic spells to create ridiculous loopholes that ruin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Manantan is the premier landmark case on the subordination of Expressio Unius and Casus Omissus to Ratio Legis—maxims cannot defeat legislative intent."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Guillermo Manantan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L-14129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31, 1962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allowed the defendant to use statutory construction maxims as mechanical loopholes to subvert the constitutional and statutory policy of judicial neutrality.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Guillermo Manantan,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dismissal order, REINSTATED the criminal information against Justice of the Peace Guillermo Manantan, and REMANDED the case for trial.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 Justice of the Peace IS INCLUDED within the comprehensive term 'judge'. Expressio Unius and Casus Omissus CANNOT be applied to defeat the manifest legislative purpose of insulating the entire judiciary from partisan politics.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allowed the defendant to use statutory construction maxims as mechanical loopholes to subvert the constitutional and statuto.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Subordination of Maxims to Legislative Purpose: Canons of statutory construction are mere aids to discover legislative intent; they must never be applied rigidly to defeat the obvious purpose of the enactment.</w:t>
              <w:br/>
              <w:t xml:space="preserve">   - Result: 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(subordinated to statutory purpose)</w:t>
              <w:br/>
              <w:t>• Casus omissus pro omisso habendus est (inapplicable where generic term applies)</w:t>
              <w:br/>
              <w:t>• Lex non intendit absurdum (the law rejects absurd loopholes)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Guillermo Manantan to mean and apply strictly in accordance with Ratio legis est anima legis, holding that Yes! A justice of the peace is obviously a judge. The legislature used the general word 'judge' to encompass ALL judges at every level. Maxims like Expressio Un.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Legal maxims are just helping tools; they cannot be used like magic spells to create ridiculous loopholes that ruin the purpose of the law.</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III (Part 3)</w:t>
              <w:br/>
            </w:r>
            <w:r>
              <w:rPr>
                <w:rFonts w:ascii="Arial" w:hAnsi="Arial"/>
                <w:b/>
                <w:color w:val="FFFFFF"/>
                <w:sz w:val="24"/>
              </w:rPr>
              <w:t>CONSIDERATIONS OUTSIDE THE STATUTE</w:t>
              <w:br/>
            </w:r>
            <w:r>
              <w:rPr>
                <w:rFonts w:ascii="Arial" w:hAnsi="Arial"/>
                <w:i/>
                <w:color w:val="D7E6FA"/>
                <w:sz w:val="19"/>
              </w:rPr>
              <w:t>Cases 24 to 29 | Inter-Statutory Canons, Borrowed Statutes &amp; Harmonization</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Generalia Specialibus Non Derogat: General law does not derogate from a special law</w:t>
            </w:r>
          </w:p>
          <w:p>
            <w:pPr>
              <w:spacing w:before="20" w:after="20"/>
            </w:pPr>
            <w:r>
              <w:rPr>
                <w:rFonts w:ascii="Calibri" w:hAnsi="Calibri"/>
                <w:color w:val="F0F5FF"/>
                <w:sz w:val="18"/>
              </w:rPr>
              <w:t>• • Lex Posterior Derogat Priori: Later statute repeals an earlier inconsistent statute</w:t>
            </w:r>
          </w:p>
          <w:p>
            <w:pPr>
              <w:spacing w:before="20" w:after="20"/>
            </w:pPr>
            <w:r>
              <w:rPr>
                <w:rFonts w:ascii="Calibri" w:hAnsi="Calibri"/>
                <w:color w:val="F0F5FF"/>
                <w:sz w:val="18"/>
              </w:rPr>
              <w:t>• • Lex Specialis Derogat Legi Generalis: Special statute governs over general law</w:t>
            </w:r>
          </w:p>
          <w:p>
            <w:pPr>
              <w:spacing w:before="20" w:after="20"/>
            </w:pPr>
            <w:r>
              <w:rPr>
                <w:rFonts w:ascii="Calibri" w:hAnsi="Calibri"/>
                <w:color w:val="F0F5FF"/>
                <w:sz w:val="18"/>
              </w:rPr>
              <w:t>• • Lex Posterior Generalis Non Derogat Legi Priori Specialis: Later general law does not repeal prior special law</w:t>
            </w:r>
          </w:p>
          <w:p>
            <w:pPr>
              <w:spacing w:before="20" w:after="20"/>
            </w:pPr>
            <w:r>
              <w:rPr>
                <w:rFonts w:ascii="Calibri" w:hAnsi="Calibri"/>
                <w:color w:val="F0F5FF"/>
                <w:sz w:val="18"/>
              </w:rPr>
              <w:t>• • Borrowed Statute Rule: Judicial construction of parent jurisdiction has persuasive authority</w:t>
            </w:r>
          </w:p>
          <w:p>
            <w:pPr>
              <w:spacing w:before="20" w:after="20"/>
            </w:pPr>
            <w:r>
              <w:rPr>
                <w:rFonts w:ascii="Calibri" w:hAnsi="Calibri"/>
                <w:color w:val="F0F5FF"/>
                <w:sz w:val="18"/>
              </w:rPr>
              <w:t>• • Interpretare et Concordare Leges Legibus Est Optimus Interpretandi: Harmonization is the highest method</w:t>
            </w:r>
          </w:p>
        </w:tc>
      </w:tr>
    </w:tbl>
    <w:p>
      <w:pPr>
        <w:spacing w:before="120"/>
      </w:pPr>
    </w:p>
    <w:p>
      <w:pPr>
        <w:keepNext/>
        <w:spacing w:before="320" w:after="80"/>
      </w:pPr>
      <w:r>
        <w:rPr>
          <w:rFonts w:ascii="Arial" w:hAnsi="Arial"/>
          <w:b/>
          <w:color w:val="0F2043"/>
          <w:sz w:val="26"/>
        </w:rPr>
        <w:t>24. PHILIPPINE ECONOMIC ZONE AUTHORITY (PEZA) V. GREEN ASIA CONSTRUCTION &amp;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188866 | October 19, 2011 | 659 SCRA 756 | Second Division | Ponente: J. Sereno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Economic Zone Authority (PEZA)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Green Asia Construction &amp; Development Corporation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Construction Industry Arbitration Commission (CIAC)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jurisdiction of the CIAC over infrastructure disputes involving government economic zone authorities under Executive Order No. 1008.</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(PEZA) hired a contractor to build roads in an economic zone. When a payment dispute arose, the builder brought the case before the Construction Industry Arbitration Commission (CIAC). PEZA claimed that because it is a special government agency, it is exempt from CIAC arbitration. The Supreme Court ruled that under EO 1008, CIAC has broad and exclusive jurisdiction over ALL construction disputes in the Philippines, whether involving private companies or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Construction Arbitration Commission (CIAC) have the legal power to resolve construction disputes involving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1008 confers comprehensive jurisdiction on the CIAC over government construction contracts, testing the canon Ubi Lex Non Distinguit Nec Nos Distinguere Debemus (where the law does not distinguish, we should not distinguish)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CIAC has ORIGINAL AND EXCLUSIVE JURISDICTION over all construction disputes in the Philippines, including those involving government entities like PEZA. E.O. No. 1008 makes no distinction between private and government contracts.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Ubi lex non distinguit nec nos distinguere debemus (where the law makes no distinction, we ought not to distinguish), the Supreme Court held that EO 1008 confers broad jurisdiction on CIAC over all construction disputes, whether government or private, fostering the legislative policy of swift commercial arbitration."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 Executive Order No. 1008 (Construction Industry Arbitration Law): </w:t>
            </w:r>
            <w:r>
              <w:rPr>
                <w:rFonts w:ascii="Calibri" w:hAnsi="Calibri"/>
                <w:color w:val="212529"/>
                <w:sz w:val="20"/>
              </w:rPr>
              <w:t>Vests CIAC with original and exclusive jurisdiction over disputes arising from construction contracts, whether private or government.</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EO 1008 covers all construction contracts without qualification, government agencies cannot claim implied exemption.</w:t>
            </w:r>
          </w:p>
          <w:p>
            <w:pPr>
              <w:spacing w:before="20" w:after="40" w:line="276" w:lineRule="auto"/>
            </w:pPr>
            <w:r>
              <w:rPr>
                <w:rFonts w:ascii="Calibri" w:hAnsi="Calibri"/>
                <w:b/>
                <w:color w:val="212529"/>
                <w:sz w:val="20"/>
              </w:rPr>
              <w:t xml:space="preserve">3. In Pari Materia (on the same subject matter): </w:t>
            </w:r>
            <w:r>
              <w:rPr>
                <w:rFonts w:ascii="Calibri" w:hAnsi="Calibri"/>
                <w:color w:val="212529"/>
                <w:sz w:val="20"/>
              </w:rPr>
              <w:t>EO 1008 must be harmonized with PEZA's charter (RA 7916) and Alternative Dispute Resolution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 EO 1008, Ubi Lex Non Distinguit, and In Pari Materia.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 of EO 1008, applied under Ubi lex non distinguit nec nos distinguere debemus (where the law does not distinguish, we must not distinguish) and the doctrine of In Pari Materia."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Scope of CIAC Jurisdiction: </w:t>
            </w:r>
            <w:r>
              <w:rPr>
                <w:rFonts w:ascii="Calibri" w:hAnsi="Calibri"/>
                <w:color w:val="212529"/>
                <w:sz w:val="20"/>
              </w:rPr>
              <w:t>Section 4 of E.O. No. 1008 clearly and unambiguously states that CIAC has jurisdiction over construction disputes arising from contracts entered into by parties in the Philippines, including government agencies.</w:t>
            </w:r>
          </w:p>
          <w:p>
            <w:pPr>
              <w:spacing w:before="20" w:after="40" w:line="276" w:lineRule="auto"/>
            </w:pPr>
            <w:r>
              <w:rPr>
                <w:rFonts w:ascii="Calibri" w:hAnsi="Calibri"/>
                <w:b/>
                <w:color w:val="212529"/>
                <w:sz w:val="20"/>
              </w:rPr>
              <w:t xml:space="preserve">2. Legislative Policy Favoring ADR: </w:t>
            </w:r>
            <w:r>
              <w:rPr>
                <w:rFonts w:ascii="Calibri" w:hAnsi="Calibri"/>
                <w:color w:val="212529"/>
                <w:sz w:val="20"/>
              </w:rPr>
              <w:t>The statutory policy of the state is to encourage alternative dispute resolution to decongest judicial courts and achieve speedy, technical resolution of complex infrastructure disputes.</w:t>
            </w:r>
          </w:p>
          <w:p>
            <w:pPr>
              <w:spacing w:before="20" w:after="40" w:line="276" w:lineRule="auto"/>
            </w:pPr>
            <w:r>
              <w:rPr>
                <w:rFonts w:ascii="Calibri" w:hAnsi="Calibri"/>
                <w:b/>
                <w:color w:val="212529"/>
                <w:sz w:val="20"/>
              </w:rPr>
              <w:t xml:space="preserve">3. Government Subject to Arbitration: </w:t>
            </w:r>
            <w:r>
              <w:rPr>
                <w:rFonts w:ascii="Calibri" w:hAnsi="Calibri"/>
                <w:color w:val="212529"/>
                <w:sz w:val="20"/>
              </w:rPr>
              <w:t>When a government entity enters into a commercial construction contract with an arbitration clause, it steps down to the level of an ordinary contracting party and is bound by CIAC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Ubi Lex Non Distinguit and purposive ADR construction. EO 1008 was designed to cover all construction disputes nationwide. PEZA cannot claim an unwritten sovereign immunity exception when it engages in infrastructure contracts."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PEZA's petition, AFFIRMED the CIAC's jurisdiction, and ORDERED the arbitration proceedings to continue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PEZA's challenge was rejected and CIAC was confirmed to have full power over the dispute.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CIAC jurisdiction over government construction disputes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a. Generalia Specialibus Non Derogat &amp; b. Lex Posterior (PEZA Arbitration)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EO 1008 covers all construction contracts without distinguishing between private and government entities.</w:t>
            </w:r>
          </w:p>
          <w:p>
            <w:pPr>
              <w:spacing w:before="40" w:after="60" w:line="276" w:lineRule="auto"/>
            </w:pPr>
            <w:r>
              <w:rPr>
                <w:rFonts w:ascii="Calibri" w:hAnsi="Calibri"/>
                <w:b/>
                <w:color w:val="8C3200"/>
                <w:sz w:val="20"/>
              </w:rPr>
              <w:t>2.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Agreed arbitration clauses in government infrastructure contracts are binding on state agencies.</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Arbitration statutes must be construed to give full efficacy to alternative dispute mechanisms.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a. Generalia Specialibus Non Derogat &amp; b. Lex Posterior (PEZA Arbitration)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CIAC jurisdiction covers all construction contracts without distinguishing government from private)</w:t>
              <w:br/>
              <w:br/>
              <w:t>Secondary:</w:t>
              <w:br/>
              <w:t>• Pacta sunt servanda (contracts must be observed)</w:t>
              <w:br/>
              <w:t>• Ut res magis valeat quam pereat (construction to preserve ADR efficacy)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PEZA attempted to manufacture an unwritten sovereign exemption to evade statutory arbitration mandates.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an arbitration law covers all building contracts, government agencies cannot claim they are too special to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PEZA v. Green Asia confirms Ubi lex non distinguit in administrative and arbitration law: CIAC jurisdiction applies universally to all construction contracts."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Economic Zone Authority (PEZA) v. Green Asia Construction &amp;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188866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19,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PEZA attempted to manufacture an unwritten sovereign exemption to evade statutory arbitration mandates.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Economic Zone Authority (PEZA) v. Green Asia Construction &amp;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PEZA's petition, AFFIRMED the CIAC's jurisdiction, and ORDERED the arbitration proceedings to continue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CIAC has ORIGINAL AND EXCLUSIVE JURISDICTION over all construction disputes in the Philippines, including those involving government entities like PEZA. E.O. No. 1008 makes no distinction between private and government contracts.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PEZA attempted to manufacture an unwritten sovereign exemption to evade statutory arbitration mandates..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Comprehensive Construction of Remedial ADR Laws: Statutes conferring specialized arbitral jurisdiction are construed comprehensively to achieve statutory objectives of commercial efficiency and court decongestion.</w:t>
              <w:br/>
              <w:t xml:space="preserve">   - Result: 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sunt servanda (contracts must be observed)</w:t>
              <w:br/>
              <w:t>• Ut res magis valeat quam pereat (construction to preserve ADR efficacy)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Economic Zone Authority (PEZA) v. Green Asia Construction &amp; Development Corporation to mean and apply strictly in accordance with Ubi lex non distinguit, nec nos distinguere debemus, holding that Yes. The arbitration law covers all construction contracts in the country without distinguishing between private owners and government agencies. Where the law 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an arbitration law covers all building contracts, government agencies cannot claim they are too special to follow the law.</w:t>
            </w:r>
          </w:p>
        </w:tc>
      </w:tr>
    </w:tbl>
    <w:p>
      <w:r>
        <w:br w:type="page"/>
      </w:r>
    </w:p>
    <w:p>
      <w:pPr>
        <w:keepNext/>
        <w:spacing w:before="320" w:after="80"/>
      </w:pPr>
      <w:r>
        <w:rPr>
          <w:rFonts w:ascii="Arial" w:hAnsi="Arial"/>
          <w:b/>
          <w:color w:val="0F2043"/>
          <w:sz w:val="26"/>
        </w:rPr>
        <w:t>25. TUNA PROCESSING, INC. V. PHILIPPINE KINGFORD,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185582 | February 29, 2012 | 667 SCRA 287 | First Division | Ponente: J. Perez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Tuna Processing,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Kingford, Inc.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Makati City (Branch 61)</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legal capacity of an unlicensed foreign corporation to enforce an international arbitral award under Republic Act No. 9285 (Alternative Dispute Resolution Act of 2004) versus Section 133 of the Corporation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tuna company won an international arbitration case in California against a Filipino company and was awarded $1.7 Million. When the American company went to a Philippine court to collect the money, the local company tried to block them, arguing that under the old Corporation Code, an unlicensed foreign company cannot file any lawsuits in the Philippines. The Supreme Court ruled that the 2004 ADR Law specifically allows foreign corporations to enforce international arbitral awards, overriding the general Corporation Code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unlicensed foreign corporation sue in the Philippines to collect a foreign arbitration award, despite the general ban in the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ADR Act of 2004 allows an unlicensed foreign corporation to enforce an international arbitral award, testing the canons of Lex Posterior Derogat Priori (a later law repeals an earlier law) and Generalia Specialibus Non Derogant (general laws yield to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An unlicensed foreign corporation CAN file a petition in Philippine courts to enforce a foreign arbitral award. R.A. No. 9285, being a SUBSEQUENT AND SPECIAL LAW, creates an express exception to Section 133 of the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Lex posterior derogat priori (a later law repeals an earlier law) and Generalia specialibus non derogant (special laws prevail over general laws), RA 9285 specifically authorizes any party to an international arbitration to enforce the award in the Philippines, superseding Section 133 of the Corporation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42 and 45, Republic Act No. 9285 (Alternative Dispute Resolution Act of 2004): </w:t>
            </w:r>
            <w:r>
              <w:rPr>
                <w:rFonts w:ascii="Calibri" w:hAnsi="Calibri"/>
                <w:color w:val="212529"/>
                <w:sz w:val="20"/>
              </w:rPr>
              <w:t>Governs the recognition and enforcement of New York Convention international arbitral awards.</w:t>
            </w:r>
          </w:p>
          <w:p>
            <w:pPr>
              <w:spacing w:before="20" w:after="40" w:line="276" w:lineRule="auto"/>
            </w:pPr>
            <w:r>
              <w:rPr>
                <w:rFonts w:ascii="Calibri" w:hAnsi="Calibri"/>
                <w:b/>
                <w:color w:val="212529"/>
                <w:sz w:val="20"/>
              </w:rPr>
              <w:t xml:space="preserve">2. Section 133, Batas Pambansa Blg. 68 (The Corporation Code): </w:t>
            </w:r>
            <w:r>
              <w:rPr>
                <w:rFonts w:ascii="Calibri" w:hAnsi="Calibri"/>
                <w:color w:val="212529"/>
                <w:sz w:val="20"/>
              </w:rPr>
              <w:t>General restriction barring unlicensed foreign corporations doing business in the Philippines from maintaining court suits.</w:t>
            </w:r>
          </w:p>
          <w:p>
            <w:pPr>
              <w:spacing w:before="20" w:after="40" w:line="276" w:lineRule="auto"/>
            </w:pPr>
            <w:r>
              <w:rPr>
                <w:rFonts w:ascii="Calibri" w:hAnsi="Calibri"/>
                <w:b/>
                <w:color w:val="212529"/>
                <w:sz w:val="20"/>
              </w:rPr>
              <w:t xml:space="preserve">3. Lex Posterior Derogat Priori (a later statute repeals an earlier one): </w:t>
            </w:r>
            <w:r>
              <w:rPr>
                <w:rFonts w:ascii="Calibri" w:hAnsi="Calibri"/>
                <w:color w:val="212529"/>
                <w:sz w:val="20"/>
              </w:rPr>
              <w:t>The 2004 ADR Act, being subsequent in time, modifies earlier general corporate restrictions.</w:t>
            </w:r>
          </w:p>
          <w:p>
            <w:pPr>
              <w:spacing w:before="20" w:after="40" w:line="276" w:lineRule="auto"/>
            </w:pPr>
            <w:r>
              <w:rPr>
                <w:rFonts w:ascii="Calibri" w:hAnsi="Calibri"/>
                <w:b/>
                <w:color w:val="212529"/>
                <w:sz w:val="20"/>
              </w:rPr>
              <w:t xml:space="preserve">4. Generalia Specialibus Non Derogant (general provisions yield to special ones): </w:t>
            </w:r>
            <w:r>
              <w:rPr>
                <w:rFonts w:ascii="Calibri" w:hAnsi="Calibri"/>
                <w:color w:val="212529"/>
                <w:sz w:val="20"/>
              </w:rPr>
              <w:t>The special procedure for arbitral enforcement prevails over the general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9285 (ADR Act), Section 133 Corporation Code, Lex Posterior Derogat Priori,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9285 in relation to Section 133 of the Corporation Code, harmonized under Lex posterior derogat priori (later law overrides earlier law) and Generalia specialibus non derogant (special laws override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Harmony with International Treaty Obligations: </w:t>
            </w:r>
            <w:r>
              <w:rPr>
                <w:rFonts w:ascii="Calibri" w:hAnsi="Calibri"/>
                <w:color w:val="212529"/>
                <w:sz w:val="20"/>
              </w:rPr>
              <w:t>The Philippines is a signatory to the 1958 New York Convention on the Recognition and Enforcement of Foreign Arbitral Awards. RA 9285 was enacted precisely to fulfill treaty obligations.</w:t>
            </w:r>
          </w:p>
          <w:p>
            <w:pPr>
              <w:spacing w:before="20" w:after="40" w:line="276" w:lineRule="auto"/>
            </w:pPr>
            <w:r>
              <w:rPr>
                <w:rFonts w:ascii="Calibri" w:hAnsi="Calibri"/>
                <w:b/>
                <w:color w:val="212529"/>
                <w:sz w:val="20"/>
              </w:rPr>
              <w:t xml:space="preserve">2. Lex Posterior and Special Law Prevails: </w:t>
            </w:r>
            <w:r>
              <w:rPr>
                <w:rFonts w:ascii="Calibri" w:hAnsi="Calibri"/>
                <w:color w:val="212529"/>
                <w:sz w:val="20"/>
              </w:rPr>
              <w:t>Section 133 of the Corporation Code was enacted in 1980 as a general rule. RA 9285 was enacted in 2004 as a specific statute governing international arbitration. Under statutory construction rules, the subsequent special statute governs.</w:t>
            </w:r>
          </w:p>
          <w:p>
            <w:pPr>
              <w:spacing w:before="20" w:after="40" w:line="276" w:lineRule="auto"/>
            </w:pPr>
            <w:r>
              <w:rPr>
                <w:rFonts w:ascii="Calibri" w:hAnsi="Calibri"/>
                <w:b/>
                <w:color w:val="212529"/>
                <w:sz w:val="20"/>
              </w:rPr>
              <w:t xml:space="preserve">3. Prevention of Unjust Haven for Judgment Debtors: </w:t>
            </w:r>
            <w:r>
              <w:rPr>
                <w:rFonts w:ascii="Calibri" w:hAnsi="Calibri"/>
                <w:color w:val="212529"/>
                <w:sz w:val="20"/>
              </w:rPr>
              <w:t>Allowing local debtors to invoke lack of license to avoid paying valid international arbitration debts would make the Philippines a haven for international contract welshers, sabotaging foreign trade.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statutory enactments. Under Lex Posterior Derogat Priori and Generalia Specialibus Non Derogant, RA 9285 carved out a specific exception to the Corporation Code to uphold the 1958 New York Convention and enforce foreign arbitral awards."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RTC dismissal order, REINSTATED the petition to enforce the foreign arbitral award, and REMANDED the case for continuation of proceedings.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foreign tuna company won the right to enforce its $1.7M arbitration award in Philippine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allowing the unlicensed foreign corporation to enforce its arbitral award under the subsequent special provisions of RA 9285."</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c. Lex Specialis Derogat Legi Generalis (ADR Act vs Corp Code Capacity to Sue)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posterior derogat priori (a later law repeals an earlier law)</w:t>
              <w:br/>
            </w:r>
            <w:r>
              <w:rPr>
                <w:rFonts w:ascii="Calibri" w:hAnsi="Calibri"/>
                <w:b/>
                <w:color w:val="212529"/>
                <w:sz w:val="19"/>
              </w:rPr>
              <w:t xml:space="preserve">   • Literal English Translation: </w:t>
            </w:r>
            <w:r>
              <w:rPr>
                <w:rFonts w:ascii="Calibri" w:hAnsi="Calibri"/>
                <w:i/>
                <w:color w:val="212529"/>
                <w:sz w:val="19"/>
              </w:rPr>
              <w:t>A later statute repeals an earlier one.</w:t>
              <w:br/>
            </w:r>
            <w:r>
              <w:rPr>
                <w:rFonts w:ascii="Calibri" w:hAnsi="Calibri"/>
                <w:b/>
                <w:color w:val="212529"/>
                <w:sz w:val="19"/>
              </w:rPr>
              <w:t xml:space="preserve">   • Plain Legal Meaning &amp; StatCon Application: </w:t>
            </w:r>
            <w:r>
              <w:rPr>
                <w:rFonts w:ascii="Calibri" w:hAnsi="Calibri"/>
                <w:color w:val="212529"/>
                <w:sz w:val="19"/>
              </w:rPr>
              <w:t>The 2004 ADR Act prevails over the 1980 Corporation Code regarding arbitral enforcement capacity.</w:t>
            </w:r>
          </w:p>
          <w:p>
            <w:pPr>
              <w:spacing w:before="40" w:after="60" w:line="276" w:lineRule="auto"/>
            </w:pPr>
            <w:r>
              <w:rPr>
                <w:rFonts w:ascii="Calibri" w:hAnsi="Calibri"/>
                <w:b/>
                <w:color w:val="8C3200"/>
                <w:sz w:val="20"/>
              </w:rPr>
              <w:t>2.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scheme for international arbitration overrides general corporate disqualification rules.</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International treaty commitments under the New York Convention dictate faithful domestic statutory execution.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c. Lex Specialis Derogat Legi Generalis (ADR Act vs Corp Code Capacity to Sue)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posterior derogat priori</w:t>
              <w:br/>
              <w:t>(a later law repeals an earlier law / RA 9285 modifies Section 133 of the Corporation Code to allow enforcement of foreign arbitral awards)</w:t>
              <w:br/>
              <w:br/>
              <w:t>Secondary:</w:t>
              <w:br/>
              <w:t>• Generalia specialibus non derogant (special arbitral law prevails over general corporate law)</w:t>
              <w:br/>
              <w:t>• Pacta sunt servanda (treaty enforcement)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misapplied the older general Corporation Code to extinguish specific remedies enacted in the subsequent 2004 ADR Act.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newer, specific law passed to follow an international treaty beats an older general law that says otherwise.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Tuna Processing v. Philippine Kingford illustrates Lex posterior derogat priori and Generalia specialibus non derogant in international commercial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Tuna Processing, Inc. v. Philippine Kingford,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185582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29,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Tuna Processing, Inc. v. Philippine Kingford, Inc., under the canon of Lex posterior derogat priori.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misapplied the older general Corporation Code to extinguish specific remedies enacted in the subsequent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RTC dismissal order, REINSTATED the petition to enforce the foreign arbitral award, and REMANDED the case for continuation of proceedings.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An unlicensed foreign corporation CAN file a petition in Philippine courts to enforce a foreign arbitral award. R.A. No. 9285, being a SUBSEQUENT AND SPECIAL LAW, creates an express exception to Section 133 of the Corporation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posterior derogat priori</w:t>
              <w:br/>
              <w:t xml:space="preserve">   - Application: Application of Lex Posterior and Special Laws: When a subsequent special statute opens a specific procedural avenue to enforce international treaty rights, it operates as an exception to earlier general statutory prohibitions.</w:t>
              <w:br/>
              <w:t xml:space="preserve">   - Result: 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Generalia specialibus non derogant (special arbitral law prevails over general corporate law)</w:t>
              <w:br/>
              <w:t>• Pacta sunt servanda (treaty enforcement)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Tuna Processing, Inc. v. Philippine Kingford, Inc. to mean and apply strictly in accordance with Lex posterior derogat priori, holding that Yes. The 2004 ADR Act is a newer, specific law passed to comply with international treaties. Under Lex Posterior Derogat Priori and Generalia Specialibus Non De.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posterior derogat priori,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newer, specific law passed to follow an international treaty beats an older general law that says otherwise.</w:t>
            </w:r>
          </w:p>
        </w:tc>
      </w:tr>
    </w:tbl>
    <w:p>
      <w:r>
        <w:br w:type="page"/>
      </w:r>
    </w:p>
    <w:p>
      <w:pPr>
        <w:keepNext/>
        <w:spacing w:before="320" w:after="80"/>
      </w:pPr>
      <w:r>
        <w:rPr>
          <w:rFonts w:ascii="Arial" w:hAnsi="Arial"/>
          <w:b/>
          <w:color w:val="0F2043"/>
          <w:sz w:val="26"/>
        </w:rPr>
        <w:t>26. MELANIO L. MAGNO V. COMMISSION ON ELECTIONS AND ALICE P. BURAGA</w:t>
      </w:r>
    </w:p>
    <w:p>
      <w:pPr>
        <w:spacing w:before="40" w:after="80" w:line="276" w:lineRule="auto"/>
      </w:pPr>
      <w:r>
        <w:rPr>
          <w:rFonts w:ascii="Calibri" w:hAnsi="Calibri"/>
          <w:b/>
          <w:color w:val="212529"/>
          <w:sz w:val="21"/>
        </w:rPr>
        <w:t xml:space="preserve">Citation: </w:t>
      </w:r>
      <w:r>
        <w:rPr>
          <w:rFonts w:ascii="Calibri" w:hAnsi="Calibri"/>
          <w:i/>
          <w:color w:val="212529"/>
          <w:sz w:val="21"/>
        </w:rPr>
        <w:t>G.R. No. 147904 | October 4, 2002 | 390 SCRA 495 | En Banc | Ponente: J. Corona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Melanio L. Magno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Alice P. Buraga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COMELEC resolution disqualifying petitioner as Mayor of San Isidro, Isabela under Section 40 of the Local Government Code due to conviction for Direct Bribery.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newly elected mayor had a past criminal conviction for Direct Bribery (accepting a bribe when he was a public officer), for which he was granted probation. A rival moved to disqualify him under the Local Government Code, which bans anyone convicted of a crime involving 'moral turpitude' from running for local office. The mayor argued bribery is not moral turpitude and probation wiped his slate clean. The Supreme Court ruled that Direct Bribery is inherently a crime of moral turpitude, and the special disqualification rule in the Local Government Code controls over general election and probation provisions.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taking a bribe a crime of moral turpitude that permanently disqualifies a person from running for Mayor, even if he finished probation?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Direct Bribery involves moral turpitude under Section 40(a) of RA 7160 and whether completion of probation removes local elective disqualification, testing the canon of Legislative Intent and Harmonious Construction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Direct Bribery is INHERENTLY a crime involving moral turpitude. Section 40(a) of the Local Government Code disqualifies the convict from holding local elective office, and the completion of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Direct Bribery is inherently an act of base dishonesty and moral turpitude. Under Section 40(a) of the Local Government Code, construed in light of legislative intent to maintain public integrity, the statutory disqualification persists notwithstanding the completion of probation."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40(a), Republic Act No. 7160 (Local Government Code of 1991): </w:t>
            </w:r>
            <w:r>
              <w:rPr>
                <w:rFonts w:ascii="Calibri" w:hAnsi="Calibri"/>
                <w:color w:val="212529"/>
                <w:sz w:val="20"/>
              </w:rPr>
              <w:t>Disqualifies persons convicted by final judgment of an offense involving moral turpitude from running for local elective office.</w:t>
            </w:r>
          </w:p>
          <w:p>
            <w:pPr>
              <w:spacing w:before="20" w:after="40" w:line="276" w:lineRule="auto"/>
            </w:pPr>
            <w:r>
              <w:rPr>
                <w:rFonts w:ascii="Calibri" w:hAnsi="Calibri"/>
                <w:b/>
                <w:color w:val="212529"/>
                <w:sz w:val="20"/>
              </w:rPr>
              <w:t xml:space="preserve">2. Article 210, Revised Penal Code: </w:t>
            </w:r>
            <w:r>
              <w:rPr>
                <w:rFonts w:ascii="Calibri" w:hAnsi="Calibri"/>
                <w:color w:val="212529"/>
                <w:sz w:val="20"/>
              </w:rPr>
              <w:t>Statutory definition of Direct Bribery.</w:t>
            </w:r>
          </w:p>
          <w:p>
            <w:pPr>
              <w:spacing w:before="20" w:after="40" w:line="276" w:lineRule="auto"/>
            </w:pPr>
            <w:r>
              <w:rPr>
                <w:rFonts w:ascii="Calibri" w:hAnsi="Calibri"/>
                <w:b/>
                <w:color w:val="212529"/>
                <w:sz w:val="20"/>
              </w:rPr>
              <w:t xml:space="preserve">3. Section 16, Presidential Decree No. 968 (Probation Law): </w:t>
            </w:r>
            <w:r>
              <w:rPr>
                <w:rFonts w:ascii="Calibri" w:hAnsi="Calibri"/>
                <w:color w:val="212529"/>
                <w:sz w:val="20"/>
              </w:rPr>
              <w:t>Effects of discharge from probation, construed alongside electoral disqualification statutes.</w:t>
            </w:r>
          </w:p>
          <w:p>
            <w:pPr>
              <w:spacing w:before="20" w:after="40" w:line="276" w:lineRule="auto"/>
            </w:pPr>
            <w:r>
              <w:rPr>
                <w:rFonts w:ascii="Calibri" w:hAnsi="Calibri"/>
                <w:b/>
                <w:color w:val="212529"/>
                <w:sz w:val="20"/>
              </w:rPr>
              <w:t xml:space="preserve">4. Salus Populi Est Suprema Lex (the welfare of the people is the supreme law): </w:t>
            </w:r>
            <w:r>
              <w:rPr>
                <w:rFonts w:ascii="Calibri" w:hAnsi="Calibri"/>
                <w:color w:val="212529"/>
                <w:sz w:val="20"/>
              </w:rPr>
              <w:t>High ethical standards for elective public office override personal claims to rehabilitation.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40(a) RA 7160, Article 210 RPC, PD 968,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40(a) of RA 7160, Article 210 RPC, and the principle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Definition of Moral Turpitude: </w:t>
            </w:r>
            <w:r>
              <w:rPr>
                <w:rFonts w:ascii="Calibri" w:hAnsi="Calibri"/>
                <w:color w:val="212529"/>
                <w:sz w:val="20"/>
              </w:rPr>
              <w:t>Moral turpitude is an act of baseness, vileness, or depravity in private and social duties. Direct bribery—selling public office for private gain—is the quintessence of moral turpitude.</w:t>
            </w:r>
          </w:p>
          <w:p>
            <w:pPr>
              <w:spacing w:before="20" w:after="40" w:line="276" w:lineRule="auto"/>
            </w:pPr>
            <w:r>
              <w:rPr>
                <w:rFonts w:ascii="Calibri" w:hAnsi="Calibri"/>
                <w:b/>
                <w:color w:val="212529"/>
                <w:sz w:val="20"/>
              </w:rPr>
              <w:t xml:space="preserve">2. Effect of Probation on Electoral Disqualification: </w:t>
            </w:r>
            <w:r>
              <w:rPr>
                <w:rFonts w:ascii="Calibri" w:hAnsi="Calibri"/>
                <w:color w:val="212529"/>
                <w:sz w:val="20"/>
              </w:rPr>
              <w:t>Probation restores civil rights and extinguishes criminal liability as to penalty, but it cannot override explicit statutory qualifications and disqualifications enacted by Congress to safeguard elective public offices.</w:t>
            </w:r>
          </w:p>
          <w:p>
            <w:pPr>
              <w:spacing w:before="20" w:after="40" w:line="276" w:lineRule="auto"/>
            </w:pPr>
            <w:r>
              <w:rPr>
                <w:rFonts w:ascii="Calibri" w:hAnsi="Calibri"/>
                <w:b/>
                <w:color w:val="212529"/>
                <w:sz w:val="20"/>
              </w:rPr>
              <w:t xml:space="preserve">3. Legislative Intent in Local Government Code: </w:t>
            </w:r>
            <w:r>
              <w:rPr>
                <w:rFonts w:ascii="Calibri" w:hAnsi="Calibri"/>
                <w:color w:val="212529"/>
                <w:sz w:val="20"/>
              </w:rPr>
              <w:t>Section 40(a) was enacted specifically to bar morally compromised individuals from occupying positions of local executive power.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statutory construction. Direct bribery strikes at the heart of public trust. The Court held that Section 40(a) of the LGC expresses the legislative policy to preserve public integrity, and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AFFIRMED the COMELEC disqualification, and DECLARED Melanio Magno disqualified from holding the office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was disqualified from office due to his past bribery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disqualification, ruling that Direct Bribery involves moral turpitude that bars local candidacy under Section 40(a) LGC."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d. Lex Posterior Generalis Non Derogat Legi Priori Specialis (Omnibus Election Code)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The public interest in having honest, uncompromised local leaders overrides individual political ambitions.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40(a) of the LGC explicitly bars candidates convicted of moral turpitude.</w:t>
            </w:r>
          </w:p>
          <w:p>
            <w:pPr>
              <w:spacing w:before="40" w:after="60" w:line="276" w:lineRule="auto"/>
            </w:pPr>
            <w:r>
              <w:rPr>
                <w:rFonts w:ascii="Calibri" w:hAnsi="Calibri"/>
                <w:b/>
                <w:color w:val="8C3200"/>
                <w:sz w:val="20"/>
              </w:rPr>
              <w:t>3.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disqualifications under Section 40 LGC prevail over general probation discharge provisions.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d. Lex Posterior Generalis Non Derogat Legi Priori Specialis (Omnibus Election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integrity in elective office requires strict enforcement of moral turpitude disqualifications)</w:t>
              <w:br/>
              <w:br/>
              <w:t>Secondary:</w:t>
              <w:br/>
              <w:t>• Verba legis non est recedendum (clear statutory disqualification)</w:t>
              <w:br/>
              <w:t>• Generalia specialibus non derogant (special local election disqualifications prevail)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candidate attempted to dilute the statutory concept of moral turpitude and use the general Probation Law to bypass explicit electoral disqualifications.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Enforcement of Public Integrity Statutes: Disqualifications based on moral turpitude in public office statutes are strictly enforced to safeguard democratic institutions.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that require public leaders to be honest and clean will be strictly enforced; a convicted bribe-taker cannot use loopholes to become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Magno v. COMELEC confirms that Direct Bribery is a crime involving moral turpitude that triggers mandatory disqualification under Section 40(a) of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Melanio L. Magno v. Commission on Elections and Alice P. Buraga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147904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4, 2002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candidate attempted to dilute the statutory concept of moral turpitude and use the general Probation Law to bypass explicit electoral disqualifications.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Melanio L. Magno v. Commission on Elections and Alice P. Buraga,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candidate attempted to dilute the statutory concept of moral turpitude and use the general Probation Law to bypass 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AFFIRMED the COMELEC disqualification, and DECLARED Melanio Magno disqualified from holding the office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Direct Bribery is INHERENTLY a crime involving moral turpitude. Section 40(a) of the Local Government Code disqualifies the convict from holding local elective office, and the completion of probation does NOT erase the statutory disqualification.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candidate attempted to dilute the statutory concept of moral turpitude and use the general Probation Law to bypass explicit electoral di.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Strict Enforcement of Public Integrity Statutes: Disqualifications based on moral turpitude in public office statutes are strictly enforced to safeguard democratic institutions.</w:t>
              <w:br/>
              <w:t xml:space="preserve">   - Result: 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disqualification)</w:t>
              <w:br/>
              <w:t>• Generalia specialibus non derogant (special local election disqualifications prevail)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Melanio L. Magno v. Commission on Elections and Alice P. Buraga to mean and apply strictly in accordance with Salus populi est suprema lex, holding that Yes. Bribery is inherently corrupt and involves moral turpitude because it betrays public trust. The Local Government Code specifically disqualifies people conv.</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Enforcement of Public Integrity Statutes: Disqualifications based on moral turpitude in public office statutes are strictly enforced to safeguard democratic institutions.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that require public leaders to be honest and clean will be strictly enforced; a convicted bribe-taker cannot use loopholes to become mayor.</w:t>
            </w:r>
          </w:p>
        </w:tc>
      </w:tr>
    </w:tbl>
    <w:p>
      <w:r>
        <w:br w:type="page"/>
      </w:r>
    </w:p>
    <w:p>
      <w:pPr>
        <w:keepNext/>
        <w:spacing w:before="320" w:after="80"/>
      </w:pPr>
      <w:r>
        <w:rPr>
          <w:rFonts w:ascii="Arial" w:hAnsi="Arial"/>
          <w:b/>
          <w:color w:val="0F2043"/>
          <w:sz w:val="26"/>
        </w:rPr>
        <w:t>27. MARIA VIRGINIA V. REMO V. THE HONORABLE SECRETARY OF FOREIGN AFFAIRS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169202 | March 5, 2010 | 614 SCRA 281 | Second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Maria Virginia V. Remo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Secretary of Foreign Affairs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 married woman's right to revert to her maiden name in her Philippine Passport under Republic Act No. 8239 (Philippine Passport Act of 1996) and Article 370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married woman who used her husband's last name on her old passport wanted to switch back to her maiden last name on her new passport, even though they were still happily married. The DFA refused, citing the Passport Act rules which say once you choose to put your husband's surname on your passport, you can only change it back if your husband dies or you get an annulment/divorce. The Supreme Court ruled that while the Civil Code allows a woman to use her maiden name in daily life, the Passport Act is a special law governing travel documents that restricts mid-marriage name changes on passports to prevent identity confusion.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married woman switch back to her maiden name on her passport while still married, despite the specific restrictions in the Passport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370 of the Civil Code overrides the special name-change restrictions under Section 5(d) of the Philippine Passport Act (RA 8239), testing the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married woman who has chosen to adopt her husband's surname in her passport CANNOT revert to her maiden name while the marriage is subsisting. Under Generalia Specialibus Non Derogant, the special Passport Act prevails over the general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while Article 370 of the Civil Code gives a married woman the option to use her maiden name, under Generalia specialibus non derogant (general laws yield to special laws), RA 8239 is a special law governing international travel documents. Once she opts to use her husband's surname in her passport, she can only revert to her maiden name upon death, divorce, or annulment."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5(d), Republic Act No. 8239 (Philippine Passport Act of 1996): </w:t>
            </w:r>
            <w:r>
              <w:rPr>
                <w:rFonts w:ascii="Calibri" w:hAnsi="Calibri"/>
                <w:color w:val="212529"/>
                <w:sz w:val="20"/>
              </w:rPr>
              <w:t>Restricts amendment of passport names of married women to instances of widowhood, annulment, or divorce.</w:t>
            </w:r>
          </w:p>
          <w:p>
            <w:pPr>
              <w:spacing w:before="20" w:after="40" w:line="276" w:lineRule="auto"/>
            </w:pPr>
            <w:r>
              <w:rPr>
                <w:rFonts w:ascii="Calibri" w:hAnsi="Calibri"/>
                <w:b/>
                <w:color w:val="212529"/>
                <w:sz w:val="20"/>
              </w:rPr>
              <w:t xml:space="preserve">2. Article 370, Civil Code of the Philippines: </w:t>
            </w:r>
            <w:r>
              <w:rPr>
                <w:rFonts w:ascii="Calibri" w:hAnsi="Calibri"/>
                <w:color w:val="212529"/>
                <w:sz w:val="20"/>
              </w:rPr>
              <w:t>General rule allowing married women to use maiden name or husband's surname.</w:t>
            </w:r>
          </w:p>
          <w:p>
            <w:pPr>
              <w:spacing w:before="20" w:after="40" w:line="276" w:lineRule="auto"/>
            </w:pPr>
            <w:r>
              <w:rPr>
                <w:rFonts w:ascii="Calibri" w:hAnsi="Calibri"/>
                <w:b/>
                <w:color w:val="212529"/>
                <w:sz w:val="20"/>
              </w:rPr>
              <w:t xml:space="preserve">3. Generalia Specialibus Non Derogant (general provisions do not derogate from special provisions): </w:t>
            </w:r>
            <w:r>
              <w:rPr>
                <w:rFonts w:ascii="Calibri" w:hAnsi="Calibri"/>
                <w:color w:val="212529"/>
                <w:sz w:val="20"/>
              </w:rPr>
              <w:t>The specific passport security statute prevails over the general civil law on surnames.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5(d) RA 8239, Article 370 Civil Code,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5(d) of RA 8239 in relation to Article 370 of the Civil Code, governed by Generalia specialibus non derogant (special laws prevail over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of Civil Code and Passport Act: </w:t>
            </w:r>
            <w:r>
              <w:rPr>
                <w:rFonts w:ascii="Calibri" w:hAnsi="Calibri"/>
                <w:color w:val="212529"/>
                <w:sz w:val="20"/>
              </w:rPr>
              <w:t>Article 370 of the Civil Code grants a woman the choice of whether to adopt her husband's surname. However, once she exercises that choice and registers her married name on her official passport, RA 8239 regulates how and when that passport name may be changed.</w:t>
            </w:r>
          </w:p>
          <w:p>
            <w:pPr>
              <w:spacing w:before="20" w:after="40" w:line="276" w:lineRule="auto"/>
            </w:pPr>
            <w:r>
              <w:rPr>
                <w:rFonts w:ascii="Calibri" w:hAnsi="Calibri"/>
                <w:b/>
                <w:color w:val="212529"/>
                <w:sz w:val="20"/>
              </w:rPr>
              <w:t xml:space="preserve">2. Special Law on Travel Documents: </w:t>
            </w:r>
            <w:r>
              <w:rPr>
                <w:rFonts w:ascii="Calibri" w:hAnsi="Calibri"/>
                <w:color w:val="212529"/>
                <w:sz w:val="20"/>
              </w:rPr>
              <w:t>RA 8239 is a special law designed to protect the integrity of Philippine passports and prevent identity fraud in international travel. Its specific provisions override general civil provisions.</w:t>
            </w:r>
          </w:p>
          <w:p>
            <w:pPr>
              <w:spacing w:before="20" w:after="40" w:line="276" w:lineRule="auto"/>
            </w:pPr>
            <w:r>
              <w:rPr>
                <w:rFonts w:ascii="Calibri" w:hAnsi="Calibri"/>
                <w:b/>
                <w:color w:val="212529"/>
                <w:sz w:val="20"/>
              </w:rPr>
              <w:t xml:space="preserve">3. Validity of Administrative Regulations: </w:t>
            </w:r>
            <w:r>
              <w:rPr>
                <w:rFonts w:ascii="Calibri" w:hAnsi="Calibri"/>
                <w:color w:val="212529"/>
                <w:sz w:val="20"/>
              </w:rPr>
              <w:t>The DFA regulations strictly tracking Section 5(d) of RA 8239 were valid exercises of subordinate rule-making power consistent with statutory intent.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The Civil Code is general law on personal names, while the Passport Act is special law governing international travel integrity. The Court held that statutory passport restrictions control during the subsistence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Appeals and DFA denying the reversion to maiden name on the passport.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woman was not allowed to switch her passport name while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DFA's denial, upholding the primacy of the special Passport Act over general Civil Code provisions."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f. Interpretare et Concordare Leges Legibus (Passport Act vs Civil Code Art. 370)</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provisions of the Philippine Passport Act prevail over the general provisions of the Civil Code on names.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5(d) of RA 8239 explicitly enumerates the exclusive grounds for changing passport names.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8239 establishes international security standards for travel documents.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f. Interpretare et Concordare Leges Legibus (Passport Act vs Civil Code Art. 370)</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Philippine Passport Act RA 8239 governs over general Civil Code name rules)</w:t>
              <w:br/>
              <w:br/>
              <w:t>Secondary:</w:t>
              <w:br/>
              <w:t>• Verba legis non est recedendum (clear statutory text on passport name changes)</w:t>
              <w:br/>
              <w:t>• Optima statuti interpretatrix est ipsum statutum (statute is its own best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elevate general civil law provisions over a specific, subsequent statute governing international travel document security.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Special Regulatory Statutes: Special statutes enacted to protect state security and international document integrity override general civil law provisions on the same subject.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security law on passports beats a general civil law about family names.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Remo v. Secretary of Foreign Affairs is the leading modern case applying Generalia specialibus non derogant to resolve conflicts between the Civil Code and special regulatory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Maria Virginia V. Remo v. The Honorable Secretary of Foreign Affairs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169202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5,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elevate general civil law provisions over a specific, subsequent statute governing international travel document security.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Maria Virginia V. Remo v. The Honorable Secretary of Foreign Affairs,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 sought to elevate general civil law provisions over a specific, subsequent statute governing international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Appeals and DFA denying the reversion to maiden name on the passport.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married woman who has chosen to adopt her husband's surname in her passport CANNOT revert to her maiden name while the marriage is subsisting. Under Generalia Specialibus Non Derogant, the special Passport Act prevails over the general Civil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sought to elevate general civil law provisions over a specific, subsequent statute governing international travel document securi.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Special Regulatory Statutes: Special statutes enacted to protect state security and international document integrity override general civil law provisions on the same subject.</w:t>
              <w:br/>
              <w:t xml:space="preserve">   - Result: 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text on passport name changes)</w:t>
              <w:br/>
              <w:t>• Optima statuti interpretatrix est ipsum statutum (statute is its own best interpreter)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Maria Virginia V. Remo v. The Honorable Secretary of Foreign Affairs to mean and apply strictly in accordance with Generalia specialibus non derogant, holding that No. Under the Civil Code, you can choose to keep your maiden name when you get married. But once you elect to put your married name on your official passport,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Special Regulatory Statutes: Special statutes enacted to protect state security and international document integrity override general civil law provisions on the same subject.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security law on passports beats a general civil law about family names.</w:t>
            </w:r>
          </w:p>
        </w:tc>
      </w:tr>
    </w:tbl>
    <w:p>
      <w:r>
        <w:br w:type="page"/>
      </w:r>
    </w:p>
    <w:p>
      <w:pPr>
        <w:keepNext/>
        <w:spacing w:before="320" w:after="80"/>
      </w:pPr>
      <w:r>
        <w:rPr>
          <w:rFonts w:ascii="Arial" w:hAnsi="Arial"/>
          <w:b/>
          <w:color w:val="0F2043"/>
          <w:sz w:val="26"/>
        </w:rPr>
        <w:t>28. COMMISSIONER OF INTERNAL REVENUE V. PHILIPPINE AIRLINES, INC. (PAL)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180066 | July 7, 2009 | 592 SCRA 237 | Third Division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Airlines, Inc. (PAL)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PAL is exempt from the 10% Minimum Corporate Income Tax (MCIT) under its special legislative franchise (P.D. No. 1590) versus the general National Internal Revenue Code of 1997.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Philippine Airlines (PAL) has a special legislative franchise (PD 1590) saying it only needs to pay basic income tax or a 2% franchise tax, 'whichever is lower, in lieu of all other taxes.' When PAL suffered losses and made zero net income, the BIR demanded Minimum Corporate Income Tax (MCIT) under the new 1997 Tax Code. The Supreme Court ruled that PAL's special franchise is a special law that cannot be repealed or modified by a general tax code without an express repealing clause.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general Tax Code's Minimum Corporate Income Tax apply to PAL, or does PAL's special charter franchise protect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general provisions of the 1997 NIRC repealed the special tax exemptions in PAL's charter (PD 1590), testing the bedrock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'in lieu of all other taxes' clause of PD 1590, PAL's special franchise tax regime prevails over the general MCIT provisions of the 1997 NIRC."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Presidential Decree No. 1590 (PAL Legislative Franchise): </w:t>
            </w:r>
            <w:r>
              <w:rPr>
                <w:rFonts w:ascii="Calibri" w:hAnsi="Calibri"/>
                <w:color w:val="212529"/>
                <w:sz w:val="20"/>
              </w:rPr>
              <w:t>Confers the 'in lieu of all other taxes' privilege and two-option tax formula.</w:t>
            </w:r>
          </w:p>
          <w:p>
            <w:pPr>
              <w:spacing w:before="20" w:after="40" w:line="276" w:lineRule="auto"/>
            </w:pPr>
            <w:r>
              <w:rPr>
                <w:rFonts w:ascii="Calibri" w:hAnsi="Calibri"/>
                <w:b/>
                <w:color w:val="212529"/>
                <w:sz w:val="20"/>
              </w:rPr>
              <w:t xml:space="preserve">2. Section 27(E), National Internal Revenue Code of 1997: </w:t>
            </w:r>
            <w:r>
              <w:rPr>
                <w:rFonts w:ascii="Calibri" w:hAnsi="Calibri"/>
                <w:color w:val="212529"/>
                <w:sz w:val="20"/>
              </w:rPr>
              <w:t>General imposition of Minimum Corporate Income Tax (MCIT) on domestic corporations.</w:t>
            </w:r>
          </w:p>
          <w:p>
            <w:pPr>
              <w:spacing w:before="20" w:after="40" w:line="276" w:lineRule="auto"/>
            </w:pPr>
            <w:r>
              <w:rPr>
                <w:rFonts w:ascii="Calibri" w:hAnsi="Calibri"/>
                <w:b/>
                <w:color w:val="212529"/>
                <w:sz w:val="20"/>
              </w:rPr>
              <w:t xml:space="preserve">3. Generalia Specialibus Non Derogant (general things do not derogate from special things): </w:t>
            </w:r>
            <w:r>
              <w:rPr>
                <w:rFonts w:ascii="Calibri" w:hAnsi="Calibri"/>
                <w:color w:val="212529"/>
                <w:sz w:val="20"/>
              </w:rPr>
              <w:t>A general tax statute cannot amend or repeal a prior special legislative franchise without an express and specific repealing clause.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PD 1590, Section 27(E) NIRC,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PD 1590 in relation to Section 27(E) of the 1997 NIRC, governed by the immortal canon Generalia specialibus non derogant (general provisions yield to special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Special Law vs. General Law: </w:t>
            </w:r>
            <w:r>
              <w:rPr>
                <w:rFonts w:ascii="Calibri" w:hAnsi="Calibri"/>
                <w:color w:val="212529"/>
                <w:sz w:val="20"/>
              </w:rPr>
              <w:t>PD 1590 is a special law tailored exclusively for PAL to foster national air transportation. The NIRC is a general law of nationwide application. It is a fundamental rule of statutory construction that a special law prevails over a general law.</w:t>
            </w:r>
          </w:p>
          <w:p>
            <w:pPr>
              <w:spacing w:before="20" w:after="40" w:line="276" w:lineRule="auto"/>
            </w:pPr>
            <w:r>
              <w:rPr>
                <w:rFonts w:ascii="Calibri" w:hAnsi="Calibri"/>
                <w:b/>
                <w:color w:val="212529"/>
                <w:sz w:val="20"/>
              </w:rPr>
              <w:t xml:space="preserve">2. Presumption Against Implied Repeals: </w:t>
            </w:r>
            <w:r>
              <w:rPr>
                <w:rFonts w:ascii="Calibri" w:hAnsi="Calibri"/>
                <w:color w:val="212529"/>
                <w:sz w:val="20"/>
              </w:rPr>
              <w:t>Repeals by implication are not favored. In the absence of an express repeal of PD 1590 in the 1997 NIRC, the special charter remains fully operational and exempt from MCIT.</w:t>
            </w:r>
          </w:p>
          <w:p>
            <w:pPr>
              <w:spacing w:before="20" w:after="40" w:line="276" w:lineRule="auto"/>
            </w:pPr>
            <w:r>
              <w:rPr>
                <w:rFonts w:ascii="Calibri" w:hAnsi="Calibri"/>
                <w:b/>
                <w:color w:val="212529"/>
                <w:sz w:val="20"/>
              </w:rPr>
              <w:t xml:space="preserve">3. The 'In Lieu of All Other Taxes' Clause: </w:t>
            </w:r>
            <w:r>
              <w:rPr>
                <w:rFonts w:ascii="Calibri" w:hAnsi="Calibri"/>
                <w:color w:val="212529"/>
                <w:sz w:val="20"/>
              </w:rPr>
              <w:t>The explicit statutory covenant that payment of franchise tax or income tax shall be 'in lieu of all other taxes' creates a complete statutory exemption from additional corporate taxes like MCIT.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and the presumption against implied repeals. PAL's charter is a special law with an 'in lieu of all other taxes' clause. The general enactment of the 1997 NIRC did not repeal or modify PAL's special franchise tax regime."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CANCELLED the MCIT assessment against Philippine Airlines.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won and the BIR's MCIT tax assessment was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upholding PAL's franchise exemption under Generalia Specialibus Non Derogant."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d. Lex Posterior Generalis Non Derogat Legi Priori Specialis (PAL Franchise vs NIRC)</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general National Internal Revenue Code does not repeal the special legislative franchise of PAL (PD 1590).</w:t>
            </w:r>
          </w:p>
          <w:p>
            <w:pPr>
              <w:spacing w:before="40" w:after="60" w:line="276" w:lineRule="auto"/>
            </w:pPr>
            <w:r>
              <w:rPr>
                <w:rFonts w:ascii="Calibri" w:hAnsi="Calibri"/>
                <w:b/>
                <w:color w:val="8C3200"/>
                <w:sz w:val="20"/>
              </w:rPr>
              <w:t>2. Leges posteriores priores contrarias abrogant (later laws repeal earlier contrary laws)</w:t>
              <w:br/>
            </w:r>
            <w:r>
              <w:rPr>
                <w:rFonts w:ascii="Calibri" w:hAnsi="Calibri"/>
                <w:b/>
                <w:color w:val="212529"/>
                <w:sz w:val="19"/>
              </w:rPr>
              <w:t xml:space="preserve">   • Literal English Translation: </w:t>
            </w:r>
            <w:r>
              <w:rPr>
                <w:rFonts w:ascii="Calibri" w:hAnsi="Calibri"/>
                <w:i/>
                <w:color w:val="212529"/>
                <w:sz w:val="19"/>
              </w:rPr>
              <w:t>Later laws repeal earlier contrary laws.</w:t>
              <w:br/>
            </w:r>
            <w:r>
              <w:rPr>
                <w:rFonts w:ascii="Calibri" w:hAnsi="Calibri"/>
                <w:b/>
                <w:color w:val="212529"/>
                <w:sz w:val="19"/>
              </w:rPr>
              <w:t xml:space="preserve">   • Plain Legal Meaning &amp; StatCon Application: </w:t>
            </w:r>
            <w:r>
              <w:rPr>
                <w:rFonts w:ascii="Calibri" w:hAnsi="Calibri"/>
                <w:color w:val="212529"/>
                <w:sz w:val="19"/>
              </w:rPr>
              <w:t>This rule applies only when laws are of the same general class, not when a general law encounters a special charter.</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legislative franchise is a binding statutory contract between the State and the grantee.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d. Lex Posterior Generalis Non Derogat Legi Priori Specialis (PAL Franchise vs NIRC)</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special legislative franchises with 'in lieu of all taxes' clauses prevail over general tax codes)</w:t>
              <w:br/>
              <w:br/>
              <w:t>Secondary:</w:t>
              <w:br/>
              <w:t>• Leges posteriores priores contrarias abrogant (limits of implied repeal)</w:t>
              <w:br/>
              <w:t>• Pacta sunt servanda (franchise covenants)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enforce a general tax code provision against a special corporate charter without showing any express legislative repeal.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general tax book for everybody does not cancel a special tax charter contract given to a specific company unless Congress explicitly writes 'we hereby cancel their charter'.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PAL is the leading modern tax jurisprudence on Generalia specialibus non derogant: special legislative franchises with 'in lieu of all taxes' clauses cannot be repealed by general tax codes."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Philippine Airlines, Inc. (PAL)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180066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7,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Philippine Airlines, Inc. (PAL),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attempted to enforce a general tax code provision against a special corporate charter without showing any expres...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CANCELLED the MCIT assessment against Philippine Airlines.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Inviolability of Special Franchises Against General Tax Codes: A general tax statute will not be construed to repeal or alter a special legislative franchise containing an 'in lieu of all taxes' clause unless the legislative intent to repeal is explicit.</w:t>
              <w:br/>
              <w:t xml:space="preserve">   - Result: 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Leges posteriores priores contrarias abrogant (limits of implied repeal)</w:t>
              <w:br/>
              <w:t>• Pacta sunt servanda (franchise covenants)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Philippine Airlines, Inc. (PAL) to mean and apply strictly in accordance with Generalia specialibus non derogant, holding that No. PAL's franchise is a special contract with the State that says 'in lieu of all other taxes'. A general tax code does not secretly repeal a special franchise.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general tax book for everybody does not cancel a special tax charter contract given to a specific company unless Congress explicitly writes 'we hereby cancel their charter'.</w:t>
            </w:r>
          </w:p>
        </w:tc>
      </w:tr>
    </w:tbl>
    <w:p>
      <w:r>
        <w:br w:type="page"/>
      </w:r>
    </w:p>
    <w:p>
      <w:pPr>
        <w:keepNext/>
        <w:spacing w:before="320" w:after="80"/>
      </w:pPr>
      <w:r>
        <w:rPr>
          <w:rFonts w:ascii="Arial" w:hAnsi="Arial"/>
          <w:b/>
          <w:color w:val="0F2043"/>
          <w:sz w:val="26"/>
        </w:rPr>
        <w:t>29. REPUBLIC OF THE PHILIPPINES V. DEL MONTE MOTORS,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156956 | October 9, 2006 | 504 SCRA 86 | First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represented by the 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Del Monte Motors, Inc.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224)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garnishment of MMDA public funds in Land Bank of the Philippines to satisfy a money judgment in favor of a private contractor.</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bus manufacturer won a money judgment against the MMDA for supplying mobile clinics and had the court sheriff garnish (freeze and seize) MMDA's bank accounts at Land Bank. The government went to the Supreme Court, arguing that public funds intended for flood control, garbage collection, and traffic management cannot be seized by court sheriffs because state money can only be disbursed through proper government appropriation and COA approval. The Supreme Court ruled that public funds are strictly exempt from garnishment.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winning contractor freeze and seize the government's bank accounts to collect a debt?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public funds allocated for governmental services are subject to judicial garnishment, testing the canon of Salus Populi Est Suprema Lex (the welfare of the people is the supreme law) and the statutory immunity of public funds under PD 1445."</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Salus populi est suprema lex (the welfare of the people is the supreme law) and Section 84 of PD 1445, public funds are exempt from garnishment. The proper remedy to enforce a money judgment against the government is to file a claim before the Commission on Audit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1445 (Government Auditing Code of the Philippines): </w:t>
            </w:r>
            <w:r>
              <w:rPr>
                <w:rFonts w:ascii="Calibri" w:hAnsi="Calibri"/>
                <w:color w:val="212529"/>
                <w:sz w:val="20"/>
              </w:rPr>
              <w:t>Mandatory procedure for settlement of money claims against the government through COA.</w:t>
            </w:r>
          </w:p>
          <w:p>
            <w:pPr>
              <w:spacing w:before="20" w:after="40" w:line="276" w:lineRule="auto"/>
            </w:pPr>
            <w:r>
              <w:rPr>
                <w:rFonts w:ascii="Calibri" w:hAnsi="Calibri"/>
                <w:b/>
                <w:color w:val="212529"/>
                <w:sz w:val="20"/>
              </w:rPr>
              <w:t xml:space="preserve">2. Article VI, Section 29(1), 1987 Constitution: </w:t>
            </w:r>
            <w:r>
              <w:rPr>
                <w:rFonts w:ascii="Calibri" w:hAnsi="Calibri"/>
                <w:color w:val="212529"/>
                <w:sz w:val="20"/>
              </w:rPr>
              <w:t>No money shall be paid out of the Treasury except in pursuance of an appropriation made by law.</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Public operations and municipal services must not be paralyzed by private enforcement actions.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Article VI Sec 29(1) Constitution,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Article VI, Section 29 of the Constitution, and the supreme canon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Public Character of MMDA Funds: </w:t>
            </w:r>
            <w:r>
              <w:rPr>
                <w:rFonts w:ascii="Calibri" w:hAnsi="Calibri"/>
                <w:color w:val="212529"/>
                <w:sz w:val="20"/>
              </w:rPr>
              <w:t>MMDA funds in Land Bank are public funds earmarked by law for vital governmental functions including traffic management, flood control, and solid waste disposal.</w:t>
            </w:r>
          </w:p>
          <w:p>
            <w:pPr>
              <w:spacing w:before="20" w:after="40" w:line="276" w:lineRule="auto"/>
            </w:pPr>
            <w:r>
              <w:rPr>
                <w:rFonts w:ascii="Calibri" w:hAnsi="Calibri"/>
                <w:b/>
                <w:color w:val="212529"/>
                <w:sz w:val="20"/>
              </w:rPr>
              <w:t xml:space="preserve">2. Prohibition Against Garnishment of State Funds: </w:t>
            </w:r>
            <w:r>
              <w:rPr>
                <w:rFonts w:ascii="Calibri" w:hAnsi="Calibri"/>
                <w:color w:val="212529"/>
                <w:sz w:val="20"/>
              </w:rPr>
              <w:t>Garnishment of public funds would paralyze essential public services, endangering public order and health. Public policy strictly immunizes government bank accounts from execution.</w:t>
            </w:r>
          </w:p>
          <w:p>
            <w:pPr>
              <w:spacing w:before="20" w:after="40" w:line="276" w:lineRule="auto"/>
            </w:pPr>
            <w:r>
              <w:rPr>
                <w:rFonts w:ascii="Calibri" w:hAnsi="Calibri"/>
                <w:b/>
                <w:color w:val="212529"/>
                <w:sz w:val="20"/>
              </w:rPr>
              <w:t xml:space="preserve">3. Exclusive Remedy Through COA: </w:t>
            </w:r>
            <w:r>
              <w:rPr>
                <w:rFonts w:ascii="Calibri" w:hAnsi="Calibri"/>
                <w:color w:val="212529"/>
                <w:sz w:val="20"/>
              </w:rPr>
              <w:t>A final judgment against the government establishes the validity of the claim, but the creditor must file a claim with the COA, which has primary jurisdiction over government disbursements.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Salus Populi Est Suprema Lex and constitutional fiscal doctrines. Public funds are held in trust for vital state services. The Court held that garnishment of MMDA funds is void ab initio, and the judgment creditor must present its claim before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notices of garnishment, and DECLARED MMDA public funds exempt from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freeze on the government's bank accounts was lifted and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lifted the garnishment, reaffirming that public funds are exempt from execution under public policy and statutory auditing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e. Borrowed Statute Rule (Chattel Mortgage Law / UCC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Public funds essential for urban sanitation and flood control cannot be diverted to private execution.</w:t>
            </w:r>
          </w:p>
          <w:p>
            <w:pPr>
              <w:spacing w:before="40" w:after="60" w:line="276" w:lineRule="auto"/>
            </w:pPr>
            <w:r>
              <w:rPr>
                <w:rFonts w:ascii="Calibri" w:hAnsi="Calibri"/>
                <w:b/>
                <w:color w:val="8C3200"/>
                <w:sz w:val="20"/>
              </w:rPr>
              <w:t>2. Nemo potest gladius principis in se convertere (no one can turn the sword of the sovereign against itself)</w:t>
              <w:br/>
            </w:r>
            <w:r>
              <w:rPr>
                <w:rFonts w:ascii="Calibri" w:hAnsi="Calibri"/>
                <w:b/>
                <w:color w:val="212529"/>
                <w:sz w:val="19"/>
              </w:rPr>
              <w:t xml:space="preserve">   • Literal English Translation: </w:t>
            </w:r>
            <w:r>
              <w:rPr>
                <w:rFonts w:ascii="Calibri" w:hAnsi="Calibri"/>
                <w:i/>
                <w:color w:val="212529"/>
                <w:sz w:val="19"/>
              </w:rPr>
              <w:t>No one can turn the sovereign's power against itself.</w:t>
              <w:br/>
            </w:r>
            <w:r>
              <w:rPr>
                <w:rFonts w:ascii="Calibri" w:hAnsi="Calibri"/>
                <w:b/>
                <w:color w:val="212529"/>
                <w:sz w:val="19"/>
              </w:rPr>
              <w:t xml:space="preserve">   • Plain Legal Meaning &amp; StatCon Application: </w:t>
            </w:r>
            <w:r>
              <w:rPr>
                <w:rFonts w:ascii="Calibri" w:hAnsi="Calibri"/>
                <w:color w:val="212529"/>
                <w:sz w:val="19"/>
              </w:rPr>
              <w:t>Judicial processes of execution cannot be used to paralyze government functions.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constitutional and statutory requirement for appropriation prior to disbursement is absolute.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e. Borrowed Statute Rule (Chattel Mortgage Law / UCC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funds dedicated to vital state services are exempt from judicial garnishment)</w:t>
              <w:br/>
              <w:br/>
              <w:t>Secondary:</w:t>
              <w:br/>
              <w:t>• Nemo potest gladius principis in se convertere (sovereign funds protected)</w:t>
              <w:br/>
              <w:t>• Dura lex sed lex (mandatory constitutional appropriation requirement)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permitted the garnishment of public funds, violating public policy and constitutional rules on public treasury disbursements.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Immunity of Public Funds: All public funds in government depositories are held in trust for the public welfare and are strictly immune from garnishment and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money meant for public services can never be seized by court sheriffs; winning a case against the government means you must ask COA for payment through proper budgets.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Del Monte Motors confirms that under Salus populi est suprema lex and PD 1445, public funds are exempt from garnishment and must be claimed before COA."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Del Monte Motors,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156956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9, 2006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Del Monte Motors, Inc.,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permitted the garnishment of public funds, violating public policy and constitutional rules on public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notices of garnishment, and DECLARED MMDA public funds exempt from execution.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Doctrine of Immunity of Public Funds: All public funds in government depositories are held in trust for the public welfare and are strictly immune from garnishment and execution.</w:t>
              <w:br/>
              <w:t xml:space="preserve">   - Result: 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Nemo potest gladius principis in se convertere (sovereign funds protected)</w:t>
              <w:br/>
              <w:t>• Dura lex sed lex (mandatory constitutional appropriation requirement)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Del Monte Motors, Inc. to mean and apply strictly in accordance with Salus populi est suprema lex, holding that No. Government money belongs to the public for traffic, flood control, and emergency services. A sheriff cannot seize government accounts. The winning party mus.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Immunity of Public Funds: All public funds in government depositories are held in trust for the public welfare and are strictly immune from garnishment and execution.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Government money meant for public services can never be seized by court sheriffs; winning a case against the government means you must ask COA for payment through proper budgets.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 (Part 1)</w:t>
              <w:br/>
            </w:r>
            <w:r>
              <w:rPr>
                <w:rFonts w:ascii="Arial" w:hAnsi="Arial"/>
                <w:b/>
                <w:color w:val="FFFFFF"/>
                <w:sz w:val="24"/>
              </w:rPr>
              <w:t>AIDS TO CONSTRUCTION: INTRINSIC AIDS</w:t>
              <w:br/>
            </w:r>
            <w:r>
              <w:rPr>
                <w:rFonts w:ascii="Arial" w:hAnsi="Arial"/>
                <w:i/>
                <w:color w:val="D7E6FA"/>
                <w:sz w:val="19"/>
              </w:rPr>
              <w:t>Cases 30 to 39 | Textual &amp; Structural Aids Found Within the Statute Itself</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Preambles &amp; Title: Explaining legislative intent, object, and scope</w:t>
            </w:r>
          </w:p>
          <w:p>
            <w:pPr>
              <w:spacing w:before="20" w:after="20"/>
            </w:pPr>
            <w:r>
              <w:rPr>
                <w:rFonts w:ascii="Calibri" w:hAnsi="Calibri"/>
                <w:color w:val="F0F5FF"/>
                <w:sz w:val="18"/>
              </w:rPr>
              <w:t>• • Headnotes &amp; Epigraphs: Non-controlling topical guides to statutory sections</w:t>
            </w:r>
          </w:p>
          <w:p>
            <w:pPr>
              <w:spacing w:before="20" w:after="20"/>
            </w:pPr>
            <w:r>
              <w:rPr>
                <w:rFonts w:ascii="Calibri" w:hAnsi="Calibri"/>
                <w:color w:val="F0F5FF"/>
                <w:sz w:val="18"/>
              </w:rPr>
              <w:t>• • Punctuations &amp; Capitalizations: Semicolons and commas determining clause independence</w:t>
            </w:r>
          </w:p>
          <w:p>
            <w:pPr>
              <w:spacing w:before="20" w:after="20"/>
            </w:pPr>
            <w:r>
              <w:rPr>
                <w:rFonts w:ascii="Calibri" w:hAnsi="Calibri"/>
                <w:color w:val="F0F5FF"/>
                <w:sz w:val="18"/>
              </w:rPr>
              <w:t>• • Lingual Text &amp; Translation: Controlling enacted language (Spanish vs. English text)</w:t>
            </w:r>
          </w:p>
        </w:tc>
      </w:tr>
    </w:tbl>
    <w:p>
      <w:pPr>
        <w:spacing w:before="120"/>
      </w:pPr>
    </w:p>
    <w:p>
      <w:pPr>
        <w:keepNext/>
        <w:spacing w:before="320" w:after="80"/>
      </w:pPr>
      <w:r>
        <w:rPr>
          <w:rFonts w:ascii="Arial" w:hAnsi="Arial"/>
          <w:b/>
          <w:color w:val="0F2043"/>
          <w:sz w:val="26"/>
        </w:rPr>
        <w:t>30. PEOPLE OF THE PHILIPPINES V. MARIO FRANCISCO Y MARTIN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106357 | September 3, 1998 | 295 SCRA 159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Francisco y Martin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95)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Illegal Possession of Firearms under P.D. No. 1866, as amended by Republic Act No. 8294, involving the statutory effect of homicide committed with an unlicensed firearm.</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shot and killed someone with an unlicensed gun and was convicted of both Murder and Illegal Possession of Firearms. While his appeal was pending, a new law (RA 8294) was enacted stating that if an unlicensed gun is used to kill someone, the gun is merely an aggravating circumstance in the murder case, and you cannot be convicted of a separate gun-possession crime. The Supreme Court retroactively dismissed the separate firearms conviction, holding that penal laws favorable to the accused apply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new firearm law (RA 8294) apply retroactively to cancel a separate gun-possession conviction if the gun was used in a killing?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8294 applies retroactively to dismiss a separate charge of illegal possession of firearms where homicide was committed, testing the canon Favorabilia Sunt Amplianda (beneficial penal laws are retroactive) and Title/Context of the amendatory statute as an intrinsic aid."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R.A. No. 8294 applies RETROACTIVELY because it is favorable to the accused. Under the amended law, use of an unlicensed firearm in a killing is merely an aggravating circumstance, precluding a separate conviction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22 of the Revised Penal Code and Favorabilia sunt amplianda, odiosa restringenda, RA 8294 operates retroactively in favor of the accused, extinguishing the separate offense of illegal possession of firearms."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Presidential Decree No. 1866 (as amended by Republic Act No. 8294): </w:t>
            </w:r>
            <w:r>
              <w:rPr>
                <w:rFonts w:ascii="Calibri" w:hAnsi="Calibri"/>
                <w:color w:val="212529"/>
                <w:sz w:val="20"/>
              </w:rPr>
              <w:t>Provides that use of an unlicensed firearm in murder or homicide is an aggravating circumstance, not a separate distinct crime.</w:t>
            </w:r>
          </w:p>
          <w:p>
            <w:pPr>
              <w:spacing w:before="20" w:after="40" w:line="276" w:lineRule="auto"/>
            </w:pPr>
            <w:r>
              <w:rPr>
                <w:rFonts w:ascii="Calibri" w:hAnsi="Calibri"/>
                <w:b/>
                <w:color w:val="212529"/>
                <w:sz w:val="20"/>
              </w:rPr>
              <w:t xml:space="preserve">2. Article 22, Revised Penal Code: </w:t>
            </w:r>
            <w:r>
              <w:rPr>
                <w:rFonts w:ascii="Calibri" w:hAnsi="Calibri"/>
                <w:color w:val="212529"/>
                <w:sz w:val="20"/>
              </w:rPr>
              <w:t>Mandatory retroactive application of penal laws favorable to the accused.</w:t>
            </w:r>
          </w:p>
          <w:p>
            <w:pPr>
              <w:spacing w:before="20" w:after="40" w:line="276" w:lineRule="auto"/>
            </w:pPr>
            <w:r>
              <w:rPr>
                <w:rFonts w:ascii="Calibri" w:hAnsi="Calibri"/>
                <w:b/>
                <w:color w:val="212529"/>
                <w:sz w:val="20"/>
              </w:rPr>
              <w:t xml:space="preserve">3. Favorabilia Sunt Amplianda, Odiosa Restringenda (favorable things should be enlarged, hateful things restricted): </w:t>
            </w:r>
            <w:r>
              <w:rPr>
                <w:rFonts w:ascii="Calibri" w:hAnsi="Calibri"/>
                <w:color w:val="212529"/>
                <w:sz w:val="20"/>
              </w:rPr>
              <w:t>Beneficial statutory changes must be extended to all pending cases.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RA 8294, Article 22 RPC, and Favorabilia Sunt Amplianda.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RA 8294 in relation to Article 22 RPC, governed by Favorabilia sunt amplianda, odiosa restringenda (favorable penal laws are enlarged)."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Statutory Intent of RA 8294: </w:t>
            </w:r>
            <w:r>
              <w:rPr>
                <w:rFonts w:ascii="Calibri" w:hAnsi="Calibri"/>
                <w:color w:val="212529"/>
                <w:sz w:val="20"/>
              </w:rPr>
              <w:t>The amendatory statute intended to treat the unlicensed firearm as a mere qualifying/aggravating circumstance of the primary homicide/murder offense, eliminating the double jeopardy-like dual convictions under the old PD 1866.</w:t>
            </w:r>
          </w:p>
          <w:p>
            <w:pPr>
              <w:spacing w:before="20" w:after="40" w:line="276" w:lineRule="auto"/>
            </w:pPr>
            <w:r>
              <w:rPr>
                <w:rFonts w:ascii="Calibri" w:hAnsi="Calibri"/>
                <w:b/>
                <w:color w:val="212529"/>
                <w:sz w:val="20"/>
              </w:rPr>
              <w:t xml:space="preserve">2. Retroactivity of Favorable Penal Statutes: </w:t>
            </w:r>
            <w:r>
              <w:rPr>
                <w:rFonts w:ascii="Calibri" w:hAnsi="Calibri"/>
                <w:color w:val="212529"/>
                <w:sz w:val="20"/>
              </w:rPr>
              <w:t>Where an amendatory statute reduces a penalty or decriminalizes a separate offense, it must be given retroactive application to pending appeals pursuant to Article 22 RPC.</w:t>
            </w:r>
          </w:p>
          <w:p>
            <w:pPr>
              <w:spacing w:before="20" w:after="40" w:line="276" w:lineRule="auto"/>
            </w:pPr>
            <w:r>
              <w:rPr>
                <w:rFonts w:ascii="Calibri" w:hAnsi="Calibri"/>
                <w:b/>
                <w:color w:val="212529"/>
                <w:sz w:val="20"/>
              </w:rPr>
              <w:t xml:space="preserve">3. Title and Preamble as Intrinsic Aids: </w:t>
            </w:r>
            <w:r>
              <w:rPr>
                <w:rFonts w:ascii="Calibri" w:hAnsi="Calibri"/>
                <w:color w:val="212529"/>
                <w:sz w:val="20"/>
              </w:rPr>
              <w:t>The title and legislative text of RA 8294 clearly convey the intent to rationalize penalties for illegal firearm possession.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text and context of RA 8294 as intrinsic aids. The statute unified the offense. Applying Article 22 RPC, the Court retroactively dismissed the standalone firearm conviction."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judgment, AFFIRMING the conviction for Murder with the special aggravating circumstance of use of unlicensed firearm, but ACQUITTING and DISMISSING the separate charge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separate firearms conviction was cancelled and dismissed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separate firearms conviction retroactively under the beneficial provisions of RA 8294."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b. Title of Statute (RA 7659 / Complex Crime of Illegal Recruitment &amp; Rape)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should be enlarged, and hateful matters restrained.</w:t>
              <w:br/>
            </w:r>
            <w:r>
              <w:rPr>
                <w:rFonts w:ascii="Calibri" w:hAnsi="Calibri"/>
                <w:b/>
                <w:color w:val="212529"/>
                <w:sz w:val="19"/>
              </w:rPr>
              <w:t xml:space="preserve">   • Plain Legal Meaning &amp; StatCon Application: </w:t>
            </w:r>
            <w:r>
              <w:rPr>
                <w:rFonts w:ascii="Calibri" w:hAnsi="Calibri"/>
                <w:color w:val="212529"/>
                <w:sz w:val="19"/>
              </w:rPr>
              <w:t>Beneficial amendatory penal statutes apply retroactively to pending cases.</w:t>
            </w:r>
          </w:p>
          <w:p>
            <w:pPr>
              <w:spacing w:before="40" w:after="60" w:line="276" w:lineRule="auto"/>
            </w:pPr>
            <w:r>
              <w:rPr>
                <w:rFonts w:ascii="Calibri" w:hAnsi="Calibri"/>
                <w:b/>
                <w:color w:val="8C3200"/>
                <w:sz w:val="20"/>
              </w:rPr>
              <w:t>2.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The general rule of prospectivity yields to the constitutional and statutory mandate of retroactive leniency in penal law.</w:t>
            </w:r>
          </w:p>
          <w:p>
            <w:pPr>
              <w:spacing w:before="40" w:after="60" w:line="276" w:lineRule="auto"/>
            </w:pPr>
            <w:r>
              <w:rPr>
                <w:rFonts w:ascii="Calibri" w:hAnsi="Calibri"/>
                <w:b/>
                <w:color w:val="8C3200"/>
                <w:sz w:val="20"/>
              </w:rPr>
              <w:t>3.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all parts of the statute.</w:t>
              <w:br/>
            </w:r>
            <w:r>
              <w:rPr>
                <w:rFonts w:ascii="Calibri" w:hAnsi="Calibri"/>
                <w:b/>
                <w:color w:val="212529"/>
                <w:sz w:val="19"/>
              </w:rPr>
              <w:t xml:space="preserve">   • Plain Legal Meaning &amp; StatCon Application: </w:t>
            </w:r>
            <w:r>
              <w:rPr>
                <w:rFonts w:ascii="Calibri" w:hAnsi="Calibri"/>
                <w:color w:val="212529"/>
                <w:sz w:val="19"/>
              </w:rPr>
              <w:t>The amendatory clauses of RA 8294 must be read in context with the entire penal framework.</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b. Title of Statute (RA 7659 / Complex Crime of Illegal Recruitment &amp; Rape)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retroactive application of beneficial amendatory penal statutes under RA 8294)</w:t>
              <w:br/>
              <w:br/>
              <w:t>Secondary:</w:t>
              <w:br/>
              <w:t>• Lex prospicit non respicit (exception for favorable penal laws)</w:t>
              <w:br/>
              <w:t>• Ex antecedentibus et consequentibus (holistic contextual reading)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convicted the appellant under a repealed dual-liability scheme that was superseded by a favorable amendatory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Retroactive Application of Favorable Penal Enactments: Intrinsic textual amendments that reduce penalties or absorb separate offenses operate retroactively for the benefit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Congress changes a criminal law to reduce penalties or remove a second charge, the new benefit applies immediately to all pending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Francisco shows how the text of an amendatory penal statute is construed intrinsically to apply retroactively in favor of the accused—Favorabilia sunt amplianda."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Francisco y Martin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106357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Francisco y Martin,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convicted the appellant under a repealed dual-liability scheme that was superseded by a favorable amenda...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judgment, AFFIRMING the conviction for Murder with the special aggravating circumstance of use of unlicensed firearm, but ACQUITTING and DISMISSING the separate charge for Illegal Possession of Firearms.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R.A. No. 8294 applies RETROACTIVELY because it is favorable to the accused. Under the amended law, use of an unlicensed firearm in a killing is merely an aggravating circumstance, precluding a separate conviction for illegal possession of firearms.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Retroactive Application of Favorable Penal Enactments: Intrinsic textual amendments that reduce penalties or absorb separate offenses operate retroactively for the benefit of the accused.</w:t>
              <w:br/>
              <w:t xml:space="preserve">   - Result: 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prospicit non respicit (exception for favorable penal laws)</w:t>
              <w:br/>
              <w:t>• Ex antecedentibus et consequentibus (holistic contextual reading)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Francisco y Martin to mean and apply strictly in accordance with Favorabilia sunt amplianda, odiosa restringenda, holding that Yes. Under Article 22 of the Revised Penal Code, penal laws that favor the accused apply retroactively. Because the new statute decriminalized separate firearm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Retroactive Application of Favorable Penal Enactments: Intrinsic textual amendments that reduce penalties or absorb separate offenses operate retroactively for the benefit of the accused.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Congress changes a criminal law to reduce penalties or remove a second charge, the new benefit applies immediately to all pending cases.</w:t>
            </w:r>
          </w:p>
        </w:tc>
      </w:tr>
    </w:tbl>
    <w:p>
      <w:r>
        <w:br w:type="page"/>
      </w:r>
    </w:p>
    <w:p>
      <w:pPr>
        <w:keepNext/>
        <w:spacing w:before="320" w:after="80"/>
      </w:pPr>
      <w:r>
        <w:rPr>
          <w:rFonts w:ascii="Arial" w:hAnsi="Arial"/>
          <w:b/>
          <w:color w:val="0F2043"/>
          <w:sz w:val="26"/>
        </w:rPr>
        <w:t>31. PHILIPPINE NATIONAL BANK (PNB) V. OFFICE OF THE PRESIDENT, HLURB, AND SPOUSES JAIME &amp; ROSITA TAPIO</w:t>
      </w:r>
    </w:p>
    <w:p>
      <w:pPr>
        <w:spacing w:before="40" w:after="80" w:line="276" w:lineRule="auto"/>
      </w:pPr>
      <w:r>
        <w:rPr>
          <w:rFonts w:ascii="Calibri" w:hAnsi="Calibri"/>
          <w:b/>
          <w:color w:val="212529"/>
          <w:sz w:val="21"/>
        </w:rPr>
        <w:t xml:space="preserve">Citation: </w:t>
      </w:r>
      <w:r>
        <w:rPr>
          <w:rFonts w:ascii="Calibri" w:hAnsi="Calibri"/>
          <w:i/>
          <w:color w:val="212529"/>
          <w:sz w:val="21"/>
        </w:rPr>
        <w:t>G.R. No. 104528 | January 18, 1996 | 252 SCRA 5 | Second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National Bank (PNB)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Office of the President, HLURB, and Spouses Jaime &amp; Rosita Tapio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65 concerning whether a bank mortgage over a subdivision project can defeat the rights of prior installment lot buyers under Presidential Decree No. 957.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bought a subdivision lot on installment and paid every single centavo. Meanwhile, the developer secretly mortgaged the entire subdivision to PNB without housing authority approval and then defaulted. PNB foreclosed and tried to kick the buyers off the land. PNB argued that a bank mortgage is protected by the Civil Code. The Supreme Court ruled in favor of the buyers, looking at the Preamble of PD 957 as an intrinsic aid: the law was created specifically to protect innocent home buyers from fraudulent developers and banks.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bank mortgage over a subdivision defeat the rights of an innocent buyer who fully paid for his lot, when interpreted using the Preamble of the Subdivision Buyers Law (PD 957)?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PNB's mortgage overrides the buyer's rights under PD 957, testing the role of the Preamble as an Intrinsic Aid to Statutory Construction and the principle Salus Populi Est Suprema Lex."</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the Preamble of PD 957 is an intrinsic key to unlock legislative intent. The preamble explicitly identifies the mischief to be eradicated: subdivision developers mortgaging lots to banks to the detriment of buyers. PNB is bound to release the clean title to the buyer."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Preamble and Section 18, Presidential Decree No. 957: </w:t>
            </w:r>
            <w:r>
              <w:rPr>
                <w:rFonts w:ascii="Calibri" w:hAnsi="Calibri"/>
                <w:color w:val="212529"/>
                <w:sz w:val="20"/>
              </w:rPr>
              <w:t>Preamble declares state policy to protect real estate buyers; Section 18 prohibits mortgages without NHA approval.</w:t>
            </w:r>
          </w:p>
          <w:p>
            <w:pPr>
              <w:spacing w:before="20" w:after="40" w:line="276" w:lineRule="auto"/>
            </w:pPr>
            <w:r>
              <w:rPr>
                <w:rFonts w:ascii="Calibri" w:hAnsi="Calibri"/>
                <w:b/>
                <w:color w:val="212529"/>
                <w:sz w:val="20"/>
              </w:rPr>
              <w:t xml:space="preserve">2. Preamble as an Intrinsic Aid to Statutory Construction: </w:t>
            </w:r>
            <w:r>
              <w:rPr>
                <w:rFonts w:ascii="Calibri" w:hAnsi="Calibri"/>
                <w:color w:val="212529"/>
                <w:sz w:val="20"/>
              </w:rPr>
              <w:t>The preamble is the key to open the minds of the lawmakers as to the mischiefs to be remedied and the objects to be accomplished.</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Social welfare legislation protecting home ownership overrides general commercial mortgage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Preamble and Section 18 PD 957, Preamble as an Intrinsic Aid,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Preamble and Section 18 of PD 957, utilizing the Preamble as an Intrinsic Aid to determine legislative intent under Salus populi est suprema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Preamble as the Key to Legislative Intent: </w:t>
            </w:r>
            <w:r>
              <w:rPr>
                <w:rFonts w:ascii="Calibri" w:hAnsi="Calibri"/>
                <w:color w:val="212529"/>
                <w:sz w:val="20"/>
              </w:rPr>
              <w:t>The 'Whereas' clauses of PD 957 expressly highlight that numerous innocent lot buyers are cheated when developers mortgage subdivision lands without their knowledge. The preamble directly guides the interpretation of Section 18.</w:t>
            </w:r>
          </w:p>
          <w:p>
            <w:pPr>
              <w:spacing w:before="20" w:after="40" w:line="276" w:lineRule="auto"/>
            </w:pPr>
            <w:r>
              <w:rPr>
                <w:rFonts w:ascii="Calibri" w:hAnsi="Calibri"/>
                <w:b/>
                <w:color w:val="212529"/>
                <w:sz w:val="20"/>
              </w:rPr>
              <w:t xml:space="preserve">2. Duty of Financing Banks: </w:t>
            </w:r>
            <w:r>
              <w:rPr>
                <w:rFonts w:ascii="Calibri" w:hAnsi="Calibri"/>
                <w:color w:val="212529"/>
                <w:sz w:val="20"/>
              </w:rPr>
              <w:t>Banks financing subdivision developers are not ordinary commercial creditors; they have a statutory duty under PD 957 to ensure that the developer has secured NHA clearance before accepting the subdivision as collateral.</w:t>
            </w:r>
          </w:p>
          <w:p>
            <w:pPr>
              <w:spacing w:before="20" w:after="40" w:line="276" w:lineRule="auto"/>
            </w:pPr>
            <w:r>
              <w:rPr>
                <w:rFonts w:ascii="Calibri" w:hAnsi="Calibri"/>
                <w:b/>
                <w:color w:val="212529"/>
                <w:sz w:val="20"/>
              </w:rPr>
              <w:t xml:space="preserve">3. Subordination of Bank Mortgage to Buyer's Title: </w:t>
            </w:r>
            <w:r>
              <w:rPr>
                <w:rFonts w:ascii="Calibri" w:hAnsi="Calibri"/>
                <w:color w:val="212529"/>
                <w:sz w:val="20"/>
              </w:rPr>
              <w:t>A bank that forecloses on a subdivision project merely steps into the shoes of the developer and is bound to respect the fully paid contracts of innocent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Preamble as an intrinsic aid. The Whereas clauses of PD 957 demonstrate the legislative intent to prioritize buyer security over bank mortgages. PNB stepped into the developer's shoes and was legally compelled to release the title."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PNB's petition, AFFIRMED the Office of the President and HLURB, and ORDERED PNB to release the clean certificate of title to the Tapio spouses.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lost and was ordered to surrender the clean title to the home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PNB to deliver the title to the buyers, using the Preamble of PD 957 as an intrinsic aid to uphold buyer protection."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a. Preambles (PD 957 / Buyer Protection against Foreclosing Bank)</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preamble of PD 957 expresses the soul and social purpose of the decree.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families in their home purchases is a paramount public policy.</w:t>
            </w:r>
          </w:p>
          <w:p>
            <w:pPr>
              <w:spacing w:before="40" w:after="60" w:line="276" w:lineRule="auto"/>
            </w:pPr>
            <w:r>
              <w:rPr>
                <w:rFonts w:ascii="Calibri" w:hAnsi="Calibri"/>
                <w:b/>
                <w:color w:val="8C3200"/>
                <w:sz w:val="20"/>
              </w:rPr>
              <w:t>3. Nemo dat quod non habet (no one gives what he does not have)</w:t>
              <w:br/>
            </w:r>
            <w:r>
              <w:rPr>
                <w:rFonts w:ascii="Calibri" w:hAnsi="Calibri"/>
                <w:b/>
                <w:color w:val="212529"/>
                <w:sz w:val="19"/>
              </w:rPr>
              <w:t xml:space="preserve">   • Literal English Translation: </w:t>
            </w:r>
            <w:r>
              <w:rPr>
                <w:rFonts w:ascii="Calibri" w:hAnsi="Calibri"/>
                <w:i/>
                <w:color w:val="212529"/>
                <w:sz w:val="19"/>
              </w:rPr>
              <w:t>No one can give what he does not possess.</w:t>
              <w:br/>
            </w:r>
            <w:r>
              <w:rPr>
                <w:rFonts w:ascii="Calibri" w:hAnsi="Calibri"/>
                <w:b/>
                <w:color w:val="212529"/>
                <w:sz w:val="19"/>
              </w:rPr>
              <w:t xml:space="preserve">   • Plain Legal Meaning &amp; StatCon Application: </w:t>
            </w:r>
            <w:r>
              <w:rPr>
                <w:rFonts w:ascii="Calibri" w:hAnsi="Calibri"/>
                <w:color w:val="212529"/>
                <w:sz w:val="19"/>
              </w:rPr>
              <w:t>The bank cannot acquire greater rights over the lot than the defaulting developer possessed against the fully paid buyer.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a. Preambles (PD 957 / Buyer Protection against Foreclosing Bank)</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the Preamble is the key to unlock legislative purpose in social legislation)</w:t>
              <w:br/>
              <w:br/>
              <w:t>Secondary:</w:t>
              <w:br/>
              <w:t>• Salus populi est suprema lex (buyer protection as supreme law)</w:t>
              <w:br/>
              <w:t>• Nemo dat quod non habet (bank acquires no better right than developer)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attempted to enforce general Civil Code mortgage doctrines in complete disregard of the explicit statutory policy set forth in the Preamble of PD 957.</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'Whereas' clauses (Preamble) at the beginning of a law explain why the law was made and tell judges how to interpret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PNB v. Office of the President is the leading case on the use of the Preamble as an intrinsic aid in statutory construction to enforce consumer protection."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National Bank (PNB) v. Office of the President, HLURB, and Spouses Jaime &amp; Rosita Tapio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104528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18,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attempted to enforce general Civil Code mortgage doctrines in complete disregard of the explicit statutory policy set forth in the Preamble of PD 957.</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National Bank (PNB) v. Office of the President, HLURB, and Spouses Jaime &amp; Rosita Tapio,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attempted to enforce general Civil Code mortgage doctrines in complete disregard of the explicit statutory policy se...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PNB's petition, AFFIRMED the Office of the President and HLURB, and ORDERED PNB to release the clean certificate of title to the Tapio spouses.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attempted to enforce general Civil Code mortgage doctrines in complete disregard of the explicit statutory policy set forth in the Pream.</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The Preamble as an Intrinsic Aid: The preamble of a statute may be consulted to discover the true intent of the legislature and to resolve ambiguities regarding the scope of statutory protections.</w:t>
              <w:br/>
              <w:t xml:space="preserve">   - Result: 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(buyer protection as supreme law)</w:t>
              <w:br/>
              <w:t>• Nemo dat quod non habet (bank acquires no better right than developer)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National Bank (PNB) v. Office of the President, HLURB, and Spouses Jaime &amp; Rosita Tapio to mean and apply strictly in accordance with Ratio legis est anima legis, holding that No. The Preamble of PD 957 expressly states that the law was made to protect home buyers from being victimized by developers who mortgage lots to banks. The ban.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'Whereas' clauses (Preamble) at the beginning of a law explain why the law was made and tell judges how to interpret it.</w:t>
            </w:r>
          </w:p>
        </w:tc>
      </w:tr>
    </w:tbl>
    <w:p>
      <w:r>
        <w:br w:type="page"/>
      </w:r>
    </w:p>
    <w:p>
      <w:pPr>
        <w:keepNext/>
        <w:spacing w:before="320" w:after="80"/>
      </w:pPr>
      <w:r>
        <w:rPr>
          <w:rFonts w:ascii="Arial" w:hAnsi="Arial"/>
          <w:b/>
          <w:color w:val="0F2043"/>
          <w:sz w:val="26"/>
        </w:rPr>
        <w:t>32. BIENVENIDO A. EBARLE V. HON. QUIRICO SUCALDITO AND ALUDIO P. MONTEMAYOR</w:t>
      </w:r>
    </w:p>
    <w:p>
      <w:pPr>
        <w:spacing w:before="40" w:after="80" w:line="276" w:lineRule="auto"/>
      </w:pPr>
      <w:r>
        <w:rPr>
          <w:rFonts w:ascii="Calibri" w:hAnsi="Calibri"/>
          <w:b/>
          <w:color w:val="212529"/>
          <w:sz w:val="21"/>
        </w:rPr>
        <w:t xml:space="preserve">Citation: </w:t>
      </w:r>
      <w:r>
        <w:rPr>
          <w:rFonts w:ascii="Calibri" w:hAnsi="Calibri"/>
          <w:i/>
          <w:color w:val="212529"/>
          <w:sz w:val="21"/>
        </w:rPr>
        <w:t>G.R. No. L-33628 | December 29, 1987 | 156 SCRA 803 | En Banc | Ponente: J. Sarmiento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Bienvenido A. Ebarle, Provincial Governor of Zamboanga del Sur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Quirico Sucaldito (City Fiscal of Pagadian City) and Aludio P. Montemayor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Fiscal of Pagadian City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criminal complaints for graft and corruption filed against an elective provincial governor under Executive Order No. 264.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private citizen filed criminal graft charges against a Provincial Governor before the City Prosecutor. The Governor demanded that the charges be thrown out, claiming that an old Executive Order (EO 264) requires all complaints against government officials to be submitted first to the department head for investigation. The Supreme Court looked at the Title and Preamble of EO 264 and ruled that the Executive Order applies strictly to administrative disciplinary complaints against appointive civil service employees, not to criminal prosecutions of elective governors.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EO 264 require criminal graft charges against an elected Governor to be filed first with a department secretary?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264 applies to criminal prosecutions of elective officials, testing the Title, Preamble, and Noscitur a Sociis as Intrinsic Aids to Statutory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Executive Order No. 264 applies EXCLUSIVELY to administrative complaints against appointive civil service personnel. The TITLE and PREAMBLE of EO 264 explicitly limit its scope to administrative disciplinary proceedings, not criminal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Title and Preamble as intrinsic aids and Noscitur a sociis (known by its associates), EO 264 is strictly confined to administrative investigations of appointive personnel. It cannot be used as an umbrella to shield elective officials from criminal prosecution before the City Fiscal."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Title and Preamble of Executive Order No. 264 (Series of 1970): </w:t>
            </w:r>
            <w:r>
              <w:rPr>
                <w:rFonts w:ascii="Calibri" w:hAnsi="Calibri"/>
                <w:color w:val="212529"/>
                <w:sz w:val="20"/>
              </w:rPr>
              <w:t>Entitled 'Outlining the Procedure for Dealing with Complaints against Public Officials and Employees', referring to administrative discipline under the Civil Service.</w:t>
            </w:r>
          </w:p>
          <w:p>
            <w:pPr>
              <w:spacing w:before="20" w:after="40" w:line="276" w:lineRule="auto"/>
            </w:pPr>
            <w:r>
              <w:rPr>
                <w:rFonts w:ascii="Calibri" w:hAnsi="Calibri"/>
                <w:b/>
                <w:color w:val="212529"/>
                <w:sz w:val="20"/>
              </w:rPr>
              <w:t xml:space="preserve">2. Title and Preamble as Intrinsic Aids to Construction: </w:t>
            </w:r>
            <w:r>
              <w:rPr>
                <w:rFonts w:ascii="Calibri" w:hAnsi="Calibri"/>
                <w:color w:val="212529"/>
                <w:sz w:val="20"/>
              </w:rPr>
              <w:t>The title and preamble of an executive act define and delimit the scope of its enacting clauses.</w:t>
            </w:r>
          </w:p>
          <w:p>
            <w:pPr>
              <w:spacing w:before="20" w:after="40" w:line="276" w:lineRule="auto"/>
            </w:pPr>
            <w:r>
              <w:rPr>
                <w:rFonts w:ascii="Calibri" w:hAnsi="Calibri"/>
                <w:b/>
                <w:color w:val="212529"/>
                <w:sz w:val="20"/>
              </w:rPr>
              <w:t xml:space="preserve">3. Noscitur a Sociis (a thing is known by its companions): </w:t>
            </w:r>
            <w:r>
              <w:rPr>
                <w:rFonts w:ascii="Calibri" w:hAnsi="Calibri"/>
                <w:color w:val="212529"/>
                <w:sz w:val="20"/>
              </w:rPr>
              <w:t>The term 'complaints' in EO 264 is associated with administrative misconduct, not criminal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Title and Preamble of EO 264, Intrinsic Aids doctrine, and Noscitur a Sociis.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Title and Preamble of EO 264, interpreted through Intrinsic Aids to Statutory Construction and Noscitur a sociis (known by its companions)."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Title as an Intrinsic Guide: </w:t>
            </w:r>
            <w:r>
              <w:rPr>
                <w:rFonts w:ascii="Calibri" w:hAnsi="Calibri"/>
                <w:color w:val="212529"/>
                <w:sz w:val="20"/>
              </w:rPr>
              <w:t>The title of EO 264 and its whereas clauses refer expressly to commission of administrative irregularities by civil service employees under departmental heads.</w:t>
            </w:r>
          </w:p>
          <w:p>
            <w:pPr>
              <w:spacing w:before="20" w:after="40" w:line="276" w:lineRule="auto"/>
            </w:pPr>
            <w:r>
              <w:rPr>
                <w:rFonts w:ascii="Calibri" w:hAnsi="Calibri"/>
                <w:b/>
                <w:color w:val="212529"/>
                <w:sz w:val="20"/>
              </w:rPr>
              <w:t xml:space="preserve">2. Distinction Between Administrative and Criminal Actions: </w:t>
            </w:r>
            <w:r>
              <w:rPr>
                <w:rFonts w:ascii="Calibri" w:hAnsi="Calibri"/>
                <w:color w:val="212529"/>
                <w:sz w:val="20"/>
              </w:rPr>
              <w:t>A provincial fiscal or city prosecutor has the constitutional and statutory duty to investigate public crimes. An executive order dealing with administrative office procedures cannot restrict the criminal jurisdiction of prosecutors.</w:t>
            </w:r>
          </w:p>
          <w:p>
            <w:pPr>
              <w:spacing w:before="20" w:after="40" w:line="276" w:lineRule="auto"/>
            </w:pPr>
            <w:r>
              <w:rPr>
                <w:rFonts w:ascii="Calibri" w:hAnsi="Calibri"/>
                <w:b/>
                <w:color w:val="212529"/>
                <w:sz w:val="20"/>
              </w:rPr>
              <w:t xml:space="preserve">3. Elective vs. Appointive Officials: </w:t>
            </w:r>
            <w:r>
              <w:rPr>
                <w:rFonts w:ascii="Calibri" w:hAnsi="Calibri"/>
                <w:color w:val="212529"/>
                <w:sz w:val="20"/>
              </w:rPr>
              <w:t>Elective governors have no 'department head' in the civil service hierarchy; applying EO 264 to them would lead to an impossible administrative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Title and Preamble as intrinsic aids. The title limits the order to administrative discipline. The Court held that isolated general words in the body cannot be expanded beyond the restrictive scope established in the title and preamble."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Governor Ebarle's petition and ORDERED the City Fiscal to proceed with the preliminary investigation of the criminal charges.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lost and the prosecutor was ordered to proceed with the criminal investigation.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the Title and Preamble of EO 264 restrict its operation to administrative cases only."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a. Preambles &amp; b. Title (EO 264 / Complaints against Local Officials)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word 'complaints' in EO 264 is defined and colored by its association with administrative misconduct in the title.</w:t>
            </w:r>
          </w:p>
          <w:p>
            <w:pPr>
              <w:spacing w:before="40" w:after="60" w:line="276" w:lineRule="auto"/>
            </w:pPr>
            <w:r>
              <w:rPr>
                <w:rFonts w:ascii="Calibri" w:hAnsi="Calibri"/>
                <w:b/>
                <w:color w:val="8C3200"/>
                <w:sz w:val="20"/>
              </w:rPr>
              <w:t>2.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the whole context.</w:t>
              <w:br/>
            </w:r>
            <w:r>
              <w:rPr>
                <w:rFonts w:ascii="Calibri" w:hAnsi="Calibri"/>
                <w:b/>
                <w:color w:val="212529"/>
                <w:sz w:val="19"/>
              </w:rPr>
              <w:t xml:space="preserve">   • Plain Legal Meaning &amp; StatCon Application: </w:t>
            </w:r>
            <w:r>
              <w:rPr>
                <w:rFonts w:ascii="Calibri" w:hAnsi="Calibri"/>
                <w:color w:val="212529"/>
                <w:sz w:val="19"/>
              </w:rPr>
              <w:t>The body of an executive order must be read in conformity with its title and preamble.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require an elective governor to submit a complaint to a non-existent department head.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a. Preambles &amp; b. Title (EO 264 / Complaints against Local Officials)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Noscitur a sociis</w:t>
              <w:br/>
              <w:t>(a thing is known by its associates / the meaning of 'complaints' in EO 264 is restricted by its title and preamble to administrative cases)</w:t>
              <w:br/>
              <w:br/>
              <w:t>Secondary:</w:t>
              <w:br/>
              <w:t>• Ex antecedentibus et consequentibus (reading body with title and preamble)</w:t>
              <w:br/>
              <w:t>• Lex non intendit absurdum (the law avoids absurd constructions)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Governor isolated a single phrase from the text, ignoring the clear limiting context provided by the Title and Preamble of the Executive Order.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Title and Preamble as Restrictive Intrinsic Aids: The title and preamble of an act serve as intrinsic guides that restrict and qualify broad or ambiguous terms in the body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pluck one broad word from a law and ignore the Title and Introduction that explain what the law is really about.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Ebarle v. Sucaldito demonstrates that the Title and Preamble are indispensable intrinsic aids that restrict general terms in the body of an enactment."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Bienvenido A. Ebarle v. Hon. Quirico Sucaldito and Aludio P. Montemayor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L-33628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29,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Governor isolated a single phrase from the text, ignoring the clear limiting context provided by the Title and Preamble of the Executive Order.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Bienvenido A. Ebarle v. Hon. Quirico Sucaldito and Aludio P. Montemayor, under the canon of Noscitur a sociis.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Governor Ebarle's petition and ORDERED the City Fiscal to proceed with the preliminary investigation of the criminal charges.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Executive Order No. 264 applies EXCLUSIVELY to administrative complaints against appointive civil service personnel. The TITLE and PREAMBLE of EO 264 explicitly limit its scope to administrative disciplinary proceedings, not criminal investigations.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Noscitur a sociis</w:t>
              <w:br/>
              <w:t xml:space="preserve">   - Application: Title and Preamble as Restrictive Intrinsic Aids: The title and preamble of an act serve as intrinsic guides that restrict and qualify broad or ambiguous terms in the body of the statute.</w:t>
              <w:br/>
              <w:t xml:space="preserve">   - Result: 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(reading body with title and preamble)</w:t>
              <w:br/>
              <w:t>• Lex non intendit absurdum (the law avoids absurd constructions)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Bienvenido A. Ebarle v. Hon. Quirico Sucaldito and Aludio P. Montemayor to mean and apply strictly in accordance with Noscitur a sociis, holding that No. The Title and Preamble of the Executive Order make it crystal clear: it was written only for administrative office discipline inside executive departments,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Noscitur a sociis,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Title and Preamble as Restrictive Intrinsic Aids: The title and preamble of an act serve as intrinsic guides that restrict and qualify broad or ambiguous terms in the body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You cannot pluck one broad word from a law and ignore the Title and Introduction that explain what the law is really about.</w:t>
            </w:r>
          </w:p>
        </w:tc>
      </w:tr>
    </w:tbl>
    <w:p>
      <w:r>
        <w:br w:type="page"/>
      </w:r>
    </w:p>
    <w:p>
      <w:pPr>
        <w:keepNext/>
        <w:spacing w:before="320" w:after="80"/>
      </w:pPr>
      <w:r>
        <w:rPr>
          <w:rFonts w:ascii="Arial" w:hAnsi="Arial"/>
          <w:b/>
          <w:color w:val="0F2043"/>
          <w:sz w:val="26"/>
        </w:rPr>
        <w:t>33. COMMISSIONER OF CUSTOMS V. AGAPITO RELUNIA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L-11860 | May 29, 1959 | 105 Phil. 875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Customs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Agapito Relunia and the Court of Tax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decision granting duty-free and tax-free importation of a passenger automobile by a returning military officer under Republic Act No. 1394.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military officer returned from the US with a Chevrolet car and claimed it was exempt from import tax as 'personal effects' under a tax law. The tax court agreed with him, relying on where a semicolon was placed in the sentence. The Supreme Court reversed the tax court, ruling that punctuation marks like semicolons are low-level grammatical aids that cannot be used to invent a massive tax exemption for expensive cars that contradicts the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an imported car tax-exempt just because of where a semicolon is placed in the tax exemption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punctuation marks (semicolons) can override legislative intent and the canon of Strictissimi Juris in tax exemptions under RA 1394."</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automobile is NOT EXEMPT from customs duties and taxes. Punctuation marks (such as semicolons) are LOW-RANKING INTRINSIC AIDS and can never prevail over the clear legislative intent and strict construction of tax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punctuation marks are the most fallible and lowest-ranking intrinsic aids in statutory construction. Under Strictissimi Juris in tax exemptions, an automobile cannot qualify as personal effects through grammatical semicolon manipulation."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 Republic Act No. 1394 (Special Import Tax Act): </w:t>
            </w:r>
            <w:r>
              <w:rPr>
                <w:rFonts w:ascii="Calibri" w:hAnsi="Calibri"/>
                <w:color w:val="212529"/>
                <w:sz w:val="20"/>
              </w:rPr>
              <w:t>Tax exemptions on importations, interpreted in relation to the Tariff and Customs Code.</w:t>
            </w:r>
          </w:p>
          <w:p>
            <w:pPr>
              <w:spacing w:before="20" w:after="40" w:line="276" w:lineRule="auto"/>
            </w:pPr>
            <w:r>
              <w:rPr>
                <w:rFonts w:ascii="Calibri" w:hAnsi="Calibri"/>
                <w:b/>
                <w:color w:val="212529"/>
                <w:sz w:val="20"/>
              </w:rPr>
              <w:t xml:space="preserve">2. Punctuation as an Auxiliary Intrinsic Aid: </w:t>
            </w:r>
            <w:r>
              <w:rPr>
                <w:rFonts w:ascii="Calibri" w:hAnsi="Calibri"/>
                <w:color w:val="212529"/>
                <w:sz w:val="20"/>
              </w:rPr>
              <w:t>Punctuation is an aid of low degree and can never be allowed to control or defeat the obvious purpose of the legislature.</w:t>
            </w:r>
          </w:p>
          <w:p>
            <w:pPr>
              <w:spacing w:before="20" w:after="40" w:line="276" w:lineRule="auto"/>
            </w:pPr>
            <w:r>
              <w:rPr>
                <w:rFonts w:ascii="Calibri" w:hAnsi="Calibri"/>
                <w:b/>
                <w:color w:val="212529"/>
                <w:sz w:val="20"/>
              </w:rPr>
              <w:t xml:space="preserve">3. Strictissimi Juris (of the strictest interpretation) in Tax Exemptions: </w:t>
            </w:r>
            <w:r>
              <w:rPr>
                <w:rFonts w:ascii="Calibri" w:hAnsi="Calibri"/>
                <w:color w:val="212529"/>
                <w:sz w:val="20"/>
              </w:rPr>
              <w:t>Tax exemptions are construed strictissimi juris against the claimant and liberally in favor of the State.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 RA 1394, Punctuation as an Auxiliary Aid, and Strictissimi Juris in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 of RA 1394, guided by the rule on the Inferior Weight of Punctuation Marks and Strictissimi Juris in tax exemptions."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Hierarchy of Intrinsic Aids: </w:t>
            </w:r>
            <w:r>
              <w:rPr>
                <w:rFonts w:ascii="Calibri" w:hAnsi="Calibri"/>
                <w:color w:val="212529"/>
                <w:sz w:val="20"/>
              </w:rPr>
              <w:t>Punctuation marks are not part of the statutory substance; they are often inserted by legislative draftsmen or printers. A semicolon cannot expand a tax exemption beyond legislative intent.</w:t>
            </w:r>
          </w:p>
          <w:p>
            <w:pPr>
              <w:spacing w:before="20" w:after="40" w:line="276" w:lineRule="auto"/>
            </w:pPr>
            <w:r>
              <w:rPr>
                <w:rFonts w:ascii="Calibri" w:hAnsi="Calibri"/>
                <w:b/>
                <w:color w:val="212529"/>
                <w:sz w:val="20"/>
              </w:rPr>
              <w:t xml:space="preserve">2. Definition of Personal Effects: </w:t>
            </w:r>
            <w:r>
              <w:rPr>
                <w:rFonts w:ascii="Calibri" w:hAnsi="Calibri"/>
                <w:color w:val="212529"/>
                <w:sz w:val="20"/>
              </w:rPr>
              <w:t>In customs and tax jurisprudence, 'personal effects' includes personal clothing, toiletries, and small professional gear; it never encompasses expensive motorized passenger vehicles.</w:t>
            </w:r>
          </w:p>
          <w:p>
            <w:pPr>
              <w:spacing w:before="20" w:after="40" w:line="276" w:lineRule="auto"/>
            </w:pPr>
            <w:r>
              <w:rPr>
                <w:rFonts w:ascii="Calibri" w:hAnsi="Calibri"/>
                <w:b/>
                <w:color w:val="212529"/>
                <w:sz w:val="20"/>
              </w:rPr>
              <w:t xml:space="preserve">3. Strict Construction of Tax Exemptions: </w:t>
            </w:r>
            <w:r>
              <w:rPr>
                <w:rFonts w:ascii="Calibri" w:hAnsi="Calibri"/>
                <w:color w:val="212529"/>
                <w:sz w:val="20"/>
              </w:rPr>
              <w:t>Exemptions from taxation are never presumed. Ambiguities arising from punctuation must be resolved in favor of tax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that punctuation marks are weak, fallible aids. Under Strictissimi Juris, tax exemptions must be clear and explicit. A semicolon cannot transform a motor vehicle into tax-exempt 'personal effects'."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Tax Appeals decision and DECLARED the imported automobile subject to customs duties and import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court was reversed and the military officer was ordered to pay customs tax on his car.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CTA, holding that punctuation marks cannot expand tax exemptions beyond the clear text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e. Headnotes or Epigraphs (Tariff and Customs Code Sec. 3514)</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exemptions are construed strictissimi juris against the taxpayer.</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should serve the intention, not intention the words.</w:t>
              <w:br/>
            </w:r>
            <w:r>
              <w:rPr>
                <w:rFonts w:ascii="Calibri" w:hAnsi="Calibri"/>
                <w:b/>
                <w:color w:val="212529"/>
                <w:sz w:val="19"/>
              </w:rPr>
              <w:t xml:space="preserve">   • Plain Legal Meaning &amp; StatCon Application: </w:t>
            </w:r>
            <w:r>
              <w:rPr>
                <w:rFonts w:ascii="Calibri" w:hAnsi="Calibri"/>
                <w:color w:val="212529"/>
                <w:sz w:val="19"/>
              </w:rPr>
              <w:t>Grammatical punctuation must yield to the substantive purpose of the statute.</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raise customs revenue governs over grammatical technicalities.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e. Headnotes or Epigraphs (Tariff and Customs Code Sec. 3514)</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punctuation marks like semicolons cannot be used to invent tax exemptions for automobiles)</w:t>
              <w:br/>
              <w:br/>
              <w:t>Secondary:</w:t>
              <w:br/>
              <w:t>• Verba intentioni non e contra debent inservire (punctuation must serve legislative intent)</w:t>
              <w:br/>
              <w:t>• Ratio legis est anima legis (the purpose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 court elevated a semicolon above legislative intent and strict tax construction, creating an unauthorized tax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Role of Punctuation Marks: Punctuation marks are auxiliary aids of low degree; they must yield to the plain meaning of words and the primary purpose of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marks like commas and semicolons are the weakest tools in statutory construction and cannot be used to create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Commissioner of Customs v. Relunia is the landmark ruling establishing that punctuation marks are low-ranking intrinsic aids that cannot defeat legislative intent or tax rules."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Customs v. Agapito Relunia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L-11860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29,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Customs v. Agapito Relunia,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 court elevated a semicolon above legislative intent and strict tax construction, creating an unauthorized tax ex...</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Tax Appeals decision and DECLARED the imported automobile subject to customs duties and import taxes.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automobile is NOT EXEMPT from customs duties and taxes. Punctuation marks (such as semicolons) are LOW-RANKING INTRINSIC AIDS and can never prevail over the clear legislative intent and strict construction of tax exemptions.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Subordinate Role of Punctuation Marks: Punctuation marks are auxiliary aids of low degree; they must yield to the plain meaning of words and the primary purpose of the legislature.</w:t>
              <w:br/>
              <w:t xml:space="preserve">   - Result: 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intentioni non e contra debent inservire (punctuation must serve legislative intent)</w:t>
              <w:br/>
              <w:t>• Ratio legis est anima legis (the purpose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Customs v. Agapito Relunia to mean and apply strictly in accordance with Strictissimi juris, holding that No. An automobile is not a simple 'personal effect' like clothes or books. Punctuation marks like semicolons cannot be used to create a giant tax loophole that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Role of Punctuation Marks: Punctuation marks are auxiliary aids of low degree; they must yield to the plain meaning of words and the primary purpose of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Punctuation marks like commas and semicolons are the weakest tools in statutory construction and cannot be used to create tax exemptions.</w:t>
            </w:r>
          </w:p>
        </w:tc>
      </w:tr>
    </w:tbl>
    <w:p>
      <w:r>
        <w:br w:type="page"/>
      </w:r>
    </w:p>
    <w:p>
      <w:pPr>
        <w:keepNext/>
        <w:spacing w:before="320" w:after="80"/>
      </w:pPr>
      <w:r>
        <w:rPr>
          <w:rFonts w:ascii="Arial" w:hAnsi="Arial"/>
          <w:b/>
          <w:color w:val="0F2043"/>
          <w:sz w:val="26"/>
        </w:rPr>
        <w:t>34. PEOPLE OF THE PHILIPPINES V. ROSAURO SUBIDO</w:t>
      </w:r>
    </w:p>
    <w:p>
      <w:pPr>
        <w:spacing w:before="40" w:after="80" w:line="276" w:lineRule="auto"/>
      </w:pPr>
      <w:r>
        <w:rPr>
          <w:rFonts w:ascii="Calibri" w:hAnsi="Calibri"/>
          <w:b/>
          <w:color w:val="212529"/>
          <w:sz w:val="21"/>
        </w:rPr>
        <w:t xml:space="preserve">Citation: </w:t>
      </w:r>
      <w:r>
        <w:rPr>
          <w:rFonts w:ascii="Calibri" w:hAnsi="Calibri"/>
          <w:i/>
          <w:color w:val="212529"/>
          <w:sz w:val="21"/>
        </w:rPr>
        <w:t>G.R. No. L-21734 | September 5, 1975 | 66 SCRA 545 | Second Division | Ponente: J. Antonio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Rosauro Subido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of execution imposing subsidiary imprisonment for failure to pay a criminal libel fine under Article 355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newspaper editor was convicted of libel and fined 500 pesos, with an order that if he refuses to pay, he must serve subsidiary jail time. The editor claimed that because of the commas in the libel statute, the court had no legal power to send him to jail for failing to pay the fine. The Supreme Court rejected his punctuation argument and held that under Article 39 of the Revised Penal Code, subsidiary imprisonment applies to all unpaid criminal fines.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convicted person have to serve jail time if he fails to pay a criminal fine, despite comma placement in the libel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subsidiary imprisonment applies to criminal libel fines under Article 39 in relation to Article 355 RPC, testing the subordination of Punctuation Marks to the Statute as a Whole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convict IS SUBJECT to subsidiary imprisonment upon failure to pay the criminal fine. Article 39 of the Revised Penal Code explicitly mandates subsidiary imprisonment for insolvency in payment of fines.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39 of the Revised Penal Code and Ut res magis valeat quam pereat, subsidiary imprisonment is a mandatory statutory consequence of insolvency in criminal fines. Punctuation marks in Article 355 cannot override the general provisions of the Penal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39, Revised Penal Code: </w:t>
            </w:r>
            <w:r>
              <w:rPr>
                <w:rFonts w:ascii="Calibri" w:hAnsi="Calibri"/>
                <w:color w:val="212529"/>
                <w:sz w:val="20"/>
              </w:rPr>
              <w:t>Mandates subsidiary penalty of imprisonment when the convict has no property to meet the fine.</w:t>
            </w:r>
          </w:p>
          <w:p>
            <w:pPr>
              <w:spacing w:before="20" w:after="40" w:line="276" w:lineRule="auto"/>
            </w:pPr>
            <w:r>
              <w:rPr>
                <w:rFonts w:ascii="Calibri" w:hAnsi="Calibri"/>
                <w:b/>
                <w:color w:val="212529"/>
                <w:sz w:val="20"/>
              </w:rPr>
              <w:t xml:space="preserve">2. Article 355, Revised Penal Code: </w:t>
            </w:r>
            <w:r>
              <w:rPr>
                <w:rFonts w:ascii="Calibri" w:hAnsi="Calibri"/>
                <w:color w:val="212529"/>
                <w:sz w:val="20"/>
              </w:rPr>
              <w:t>Penalty for libel by means of writing or similar means.</w:t>
            </w:r>
          </w:p>
          <w:p>
            <w:pPr>
              <w:spacing w:before="20" w:after="40" w:line="276" w:lineRule="auto"/>
            </w:pPr>
            <w:r>
              <w:rPr>
                <w:rFonts w:ascii="Calibri" w:hAnsi="Calibri"/>
                <w:b/>
                <w:color w:val="212529"/>
                <w:sz w:val="20"/>
              </w:rPr>
              <w:t xml:space="preserve">3. Punctuation as a Subordinate Intrinsic Aid: </w:t>
            </w:r>
            <w:r>
              <w:rPr>
                <w:rFonts w:ascii="Calibri" w:hAnsi="Calibri"/>
                <w:color w:val="212529"/>
                <w:sz w:val="20"/>
              </w:rPr>
              <w:t>Punctuation marks are not controlling when the statutory command of the entire code is clear.</w:t>
            </w:r>
          </w:p>
          <w:p>
            <w:pPr>
              <w:spacing w:before="20" w:after="40" w:line="276" w:lineRule="auto"/>
            </w:pPr>
            <w:r>
              <w:rPr>
                <w:rFonts w:ascii="Calibri" w:hAnsi="Calibri"/>
                <w:b/>
                <w:color w:val="212529"/>
                <w:sz w:val="20"/>
              </w:rPr>
              <w:t xml:space="preserve">4. Ut Res Magis Valeat Quam Pereat (that the thing may rather have effect than perish): </w:t>
            </w:r>
            <w:r>
              <w:rPr>
                <w:rFonts w:ascii="Calibri" w:hAnsi="Calibri"/>
                <w:color w:val="212529"/>
                <w:sz w:val="20"/>
              </w:rPr>
              <w:t>General provisions on penalties (Book I) apply systematically to specific crimes (Book 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Articles 39 &amp; 355 RPC, Punctuation as a Subordinate Aid,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39 in relation to Article 355 RPC, governed by Ut res magis valeat quam pereat (construction of the penal code as an integrated whole) and the inferior weight of punctuation marks."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General Principles of the Penal Code: </w:t>
            </w:r>
            <w:r>
              <w:rPr>
                <w:rFonts w:ascii="Calibri" w:hAnsi="Calibri"/>
                <w:color w:val="212529"/>
                <w:sz w:val="20"/>
              </w:rPr>
              <w:t>Article 39 of Book I of the RPC lays down the universal rule for subsidiary imprisonment for all crimes penalized with fines in Book II, unless specifically exempted by statute.</w:t>
            </w:r>
          </w:p>
          <w:p>
            <w:pPr>
              <w:spacing w:before="20" w:after="40" w:line="276" w:lineRule="auto"/>
            </w:pPr>
            <w:r>
              <w:rPr>
                <w:rFonts w:ascii="Calibri" w:hAnsi="Calibri"/>
                <w:b/>
                <w:color w:val="212529"/>
                <w:sz w:val="20"/>
              </w:rPr>
              <w:t xml:space="preserve">2. Punctuation Cannot Destroy Penal Sanctions: </w:t>
            </w:r>
            <w:r>
              <w:rPr>
                <w:rFonts w:ascii="Calibri" w:hAnsi="Calibri"/>
                <w:color w:val="212529"/>
                <w:sz w:val="20"/>
              </w:rPr>
              <w:t>Punctuation marks are grammatical devices and cannot be used to dismantle the penal structure established in Book I.</w:t>
            </w:r>
          </w:p>
          <w:p>
            <w:pPr>
              <w:spacing w:before="20" w:after="40" w:line="276" w:lineRule="auto"/>
            </w:pPr>
            <w:r>
              <w:rPr>
                <w:rFonts w:ascii="Calibri" w:hAnsi="Calibri"/>
                <w:b/>
                <w:color w:val="212529"/>
                <w:sz w:val="20"/>
              </w:rPr>
              <w:t xml:space="preserve">3. Harmonious Construction of Books I and II: </w:t>
            </w:r>
            <w:r>
              <w:rPr>
                <w:rFonts w:ascii="Calibri" w:hAnsi="Calibri"/>
                <w:color w:val="212529"/>
                <w:sz w:val="20"/>
              </w:rPr>
              <w:t>Book I provides the general machinery for executing penalties, while Book II defines specific offenses. Both must be harmonized together.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Book I and Book II of the RPC. Under Ut Res Magis Valeat Quam Pereat, Article 39 universally attaches subsidiary imprisonment to unpaid fines. Punctuation marks in Article 355 cannot defeat the general penal structure."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imposing subsidiary imprisonment on Rosauro Subido in case of insolvency to pay the P500 fine.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order of subsidiary imprisonment for non-payment of fine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subsidiary imprisonment, ruling that punctuation cannot defeat the mandatory application of Article 39 RPC."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c. Punctuations (Semicolon Separating Penal Sanctions / Subsidiary Imprisonment)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Book I and Book II of the Revised Penal Code must be construed together to make penal sanctions effective.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Article 39 RPC explicitly commands subsidiary imprisonment for unpaid fines.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Subsidiary imprisonment is a mandatory consequence of criminal fine insolvency.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c. Punctuations (Semicolon Separating Penal Sanctions / Subsidiary Imprisonment)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harmonizing Book I general penalty rules with Book II specific crimes regardless of punctuation)</w:t>
              <w:br/>
              <w:br/>
              <w:t>Secondary:</w:t>
              <w:br/>
              <w:t>• Verba legis non est recedendum (statutory mandate of subsidiary imprisonment)</w:t>
              <w:br/>
              <w:t>• Dura lex sed lex (harsh consequence of unpaid criminal fines)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appellant attempted to use grammatical punctuation to dismantle the universal penal machinery of Book I of the Revised Penal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comma in a specific criminal provision cannot cancel the general rules on punishment written in the front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Subido establishes that punctuation marks cannot override the universal penal framework of the Revised Penal Code—Ut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Rosauro Subido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L-21734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5, 1975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Rosauro Subido,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appellant attempted to use grammatical punctuation to dismantle the universal penal machinery of Book I of the Revis...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imposing subsidiary imprisonment on Rosauro Subido in case of insolvency to pay the P500 fine.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convict IS SUBJECT to subsidiary imprisonment upon failure to pay the criminal fine. Article 39 of the Revised Penal Code explicitly mandates subsidiary imprisonment for insolvency in payment of fines.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Harmonization of Penal Code Books: Punctuation in a specific crime definition cannot override or neutralize the general rules on penalties established in the fundamental chapters of the penal code.</w:t>
              <w:br/>
              <w:t xml:space="preserve">   - Result: 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mandate of subsidiary imprisonment)</w:t>
              <w:br/>
              <w:t>• Dura lex sed lex (harsh consequence of unpaid criminal fines)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Rosauro Subido to mean and apply strictly in accordance with Ut res magis valeat quam pereat, holding that Yes. If you are fined for a crime and don't pay, you must serve subsidiary jail time. Punctuation in the libel article cannot cancel the general rule of the Pen.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comma in a specific criminal provision cannot cancel the general rules on punishment written in the front of the Penal Code.</w:t>
            </w:r>
          </w:p>
        </w:tc>
      </w:tr>
    </w:tbl>
    <w:p>
      <w:r>
        <w:br w:type="page"/>
      </w:r>
    </w:p>
    <w:p>
      <w:pPr>
        <w:keepNext/>
        <w:spacing w:before="320" w:after="80"/>
      </w:pPr>
      <w:r>
        <w:rPr>
          <w:rFonts w:ascii="Arial" w:hAnsi="Arial"/>
          <w:b/>
          <w:color w:val="0F2043"/>
          <w:sz w:val="26"/>
        </w:rPr>
        <w:t>35. FLORENTINO AND FLORENTINO V. PHILIPPINE NATIONAL BANK</w:t>
      </w:r>
    </w:p>
    <w:p>
      <w:pPr>
        <w:spacing w:before="40" w:after="80" w:line="276" w:lineRule="auto"/>
      </w:pPr>
      <w:r>
        <w:rPr>
          <w:rFonts w:ascii="Calibri" w:hAnsi="Calibri"/>
          <w:b/>
          <w:color w:val="212529"/>
          <w:sz w:val="21"/>
        </w:rPr>
        <w:t xml:space="preserve">Citation: </w:t>
      </w:r>
      <w:r>
        <w:rPr>
          <w:rFonts w:ascii="Calibri" w:hAnsi="Calibri"/>
          <w:i/>
          <w:color w:val="212529"/>
          <w:sz w:val="21"/>
        </w:rPr>
        <w:t>G.R. No. L-8782 | April 28, 1956 | 98 Phil. 959 | En Banc | Ponente: J. Jugo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Marcelino Florentino and Estela Florentino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National Bank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Ilocos Sur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PNB to accept Backpay Certificates under Republic Act No. 897 in payment of a pre-existing mortgage loan.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wanted to pay off their PNB bank mortgage using government backpay certificates under the Backpay Law (RA 897). PNB refused, claiming that under the grammar of the sentence, the words 'who may also be in arrears in taxes' referred to PNB itself, so PNB was only forced to accept certificates if PNB itself owed unpaid taxes to the government! The Supreme Court rejected PNB's absurd grammatical trick, applying the Doctrine of Last Antecedent: the qualifying words modify the immediately preceding subject ('applicant'), not the remote institution ('corporation').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clause 'who is in arrears in taxes' refer to the borrower who applied, or to the bank, under the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qualifying clause in RA 897 modifies 'applicant' or 'corporation', testing the Doctrine of Last Antecedent (Ad Proximum Antecedens Fiat Relatio Nisi Impediatur Sententia)."</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applied the Doctrine of Last Antecedent (Ad proximum antecedens fiat relatio nisi impediatur sententia). Qualifying relative words must be referred to the immediately preceding antecedent ('applicant') rather than a remote antecedent ('corporation'). PNB was compelled by mandamus to accept the backpay certificates."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897 (Backpay Law amendatory act): </w:t>
            </w:r>
            <w:r>
              <w:rPr>
                <w:rFonts w:ascii="Calibri" w:hAnsi="Calibri"/>
                <w:color w:val="212529"/>
                <w:sz w:val="20"/>
              </w:rPr>
              <w:t>Mandates acceptance of backpay certificates in payment of outstanding obligations to government financial institutions.</w:t>
            </w:r>
          </w:p>
          <w:p>
            <w:pPr>
              <w:spacing w:before="20" w:after="40" w:line="276" w:lineRule="auto"/>
            </w:pPr>
            <w:r>
              <w:rPr>
                <w:rFonts w:ascii="Calibri" w:hAnsi="Calibri"/>
                <w:b/>
                <w:color w:val="212529"/>
                <w:sz w:val="20"/>
              </w:rPr>
              <w:t xml:space="preserve">2. Ad Proximum Antecedens Fiat Relatio Nisi Impediatur Sententia (relative words refer to the nearest antecedent): </w:t>
            </w:r>
            <w:r>
              <w:rPr>
                <w:rFonts w:ascii="Calibri" w:hAnsi="Calibri"/>
                <w:color w:val="212529"/>
                <w:sz w:val="20"/>
              </w:rPr>
              <w:t>Fundamental canon of grammar and statutory construction regarding the placement of qualifying clauses.</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Backpay Law was enacted to provide relief to veterans and public employees by enabling them to settle debts.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897, Doctrine of Last Antecedent (Ad Proximum Antecedens),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897, governed by Ad proximum antecedens fiat relatio (relative words refer to the nearest antecedent) and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Application of the Doctrine of Last Antecedent: </w:t>
            </w:r>
            <w:r>
              <w:rPr>
                <w:rFonts w:ascii="Calibri" w:hAnsi="Calibri"/>
                <w:color w:val="212529"/>
                <w:sz w:val="20"/>
              </w:rPr>
              <w:t>In grammatical construction, relative and qualifying words, phrases, and clauses are to be applied to the words or phrase immediately preceding, and not to be construed as extending to or including others more remote.</w:t>
            </w:r>
          </w:p>
          <w:p>
            <w:pPr>
              <w:spacing w:before="20" w:after="40" w:line="276" w:lineRule="auto"/>
            </w:pPr>
            <w:r>
              <w:rPr>
                <w:rFonts w:ascii="Calibri" w:hAnsi="Calibri"/>
                <w:b/>
                <w:color w:val="212529"/>
                <w:sz w:val="20"/>
              </w:rPr>
              <w:t xml:space="preserve">2. Absurdity of PNB's Construction: </w:t>
            </w:r>
            <w:r>
              <w:rPr>
                <w:rFonts w:ascii="Calibri" w:hAnsi="Calibri"/>
                <w:color w:val="212529"/>
                <w:sz w:val="20"/>
              </w:rPr>
              <w:t>To hold that 'who may be in arrears in taxes' refers to PNB would mean that a government bank must first be a tax evader before citizens can use backpay certificates, an utterly absurd result.</w:t>
            </w:r>
          </w:p>
          <w:p>
            <w:pPr>
              <w:spacing w:before="20" w:after="40" w:line="276" w:lineRule="auto"/>
            </w:pPr>
            <w:r>
              <w:rPr>
                <w:rFonts w:ascii="Calibri" w:hAnsi="Calibri"/>
                <w:b/>
                <w:color w:val="212529"/>
                <w:sz w:val="20"/>
              </w:rPr>
              <w:t xml:space="preserve">3. Mandamus as Proper Remedy: </w:t>
            </w:r>
            <w:r>
              <w:rPr>
                <w:rFonts w:ascii="Calibri" w:hAnsi="Calibri"/>
                <w:color w:val="212529"/>
                <w:sz w:val="20"/>
              </w:rPr>
              <w:t>Since PNB had a clear statutory duty to accept the certificates, mandamus was the proper remedy to enforce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Ad Proximum Antecedens. Qualifying phrases attach to the immediately preceding word ('applicant'). PNB's interpretation would lead to the absurd conclusion that government banks must be in tax default before citizens can pay debts, which violates Ratio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REVERSED the CFI, and ORDERED PNB to accept the backpay certificates in payment of the Florentino mortgage.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was ordered by mandamus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mandamus commanding PNB to accept the backpay certificates under the Doctrine of Last Antecedent."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c. Punctuations (Semicolon Separating Qualifying Clauses / RA 897 Backpay Certificates)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Ad proximum antecedens fiat relatio nisi impediatur sententia (relative words refer to the nearest antecedent unless prevented by context)</w:t>
              <w:br/>
            </w:r>
            <w:r>
              <w:rPr>
                <w:rFonts w:ascii="Calibri" w:hAnsi="Calibri"/>
                <w:b/>
                <w:color w:val="212529"/>
                <w:sz w:val="19"/>
              </w:rPr>
              <w:t xml:space="preserve">   • Literal English Translation: </w:t>
            </w:r>
            <w:r>
              <w:rPr>
                <w:rFonts w:ascii="Calibri" w:hAnsi="Calibri"/>
                <w:i/>
                <w:color w:val="212529"/>
                <w:sz w:val="19"/>
              </w:rPr>
              <w:t>Let relation be made to the nearest antecedent unless it hinders the sense.</w:t>
              <w:br/>
            </w:r>
            <w:r>
              <w:rPr>
                <w:rFonts w:ascii="Calibri" w:hAnsi="Calibri"/>
                <w:b/>
                <w:color w:val="212529"/>
                <w:sz w:val="19"/>
              </w:rPr>
              <w:t xml:space="preserve">   • Plain Legal Meaning &amp; StatCon Application: </w:t>
            </w:r>
            <w:r>
              <w:rPr>
                <w:rFonts w:ascii="Calibri" w:hAnsi="Calibri"/>
                <w:color w:val="212529"/>
                <w:sz w:val="19"/>
              </w:rPr>
              <w:t>Qualifying relative clauses are referred to the immediately preceding noun ('applicant') rather than remote words ('corporation').</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interpret a debt-relief statute as requiring government banks to be in tax arrears.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intent to provide financial relief to backpay holders dictates mandatory acceptance by government banks.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c. Punctuations (Semicolon Separating Qualifying Clauses / RA 897 Backpay Certificates)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Ad proximum antecedens fiat relatio nisi impediatur sententia</w:t>
              <w:br/>
              <w:t>(relative words refer to the nearest antecedent / qualifying phrases modify the immediately preceding noun, not remote words)</w:t>
              <w:br/>
              <w:br/>
              <w:t>Secondary:</w:t>
              <w:br/>
              <w:t>• Lex non intendit absurdum (avoiding absurd grammatical interpretations)</w:t>
              <w:br/>
              <w:t>• Ratio legis est anima legis (debt-relief purpose of backpay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distorted grammatical rules to link a qualifying clause to a remote subject, manufacturing an absurd barrier to statutory debt redemption.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Doctrine of Last Antecedent: Qualifying and relative words or clauses refer strictly to the immediately preceding antecedent unless a clear contrary intention appears from the text.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descriptive phrase in a sentence applies to the noun right next to it, not to a noun located far away in the beginning of the sentence.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Florentino v. PNB is the classic landmark decision defining the Doctrine of Last Antecedent: Ad proximum antecedens fiat relatio nisi impediatur sententia."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Florentino and Florentino v. Philippine National Bank</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L-8782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28, 1956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distorted grammatical rules to link a qualifying clause to a remote subject, manufacturing an absurd barrier to statutory debt redemption.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Florentino and Florentino v. Philippine National Bank, under the canon of Ad proximum antecedens fiat relatio nisi impediatur sententia.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distorted grammatical rules to link a qualifying clause to a remote subject, manufacturing an absurd barrier to stat...</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REVERSED the CFI, and ORDERED PNB to accept the backpay certificates in payment of the Florentino mortgage.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distorted grammatical rules to link a qualifying clause to a remote subject, manufacturing an absurd barrier to statutory debt redemptio.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Ad proximum antecedens fiat relatio nisi impediatur sententia</w:t>
              <w:br/>
              <w:t xml:space="preserve">   - Application: The Doctrine of Last Antecedent: Qualifying and relative words or clauses refer strictly to the immediately preceding antecedent unless a clear contrary intention appears from the text.</w:t>
              <w:br/>
              <w:t xml:space="preserve">   - Result: 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intendit absurdum (avoiding absurd grammatical interpretations)</w:t>
              <w:br/>
              <w:t>• Ratio legis est anima legis (debt-relief purpose of backpay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Florentino and Florentino v. Philippine National Bank to mean and apply strictly in accordance with Ad proximum antecedens fiat relatio nisi impediatur sententia, holding that It modifies the applicant/borrower. Under the Doctrine of Last Antecedent, qualifying words attach to the nearest word before them ('applicant'), not to a dista.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Ad proximum antecedens fiat relatio nisi impediatur sententia,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Doctrine of Last Antecedent: Qualifying and relative words or clauses refer strictly to the immediately preceding antecedent unless a clear contrary intention appears from the text.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descriptive phrase in a sentence applies to the noun right next to it, not to a noun located far away in the beginning of the sentence.</w:t>
            </w:r>
          </w:p>
        </w:tc>
      </w:tr>
    </w:tbl>
    <w:p>
      <w:r>
        <w:br w:type="page"/>
      </w:r>
    </w:p>
    <w:p>
      <w:pPr>
        <w:keepNext/>
        <w:spacing w:before="320" w:after="80"/>
      </w:pPr>
      <w:r>
        <w:rPr>
          <w:rFonts w:ascii="Arial" w:hAnsi="Arial"/>
          <w:b/>
          <w:color w:val="0F2043"/>
          <w:sz w:val="26"/>
        </w:rPr>
        <w:t>36. VIVENCIO MAPA AND CANDIDO MAPA V. HON. JOKER ARROYO, EXECUTIVE SECRETARY, AND LABRADOR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78585 | July 5, 1989 | 175 SCRA 76 | En Banc | Ponente: J. Paras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Vivencio Mapa and Candido Mapa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Joker Arroyo (Executive Secretary) and Labrador Development Corporation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Section 20 of P.D. No. 957 applies to commercial subdivision lots under the Doctrine of Last Antecedent.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brothers bought commercial lots in a subdivision and stopped paying installments because the developer failed to construct the promised subdivision roads and drainage. The developer claimed that PD 957 only protects 'residential' lots, not commercial lots. The Supreme Court ruled that Section 20 uses the comprehensive term 'subdivision project' without qualification, and under the Doctrine of Last Antecedent and plain meaning, all subdivision lots within an approved plan are protected.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apply to commercial lots as well as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20 of PD 957 protects buyers of commercial subdivision lots, testing the Doctrine of Last Antecedent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20 of P.D. No. 957 applies to ALL subdivision lots, whether residential or commercial. The phrase 'subdivision project' is used without qualification, and qualifying residential terms in other sections cannot be imported to restrict Section 20.</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Ubi lex non distinguit nec nos distinguere debemus (where the law does not distinguish, we should not distinguish) and the Doctrine of Last Antecedent, Section 20 of PD 957 applies to all subdivision lots, residential or commercial, without distinction."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20, Presidential Decree No. 957: </w:t>
            </w:r>
            <w:r>
              <w:rPr>
                <w:rFonts w:ascii="Calibri" w:hAnsi="Calibri"/>
                <w:color w:val="212529"/>
                <w:sz w:val="20"/>
              </w:rPr>
              <w:t>Mandates completion of subdivision infrastructure according to approved plans and specifications.</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20 uses 'subdivision project' without distinguishing between residential and commercial, courts must make no distinction.</w:t>
            </w:r>
          </w:p>
          <w:p>
            <w:pPr>
              <w:spacing w:before="20" w:after="40" w:line="276" w:lineRule="auto"/>
            </w:pPr>
            <w:r>
              <w:rPr>
                <w:rFonts w:ascii="Calibri" w:hAnsi="Calibri"/>
                <w:b/>
                <w:color w:val="212529"/>
                <w:sz w:val="20"/>
              </w:rPr>
              <w:t xml:space="preserve">3. Doctrine of Last Antecedent: </w:t>
            </w:r>
            <w:r>
              <w:rPr>
                <w:rFonts w:ascii="Calibri" w:hAnsi="Calibri"/>
                <w:color w:val="212529"/>
                <w:sz w:val="20"/>
              </w:rPr>
              <w:t>Qualifying words in one section cannot be mechanically transposed to restrict broad unqualified terms in another section.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20 PD 957, Ubi Lex Non Distinguit, and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20 of PD 957, governed by Ubi lex non distinguit nec nos distinguere debemus and the proper limits of the Doctrine of Last Antecedent."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Comprehensive Scope of 'Subdivision Project': </w:t>
            </w:r>
            <w:r>
              <w:rPr>
                <w:rFonts w:ascii="Calibri" w:hAnsi="Calibri"/>
                <w:color w:val="212529"/>
                <w:sz w:val="20"/>
              </w:rPr>
              <w:t>Section 2 of PD 957 broadly defines a subdivision project as a tract of land partitioned for residential, commercial, or industrial purposes.</w:t>
            </w:r>
          </w:p>
          <w:p>
            <w:pPr>
              <w:spacing w:before="20" w:after="40" w:line="276" w:lineRule="auto"/>
            </w:pPr>
            <w:r>
              <w:rPr>
                <w:rFonts w:ascii="Calibri" w:hAnsi="Calibri"/>
                <w:b/>
                <w:color w:val="212529"/>
                <w:sz w:val="20"/>
              </w:rPr>
              <w:t xml:space="preserve">2. Inapplicability of Restrictive Modifiers: </w:t>
            </w:r>
            <w:r>
              <w:rPr>
                <w:rFonts w:ascii="Calibri" w:hAnsi="Calibri"/>
                <w:color w:val="212529"/>
                <w:sz w:val="20"/>
              </w:rPr>
              <w:t>Qualifying words in the preamble or other distinct clauses cannot be used to restrict Section 20 where the statutory text is clear and universal.</w:t>
            </w:r>
          </w:p>
          <w:p>
            <w:pPr>
              <w:spacing w:before="20" w:after="40" w:line="276" w:lineRule="auto"/>
            </w:pPr>
            <w:r>
              <w:rPr>
                <w:rFonts w:ascii="Calibri" w:hAnsi="Calibri"/>
                <w:b/>
                <w:color w:val="212529"/>
                <w:sz w:val="20"/>
              </w:rPr>
              <w:t xml:space="preserve">3. Developer's Statutory Duty: </w:t>
            </w:r>
            <w:r>
              <w:rPr>
                <w:rFonts w:ascii="Calibri" w:hAnsi="Calibri"/>
                <w:color w:val="212529"/>
                <w:sz w:val="20"/>
              </w:rPr>
              <w:t>A developer who undertakes an approved subdivision plan is legally obligated under police power to deliver the promised infrastructure to all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definition section of PD 957 with Section 20. Under Ubi Lex Non Distinguit, because the decree defines subdivision projects to include commercial land, developers are legally bound to complete facilities for all lots."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Office of the President and HLURB, HOLDING that Section 20 of PD 957 protects commercial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was ordered to complete the facilities for the commercial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ruling, holding that Section 20 of PD 957 covers both residential and commercial subdivision lots."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a. Preambles, b. Title &amp; c. Punctuations (PD 957 / Scope of Subdivision Protection)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20 PD 957 does not distinguish between residential and commercial subdivision buyers.</w:t>
            </w:r>
          </w:p>
          <w:p>
            <w:pPr>
              <w:spacing w:before="40" w:after="60" w:line="276" w:lineRule="auto"/>
            </w:pPr>
            <w:r>
              <w:rPr>
                <w:rFonts w:ascii="Calibri" w:hAnsi="Calibri"/>
                <w:b/>
                <w:color w:val="8C3200"/>
                <w:sz w:val="20"/>
              </w:rPr>
              <w:t>2. Ad proximum antecedens fiat relatio (relative words refer to the nearest antecedent)</w:t>
              <w:br/>
            </w:r>
            <w:r>
              <w:rPr>
                <w:rFonts w:ascii="Calibri" w:hAnsi="Calibri"/>
                <w:b/>
                <w:color w:val="212529"/>
                <w:sz w:val="19"/>
              </w:rPr>
              <w:t xml:space="preserve">   • Literal English Translation: </w:t>
            </w:r>
            <w:r>
              <w:rPr>
                <w:rFonts w:ascii="Calibri" w:hAnsi="Calibri"/>
                <w:i/>
                <w:color w:val="212529"/>
                <w:sz w:val="19"/>
              </w:rPr>
              <w:t>Relative words refer to the nearest antecedent.</w:t>
              <w:br/>
            </w:r>
            <w:r>
              <w:rPr>
                <w:rFonts w:ascii="Calibri" w:hAnsi="Calibri"/>
                <w:b/>
                <w:color w:val="212529"/>
                <w:sz w:val="19"/>
              </w:rPr>
              <w:t xml:space="preserve">   • Plain Legal Meaning &amp; StatCon Application: </w:t>
            </w:r>
            <w:r>
              <w:rPr>
                <w:rFonts w:ascii="Calibri" w:hAnsi="Calibri"/>
                <w:color w:val="212529"/>
                <w:sz w:val="19"/>
              </w:rPr>
              <w:t>Qualifying words in specific sections cannot be exported to restrict general definition clauses.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Broad consumer protection in real estate developments advances public economic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a. Preambles, b. Title &amp; c. Punctuations (PD 957 / Scope of Subdivision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Section 20 PD 957 applies to both residential and commercial subdivision lots)</w:t>
              <w:br/>
              <w:br/>
              <w:t>Secondary:</w:t>
              <w:br/>
              <w:t>• Ad proximum antecedens fiat relatio (limits of qualifying modifiers)</w:t>
              <w:br/>
              <w:t>• Salus populi est suprema lex (real estate consumer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manufacture a non-existent commercial exemption by misapplying qualifying modifiers from other sections.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definition at the start of a law says 'subdivision includes commercial lots', you cannot later claim that the law only applies to residential 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Mapa v. Arroyo shows how statutory definitions in PD 957 control operative sections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Vivencio Mapa and Candido Mapa v. Hon. Joker Arroyo, Executive Secretary, and Labrador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78585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5, 1989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Vivencio Mapa and Candido Mapa v. Hon. Joker Arroyo, Executive Secretary, and Labrador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Office of the President and HLURB, HOLDING that Section 20 of PD 957 protects commercial lot buyers.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20 of P.D. No. 957 applies to ALL subdivision lots, whether residential or commercial. The phrase 'subdivision project' is used without qualification, and qualifying residential terms in other sections cannot be imported to restrict Section 20.</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Statutory Definitions: When the statutory definition clause encompasses multiple categories (residential, commercial, industrial), subsequent operative sections must be applied to all categories unless explicitly restricted.</w:t>
              <w:br/>
              <w:t xml:space="preserve">   - Result: 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Ad proximum antecedens fiat relatio (limits of qualifying modifiers)</w:t>
              <w:br/>
              <w:t>• Salus populi est suprema lex (real estate consumer protection)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Vivencio Mapa and Candido Mapa v. Hon. Joker Arroyo, Executive Secretary, and Labrador Development Corporation to mean and apply strictly in accordance with Ubi lex non distinguit, nec nos distinguere debemus, holding that Yes. The law protects all lots in an approved subdivision project. Where the statute says 'subdivision project' without restricting it to houses, commercial lot.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definition at the start of a law says 'subdivision includes commercial lots', you cannot later claim that the law only applies to residential houses.</w:t>
            </w:r>
          </w:p>
        </w:tc>
      </w:tr>
    </w:tbl>
    <w:p>
      <w:r>
        <w:br w:type="page"/>
      </w:r>
    </w:p>
    <w:p>
      <w:pPr>
        <w:keepNext/>
        <w:spacing w:before="320" w:after="80"/>
      </w:pPr>
      <w:r>
        <w:rPr>
          <w:rFonts w:ascii="Arial" w:hAnsi="Arial"/>
          <w:b/>
          <w:color w:val="0F2043"/>
          <w:sz w:val="26"/>
        </w:rPr>
        <w:t>37. IN RE: IN THE MATTER OF THE ESTATE OF EMIL H. JOHNSON (DECEASED)</w:t>
      </w:r>
    </w:p>
    <w:p>
      <w:pPr>
        <w:spacing w:before="40" w:after="80" w:line="276" w:lineRule="auto"/>
      </w:pPr>
      <w:r>
        <w:rPr>
          <w:rFonts w:ascii="Calibri" w:hAnsi="Calibri"/>
          <w:b/>
          <w:color w:val="212529"/>
          <w:sz w:val="21"/>
        </w:rPr>
        <w:t xml:space="preserve">Citation: </w:t>
      </w:r>
      <w:r>
        <w:rPr>
          <w:rFonts w:ascii="Calibri" w:hAnsi="Calibri"/>
          <w:i/>
          <w:color w:val="212529"/>
          <w:sz w:val="21"/>
        </w:rPr>
        <w:t>G.R. No. L-12767 | November 16, 1918 | 39 Phil. 156 | En Banc | Ponente: J. Street</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In the Matter of the Estate of Emil H. Johnson (Petition for Probate)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Alejandra Ibañez de Johnson (Oppositor)</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admitting to probate the holographic will of a deceased American citizen residing in Manila under Section 636 of the Code of Civil Procedure (Act No. 190).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living in Manila wrote a holographic will. When his estate asked the Manila court to probate the will under the Code of Civil Procedure, an oppositor argued that the chapter heading in the law book said 'Wills proved outside the Philippine Islands', so a will written inside Manila could not use that law. The Supreme Court ruled that chapter headings and section titles are mere index labels and table-of-contents guides; they cannot be used to restrict or destroy the clear, unambiguous body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heading or title of a section in a law book limit the clear meaning of the actual law written beneath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headings in a procedural code can limit the operative text of Section 636 of Act No. 190, testing Headings and Marginal Notes as Intrinsic Aids versus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headings and chapter titles are INFERIOR INTRINSIC AIDS that cannot restrict, limit, or defeat the clear and unambiguous operative text of a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section headings and chapter titles in statutory compilations are mere catchwords and indices. Under Verba Legis, when the operative text of a statute is clear and comprehensive, section titles cannot be used to restrict or defeat the legislative command."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636, Act No. 190 (Code of Civil Procedure): </w:t>
            </w:r>
            <w:r>
              <w:rPr>
                <w:rFonts w:ascii="Calibri" w:hAnsi="Calibri"/>
                <w:color w:val="212529"/>
                <w:sz w:val="20"/>
              </w:rPr>
              <w:t>Allows probate of wills executed by foreigners in accordance with the laws of their home country or state.</w:t>
            </w:r>
          </w:p>
          <w:p>
            <w:pPr>
              <w:spacing w:before="20" w:after="40" w:line="276" w:lineRule="auto"/>
            </w:pPr>
            <w:r>
              <w:rPr>
                <w:rFonts w:ascii="Calibri" w:hAnsi="Calibri"/>
                <w:b/>
                <w:color w:val="212529"/>
                <w:sz w:val="20"/>
              </w:rPr>
              <w:t xml:space="preserve">2. Headings and Marginal Notes as Subordinate Intrinsic Aids: </w:t>
            </w:r>
            <w:r>
              <w:rPr>
                <w:rFonts w:ascii="Calibri" w:hAnsi="Calibri"/>
                <w:color w:val="212529"/>
                <w:sz w:val="20"/>
              </w:rPr>
              <w:t>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plain text of the operative section controls.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636 Act No. 190, Headings as Subordinate Aids,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636 of Act No. 190, guided by the rule on the Subordinate Nature of Section Headings and Verba legis non est recedendum (from statutory words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Function of Section Headings: </w:t>
            </w:r>
            <w:r>
              <w:rPr>
                <w:rFonts w:ascii="Calibri" w:hAnsi="Calibri"/>
                <w:color w:val="212529"/>
                <w:sz w:val="20"/>
              </w:rPr>
              <w:t>Headings in codes are inserted for ease of reference and convenience of compilation. They are not intended to qualify or limit the substantive enactments found in the body of the sections.</w:t>
            </w:r>
          </w:p>
          <w:p>
            <w:pPr>
              <w:spacing w:before="20" w:after="40" w:line="276" w:lineRule="auto"/>
            </w:pPr>
            <w:r>
              <w:rPr>
                <w:rFonts w:ascii="Calibri" w:hAnsi="Calibri"/>
                <w:b/>
                <w:color w:val="212529"/>
                <w:sz w:val="20"/>
              </w:rPr>
              <w:t xml:space="preserve">2. Primacy of Operative Language: </w:t>
            </w:r>
            <w:r>
              <w:rPr>
                <w:rFonts w:ascii="Calibri" w:hAnsi="Calibri"/>
                <w:color w:val="212529"/>
                <w:sz w:val="20"/>
              </w:rPr>
              <w:t>Where the language of the section itself is broad, clear, and unambiguous, it must be given full effect without regard to any restrictive phrasing in the chapter caption.</w:t>
            </w:r>
          </w:p>
          <w:p>
            <w:pPr>
              <w:spacing w:before="20" w:after="40" w:line="276" w:lineRule="auto"/>
            </w:pPr>
            <w:r>
              <w:rPr>
                <w:rFonts w:ascii="Calibri" w:hAnsi="Calibri"/>
                <w:b/>
                <w:color w:val="212529"/>
                <w:sz w:val="20"/>
              </w:rPr>
              <w:t xml:space="preserve">3. Valid Execution Under Foreign Law: </w:t>
            </w:r>
            <w:r>
              <w:rPr>
                <w:rFonts w:ascii="Calibri" w:hAnsi="Calibri"/>
                <w:color w:val="212529"/>
                <w:sz w:val="20"/>
              </w:rPr>
              <w:t>The deceased, as a citizen of Illinois, executed a will conforming to Illinois law, which Section 636 explicitly authorized to be probated in Philippine courts.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fundamental rule on statutory headings. Section titles are mere bookmarks for convenience. Under Verba Legis, the clear operative text of Section 636 governs, and cannot be narrowed by an imperfect chapter heading."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admitting the holographic will of Emil H. Johnson to probate.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American citizen's will was declared validly probated.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probate, establishing that section headings cannot restrict the plain operative text of a statute."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e. Headnotes / Section Headings (Code of Civil Procedure Sec. 636 / Foreign Wills)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substantive text of Section 636 governs over editorial headings.</w:t>
            </w:r>
          </w:p>
          <w:p>
            <w:pPr>
              <w:spacing w:before="40" w:after="60" w:line="276" w:lineRule="auto"/>
            </w:pPr>
            <w:r>
              <w:rPr>
                <w:rFonts w:ascii="Calibri" w:hAnsi="Calibri"/>
                <w:b/>
                <w:color w:val="8C3200"/>
                <w:sz w:val="20"/>
              </w:rPr>
              <w:t>2. Rubrica non est lex (the title/heading is not the law)</w:t>
              <w:br/>
            </w:r>
            <w:r>
              <w:rPr>
                <w:rFonts w:ascii="Calibri" w:hAnsi="Calibri"/>
                <w:b/>
                <w:color w:val="212529"/>
                <w:sz w:val="19"/>
              </w:rPr>
              <w:t xml:space="preserve">   • Literal English Translation: </w:t>
            </w:r>
            <w:r>
              <w:rPr>
                <w:rFonts w:ascii="Calibri" w:hAnsi="Calibri"/>
                <w:i/>
                <w:color w:val="212529"/>
                <w:sz w:val="19"/>
              </w:rPr>
              <w:t>The heading is not the law.</w:t>
              <w:br/>
            </w:r>
            <w:r>
              <w:rPr>
                <w:rFonts w:ascii="Calibri" w:hAnsi="Calibri"/>
                <w:b/>
                <w:color w:val="212529"/>
                <w:sz w:val="19"/>
              </w:rPr>
              <w:t xml:space="preserve">   • Plain Legal Meaning &amp; StatCon Application: </w:t>
            </w:r>
            <w:r>
              <w:rPr>
                <w:rFonts w:ascii="Calibri" w:hAnsi="Calibri"/>
                <w:color w:val="212529"/>
                <w:sz w:val="19"/>
              </w:rPr>
              <w:t>Section titles and marginal notes do not possess substantive legislative force to restrict clear statutory text.</w:t>
            </w:r>
          </w:p>
          <w:p>
            <w:pPr>
              <w:spacing w:before="40" w:after="60" w:line="276" w:lineRule="auto"/>
            </w:pPr>
            <w:r>
              <w:rPr>
                <w:rFonts w:ascii="Calibri" w:hAnsi="Calibri"/>
                <w:b/>
                <w:color w:val="8C3200"/>
                <w:sz w:val="20"/>
              </w:rPr>
              <w:t>3.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requires no expositor.</w:t>
              <w:br/>
            </w:r>
            <w:r>
              <w:rPr>
                <w:rFonts w:ascii="Calibri" w:hAnsi="Calibri"/>
                <w:b/>
                <w:color w:val="212529"/>
                <w:sz w:val="19"/>
              </w:rPr>
              <w:t xml:space="preserve">   • Plain Legal Meaning &amp; StatCon Application: </w:t>
            </w:r>
            <w:r>
              <w:rPr>
                <w:rFonts w:ascii="Calibri" w:hAnsi="Calibri"/>
                <w:color w:val="212529"/>
                <w:sz w:val="19"/>
              </w:rPr>
              <w:t>The clear text of the probate statute requires no construction from marginal titles.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e. Headnotes / Section Headings (Code of Civil Procedure Sec. 636 / Foreign Wills)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Rubrica non est lex</w:t>
              <w:br/>
              <w:t>(the title or heading is not the law / section headings and marginal notes in codes are mere convenience indices that cannot restrict clear operative text)</w:t>
              <w:br/>
              <w:br/>
              <w:t>Secondary:</w:t>
              <w:br/>
              <w:t>• Verba legis non est recedendum (statutory words control)</w:t>
              <w:br/>
              <w:t>• Absoluta sententia expositore non eget (clear text needs no exposition)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oppositor attempted to use an editorial section heading to override and restrict the clear operative body of the Code of Civil Procedure.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titles and book headings are just table-of-contents labels; they are not the actual law and cannot shrink what the law says.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Re Estate of Johnson is the classic benchmark case for the maxim Rubrica non est lex: section headings cannot restrict the clear text of a statute."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In Re: In the Matter of the Estate of Emil H. Johnson (Deceased)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L-12767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16, 1918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In Re: In the Matter of the Estate of Emil H. Johnson (Deceased), under the canon of Rubrica non est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oppositor attempted to use an editorial section heading to override and restrict the clear operative body of the Cod...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admitting the holographic will of Emil H. Johnson to probate.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headings and chapter titles are INFERIOR INTRINSIC AIDS that cannot restrict, limit, or defeat the clear and unambiguous operative text of a statute.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Rubrica non est lex</w:t>
              <w:br/>
              <w:t xml:space="preserve">   - Application: Subordinate Status of Section Headings: Section headings, titles, and marginal notes are mere editorial guides and indices; they cannot be used to restrict, limit, or contradict the clear operative text of the statute.</w:t>
              <w:br/>
              <w:t xml:space="preserve">   - Result: 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words control)</w:t>
              <w:br/>
              <w:t>• Absoluta sententia expositore non eget (clear text needs no exposition)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In Re: In the Matter of the Estate of Emil H. Johnson (Deceased) to mean and apply strictly in accordance with Rubrica non est lex, holding that No. Section titles in law codes are just table-of-contents headings created to help readers browse. When the actual text of the law is clear, the title of the 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Rubrica non est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Section titles and book headings are just table-of-contents labels; they are not the actual law and cannot shrink what the law says.</w:t>
            </w:r>
          </w:p>
        </w:tc>
      </w:tr>
    </w:tbl>
    <w:p>
      <w:r>
        <w:br w:type="page"/>
      </w:r>
    </w:p>
    <w:p>
      <w:pPr>
        <w:keepNext/>
        <w:spacing w:before="320" w:after="80"/>
      </w:pPr>
      <w:r>
        <w:rPr>
          <w:rFonts w:ascii="Arial" w:hAnsi="Arial"/>
          <w:b/>
          <w:color w:val="0F2043"/>
          <w:sz w:val="26"/>
        </w:rPr>
        <w:t>38. PEOPLE OF THE PHILIPPINE ISLANDS V. MAXIMO YABUT</w:t>
      </w:r>
    </w:p>
    <w:p>
      <w:pPr>
        <w:spacing w:before="40" w:after="80" w:line="276" w:lineRule="auto"/>
      </w:pPr>
      <w:r>
        <w:rPr>
          <w:rFonts w:ascii="Calibri" w:hAnsi="Calibri"/>
          <w:b/>
          <w:color w:val="212529"/>
          <w:sz w:val="21"/>
        </w:rPr>
        <w:t xml:space="preserve">Citation: </w:t>
      </w:r>
      <w:r>
        <w:rPr>
          <w:rFonts w:ascii="Calibri" w:hAnsi="Calibri"/>
          <w:i/>
          <w:color w:val="212529"/>
          <w:sz w:val="21"/>
        </w:rPr>
        <w:t>G.R. No. 39085 | September 27, 1933 | 58 Phil. 499 | En Banc | Ponente: J. Vickers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 Islands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Maximo Yabut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Homicide with the special aggravating circumstance of Quasi-Recidivism under Article 160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serving time in Bilibid Prison murdered a fellow inmate. The court sentenced him to the maximum penalty for 'Quasi-Recidivism' (committing a new felony while serving an existing prison sentence). The prisoner argued that quasi-recidivism should only apply if the new crime is the exact same type of crime as his first conviction, citing the Spanish text and comma placements. The Supreme Court rejected his argument, holding that Article 160 applies to ANY new felony committed while serving sentence, regardless of crime classification.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quasi-recidivism apply whenever a prisoner commits ANY new felony while serving sentence, or must the new crime be the exact same type of crime as his old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Quasi-Recidivism under Article 160 RPC applies to any felony committed during imprisonment, testing the canon of Verba Legis (the words of the law)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Quasi-recidivism applies to ANY FELONY committed while serving sentence. Article 160 of the RPC makes no distinction regarding the nature or classification of the previous or subsequent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Ubi lex non distinguit nec nos distinguere debemus (where the law does not distinguish, we should not distinguish) and Verba Legis, Article 160 RPC applies to 'another felony' of any nature committed while serving sentence, triggering the mandatory maximum penalty of quasi-recidivism."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160, Revised Penal Code: </w:t>
            </w:r>
            <w:r>
              <w:rPr>
                <w:rFonts w:ascii="Calibri" w:hAnsi="Calibri"/>
                <w:color w:val="212529"/>
                <w:sz w:val="20"/>
              </w:rPr>
              <w:t>Quasi-recidivism: any person who shall commit a felony after having been convicted by final judgment, before beginning to serve such sentence, or while serving the same, shall be punished by the maximum period.</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The statute uses the universal term 'a felony' without qualification.</w:t>
            </w:r>
          </w:p>
          <w:p>
            <w:pPr>
              <w:spacing w:before="20" w:after="40" w:line="276" w:lineRule="auto"/>
            </w:pPr>
            <w:r>
              <w:rPr>
                <w:rFonts w:ascii="Calibri" w:hAnsi="Calibri"/>
                <w:b/>
                <w:color w:val="212529"/>
                <w:sz w:val="20"/>
              </w:rPr>
              <w:t xml:space="preserve">3. Distinction Between Recidivism (Art. 14) and Quasi-Recidivism (Art. 160): </w:t>
            </w:r>
            <w:r>
              <w:rPr>
                <w:rFonts w:ascii="Calibri" w:hAnsi="Calibri"/>
                <w:color w:val="212529"/>
                <w:sz w:val="20"/>
              </w:rPr>
              <w:t>Ordinary recidivism requires offenses under the same RPC title; quasi-recidivism requires only that a new felony be committed while serving sentence.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160 RPC, Ubi Lex Non Distinguit, and distinction between Art 14 and Art 160.</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160 RPC, governed by Ubi lex non distinguit nec nos distinguere debemus (where the law does not distinguish, we must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Text of Article 160: </w:t>
            </w:r>
            <w:r>
              <w:rPr>
                <w:rFonts w:ascii="Calibri" w:hAnsi="Calibri"/>
                <w:color w:val="212529"/>
                <w:sz w:val="20"/>
              </w:rPr>
              <w:t>The statutory language 'shall commit a felony' is absolute and generic. It does not contain the restriction found in Article 14(9) requiring crimes to be embraced under the same Title of the Code.</w:t>
            </w:r>
          </w:p>
          <w:p>
            <w:pPr>
              <w:spacing w:before="20" w:after="40" w:line="276" w:lineRule="auto"/>
            </w:pPr>
            <w:r>
              <w:rPr>
                <w:rFonts w:ascii="Calibri" w:hAnsi="Calibri"/>
                <w:b/>
                <w:color w:val="212529"/>
                <w:sz w:val="20"/>
              </w:rPr>
              <w:t xml:space="preserve">2. Legislative Rationale of Quasi-Recidivism: </w:t>
            </w:r>
            <w:r>
              <w:rPr>
                <w:rFonts w:ascii="Calibri" w:hAnsi="Calibri"/>
                <w:color w:val="212529"/>
                <w:sz w:val="20"/>
              </w:rPr>
              <w:t>The special aggravation arises from the offender's flagrant contempt for the penal system by committing a new crime while under correctional custody.</w:t>
            </w:r>
          </w:p>
          <w:p>
            <w:pPr>
              <w:spacing w:before="20" w:after="40" w:line="276" w:lineRule="auto"/>
            </w:pPr>
            <w:r>
              <w:rPr>
                <w:rFonts w:ascii="Calibri" w:hAnsi="Calibri"/>
                <w:b/>
                <w:color w:val="212529"/>
                <w:sz w:val="20"/>
              </w:rPr>
              <w:t xml:space="preserve">3. Rejection of Punctuation Arguments: </w:t>
            </w:r>
            <w:r>
              <w:rPr>
                <w:rFonts w:ascii="Calibri" w:hAnsi="Calibri"/>
                <w:color w:val="212529"/>
                <w:sz w:val="20"/>
              </w:rPr>
              <w:t>Syntactical arguments based on comma placements cannot be used to read an unwritten restriction into an unambiguous penal provision.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contrasted Article 14 with Article 160. Article 160 penalizes contempt of prison discipline and uses the generic phrase 'a felony'. Under Ubi Lex Non Distinguit, the maximum penalty must be applied regardless of the nature of the previous offense."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conviction and the imposition of the MAXIMUM PERIOD of Reclusion Temporal under the quasi-recidivism provisions of Article 160 RPC.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with maximum penalty for quasi-recidivism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maximum penalty, holding that quasi-recidivism applies to all felonies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f. Lingual Text (RPC Art. 160 Quasi-Recidivism / Spanish Text Prevails over English)</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Article 160 RPC applies to 'a felony' of any class without distinction.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plain statutory phrase 'shall commit a felony' cannot be qualified by judicial interpretation.</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mandatory maximum penalty for quasi-recidivism must be enforced as enacted.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f. Lingual Text (RPC Art. 160 Quasi-Recidivism / Spanish Text Prevails over English)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Quasi-recidivism under Article 160 RPC applies to any felony committed during sentence)</w:t>
              <w:br/>
              <w:br/>
              <w:t>Secondary:</w:t>
              <w:br/>
              <w:t>• Verba legis non est recedendum (strict adherence to statutory penal terms)</w:t>
              <w:br/>
              <w:t>• Dura lex sed lex (harsh mandatory maximum penalty)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accused attempted to import the restrictive requirements of ordinary recidivism (Art. 14) into the independent generic text of quasi-recidivism (Art. 160).</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one section of a law says 'crimes of the same type' and another section simply says 'any crime', you cannot copy the limitation from the first section into the second section.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Yabut illustrates statutory comparison between Articles 14 and 160 RPC: Ubi lex non distinguit dictates that quasi-recidivism applies to all felonies."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 Islands v. Maximo Yabut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39085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27, 1933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accused attempted to import the restrictive requirements of ordinary recidivism (Art. 14) into the independent generic text of quasi-recidivism (Art. 160).</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 Islands v. Maximo Yabut,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conviction and the imposition of the MAXIMUM PERIOD of Reclusion Temporal under the quasi-recidivism provisions of Article 160 RPC.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Quasi-recidivism applies to ANY FELONY committed while serving sentence. Article 160 of the RPC makes no distinction regarding the nature or classification of the previous or subsequent offenses.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accused attempted to import the restrictive requirements of ordinary recidivism (Art. 14) into the independent generic text of quasi-rec.</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Comparison of Related Statutory Provisions: Where the legislature includes a specific restriction in one section (Art. 14) but deliberately omits it in another (Art. 160), the omission is intentional under Ubi Lex Non Distinguit.</w:t>
              <w:br/>
              <w:t xml:space="preserve">   - Result: 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(strict adherence to statutory penal terms)</w:t>
              <w:br/>
              <w:t>• Dura lex sed lex (harsh mandatory maximum penalty)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 Islands v. Maximo Yabut to mean and apply strictly in accordance with Ubi lex non distinguit, nec nos distinguere debemus, holding that No. Quasi-recidivism applies to ANY crime committed in prison. If you are serving time and you commit a new felony, the law automatically imposes the maximum pe.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one section of a law says 'crimes of the same type' and another section simply says 'any crime', you cannot copy the limitation from the first section into the second section.</w:t>
            </w:r>
          </w:p>
        </w:tc>
      </w:tr>
    </w:tbl>
    <w:p>
      <w:r>
        <w:br w:type="page"/>
      </w:r>
    </w:p>
    <w:p>
      <w:pPr>
        <w:keepNext/>
        <w:spacing w:before="320" w:after="80"/>
      </w:pPr>
      <w:r>
        <w:rPr>
          <w:rFonts w:ascii="Arial" w:hAnsi="Arial"/>
          <w:b/>
          <w:color w:val="0F2043"/>
          <w:sz w:val="26"/>
        </w:rPr>
        <w:t>39. BAKING V. DIRECTOR OF PRISONS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L-30364 | July 28, 1969 | 28 SCRA 850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Baking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Director of Prisons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Habeas Corpus)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Habeas Corpus seeking full credit for preventive imprisonment under Article 29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who spent years in jail while waiting for his trial to finish demanded that 100% of his waiting time be deducted from his final prison sentence. Under the old Article 29 of the Revised Penal Code, the law strictly stated that detention prisoners only get 50% credit (half-time) for preventive detention. The Supreme Court ruled that while human rights principles are important, the written statute clearly and strictly allowed only one-half credit, and the courts cannot rewrite the law (Dura Lex Sed Lex). (Note: Congress subsequently amended Article 29 under RA 6127 to grant full credit).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grant a prisoner 100% credit for pre-trial jail time when the written penal statute strictly says 'one-half'?</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courts can expand the statutory credit for preventive imprisonment beyond the 'one-half' specified in Article 29 RPC, testing Verba Legis (the words of the law) and Dura Lex Sed Lex (the law is harsh, but it is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Dura lex, sed lex (the law is harsh, but it is the law), the explicit statutory fraction 'one-half' in Article 29 RPC was mandatory. The Court cannot engage in judicial legislation to grant full credit, which was subsequently enacted by Congress in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29, Revised Penal Code (prior to amendment by R.A. No. 6127): </w:t>
            </w:r>
            <w:r>
              <w:rPr>
                <w:rFonts w:ascii="Calibri" w:hAnsi="Calibri"/>
                <w:color w:val="212529"/>
                <w:sz w:val="20"/>
              </w:rPr>
              <w:t>Explicitly provided that offenders who have undergone preventive imprisonment shall be credited in the service of their sentence with one-half of the time.</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When the statutory fraction is explicit, courts cannot substitute a different number.</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harshness of a statutory deduction rule does not justify judicial modification.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29 RPC, Verba Legis,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29 RPC, applied strictly under Verba legis non est recedendum (from statutory words there must be no departure)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Text Controls: </w:t>
            </w:r>
            <w:r>
              <w:rPr>
                <w:rFonts w:ascii="Calibri" w:hAnsi="Calibri"/>
                <w:color w:val="212529"/>
                <w:sz w:val="20"/>
              </w:rPr>
              <w:t>Article 29 explicitly fixed the credit at 'one-half'. The language was unambiguous and left zero room for judicial discretion.</w:t>
            </w:r>
          </w:p>
          <w:p>
            <w:pPr>
              <w:spacing w:before="20" w:after="40" w:line="276" w:lineRule="auto"/>
            </w:pPr>
            <w:r>
              <w:rPr>
                <w:rFonts w:ascii="Calibri" w:hAnsi="Calibri"/>
                <w:b/>
                <w:color w:val="212529"/>
                <w:sz w:val="20"/>
              </w:rPr>
              <w:t xml:space="preserve">2. Prohibition Against Judicial Legislation: </w:t>
            </w:r>
            <w:r>
              <w:rPr>
                <w:rFonts w:ascii="Calibri" w:hAnsi="Calibri"/>
                <w:color w:val="212529"/>
                <w:sz w:val="20"/>
              </w:rPr>
              <w:t>Expanding statutory credit from one-half to full credit is an exclusive prerogative of the Legislature. The judiciary cannot amend statutes under the guise of equitable construction.</w:t>
            </w:r>
          </w:p>
          <w:p>
            <w:pPr>
              <w:spacing w:before="20" w:after="40" w:line="276" w:lineRule="auto"/>
            </w:pPr>
            <w:r>
              <w:rPr>
                <w:rFonts w:ascii="Calibri" w:hAnsi="Calibri"/>
                <w:b/>
                <w:color w:val="212529"/>
                <w:sz w:val="20"/>
              </w:rPr>
              <w:t xml:space="preserve">3. Prompting Legislative Reform: </w:t>
            </w:r>
            <w:r>
              <w:rPr>
                <w:rFonts w:ascii="Calibri" w:hAnsi="Calibri"/>
                <w:color w:val="212529"/>
                <w:sz w:val="20"/>
              </w:rPr>
              <w:t>The Supreme Court recognized the moral and humanitarian merit of full credit, which prompted Congress shortly thereafter to enact Republic Act No. 6127 amending Article 29 to provide full credit.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Although the one-half credit rule was harsh, the text of Article 29 RPC was unambiguous under Verba Legis. The Court held that changing the fraction required an act of Congress, which led to the enactment of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for habeas corpus, HOLDING that petitioner was entitled only to one-half credit under Article 29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only half-time credit was granted under the existing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the habeas corpus petition, applying the strict one-half credit under Verba Legis and Dura Lex Sed Lex."</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f. Lingual Text (Spanish Enacted Text vs English Translation / Complex Crimes)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explicit statutory fraction 'one-half' in Article 29 RPC must be applied as written.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Courts cannot change explicit numerical quantities in a penal statute.</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It is the duty of a judge to state the law, not to create it.</w:t>
              <w:br/>
            </w:r>
            <w:r>
              <w:rPr>
                <w:rFonts w:ascii="Calibri" w:hAnsi="Calibri"/>
                <w:b/>
                <w:color w:val="212529"/>
                <w:sz w:val="19"/>
              </w:rPr>
              <w:t xml:space="preserve">   • Plain Legal Meaning &amp; StatCon Application: </w:t>
            </w:r>
            <w:r>
              <w:rPr>
                <w:rFonts w:ascii="Calibri" w:hAnsi="Calibri"/>
                <w:color w:val="212529"/>
                <w:sz w:val="19"/>
              </w:rPr>
              <w:t>Changing preventive imprisonment credit requires legislative enactment, not judicial decree.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f. Lingual Text (Spanish Enacted Text vs English Translation / Complex Crimes)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courts cannot change the explicit 'one-half' credit in Article 29 RPC through judicial legislation)</w:t>
              <w:br/>
              <w:br/>
              <w:t>Secondary:</w:t>
              <w:br/>
              <w:t>• Verba legis non est recedendum (plain text on numerical fractions)</w:t>
              <w:br/>
              <w:t>• Judicis est ius dicere non dare (judges declare law, not make 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sought to have the judiciary rewrite a clear statutory fraction from 'one-half' to 'full credit' in violation of separation of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change numbers in a law; if the statute says 'half', judges must apply 'half' until Congress passes a new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Baking v. Director of Prisons is a profound example of Dura lex, sed lex and Judicis est ius dicere non dare: courts cannot alter explicit statutory fractions."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Baking v. Director of Prisons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L-30364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28, 1969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sought to have the judiciary rewrite a clear statutory fraction from 'one-half' to 'full credit' in violation of separation of powers.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Baking v. Director of Prisons,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sought to have the judiciary rewrite a clear statutory fraction from 'one-half' to 'full credit' in viola...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for habeas corpus, HOLDING that petitioner was entitled only to one-half credit under Article 29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sought to have the judiciary rewrite a clear statutory fraction from 'one-half' to 'full credit' in violation of separation 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Judicial Restraint on Explicit Statutory Quantities: Where the statute specifies an exact numerical ratio or fraction, courts must enforce it strictly under Dura Lex Sed Lex; humanitarian adjustments belong exclusively to the legislature.</w:t>
              <w:br/>
              <w:t xml:space="preserve">   - Result: 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text on numerical fractions)</w:t>
              <w:br/>
              <w:t>• Judicis est ius dicere non dare (judges declare law, not make it)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Baking v. Director of Prisons to mean and apply strictly in accordance with Dura lex, sed lex, holding that No. The text of the law explicitly said 'one-half'. Even if the rule was harsh and unfair, judges cannot change the math written in the statute. The duty of the.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cannot change numbers in a law; if the statute says 'half', judges must apply 'half' until Congress passes a new law.</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 (Part 2)</w:t>
              <w:br/>
            </w:r>
            <w:r>
              <w:rPr>
                <w:rFonts w:ascii="Arial" w:hAnsi="Arial"/>
                <w:b/>
                <w:color w:val="FFFFFF"/>
                <w:sz w:val="24"/>
              </w:rPr>
              <w:t>AIDS TO CONSTRUCTION: EXTRINSIC AIDS</w:t>
              <w:br/>
            </w:r>
            <w:r>
              <w:rPr>
                <w:rFonts w:ascii="Arial" w:hAnsi="Arial"/>
                <w:i/>
                <w:color w:val="D7E6FA"/>
                <w:sz w:val="19"/>
              </w:rPr>
              <w:t>Cases 40 to 45 | External Sources, Legislative History &amp; Contemporary Context</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Policy &amp; Purpose of the Law: Ascertaining legislative mischief and remedial objective</w:t>
            </w:r>
          </w:p>
          <w:p>
            <w:pPr>
              <w:spacing w:before="20" w:after="20"/>
            </w:pPr>
            <w:r>
              <w:rPr>
                <w:rFonts w:ascii="Calibri" w:hAnsi="Calibri"/>
                <w:color w:val="F0F5FF"/>
                <w:sz w:val="18"/>
              </w:rPr>
              <w:t>• • Legislative History: Committee reports, legislative debates, and statutory evolution</w:t>
            </w:r>
          </w:p>
          <w:p>
            <w:pPr>
              <w:spacing w:before="20" w:after="20"/>
            </w:pPr>
            <w:r>
              <w:rPr>
                <w:rFonts w:ascii="Calibri" w:hAnsi="Calibri"/>
                <w:color w:val="F0F5FF"/>
                <w:sz w:val="18"/>
              </w:rPr>
              <w:t>• • Contemporaneous Construction: Executive and administrative interpretations given great weight</w:t>
            </w:r>
          </w:p>
          <w:p>
            <w:pPr>
              <w:spacing w:before="20" w:after="20"/>
            </w:pPr>
            <w:r>
              <w:rPr>
                <w:rFonts w:ascii="Calibri" w:hAnsi="Calibri"/>
                <w:color w:val="F0F5FF"/>
                <w:sz w:val="18"/>
              </w:rPr>
              <w:t>• • Dictionaries &amp; Ordinary Meaning: Natural and customary definitions of words</w:t>
            </w:r>
          </w:p>
        </w:tc>
      </w:tr>
    </w:tbl>
    <w:p>
      <w:pPr>
        <w:spacing w:before="120"/>
      </w:pPr>
    </w:p>
    <w:p>
      <w:pPr>
        <w:keepNext/>
        <w:spacing w:before="320" w:after="80"/>
      </w:pPr>
      <w:r>
        <w:rPr>
          <w:rFonts w:ascii="Arial" w:hAnsi="Arial"/>
          <w:b/>
          <w:color w:val="0F2043"/>
          <w:sz w:val="26"/>
        </w:rPr>
        <w:t>40. METROPOLITAN MANILA DEVELOPMENT AUTHORITY (MMDA) V. DANTE O. GARIN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130230 | April 15, 2005 | 456 SCRA 176 | En Banc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Dante O. Garin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Parañaque City (Branch 258)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MMDA has statutory police power under Republic Act No. 7924 to confiscate and suspend driver's licenses.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MMDA traffic enforcer confiscated a lawyer's driver's license for illegal parking. The lawyer sued, claiming MMDA has no legal power to seize licenses because it is not a police force and has no lawmaking powers. The Supreme Court examined the Congressional Deliberations (Legislative Debates) of RA 7924 as an extrinsic aid and confirmed that Congress explicitly stripped MMDA of police power and legislative authority, turning it into an administrative coordination agency only. Therefore, MMDA cannot confiscate driver's licenses without a local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MMDA have the legal power to confiscate driver's licenses under its charter, when checked against Congressional debates?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MMDA possesses police power to confiscate driver's licenses under RA 7924, testing Legislative Debates and Congressional Records as Extrinsic Aids to Construction and Potestas Delegata Non Delegari Potest."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Debates as an Extrinsic Aid, Congress explicitly stripped MMDA of police power and legislative authority. As affirmed in MMDA v. Bel-Air Village, MMDA cannot confiscate driver's licenses under RA 7924 without a specific delegation from local sanggunians."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7924 (MMDA Charter): </w:t>
            </w:r>
            <w:r>
              <w:rPr>
                <w:rFonts w:ascii="Calibri" w:hAnsi="Calibri"/>
                <w:color w:val="212529"/>
                <w:sz w:val="20"/>
              </w:rPr>
              <w:t>Creates the MMDA as an administrative planning and coordinating agency for basic services.</w:t>
            </w:r>
          </w:p>
          <w:p>
            <w:pPr>
              <w:spacing w:before="20" w:after="40" w:line="276" w:lineRule="auto"/>
            </w:pPr>
            <w:r>
              <w:rPr>
                <w:rFonts w:ascii="Calibri" w:hAnsi="Calibri"/>
                <w:b/>
                <w:color w:val="212529"/>
                <w:sz w:val="20"/>
              </w:rPr>
              <w:t xml:space="preserve">2. Legislative Debates and Congressional Records as Extrinsic Aids: </w:t>
            </w:r>
            <w:r>
              <w:rPr>
                <w:rFonts w:ascii="Calibri" w:hAnsi="Calibri"/>
                <w:color w:val="212529"/>
                <w:sz w:val="20"/>
              </w:rPr>
              <w:t>Statements and deliberations of legislators during floor debates reveal the definitive legislative intent regarding agency powers.</w:t>
            </w:r>
          </w:p>
          <w:p>
            <w:pPr>
              <w:spacing w:before="20" w:after="40" w:line="276" w:lineRule="auto"/>
            </w:pPr>
            <w:r>
              <w:rPr>
                <w:rFonts w:ascii="Calibri" w:hAnsi="Calibri"/>
                <w:b/>
                <w:color w:val="212529"/>
                <w:sz w:val="20"/>
              </w:rPr>
              <w:t xml:space="preserve">3. Potestas Delegata Non Delegari Potest (a delegated power cannot be delegated): </w:t>
            </w:r>
            <w:r>
              <w:rPr>
                <w:rFonts w:ascii="Calibri" w:hAnsi="Calibri"/>
                <w:color w:val="212529"/>
                <w:sz w:val="20"/>
              </w:rPr>
              <w:t>Police power is inherently legislative; an administrative agency cannot assume police power by implication.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7924, Legislative Debates as Extrinsic Aids, and Potestas Delegata Non Delegari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7924, interpreted through Legislative Debates and Committee Records as Extrinsic Aids under the doctrine of Potestas delegata non delegari potest."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Intent from Floor Debates: </w:t>
            </w:r>
            <w:r>
              <w:rPr>
                <w:rFonts w:ascii="Calibri" w:hAnsi="Calibri"/>
                <w:color w:val="212529"/>
                <w:sz w:val="20"/>
              </w:rPr>
              <w:t>The transcripts of the Senate deliberations (speeches of Senators Macapagal-Arroyo, Tolentino, and Biazon) clearly show that Congress explicitly rejected giving MMDA police power or ordinance-making authority.</w:t>
            </w:r>
          </w:p>
          <w:p>
            <w:pPr>
              <w:spacing w:before="20" w:after="40" w:line="276" w:lineRule="auto"/>
            </w:pPr>
            <w:r>
              <w:rPr>
                <w:rFonts w:ascii="Calibri" w:hAnsi="Calibri"/>
                <w:b/>
                <w:color w:val="212529"/>
                <w:sz w:val="20"/>
              </w:rPr>
              <w:t xml:space="preserve">2. Administrative vs. Police Authority: </w:t>
            </w:r>
            <w:r>
              <w:rPr>
                <w:rFonts w:ascii="Calibri" w:hAnsi="Calibri"/>
                <w:color w:val="212529"/>
                <w:sz w:val="20"/>
              </w:rPr>
              <w:t>MMDA is limited to planning, monitoring, and coordinating functions. Regulating and seizing driver's licenses is an exercise of police power belonging exclusively to the LTO and local government units under the Local Government Code.</w:t>
            </w:r>
          </w:p>
          <w:p>
            <w:pPr>
              <w:spacing w:before="20" w:after="40" w:line="276" w:lineRule="auto"/>
            </w:pPr>
            <w:r>
              <w:rPr>
                <w:rFonts w:ascii="Calibri" w:hAnsi="Calibri"/>
                <w:b/>
                <w:color w:val="212529"/>
                <w:sz w:val="20"/>
              </w:rPr>
              <w:t xml:space="preserve">3. Subordination of Administrative Regulations: </w:t>
            </w:r>
            <w:r>
              <w:rPr>
                <w:rFonts w:ascii="Calibri" w:hAnsi="Calibri"/>
                <w:color w:val="212529"/>
                <w:sz w:val="20"/>
              </w:rPr>
              <w:t>MMDA circulars ordering automatic license confiscation are ultra vires and void because they exceed the statutory authority conferred by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Congressional Records as an extrinsic aid. The debates prove that Congress deliberately designed MMDA without police power. Under the principle that administrative powers cannot exceed statutory grants, MMDA's license confiscation was declared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decision, ENJOINED the MMDA from confiscating driver's licenses without statutory or ordinance authority, and ORDERED the return of Garin's license.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lawyer won and MMDA was prohibited from confiscating driver's licenses without an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prohibited MMDA from confiscating driver's licenses, using Congressional debates as an extrinsic aid to define the limits of agency power."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a. Policy &amp; b. Purpose of the Law (RA 7924 / MMDA License Confiscation)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Police power is vested in the Legislature and local sanggunians; MMDA cannot assume it by implication.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Congressional records and debates explain the true boundaries of the statutory enactment.</w:t>
            </w:r>
          </w:p>
          <w:p>
            <w:pPr>
              <w:spacing w:before="40" w:after="60" w:line="276" w:lineRule="auto"/>
            </w:pPr>
            <w:r>
              <w:rPr>
                <w:rFonts w:ascii="Calibri" w:hAnsi="Calibri"/>
                <w:b/>
                <w:color w:val="8C3200"/>
                <w:sz w:val="20"/>
              </w:rPr>
              <w:t>3. Ultra vires non potest (an act beyond powers is void)</w:t>
              <w:br/>
            </w:r>
            <w:r>
              <w:rPr>
                <w:rFonts w:ascii="Calibri" w:hAnsi="Calibri"/>
                <w:b/>
                <w:color w:val="212529"/>
                <w:sz w:val="19"/>
              </w:rPr>
              <w:t xml:space="preserve">   • Literal English Translation: </w:t>
            </w:r>
            <w:r>
              <w:rPr>
                <w:rFonts w:ascii="Calibri" w:hAnsi="Calibri"/>
                <w:i/>
                <w:color w:val="212529"/>
                <w:sz w:val="19"/>
              </w:rPr>
              <w:t>Beyond powers cannot stand.</w:t>
              <w:br/>
            </w:r>
            <w:r>
              <w:rPr>
                <w:rFonts w:ascii="Calibri" w:hAnsi="Calibri"/>
                <w:b/>
                <w:color w:val="212529"/>
                <w:sz w:val="19"/>
              </w:rPr>
              <w:t xml:space="preserve">   • Plain Legal Meaning &amp; StatCon Application: </w:t>
            </w:r>
            <w:r>
              <w:rPr>
                <w:rFonts w:ascii="Calibri" w:hAnsi="Calibri"/>
                <w:color w:val="212529"/>
                <w:sz w:val="19"/>
              </w:rPr>
              <w:t>Administrative circulars issued without statutory authorization are null and void.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a. Policy &amp; b. Purpose of the Law (RA 7924 / MMDA License Confiscation)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Potestas delegata non delegari potest</w:t>
              <w:br/>
              <w:t>(a delegated power cannot be delegated / MMDA cannot exercise police power to confiscate licenses without statutory or ordinance authority)</w:t>
              <w:br/>
              <w:br/>
              <w:t>Secondary:</w:t>
              <w:br/>
              <w:t>• Optima statuti interpretatrix (legislative debates as extrinsic guide)</w:t>
              <w:br/>
              <w:t>• Ultra vires non potest (nullity of unauthorized administrative 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MMDA attempted to arrogate inherent police powers through administrative circulars in direct defiance of the legislative intent recorded in Congressional debates.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 want to know what a law means, read what the Senators and Congressmen said when they debated and voted on the bill.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MMDA v. Garin is the leading authority on using Congressional Floor Debates as an extrinsic aid to establish that MMDA lacks police power to seize licenses."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Metropolitan Manila Development Authority (MMDA) v. Dante O. Garin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130230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15,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MMDA attempted to arrogate inherent police powers through administrative circulars in direct defiance of the legislative intent recorded in Congressional debates.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Metropolitan Manila Development Authority (MMDA) v. Dante O. Garin, under the canon of Potestas delegata non delegari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MMDA attempted to arrogate inherent police powers through administrative circulars in direct defiance of the legislative...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decision, ENJOINED the MMDA from confiscating driver's licenses without statutory or ordinance authority, and ORDERED the return of Garin's license.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MMDA attempted to arrogate inherent police powers through administrative circulars in direct defiance of the legislative intent recorded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Potestas delegata non delegari potest</w:t>
              <w:br/>
              <w:t xml:space="preserve">   - Application: Legislative Debates as Extrinsic Aids: The record of floor debates in Congress is a recognized extrinsic aid to determine the precise nature, scope, and limitations of powers granted to administrative agencies.</w:t>
              <w:br/>
              <w:t xml:space="preserve">   - Result: 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debates as extrinsic guide)</w:t>
              <w:br/>
              <w:t>• Ultra vires non potest (nullity of unauthorized administrative acts)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Metropolitan Manila Development Authority (MMDA) v. Dante O. Garin to mean and apply strictly in accordance with Potestas delegata non delegari potest, holding that No. The transcripts of the Senate and House debates prove that lawmakers deliberately refused to give MMDA police power. MMDA is an administrative agency that 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Potestas delegata non delegari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you want to know what a law means, read what the Senators and Congressmen said when they debated and voted on the bill.</w:t>
            </w:r>
          </w:p>
        </w:tc>
      </w:tr>
    </w:tbl>
    <w:p>
      <w:r>
        <w:br w:type="page"/>
      </w:r>
    </w:p>
    <w:p>
      <w:pPr>
        <w:keepNext/>
        <w:spacing w:before="320" w:after="80"/>
      </w:pPr>
      <w:r>
        <w:rPr>
          <w:rFonts w:ascii="Arial" w:hAnsi="Arial"/>
          <w:b/>
          <w:color w:val="0F2043"/>
          <w:sz w:val="26"/>
        </w:rPr>
        <w:t>41. COMMISSIONER OF INTERNAL REVENUE V. SM PRIME HOLDINGS, INC. AND FIRST ASIA REALTY DEVELOPMENT CORP.</w:t>
      </w:r>
    </w:p>
    <w:p>
      <w:pPr>
        <w:spacing w:before="40" w:after="80" w:line="276" w:lineRule="auto"/>
      </w:pPr>
      <w:r>
        <w:rPr>
          <w:rFonts w:ascii="Calibri" w:hAnsi="Calibri"/>
          <w:b/>
          <w:color w:val="212529"/>
          <w:sz w:val="21"/>
        </w:rPr>
        <w:t xml:space="preserve">Citation: </w:t>
      </w:r>
      <w:r>
        <w:rPr>
          <w:rFonts w:ascii="Calibri" w:hAnsi="Calibri"/>
          <w:i/>
          <w:color w:val="212529"/>
          <w:sz w:val="21"/>
        </w:rPr>
        <w:t>G.R. No. 183505 | February 26, 2010 | 613 SCRA 774 | First Division | Ponente: J. Del Castillo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SM Prime Holdings, Inc. and First Asia Realty Development Corp.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cinema ticket sales are subject to Value-Added Tax (VAT) under Section 108 of the National Internal Revenue Code of 1997 and Revenue Memorandum Circular (RMC) No. 28-2001.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BIR issued a memorandum circular saying all movie ticket sales in mall cinemas must pay a 10% national VAT. SM Prime challenged the tax, pointing out that movie theaters already pay local amusement taxes to cities, and that the Tax Code never mentioned cinema tickets under VAT. The Supreme Court investigated the Legislative History of the Tax Code as an extrinsic aid and confirmed that Congress deliberately exempted cinema admissions from national VAT to avoid double taxation with local amusement taxes. The BIR circular was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cinema ticket sales subject to national VAT, when examined through the legislative history of the Tax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cinema admissions are subject to VAT under Section 108 NIRC, testing Legislative History as an Extrinsic Aid to Construction and the rule that Administrative Regulations cannot expand the Tax Code (Strictissimi Juris)."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History as an Extrinsic Aid, Congress consistently excluded motion picture exhibition from the VAT system. Under Strictissimi Juris, the BIR cannot expand Section 108 through RMC No. 28-2001, rendering the circular null and void."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108, National Internal Revenue Code of 1997: </w:t>
            </w:r>
            <w:r>
              <w:rPr>
                <w:rFonts w:ascii="Calibri" w:hAnsi="Calibri"/>
                <w:color w:val="212529"/>
                <w:sz w:val="20"/>
              </w:rPr>
              <w:t>Enumerates transactions and services subject to VAT, omitting cinema and theatrical admissions.</w:t>
            </w:r>
          </w:p>
          <w:p>
            <w:pPr>
              <w:spacing w:before="20" w:after="40" w:line="276" w:lineRule="auto"/>
            </w:pPr>
            <w:r>
              <w:rPr>
                <w:rFonts w:ascii="Calibri" w:hAnsi="Calibri"/>
                <w:b/>
                <w:color w:val="212529"/>
                <w:sz w:val="20"/>
              </w:rPr>
              <w:t xml:space="preserve">2. Legislative History and Prior Enactments as Extrinsic Aids: </w:t>
            </w:r>
            <w:r>
              <w:rPr>
                <w:rFonts w:ascii="Calibri" w:hAnsi="Calibri"/>
                <w:color w:val="212529"/>
                <w:sz w:val="20"/>
              </w:rPr>
              <w:t>The evolution of VAT statutes from E.O. 273 to R.A. 7716 and R.A. 8424 shows the continuous legislative intent to exclude cinema admissions.</w:t>
            </w:r>
          </w:p>
          <w:p>
            <w:pPr>
              <w:spacing w:before="20" w:after="40" w:line="276" w:lineRule="auto"/>
            </w:pPr>
            <w:r>
              <w:rPr>
                <w:rFonts w:ascii="Calibri" w:hAnsi="Calibri"/>
                <w:b/>
                <w:color w:val="212529"/>
                <w:sz w:val="20"/>
              </w:rPr>
              <w:t xml:space="preserve">3. Strictissimi Juris (of the strictest interpretation) in Tax Imposition: </w:t>
            </w:r>
            <w:r>
              <w:rPr>
                <w:rFonts w:ascii="Calibri" w:hAnsi="Calibri"/>
                <w:color w:val="212529"/>
                <w:sz w:val="20"/>
              </w:rPr>
              <w:t>Taxes cannot be imposed by administrative implication; statutes are strictly construed against the taxing authority.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108 NIRC, Legislative History as Extrinsic Aid,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108 NIRC, interpreted through Legislative History as an Extrinsic Aid and the bedrock canon Strictissimi Juris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VAT Laws: </w:t>
            </w:r>
            <w:r>
              <w:rPr>
                <w:rFonts w:ascii="Calibri" w:hAnsi="Calibri"/>
                <w:color w:val="212529"/>
                <w:sz w:val="20"/>
              </w:rPr>
              <w:t>From the original VAT law (E.O. No. 273) through the Expanded VAT (R.A. No. 7716) and the 1997 Tax Code, cinema exhibition was never included in the VAT base. In fact, proposed amendments to include movie theaters were repeatedly rejected by Congress.</w:t>
            </w:r>
          </w:p>
          <w:p>
            <w:pPr>
              <w:spacing w:before="20" w:after="40" w:line="276" w:lineRule="auto"/>
            </w:pPr>
            <w:r>
              <w:rPr>
                <w:rFonts w:ascii="Calibri" w:hAnsi="Calibri"/>
                <w:b/>
                <w:color w:val="212529"/>
                <w:sz w:val="20"/>
              </w:rPr>
              <w:t xml:space="preserve">2. Harmonization with Local Government Code: </w:t>
            </w:r>
            <w:r>
              <w:rPr>
                <w:rFonts w:ascii="Calibri" w:hAnsi="Calibri"/>
                <w:color w:val="212529"/>
                <w:sz w:val="20"/>
              </w:rPr>
              <w:t>Under Section 140 LGC, local governments are granted the exclusive power to levy amusement taxes on cinemas. Congress avoided double taxation by keeping cinema admissions outside the national VAT system.</w:t>
            </w:r>
          </w:p>
          <w:p>
            <w:pPr>
              <w:spacing w:before="20" w:after="40" w:line="276" w:lineRule="auto"/>
            </w:pPr>
            <w:r>
              <w:rPr>
                <w:rFonts w:ascii="Calibri" w:hAnsi="Calibri"/>
                <w:b/>
                <w:color w:val="212529"/>
                <w:sz w:val="20"/>
              </w:rPr>
              <w:t xml:space="preserve">3. Administrative Regulations Cannot Legislate: </w:t>
            </w:r>
            <w:r>
              <w:rPr>
                <w:rFonts w:ascii="Calibri" w:hAnsi="Calibri"/>
                <w:color w:val="212529"/>
                <w:sz w:val="20"/>
              </w:rPr>
              <w:t>RMC No. 28-2001 was an unauthorized exercise of administrative legislation that attempted to tax a service that the Legislature deliberately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Legislative History as an extrinsic aid. The legislative trail shows continuous, deliberate congressional refusal to include cinema exhibitions in VAT. The Court struck down the BIR circular for usurping the legislative power of Congress."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DECLARED RMC No. 28-2001 NULL AND VOID for imposing an unauthorized tax on cinema admissions.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SM Prime won; the cinema VAT assessment and BIR circular were declared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voided the BIR circular and cancelled the VAT assessment on cinema tickets under the doctrine of Legislative History."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c. Legislative History &amp; e. Contemporaneous Construction (Movie Theaters VAT Exemption)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statutes are construed strictly against the government; taxes cannot be created by administrative regulation.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Legislative history and amendments reveal the true statutory boundaries of the VAT law.</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BIR cannot usurp the constitutional power of Congress to impose new taxes.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c. Legislative History &amp; e. Contemporaneous Construction (Movie Theaters VAT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laws are strictly construed against the government; administrative circulars cannot expand the VAT base)</w:t>
              <w:br/>
              <w:br/>
              <w:t>Secondary:</w:t>
              <w:br/>
              <w:t>• Optima statuti interpretatrix (legislative history as guide)</w:t>
              <w:br/>
              <w:t>• Potestas delegata non delegari potest (administrative agencies cannot legislate)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issued an administrative circular that created a new tax on cinema tickets in direct violation of the legislative history of the Tax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Tracing the history of how a law was changed over the years proves what Congress wanted, preventing tax agencies from inventing new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SM Prime Holdings is the leading case on Legislative History as an extrinsic aid to invalidate unauthorized administrative tax regulations."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SM Prime Holdings, Inc. and First Asia Realty Development Corp.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183505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26,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issued an administrative circular that created a new tax on cinema tickets in direct violation of the legislative history of the Tax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SM Prime Holdings, Inc. and First Asia Realty Development Corp.,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issued an administrative circular that created a new tax on cinema tickets in direct violation of the legislativ...</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DECLARED RMC No. 28-2001 NULL AND VOID for imposing an unauthorized tax on cinema admissions.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issued an administrative circular that created a new tax on cinema tickets in direct violation of the legislative history of the Tax.</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Legislative History as a Constraint on Executive Agencies: The legislative history and evolution of a statute serve as an authoritative extrinsic aid to prevent administrative agencies from expanding tax liabilities beyond statutory boundaries.</w:t>
              <w:br/>
              <w:t xml:space="preserve">   - Result: 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history as guide)</w:t>
              <w:br/>
              <w:t>• Potestas delegata non delegari potest (administrative agencies cannot legislate)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SM Prime Holdings, Inc. and First Asia Realty Development Corp. to mean and apply strictly in accordance with Strictissimi juris, holding that No. The legislative history shows Congress deliberately left out cinema tickets from VAT because local cities already tax movie tickets with an amusement tax.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Tracing the history of how a law was changed over the years proves what Congress wanted, preventing tax agencies from inventing new taxes.</w:t>
            </w:r>
          </w:p>
        </w:tc>
      </w:tr>
    </w:tbl>
    <w:p>
      <w:r>
        <w:br w:type="page"/>
      </w:r>
    </w:p>
    <w:p>
      <w:pPr>
        <w:keepNext/>
        <w:spacing w:before="320" w:after="80"/>
      </w:pPr>
      <w:r>
        <w:rPr>
          <w:rFonts w:ascii="Arial" w:hAnsi="Arial"/>
          <w:b/>
          <w:color w:val="0F2043"/>
          <w:sz w:val="26"/>
        </w:rPr>
        <w:t>42. LAXAMANA V. BALTAZAR</w:t>
      </w:r>
    </w:p>
    <w:p>
      <w:pPr>
        <w:spacing w:before="40" w:after="80" w:line="276" w:lineRule="auto"/>
      </w:pPr>
      <w:r>
        <w:rPr>
          <w:rFonts w:ascii="Calibri" w:hAnsi="Calibri"/>
          <w:b/>
          <w:color w:val="212529"/>
          <w:sz w:val="21"/>
        </w:rPr>
        <w:t xml:space="preserve">Citation: </w:t>
      </w:r>
      <w:r>
        <w:rPr>
          <w:rFonts w:ascii="Calibri" w:hAnsi="Calibri"/>
          <w:i/>
          <w:color w:val="212529"/>
          <w:sz w:val="21"/>
        </w:rPr>
        <w:t>G.R. No. L-5955 | September 19, 1952 | 92 Phil. 32 | En Banc | Ponente: J. Bengzon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Laxamana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Flaviano Baltazar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Quo Warranto)</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Quo Warranto concerning whether the Vice-Mayor or a Provincial Governor's appointee succeeds as Mayor during the temporary suspension of the Municipal Mayor under Section 2195 of the Revised Administrative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of a town was suspended. The Provincial Governor appointed an outsider to act as mayor. The elected Vice-Mayor filed a lawsuit, arguing that the Administrative Code explicitly says that when the mayor is suspended, the vice-mayor takes over the duties. The outsider argued that the Election Code gave the Governor the right to fill vacancies. The Supreme Court investigated the legislative history of local government succession and ruled that Section 2195 specifically provides for automatic temporary succession by the vice-mayor, which prevails over the general vacancy power of the Governor.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Vice-Mayor automatically take over when the Mayor is suspended, or can the Governor appoint someone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Vice-Mayor succeeds to the office during temporary suspension of the Mayor under Section 2195 of the Administrative Code, testing Legislative History and Generalia Specialibus Non Derogant."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Legislative History as an Extrinsic Aid and Generalia specialibus non derogant, Section 2195 of the Revised Administrative Code specifically mandates automatic temporary succession by the Vice-Mayor. The Governor has no power to appoint a substitute where the law provides an automatic successor."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2195, Revised Administrative Code: </w:t>
            </w:r>
            <w:r>
              <w:rPr>
                <w:rFonts w:ascii="Calibri" w:hAnsi="Calibri"/>
                <w:color w:val="212529"/>
                <w:sz w:val="20"/>
              </w:rPr>
              <w:t>Specific provision mandating that upon the absence, suspension, or temporary disability of the mayor, his duties shall be discharged by the vice-mayor.</w:t>
            </w:r>
          </w:p>
          <w:p>
            <w:pPr>
              <w:spacing w:before="20" w:after="40" w:line="276" w:lineRule="auto"/>
            </w:pPr>
            <w:r>
              <w:rPr>
                <w:rFonts w:ascii="Calibri" w:hAnsi="Calibri"/>
                <w:b/>
                <w:color w:val="212529"/>
                <w:sz w:val="20"/>
              </w:rPr>
              <w:t xml:space="preserve">2. Section 21(a), Revised Election Code: </w:t>
            </w:r>
            <w:r>
              <w:rPr>
                <w:rFonts w:ascii="Calibri" w:hAnsi="Calibri"/>
                <w:color w:val="212529"/>
                <w:sz w:val="20"/>
              </w:rPr>
              <w:t>General provision governing the filling of vacancies in municipal offices.</w:t>
            </w:r>
          </w:p>
          <w:p>
            <w:pPr>
              <w:spacing w:before="20" w:after="40" w:line="276" w:lineRule="auto"/>
            </w:pPr>
            <w:r>
              <w:rPr>
                <w:rFonts w:ascii="Calibri" w:hAnsi="Calibri"/>
                <w:b/>
                <w:color w:val="212529"/>
                <w:sz w:val="20"/>
              </w:rPr>
              <w:t xml:space="preserve">3. Generalia Specialibus Non Derogant (general provisions yield to special provisions): </w:t>
            </w:r>
            <w:r>
              <w:rPr>
                <w:rFonts w:ascii="Calibri" w:hAnsi="Calibri"/>
                <w:color w:val="212529"/>
                <w:sz w:val="20"/>
              </w:rPr>
              <w:t>The specific automatic succession rule for temporary disability controls over general vacancy filling.</w:t>
            </w:r>
          </w:p>
          <w:p>
            <w:pPr>
              <w:spacing w:before="20" w:after="40" w:line="276" w:lineRule="auto"/>
            </w:pPr>
            <w:r>
              <w:rPr>
                <w:rFonts w:ascii="Calibri" w:hAnsi="Calibri"/>
                <w:b/>
                <w:color w:val="212529"/>
                <w:sz w:val="20"/>
              </w:rPr>
              <w:t xml:space="preserve">4. Legislative History as an Extrinsic Aid: </w:t>
            </w:r>
            <w:r>
              <w:rPr>
                <w:rFonts w:ascii="Calibri" w:hAnsi="Calibri"/>
                <w:color w:val="212529"/>
                <w:sz w:val="20"/>
              </w:rPr>
              <w:t>The historical evolution of municipal administration laws confirms the statutory policy of succession through the vice-mayor.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2195 RAC, Section 21(a) Election Code, Generalia Specialibus Non Derogant, and Legislative History.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2195 of the Revised Administrative Code, applied under Generalia specialibus non derogant (general laws yield to special provisions) and Legislative History as an Extrinsic Aid."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Municipal Succession: </w:t>
            </w:r>
            <w:r>
              <w:rPr>
                <w:rFonts w:ascii="Calibri" w:hAnsi="Calibri"/>
                <w:color w:val="212529"/>
                <w:sz w:val="20"/>
              </w:rPr>
              <w:t>The historical purpose of creating the office of Vice-Mayor was precisely to have a readily available, democratically elected substitute to assume executive duties instantly during the mayor's temporary absence or disability.</w:t>
            </w:r>
          </w:p>
          <w:p>
            <w:pPr>
              <w:spacing w:before="20" w:after="40" w:line="276" w:lineRule="auto"/>
            </w:pPr>
            <w:r>
              <w:rPr>
                <w:rFonts w:ascii="Calibri" w:hAnsi="Calibri"/>
                <w:b/>
                <w:color w:val="212529"/>
                <w:sz w:val="20"/>
              </w:rPr>
              <w:t xml:space="preserve">2. Distinction Between Permanent Vacancy and Temporary Disability: </w:t>
            </w:r>
            <w:r>
              <w:rPr>
                <w:rFonts w:ascii="Calibri" w:hAnsi="Calibri"/>
                <w:color w:val="212529"/>
                <w:sz w:val="20"/>
              </w:rPr>
              <w:t>Section 21(a) of the Election Code governs permanent vacancies (death, permanent resignation, removal). Section 2195 of the Administrative Code specifically governs temporary suspensions.</w:t>
            </w:r>
          </w:p>
          <w:p>
            <w:pPr>
              <w:spacing w:before="20" w:after="40" w:line="276" w:lineRule="auto"/>
            </w:pPr>
            <w:r>
              <w:rPr>
                <w:rFonts w:ascii="Calibri" w:hAnsi="Calibri"/>
                <w:b/>
                <w:color w:val="212529"/>
                <w:sz w:val="20"/>
              </w:rPr>
              <w:t xml:space="preserve">3. Democratic Will of the Electorate: </w:t>
            </w:r>
            <w:r>
              <w:rPr>
                <w:rFonts w:ascii="Calibri" w:hAnsi="Calibri"/>
                <w:color w:val="212529"/>
                <w:sz w:val="20"/>
              </w:rPr>
              <w:t>The electorate elected the Vice-Mayor with the expectation that he would step into the Mayor's shoes when needed; executive appointment of a political favorite violates the statutory scheme.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legislative history of municipal governance. The specific text of Section 2195 RAC guarantees automatic succession by the Vice-Mayor during temporary suspensions. Under Generalia Specialibus Non Derogant, this specific rule defeats general gubernatorial vacancy powers."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Quo Warranto, OUSTED respondent Baltazar, and DECLARED petitioner Vice-Mayor Jose Laxamana entitled to discharge the duties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Vice-Mayor won and was declared the rightful acting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ousted the Governor's appointee and declared the Vice-Mayor the lawful acting Mayor under Section 2195 RAC."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c. Legislative History &amp; Legislative Evolution (RAC Sec. 2195 / Vice-Mayor Succession)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temporary succession rule in Section 2195 RAC prevails over general vacancy provisions in the Election Code.</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reason for creating the vice-mayoralty is to ensure continuous democratic local executive succession.</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Respecting the democratic choice of the voters for Vice-Mayor preserves local government stability.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c. Legislative History &amp; Legislative Evolution (RAC Sec. 2195 / Vice-Mayor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temporary succession rule for Vice-Mayor under Section 2195 RAC overrides general vacancy powers)</w:t>
              <w:br/>
              <w:br/>
              <w:t>Secondary:</w:t>
              <w:br/>
              <w:t>• Ratio legis est anima legis (purpose of the vice-mayoralty)</w:t>
              <w:br/>
              <w:t>• Salus populi est suprema lex (democratic electoral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Provincial Governor attempted to use a general vacancy statute to override the specific statutory succession mechanism enacted for the Vice-Mayor.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specific law saying 'the vice-mayor takes over when the mayor is suspended' beats a general law about appointing replacements.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Laxamana v. Baltazar is the foundational jurisprudence harmonizing local government succession through Legislative History and Generalia specialibus non derogant."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Laxamana v. Baltazar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L-5955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19,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Provincial Governor attempted to use a general vacancy statute to override the specific statutory succession mechanism enacted for the Vice-Mayor.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Laxamana v. Baltazar,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Provincial Governor attempted to use a general vacancy statute to override the specific statutory succession mechani...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Quo Warranto, OUSTED respondent Baltazar, and DECLARED petitioner Vice-Mayor Jose Laxamana entitled to discharge the duties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Provincial Governor attempted to use a general vacancy statute to override the specific statutory succession mechanism enacted for the V.</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Specific Succession Provisions: Where a statute creates an automatic line of succession for temporary disability, executive appointing authorities cannot create artificial vacancies to install political appointees.</w:t>
              <w:br/>
              <w:t xml:space="preserve">   - Result: 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(purpose of the vice-mayoralty)</w:t>
              <w:br/>
              <w:t>• Salus populi est suprema lex (democratic electoral succession)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Laxamana v. Baltazar to mean and apply strictly in accordance with Generalia specialibus non derogant, holding that Yes. The law specifically says the Vice-Mayor takes over when the Mayor is suspended. The Governor's general power to fill permanent vacancies cannot be used to.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specific law saying 'the vice-mayor takes over when the mayor is suspended' beats a general law about appointing replacements.</w:t>
            </w:r>
          </w:p>
        </w:tc>
      </w:tr>
    </w:tbl>
    <w:p>
      <w:r>
        <w:br w:type="page"/>
      </w:r>
    </w:p>
    <w:p>
      <w:pPr>
        <w:keepNext/>
        <w:spacing w:before="320" w:after="80"/>
      </w:pPr>
      <w:r>
        <w:rPr>
          <w:rFonts w:ascii="Arial" w:hAnsi="Arial"/>
          <w:b/>
          <w:color w:val="0F2043"/>
          <w:sz w:val="26"/>
        </w:rPr>
        <w:t>43. RUSTAN ANG V. COURT OF APPEALS AND IRISH SAGUD</w:t>
      </w:r>
    </w:p>
    <w:p>
      <w:pPr>
        <w:spacing w:before="40" w:after="80" w:line="276" w:lineRule="auto"/>
      </w:pPr>
      <w:r>
        <w:rPr>
          <w:rFonts w:ascii="Calibri" w:hAnsi="Calibri"/>
          <w:b/>
          <w:color w:val="212529"/>
          <w:sz w:val="21"/>
        </w:rPr>
        <w:t xml:space="preserve">Citation: </w:t>
      </w:r>
      <w:r>
        <w:rPr>
          <w:rFonts w:ascii="Calibri" w:hAnsi="Calibri"/>
          <w:i/>
          <w:color w:val="212529"/>
          <w:sz w:val="21"/>
        </w:rPr>
        <w:t>G.R. No. 182835 | April 20, 2010 | 618 SCRA 592 | Third Division | Ponente: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Rustan Ang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Irish Sagud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Baguio City (Branch 6)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obscene picture messages (MMS) sent via cellular phone constitute 'electronic documents' under the Rules on Electronic Evidence and Republic Act No. 8792 (E-Commerce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sent naked pictures of his ex-girlfriend via cell phone MMS to blackmailed her. In court, prosecutors presented photos of the cell phone screen showing the messages. The man argued that the digital messages were inadmissible because the Electronic Evidence Rules only apply to computers, not cell phones! The Supreme Court rejected his argument, using Extrinsic Aids and contemporaneous technological realities to rule that cell phone messages are electronic documents.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cell phone text and picture messages considered 'electronic documents' that can be used as evidence in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SMS and MMS cellular communications qualify as electronic documents under the Rules on Electronic Evidence, testing Contemporaneous Construction and Extrinsic Aids in interpreting modern technological terms."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Contemporaneous Construction and purposive interpretation of the Rules on Electronic Evidence (A.M. No. 01-7-01-SC) in relation to RA 8792, cellular phone text messages (SMS) and multimedia messages (MMS) constitute electronic documents and are admissible in evidence."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Rule 2, Section 1(h), Rules on Electronic Evidence (A.M. No. 01-7-01-SC): </w:t>
            </w:r>
            <w:r>
              <w:rPr>
                <w:rFonts w:ascii="Calibri" w:hAnsi="Calibri"/>
                <w:color w:val="212529"/>
                <w:sz w:val="20"/>
              </w:rPr>
              <w:t>Defines electronic documents to include information generated, received, or stored by electronic, optical, or similar means.</w:t>
            </w:r>
          </w:p>
          <w:p>
            <w:pPr>
              <w:spacing w:before="20" w:after="40" w:line="276" w:lineRule="auto"/>
            </w:pPr>
            <w:r>
              <w:rPr>
                <w:rFonts w:ascii="Calibri" w:hAnsi="Calibri"/>
                <w:b/>
                <w:color w:val="212529"/>
                <w:sz w:val="20"/>
              </w:rPr>
              <w:t xml:space="preserve">2. Republic Act No. 8792 (Electronic Commerce Act of 2000): </w:t>
            </w:r>
            <w:r>
              <w:rPr>
                <w:rFonts w:ascii="Calibri" w:hAnsi="Calibri"/>
                <w:color w:val="212529"/>
                <w:sz w:val="20"/>
              </w:rPr>
              <w:t>Statutory recognition of electronic data messages and digital signatures.</w:t>
            </w:r>
          </w:p>
          <w:p>
            <w:pPr>
              <w:spacing w:before="20" w:after="40" w:line="276" w:lineRule="auto"/>
            </w:pPr>
            <w:r>
              <w:rPr>
                <w:rFonts w:ascii="Calibri" w:hAnsi="Calibri"/>
                <w:b/>
                <w:color w:val="212529"/>
                <w:sz w:val="20"/>
              </w:rPr>
              <w:t xml:space="preserve">3. Contemporanea Expositio Est Optima Et Fortissima In Lege (contemporaneous exposition is the best and strongest in the law): </w:t>
            </w:r>
            <w:r>
              <w:rPr>
                <w:rFonts w:ascii="Calibri" w:hAnsi="Calibri"/>
                <w:color w:val="212529"/>
                <w:sz w:val="20"/>
              </w:rPr>
              <w:t>Evidentiary rules are interpreted in light of existing technological realities to achieve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RA 8792, and Contemporaneous Construction in modern technology.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Rule 2 of the Rules on Electronic Evidence and RA 8792, interpreted under Contemporanea expositio est optima et fortissima in lege (contemporaneous exposition is the best in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Technological Breadth of 'Electronic Document': </w:t>
            </w:r>
            <w:r>
              <w:rPr>
                <w:rFonts w:ascii="Calibri" w:hAnsi="Calibri"/>
                <w:color w:val="212529"/>
                <w:sz w:val="20"/>
              </w:rPr>
              <w:t>An electronic document is not confined to desktop computer files. Modern cell phones process and store digital data electronically. An SMS or MMS is an electronic data message generated and stored by electronic means.</w:t>
            </w:r>
          </w:p>
          <w:p>
            <w:pPr>
              <w:spacing w:before="20" w:after="40" w:line="276" w:lineRule="auto"/>
            </w:pPr>
            <w:r>
              <w:rPr>
                <w:rFonts w:ascii="Calibri" w:hAnsi="Calibri"/>
                <w:b/>
                <w:color w:val="212529"/>
                <w:sz w:val="20"/>
              </w:rPr>
              <w:t xml:space="preserve">2. Purposive Construction of Remedial Rules: </w:t>
            </w:r>
            <w:r>
              <w:rPr>
                <w:rFonts w:ascii="Calibri" w:hAnsi="Calibri"/>
                <w:color w:val="212529"/>
                <w:sz w:val="20"/>
              </w:rPr>
              <w:t>The Supreme Court promulgated the Rules on Electronic Evidence precisely to modernize the administration of justice and accommodate digital communications.</w:t>
            </w:r>
          </w:p>
          <w:p>
            <w:pPr>
              <w:spacing w:before="20" w:after="40" w:line="276" w:lineRule="auto"/>
            </w:pPr>
            <w:r>
              <w:rPr>
                <w:rFonts w:ascii="Calibri" w:hAnsi="Calibri"/>
                <w:b/>
                <w:color w:val="212529"/>
                <w:sz w:val="20"/>
              </w:rPr>
              <w:t xml:space="preserve">3. Admissibility of Ephemeral Communications: </w:t>
            </w:r>
            <w:r>
              <w:rPr>
                <w:rFonts w:ascii="Calibri" w:hAnsi="Calibri"/>
                <w:color w:val="212529"/>
                <w:sz w:val="20"/>
              </w:rPr>
              <w:t>Digital photos of cell phone screens displaying MMS messages are admissible as secondary or direct evidence of the communication when properly authenticated.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progressive contemporaneous construction. Evidentiary rules must keep pace with technological evolution. The Court held that cell phone SMS and MMS messages fall squarely within the definition of electronic data messages under RA 8792 and the Electronic Evidence Rules."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Ang's petition, AFFIRMED the admissibility of the MMS messages, and UPHELD his criminal conviction.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was affirmed and the cell phone MMS evidence was ruled completely admissible.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holding that cellular SMS/MMS messages are electronic documents admissible under the Rules on Electronic Evidence."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f. Dictionaries &amp; Ordinary Meaning (Rules on Electronic Evidence / Ephemeral Communications)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Contemporanea expositio est optima et fortissima in lege (contemporaneous exposition is the best and strongest in the law)</w:t>
              <w:br/>
            </w:r>
            <w:r>
              <w:rPr>
                <w:rFonts w:ascii="Calibri" w:hAnsi="Calibri"/>
                <w:b/>
                <w:color w:val="212529"/>
                <w:sz w:val="19"/>
              </w:rPr>
              <w:t xml:space="preserve">   • Literal English Translation: </w:t>
            </w:r>
            <w:r>
              <w:rPr>
                <w:rFonts w:ascii="Calibri" w:hAnsi="Calibri"/>
                <w:i/>
                <w:color w:val="212529"/>
                <w:sz w:val="19"/>
              </w:rPr>
              <w:t>Contemporaneous exposition is the best and strongest in law.</w:t>
              <w:br/>
            </w:r>
            <w:r>
              <w:rPr>
                <w:rFonts w:ascii="Calibri" w:hAnsi="Calibri"/>
                <w:b/>
                <w:color w:val="212529"/>
                <w:sz w:val="19"/>
              </w:rPr>
              <w:t xml:space="preserve">   • Plain Legal Meaning &amp; StatCon Application: </w:t>
            </w:r>
            <w:r>
              <w:rPr>
                <w:rFonts w:ascii="Calibri" w:hAnsi="Calibri"/>
                <w:color w:val="212529"/>
                <w:sz w:val="19"/>
              </w:rPr>
              <w:t>Remedial rules must be construed in harmony with contemporary technological realities.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Rules on Electronic Evidence must be construed to make electronic proof effective in criminal prosecutions.</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exclude mobile phone digital data from the scope of electronic evidence.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f. Dictionaries &amp; Ordinary Meaning (Rules on Electronic Evidence / Ephemeral Communications)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est optima et fortissima in lege</w:t>
              <w:br/>
              <w:t>(contemporaneous exposition is the best in law / evidentiary rules must be construed to embrace contemporary mobile and digital technologies)</w:t>
              <w:br/>
              <w:br/>
              <w:t>Secondary:</w:t>
              <w:br/>
              <w:t>• Ut res magis valeat quam pereat (construction to preserve evidentiary efficacy)</w:t>
              <w:br/>
              <w:t>• Lex non intendit absurdum (avoiding absurd evidentiary exclusions)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construct a pedantic distinction between computers and mobile phones to exclude incriminating digital evidence.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Progressive Construction of Evidentiary Codes: Procedural and evidentiary rules must be given an expansive, progressive construction to encompass evolving technologies and digital communications.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must be interpreted to include smartphones and modern apps, not just ancient desktop computers.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Ang v. Court of Appeals is the leading case on the progressive contemporaneous construction of electronic evidence rules, confirming that SMS/MMS messages are electronic documents."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Rustan Ang v. Court of Appeals and Irish Sagud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182835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Rustan Ang v. Court of Appeals and Irish Sagud, under the canon of Contemporanea expositio est optima et fortissima in lege.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construct a pedantic distinction between computers and mobile phones to exclude incriminatin...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Ang's petition, AFFIRMED the admissibility of the MMS messages, and UPHELD his criminal conviction.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est optima et fortissima in lege</w:t>
              <w:br/>
              <w:t xml:space="preserve">   - Application: Progressive Construction of Evidentiary Codes: Procedural and evidentiary rules must be given an expansive, progressive construction to encompass evolving technologies and digital communications.</w:t>
              <w:br/>
              <w:t xml:space="preserve">   - Result: 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evidentiary efficacy)</w:t>
              <w:br/>
              <w:t>• Lex non intendit absurdum (avoiding absurd evidentiary exclusions)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Rustan Ang v. Court of Appeals and Irish Sagud to mean and apply strictly in accordance with Contemporanea expositio est optima et fortissima in lege, holding that Yes. Cell phones are pocket computers. A digital text message or picture message stored on a phone is an electronic document. Evidentiary rules must be interpre.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est optima et fortissima in lege,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Progressive Construction of Evidentiary Codes: Procedural and evidentiary rules must be given an expansive, progressive construction to encompass evolving technologies and digital communications.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on electronic evidence must be interpreted to include smartphones and modern apps, not just ancient desktop computers.</w:t>
            </w:r>
          </w:p>
        </w:tc>
      </w:tr>
    </w:tbl>
    <w:p>
      <w:r>
        <w:br w:type="page"/>
      </w:r>
    </w:p>
    <w:p>
      <w:pPr>
        <w:keepNext/>
        <w:spacing w:before="320" w:after="80"/>
      </w:pPr>
      <w:r>
        <w:rPr>
          <w:rFonts w:ascii="Arial" w:hAnsi="Arial"/>
          <w:b/>
          <w:color w:val="0F2043"/>
          <w:sz w:val="26"/>
        </w:rPr>
        <w:t>44. ALVAREZ V. GUINGONA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118303 | January 31, 1996 | 252 SCRA 695 | En Banc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Alvarez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Teofisto Guingona,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Prohibition challenging the constitutionality of Republic Act No. 7720 converting the Municipality of Santiago, Isabela into an independent component city under the Enrolled Bill Doctrine.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citizens challenged the law that turned the town of Santiago, Isabela into a city, claiming the law was unconstitutional because the Senate started working on the bill before the House finished it, citing entries in the legislative journals. The government defended the law using the Enrolled Bill Doctrine, showing that the final official copy of the bill was formally signed by the Senate President, Speaker of the House, and President of the Philippines. The Supreme Court upheld the city charter, ruling that the Enrolled Bill is conclusive evidence of the regular passage of a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officially signed copy of a law (Enrolled Bill) beat journal notes when someone challenges how the law was passed in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7720 is constitutional under the Enrolled Bill Doctrine, testing whether an Enrolled Bill is conclusive proof of regular enactment over conflicting entries in Congressional Journals."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Enrolled Bill Doctrine and the principle of separation of powers, an enrolled bill signed by the Senate President and House Speaker carries absolute verity and is conclusive upon the courts as to the regular passage of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 Section 24 and 26, 1987 Constitution: </w:t>
            </w:r>
            <w:r>
              <w:rPr>
                <w:rFonts w:ascii="Calibri" w:hAnsi="Calibri"/>
                <w:color w:val="212529"/>
                <w:sz w:val="20"/>
              </w:rPr>
              <w:t>Constitutional requirements for legislative enactment of local bills and enrolled bill certification.</w:t>
            </w:r>
          </w:p>
          <w:p>
            <w:pPr>
              <w:spacing w:before="20" w:after="40" w:line="276" w:lineRule="auto"/>
            </w:pPr>
            <w:r>
              <w:rPr>
                <w:rFonts w:ascii="Calibri" w:hAnsi="Calibri"/>
                <w:b/>
                <w:color w:val="212529"/>
                <w:sz w:val="20"/>
              </w:rPr>
              <w:t xml:space="preserve">2. The Enrolled Bill Doctrine: </w:t>
            </w:r>
            <w:r>
              <w:rPr>
                <w:rFonts w:ascii="Calibri" w:hAnsi="Calibri"/>
                <w:color w:val="212529"/>
                <w:sz w:val="20"/>
              </w:rPr>
              <w:t>An enrolled bill signed by the leaders of Congress imports absolute verity and is conclusive of its due enactment.</w:t>
            </w:r>
          </w:p>
          <w:p>
            <w:pPr>
              <w:spacing w:before="20" w:after="40" w:line="276" w:lineRule="auto"/>
            </w:pPr>
            <w:r>
              <w:rPr>
                <w:rFonts w:ascii="Calibri" w:hAnsi="Calibri"/>
                <w:b/>
                <w:color w:val="212529"/>
                <w:sz w:val="20"/>
              </w:rPr>
              <w:t xml:space="preserve">3. Presumption of Regularity and Constitutionality: </w:t>
            </w:r>
            <w:r>
              <w:rPr>
                <w:rFonts w:ascii="Calibri" w:hAnsi="Calibri"/>
                <w:color w:val="212529"/>
                <w:sz w:val="20"/>
              </w:rPr>
              <w:t>Official acts of the legislative and executive branches are presumed regular and valid under Omnia Praesumuntur Rite Esse Acta.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 1987 Constitution, Enrolled Bill Doctrine,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 of the Constitution, governed by the Enrolled Bill Doctrine and the presumption Omnia praesumuntur rite et solemniter esse acta (all acts are presumed to have been done regularly)."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Conclusiveness of the Enrolled Bill: </w:t>
            </w:r>
            <w:r>
              <w:rPr>
                <w:rFonts w:ascii="Calibri" w:hAnsi="Calibri"/>
                <w:color w:val="212529"/>
                <w:sz w:val="20"/>
              </w:rPr>
              <w:t>The enrolled copy of a bill, bearing the authentic signatures of the Speaker of the House and the President of the Senate, is the definitive, solemn declaration of the Legislature that the bill was regularly passed in compliance with constitutional procedures.</w:t>
            </w:r>
          </w:p>
          <w:p>
            <w:pPr>
              <w:spacing w:before="20" w:after="40" w:line="276" w:lineRule="auto"/>
            </w:pPr>
            <w:r>
              <w:rPr>
                <w:rFonts w:ascii="Calibri" w:hAnsi="Calibri"/>
                <w:b/>
                <w:color w:val="212529"/>
                <w:sz w:val="20"/>
              </w:rPr>
              <w:t xml:space="preserve">2. Judicial Non-Interference in Legislative Process: </w:t>
            </w:r>
            <w:r>
              <w:rPr>
                <w:rFonts w:ascii="Calibri" w:hAnsi="Calibri"/>
                <w:color w:val="212529"/>
                <w:sz w:val="20"/>
              </w:rPr>
              <w:t>To permit courts to examine legislative journals and second-guess the accuracy of legislative certifications would violate the separation of powers and create constitutional instability.</w:t>
            </w:r>
          </w:p>
          <w:p>
            <w:pPr>
              <w:spacing w:before="20" w:after="40" w:line="276" w:lineRule="auto"/>
            </w:pPr>
            <w:r>
              <w:rPr>
                <w:rFonts w:ascii="Calibri" w:hAnsi="Calibri"/>
                <w:b/>
                <w:color w:val="212529"/>
                <w:sz w:val="20"/>
              </w:rPr>
              <w:t xml:space="preserve">3. Originating in the House: </w:t>
            </w:r>
            <w:r>
              <w:rPr>
                <w:rFonts w:ascii="Calibri" w:hAnsi="Calibri"/>
                <w:color w:val="212529"/>
                <w:sz w:val="20"/>
              </w:rPr>
              <w:t>Article VI, Section 24 only requires that the legislative initiative for local bills begin in the House; the Senate has full constitutional power to propose or concur with amendments, including passing its own consolidated version.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Enrolled Bill Doctrine. The authentic signatures of the legislative leaders import absolute verity. Under the separation of powers and Omnia Praesumuntur Rite Esse Acta, the enrolled bill is conclusive proof of constitutional enactment."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constitutionality and validity of Republic Act No. 7720 creating the City of Santiago.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city charter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constitutionality of RA 7720, reaffirming the conclusive authority of the Enrolled Bill Doctrine."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c. Legislative History &amp; Congressional Debates (RA 7720 / IRA Allotment for City Conversion)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things are presumed to have been done regularly.</w:t>
              <w:br/>
            </w:r>
            <w:r>
              <w:rPr>
                <w:rFonts w:ascii="Calibri" w:hAnsi="Calibri"/>
                <w:b/>
                <w:color w:val="212529"/>
                <w:sz w:val="19"/>
              </w:rPr>
              <w:t xml:space="preserve">   • Plain Legal Meaning &amp; StatCon Application: </w:t>
            </w:r>
            <w:r>
              <w:rPr>
                <w:rFonts w:ascii="Calibri" w:hAnsi="Calibri"/>
                <w:color w:val="212529"/>
                <w:sz w:val="19"/>
              </w:rPr>
              <w:t>The enrolled bill is conclusively presumed to have been enacted in accordance with all constitutional rules.</w:t>
            </w:r>
          </w:p>
          <w:p>
            <w:pPr>
              <w:spacing w:before="40" w:after="60" w:line="276" w:lineRule="auto"/>
            </w:pPr>
            <w:r>
              <w:rPr>
                <w:rFonts w:ascii="Calibri" w:hAnsi="Calibri"/>
                <w:b/>
                <w:color w:val="8C3200"/>
                <w:sz w:val="20"/>
              </w:rPr>
              <w:t>2. Res judicata pro veritate accipitur (a matter adjudged is taken for truth)</w:t>
              <w:br/>
            </w:r>
            <w:r>
              <w:rPr>
                <w:rFonts w:ascii="Calibri" w:hAnsi="Calibri"/>
                <w:b/>
                <w:color w:val="212529"/>
                <w:sz w:val="19"/>
              </w:rPr>
              <w:t xml:space="preserve">   • Literal English Translation: </w:t>
            </w:r>
            <w:r>
              <w:rPr>
                <w:rFonts w:ascii="Calibri" w:hAnsi="Calibri"/>
                <w:i/>
                <w:color w:val="212529"/>
                <w:sz w:val="19"/>
              </w:rPr>
              <w:t>An official matter settled is accepted as truth.</w:t>
              <w:br/>
            </w:r>
            <w:r>
              <w:rPr>
                <w:rFonts w:ascii="Calibri" w:hAnsi="Calibri"/>
                <w:b/>
                <w:color w:val="212529"/>
                <w:sz w:val="19"/>
              </w:rPr>
              <w:t xml:space="preserve">   • Plain Legal Meaning &amp; StatCon Application: </w:t>
            </w:r>
            <w:r>
              <w:rPr>
                <w:rFonts w:ascii="Calibri" w:hAnsi="Calibri"/>
                <w:color w:val="212529"/>
                <w:sz w:val="19"/>
              </w:rPr>
              <w:t>The solemn certification of legislative leaders carries conclusive verity.</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legislative power to certify bills belongs exclusively to the leaders of Congress.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c. Legislative History &amp; Congressional Debates (RA 7720 / IRA Allotment for City Conversion)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the Enrolled Bill Doctrine is conclusive proof of regular legislative enactment)</w:t>
              <w:br/>
              <w:br/>
              <w:t>Secondary:</w:t>
              <w:br/>
              <w:t>• Res judicata pro veritate accipitur (conclusive verity of official acts)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undermine the solemn certification of Congress by using selective journal entries to attack an enrolled bill.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officially signed copy of a law by the leaders of Congress is the final, untouchable truth that the law was passed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Alvarez v. Guingona is the prime authority on the Enrolled Bill Doctrine: the enrolled copy of a statute prevails conclusively over legislative journals."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Alvarez v. Guingona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118303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Alvarez v. Guingona,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undermine the solemn certification of Congress by using selective journal entries to attack...</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constitutionality and validity of Republic Act No. 7720 creating the City of Santiago.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The Enrolled Bill Doctrine: An enrolled bill signed by the presiding officers of both Houses of Congress and approved by the President imports absolute verity and is conclusive upon the judiciary regarding constitutional compliance.</w:t>
              <w:br/>
              <w:t xml:space="preserve">   - Result: 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Res judicata pro veritate accipitur (conclusive verity of official acts)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Alvarez v. Guingona to mean and apply strictly in accordance with Omnia praesumuntur rite et solemniter esse acta, holding that Yes. When the heads of both Houses of Congress sign a law and send it to the President, that official paper (Enrolled Bill) is final and conclusive. Courts resp.</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officially signed copy of a law by the leaders of Congress is the final, untouchable truth that the law was passed properly.</w:t>
            </w:r>
          </w:p>
        </w:tc>
      </w:tr>
    </w:tbl>
    <w:p>
      <w:r>
        <w:br w:type="page"/>
      </w:r>
    </w:p>
    <w:p>
      <w:pPr>
        <w:keepNext/>
        <w:spacing w:before="320" w:after="80"/>
      </w:pPr>
      <w:r>
        <w:rPr>
          <w:rFonts w:ascii="Arial" w:hAnsi="Arial"/>
          <w:b/>
          <w:color w:val="0F2043"/>
          <w:sz w:val="26"/>
        </w:rPr>
        <w:t>45. BOIE-TAKEDA CHEMICALS, INC. AND PHILIPPINE INVESTMENT-MANAGEMENT CONSULTANTS (PHINMA) V. HON. DIONISIO DE LA SERNA</w:t>
      </w:r>
    </w:p>
    <w:p>
      <w:pPr>
        <w:spacing w:before="40" w:after="80" w:line="276" w:lineRule="auto"/>
      </w:pPr>
      <w:r>
        <w:rPr>
          <w:rFonts w:ascii="Calibri" w:hAnsi="Calibri"/>
          <w:b/>
          <w:color w:val="212529"/>
          <w:sz w:val="21"/>
        </w:rPr>
        <w:t xml:space="preserve">Citation: </w:t>
      </w:r>
      <w:r>
        <w:rPr>
          <w:rFonts w:ascii="Calibri" w:hAnsi="Calibri"/>
          <w:i/>
          <w:color w:val="212529"/>
          <w:sz w:val="21"/>
        </w:rPr>
        <w:t>G.R. No. 92174 | December 10, 1993 | 228 SCRA 329 | En Banc | Ponente: J. Feliciano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Boie-Takeda Chemicals, Inc. and PHINMA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Dionisio De La Serna, Undersecretary of Labor and Employment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Department of Labor and Employment (DOLE)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DOLE administrative order requiring the inclusion of sales commissions in the computation of 13th Month Pay under Presidential Decree No. 851.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Department of Labor ordered pharmaceutical companies to include sales commissions when calculating the mandatory 13th Month Pay of sales agents. The companies objected, pointing out that the 13th Month Pay Law (PD 851) explicitly defines 'basic salary' as regular pay EXCLUDING commissions, allowances, and bonuses. The Supreme Court ruled in favor of the employers, holding that while executive agencies give contemporaneous construction, an administrative official cannot rewrite a statute or add items that the law explicitly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Department of Labor order companies to include sales commissions in 13th month pay when the statute explicitly excludes commissions from 'basic salary'?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sales commissions form part of 'basic salary' under PD 851, testing the limits of Contemporaneous Administrative Construction versus Verba Legis (the words of the law) and Expressio Unius."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Sales commissions are EXCLUDED from the computation of 'basic salary' under P.D. No. 851. Contemporaneous administrative construction CANNOT supersede, expand, or alter the clear, explicit statutory definition enacted by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Expressio unius est exclusio alterius, PD 851 and its original rules explicitly excluded commissions from 'basic salary'. Contemporaneous administrative construction is an extrinsic aid of secondary rank; it cannot be used to rewrite the statute or impose obligations not authorized by the decree."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851 (The 13th Month Pay Law): </w:t>
            </w:r>
            <w:r>
              <w:rPr>
                <w:rFonts w:ascii="Calibri" w:hAnsi="Calibri"/>
                <w:color w:val="212529"/>
                <w:sz w:val="20"/>
              </w:rPr>
              <w:t>Mandates payment of 13th month pay based on 'basic salary'.</w:t>
            </w:r>
          </w:p>
          <w:p>
            <w:pPr>
              <w:spacing w:before="20" w:after="40" w:line="276" w:lineRule="auto"/>
            </w:pPr>
            <w:r>
              <w:rPr>
                <w:rFonts w:ascii="Calibri" w:hAnsi="Calibri"/>
                <w:b/>
                <w:color w:val="212529"/>
                <w:sz w:val="20"/>
              </w:rPr>
              <w:t xml:space="preserve">2. Original Implementing Rules of PD 851 (December 22, 1975): </w:t>
            </w:r>
            <w:r>
              <w:rPr>
                <w:rFonts w:ascii="Calibri" w:hAnsi="Calibri"/>
                <w:color w:val="212529"/>
                <w:sz w:val="20"/>
              </w:rPr>
              <w:t>Explicitly defines basic salary as excluding commissions, allowances, and bonuses.</w:t>
            </w:r>
          </w:p>
          <w:p>
            <w:pPr>
              <w:spacing w:before="20" w:after="40" w:line="276" w:lineRule="auto"/>
            </w:pPr>
            <w:r>
              <w:rPr>
                <w:rFonts w:ascii="Calibri" w:hAnsi="Calibri"/>
                <w:b/>
                <w:color w:val="212529"/>
                <w:sz w:val="20"/>
              </w:rPr>
              <w:t xml:space="preserve">3. Limits of Contemporaneous Construction: </w:t>
            </w:r>
            <w:r>
              <w:rPr>
                <w:rFonts w:ascii="Calibri" w:hAnsi="Calibri"/>
                <w:color w:val="212529"/>
                <w:sz w:val="20"/>
              </w:rPr>
              <w:t>Administrative interpretation is entitled to great respect, but must yield when it is contrary to the clear text and purpose of the statute.</w:t>
            </w:r>
          </w:p>
          <w:p>
            <w:pPr>
              <w:spacing w:before="20" w:after="40" w:line="276" w:lineRule="auto"/>
            </w:pPr>
            <w:r>
              <w:rPr>
                <w:rFonts w:ascii="Calibri" w:hAnsi="Calibri"/>
                <w:b/>
                <w:color w:val="212529"/>
                <w:sz w:val="20"/>
              </w:rPr>
              <w:t xml:space="preserve">4. Verba Legis Non Est Recedendum (from the words of the statute there should be no departure): </w:t>
            </w:r>
            <w:r>
              <w:rPr>
                <w:rFonts w:ascii="Calibri" w:hAnsi="Calibri"/>
                <w:color w:val="212529"/>
                <w:sz w:val="20"/>
              </w:rPr>
              <w:t>The statutory phrase 'basic salary' cannot be judicially or administratively inflated.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851, Original Implementing Rules, Limits of Contemporaneous Construction,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851, governed by Verba legis non est recedendum (from statutory words no departure) and the principle that Contemporaneous Administrative Construction cannot expand substantive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Meaning of 'Basic Salary': </w:t>
            </w:r>
            <w:r>
              <w:rPr>
                <w:rFonts w:ascii="Calibri" w:hAnsi="Calibri"/>
                <w:color w:val="212529"/>
                <w:sz w:val="20"/>
              </w:rPr>
              <w:t>The word 'basic' means fundamental, foundational, and standard. It refers to the fixed regular compensation, in contrast to variable, fluctuating productivity incentives like sales commissions.</w:t>
            </w:r>
          </w:p>
          <w:p>
            <w:pPr>
              <w:spacing w:before="20" w:after="40" w:line="276" w:lineRule="auto"/>
            </w:pPr>
            <w:r>
              <w:rPr>
                <w:rFonts w:ascii="Calibri" w:hAnsi="Calibri"/>
                <w:b/>
                <w:color w:val="212529"/>
                <w:sz w:val="20"/>
              </w:rPr>
              <w:t xml:space="preserve">2. Subordination of Executive Construction: </w:t>
            </w:r>
            <w:r>
              <w:rPr>
                <w:rFonts w:ascii="Calibri" w:hAnsi="Calibri"/>
                <w:color w:val="212529"/>
                <w:sz w:val="20"/>
              </w:rPr>
              <w:t>The DOLE cannot expand the burden on employers by reinterpreting 'basic salary' through administrative circulars. Administrative interpretation cannot prevail over the clear statutory text.</w:t>
            </w:r>
          </w:p>
          <w:p>
            <w:pPr>
              <w:spacing w:before="20" w:after="40" w:line="276" w:lineRule="auto"/>
            </w:pPr>
            <w:r>
              <w:rPr>
                <w:rFonts w:ascii="Calibri" w:hAnsi="Calibri"/>
                <w:b/>
                <w:color w:val="212529"/>
                <w:sz w:val="20"/>
              </w:rPr>
              <w:t xml:space="preserve">3. Protection of Business Predictability: </w:t>
            </w:r>
            <w:r>
              <w:rPr>
                <w:rFonts w:ascii="Calibri" w:hAnsi="Calibri"/>
                <w:color w:val="212529"/>
                <w:sz w:val="20"/>
              </w:rPr>
              <w:t>Forcing employers to pay 13th month bonuses on top of variable sales commissions contradicts the legislative compromise embodied in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defined the limits of administrative contemporaneous construction. Administrative agencies must execute the law, not amend it. Since PD 851 explicitly restricted 13th month pay to 'basic salary' excluding commissions, the DOLE order was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DOLE order, and DECLARED that sales commissions are excluded from 13th month pay computation under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employers won and the DOLE order forcing commissions into 13th month pay was nullified.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DOLE order, holding that sales commissions cannot be included in basic salary under PD 851."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e. Contemporaneous Construction (PD 851 13th Month Pay / Basic Salary Definition)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definition of 'basic salary' cannot be expanded by administrative fiat.</w:t>
            </w:r>
          </w:p>
          <w:p>
            <w:pPr>
              <w:spacing w:before="40" w:after="60" w:line="276" w:lineRule="auto"/>
            </w:pPr>
            <w:r>
              <w:rPr>
                <w:rFonts w:ascii="Calibri" w:hAnsi="Calibri"/>
                <w:b/>
                <w:color w:val="8C3200"/>
                <w:sz w:val="20"/>
              </w:rPr>
              <w:t>2. Contemporanea expositio non praevalet contra expressam legem (contemporaneous exposition does not prevail against express law)</w:t>
              <w:br/>
            </w:r>
            <w:r>
              <w:rPr>
                <w:rFonts w:ascii="Calibri" w:hAnsi="Calibri"/>
                <w:b/>
                <w:color w:val="212529"/>
                <w:sz w:val="19"/>
              </w:rPr>
              <w:t xml:space="preserve">   • Literal English Translation: </w:t>
            </w:r>
            <w:r>
              <w:rPr>
                <w:rFonts w:ascii="Calibri" w:hAnsi="Calibri"/>
                <w:i/>
                <w:color w:val="212529"/>
                <w:sz w:val="19"/>
              </w:rPr>
              <w:t>Contemporaneous construction does not prevail over clear statutory text.</w:t>
              <w:br/>
            </w:r>
            <w:r>
              <w:rPr>
                <w:rFonts w:ascii="Calibri" w:hAnsi="Calibri"/>
                <w:b/>
                <w:color w:val="212529"/>
                <w:sz w:val="19"/>
              </w:rPr>
              <w:t xml:space="preserve">   • Plain Legal Meaning &amp; StatCon Application: </w:t>
            </w:r>
            <w:r>
              <w:rPr>
                <w:rFonts w:ascii="Calibri" w:hAnsi="Calibri"/>
                <w:color w:val="212529"/>
                <w:sz w:val="19"/>
              </w:rPr>
              <w:t>Executive interpretations must yield to the plain letter of the decree.</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Administrative agencies cannot usurp the legislative power to create new wage burdens.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e. Contemporaneous Construction (PD 851 13th Month Pay / Basic Salary Definition)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non praevalet contra expressam legem</w:t>
              <w:br/>
              <w:t>(contemporaneous construction does not prevail against express law / DOLE cannot expand 'basic salary' in PD 851 through administrative circulars)</w:t>
              <w:br/>
              <w:br/>
              <w:t>Secondary:</w:t>
              <w:br/>
              <w:t>• Verba legis non est recedendum (plain meaning of 'basic salary')</w:t>
              <w:br/>
              <w:t>• Potestas delegata non delegari potest (limits of administrative rule-making)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DOLE attempted to use contemporaneous administrative construction to rewrite the statutory definition of 'basic salary' in PD 851.</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Executive agency memos cannot change the plain words of a law; if the law says 'commissions are excluded', the agency cannot order them included.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Boie-Takeda v. De La Serna is the benchmark case defining the limits of Contemporaneous Construction: Contemporanea expositio non praevalet contra expressam legem."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Boie-Takeda Chemicals, Inc. and Philippine Investment-Management Consultants (PHINMA) v. Hon. Dionisio De La Serna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92174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10,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Boie-Takeda Chemicals, Inc. and Philippine Investment-Management Consultants (PHINMA) v. Hon. Dionisio De La Serna, under the canon of Contemporanea expositio non praevalet contra expressam legem.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DOLE attempted to use contemporaneous administrative construction to rewrite the statutory definition of 'basic sala...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DOLE order, and DECLARED that sales commissions are excluded from 13th month pay computation under PD 851.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Sales commissions are EXCLUDED from the computation of 'basic salary' under P.D. No. 851. Contemporaneous administrative construction CANNOT supersede, expand, or alter the clear, explicit statutory definition enacted by the lawgiver.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non praevalet contra expressam legem</w:t>
              <w:br/>
              <w:t xml:space="preserve">   - Application: Limits of Contemporaneous Administrative Construction: While contemporaneous executive construction is entitled to deference, it cannot prevail over the express words of the statute (Contemporanea expositio non praevalet contra expressam legem).</w:t>
              <w:br/>
              <w:t xml:space="preserve">   - Result: 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'basic salary')</w:t>
              <w:br/>
              <w:t>• Potestas delegata non delegari potest (limits of administrative rule-making)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Boie-Takeda Chemicals, Inc. and Philippine Investment-Management Consultants (PHINMA) v. Hon. Dionisio De La Serna to mean and apply strictly in accordance with Contemporanea expositio non praevalet contra expressam legem, holding that No. The law says 'basic salary' means base pay and explicitly excludes commissions and bonuses. An administrative agency cannot change the law by issuing an ord.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non praevalet contra expressam legem,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Executive agency memos cannot change the plain words of a law; if the law says 'commissions are excluded', the agency cannot order them included.</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 (Part 3)</w:t>
              <w:br/>
            </w:r>
            <w:r>
              <w:rPr>
                <w:rFonts w:ascii="Arial" w:hAnsi="Arial"/>
                <w:b/>
                <w:color w:val="FFFFFF"/>
                <w:sz w:val="24"/>
              </w:rPr>
              <w:t>AIDS TO CONSTRUCTION: PRESUMPTIONS IN STATUTORY CONSTRUCTION</w:t>
              <w:br/>
            </w:r>
            <w:r>
              <w:rPr>
                <w:rFonts w:ascii="Arial" w:hAnsi="Arial"/>
                <w:i/>
                <w:color w:val="D7E6FA"/>
                <w:sz w:val="19"/>
              </w:rPr>
              <w:t>Cases 46 to 54 | Judicial Presumptions Guiding Interpretation</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Presumption Against Unconstitutionality: Statutes are presumed valid; burden on challenger</w:t>
            </w:r>
          </w:p>
          <w:p>
            <w:pPr>
              <w:spacing w:before="20" w:after="20"/>
            </w:pPr>
            <w:r>
              <w:rPr>
                <w:rFonts w:ascii="Calibri" w:hAnsi="Calibri"/>
                <w:color w:val="F0F5FF"/>
                <w:sz w:val="18"/>
              </w:rPr>
              <w:t>• • Presumption Against Injustice &amp; Absurdity: Spirit over letter; avoiding unjust interpretations</w:t>
            </w:r>
          </w:p>
          <w:p>
            <w:pPr>
              <w:spacing w:before="20" w:after="20"/>
            </w:pPr>
            <w:r>
              <w:rPr>
                <w:rFonts w:ascii="Calibri" w:hAnsi="Calibri"/>
                <w:color w:val="F0F5FF"/>
                <w:sz w:val="18"/>
              </w:rPr>
              <w:t>• • Presumption Against Implied Repeals: All laws presumed enacted with knowledge of prior laws</w:t>
            </w:r>
          </w:p>
          <w:p>
            <w:pPr>
              <w:spacing w:before="20" w:after="20"/>
            </w:pPr>
            <w:r>
              <w:rPr>
                <w:rFonts w:ascii="Calibri" w:hAnsi="Calibri"/>
                <w:color w:val="F0F5FF"/>
                <w:sz w:val="18"/>
              </w:rPr>
              <w:t>• • Presumption Against Ineffectiveness: Statutes presumed intended to operate effectively</w:t>
            </w:r>
          </w:p>
        </w:tc>
      </w:tr>
    </w:tbl>
    <w:p>
      <w:pPr>
        <w:spacing w:before="120"/>
      </w:pPr>
    </w:p>
    <w:p>
      <w:pPr>
        <w:keepNext/>
        <w:spacing w:before="320" w:after="80"/>
      </w:pPr>
      <w:r>
        <w:rPr>
          <w:rFonts w:ascii="Arial" w:hAnsi="Arial"/>
          <w:b/>
          <w:color w:val="0F2043"/>
          <w:sz w:val="26"/>
        </w:rPr>
        <w:t>46. ALVAREZ V. GUINGONA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118303 | January 31, 1996 | 252 SCRA 695 | En Banc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Alvarez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Teofisto Guingona,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Prohibition challenging the constitutionality of Republic Act No. 7720 converting the Municipality of Santiago, Isabela into an independent component city under the Enrolled Bill Doctrine.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citizens challenged the law that turned the town of Santiago, Isabela into a city, claiming the law was unconstitutional because the Senate started working on the bill before the House finished it, citing entries in the legislative journals. The government defended the law using the Enrolled Bill Doctrine, showing that the final official copy of the bill was formally signed by the Senate President, Speaker of the House, and President of the Philippines. The Supreme Court upheld the city charter, ruling that the Enrolled Bill is conclusive evidence of the regular passage of a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officially signed copy of a law (Enrolled Bill) beat journal notes when someone challenges how the law was passed in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7720 is constitutional under the Enrolled Bill Doctrine, testing whether an Enrolled Bill is conclusive proof of regular enactment over conflicting entries in Congressional Journals."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Enrolled Bill Doctrine and the principle of separation of powers, an enrolled bill signed by the Senate President and House Speaker carries absolute verity and is conclusive upon the courts as to the regular passage of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 Section 24 and 26, 1987 Constitution: </w:t>
            </w:r>
            <w:r>
              <w:rPr>
                <w:rFonts w:ascii="Calibri" w:hAnsi="Calibri"/>
                <w:color w:val="212529"/>
                <w:sz w:val="20"/>
              </w:rPr>
              <w:t>Constitutional requirements for legislative enactment of local bills and enrolled bill certification.</w:t>
            </w:r>
          </w:p>
          <w:p>
            <w:pPr>
              <w:spacing w:before="20" w:after="40" w:line="276" w:lineRule="auto"/>
            </w:pPr>
            <w:r>
              <w:rPr>
                <w:rFonts w:ascii="Calibri" w:hAnsi="Calibri"/>
                <w:b/>
                <w:color w:val="212529"/>
                <w:sz w:val="20"/>
              </w:rPr>
              <w:t xml:space="preserve">2. The Enrolled Bill Doctrine: </w:t>
            </w:r>
            <w:r>
              <w:rPr>
                <w:rFonts w:ascii="Calibri" w:hAnsi="Calibri"/>
                <w:color w:val="212529"/>
                <w:sz w:val="20"/>
              </w:rPr>
              <w:t>An enrolled bill signed by the leaders of Congress imports absolute verity and is conclusive of its due enactment.</w:t>
            </w:r>
          </w:p>
          <w:p>
            <w:pPr>
              <w:spacing w:before="20" w:after="40" w:line="276" w:lineRule="auto"/>
            </w:pPr>
            <w:r>
              <w:rPr>
                <w:rFonts w:ascii="Calibri" w:hAnsi="Calibri"/>
                <w:b/>
                <w:color w:val="212529"/>
                <w:sz w:val="20"/>
              </w:rPr>
              <w:t xml:space="preserve">3. Presumption of Regularity and Constitutionality: </w:t>
            </w:r>
            <w:r>
              <w:rPr>
                <w:rFonts w:ascii="Calibri" w:hAnsi="Calibri"/>
                <w:color w:val="212529"/>
                <w:sz w:val="20"/>
              </w:rPr>
              <w:t>Official acts of the legislative and executive branches are presumed regular and valid under Omnia Praesumuntur Rite Esse Acta.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 1987 Constitution, Enrolled Bill Doctrine,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 of the Constitution, governed by the Enrolled Bill Doctrine and the presumption Omnia praesumuntur rite et solemniter esse acta (all acts are presumed to have been done regularly)."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Conclusiveness of the Enrolled Bill: </w:t>
            </w:r>
            <w:r>
              <w:rPr>
                <w:rFonts w:ascii="Calibri" w:hAnsi="Calibri"/>
                <w:color w:val="212529"/>
                <w:sz w:val="20"/>
              </w:rPr>
              <w:t>The enrolled copy of a bill, bearing the authentic signatures of the Speaker of the House and the President of the Senate, is the definitive, solemn declaration of the Legislature that the bill was regularly passed in compliance with constitutional procedures.</w:t>
            </w:r>
          </w:p>
          <w:p>
            <w:pPr>
              <w:spacing w:before="20" w:after="40" w:line="276" w:lineRule="auto"/>
            </w:pPr>
            <w:r>
              <w:rPr>
                <w:rFonts w:ascii="Calibri" w:hAnsi="Calibri"/>
                <w:b/>
                <w:color w:val="212529"/>
                <w:sz w:val="20"/>
              </w:rPr>
              <w:t xml:space="preserve">2. Judicial Non-Interference in Legislative Process: </w:t>
            </w:r>
            <w:r>
              <w:rPr>
                <w:rFonts w:ascii="Calibri" w:hAnsi="Calibri"/>
                <w:color w:val="212529"/>
                <w:sz w:val="20"/>
              </w:rPr>
              <w:t>To permit courts to examine legislative journals and second-guess the accuracy of legislative certifications would violate the separation of powers and create constitutional instability.</w:t>
            </w:r>
          </w:p>
          <w:p>
            <w:pPr>
              <w:spacing w:before="20" w:after="40" w:line="276" w:lineRule="auto"/>
            </w:pPr>
            <w:r>
              <w:rPr>
                <w:rFonts w:ascii="Calibri" w:hAnsi="Calibri"/>
                <w:b/>
                <w:color w:val="212529"/>
                <w:sz w:val="20"/>
              </w:rPr>
              <w:t xml:space="preserve">3. Originating in the House: </w:t>
            </w:r>
            <w:r>
              <w:rPr>
                <w:rFonts w:ascii="Calibri" w:hAnsi="Calibri"/>
                <w:color w:val="212529"/>
                <w:sz w:val="20"/>
              </w:rPr>
              <w:t>Article VI, Section 24 only requires that the legislative initiative for local bills begin in the House; the Senate has full constitutional power to propose or concur with amendments, including passing its own consolidated version.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Enrolled Bill Doctrine. The authentic signatures of the legislative leaders import absolute verity. Under the separation of powers and Omnia Praesumuntur Rite Esse Acta, the enrolled bill is conclusive proof of constitutional enactment."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constitutionality and validity of Republic Act No. 7720 creating the City of Santiago.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city charter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constitutionality of RA 7720, reaffirming the conclusive authority of the Enrolled Bill Doctrine."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a. Presumption Against Unconstitutionality (Validity of RA 7720 Santiago City Charter)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things are presumed to have been done regularly.</w:t>
              <w:br/>
            </w:r>
            <w:r>
              <w:rPr>
                <w:rFonts w:ascii="Calibri" w:hAnsi="Calibri"/>
                <w:b/>
                <w:color w:val="212529"/>
                <w:sz w:val="19"/>
              </w:rPr>
              <w:t xml:space="preserve">   • Plain Legal Meaning &amp; StatCon Application: </w:t>
            </w:r>
            <w:r>
              <w:rPr>
                <w:rFonts w:ascii="Calibri" w:hAnsi="Calibri"/>
                <w:color w:val="212529"/>
                <w:sz w:val="19"/>
              </w:rPr>
              <w:t>The enrolled bill is conclusively presumed to have been enacted in accordance with all constitutional rules.</w:t>
            </w:r>
          </w:p>
          <w:p>
            <w:pPr>
              <w:spacing w:before="40" w:after="60" w:line="276" w:lineRule="auto"/>
            </w:pPr>
            <w:r>
              <w:rPr>
                <w:rFonts w:ascii="Calibri" w:hAnsi="Calibri"/>
                <w:b/>
                <w:color w:val="8C3200"/>
                <w:sz w:val="20"/>
              </w:rPr>
              <w:t>2. Res judicata pro veritate accipitur (a matter adjudged is taken for truth)</w:t>
              <w:br/>
            </w:r>
            <w:r>
              <w:rPr>
                <w:rFonts w:ascii="Calibri" w:hAnsi="Calibri"/>
                <w:b/>
                <w:color w:val="212529"/>
                <w:sz w:val="19"/>
              </w:rPr>
              <w:t xml:space="preserve">   • Literal English Translation: </w:t>
            </w:r>
            <w:r>
              <w:rPr>
                <w:rFonts w:ascii="Calibri" w:hAnsi="Calibri"/>
                <w:i/>
                <w:color w:val="212529"/>
                <w:sz w:val="19"/>
              </w:rPr>
              <w:t>An official matter settled is accepted as truth.</w:t>
              <w:br/>
            </w:r>
            <w:r>
              <w:rPr>
                <w:rFonts w:ascii="Calibri" w:hAnsi="Calibri"/>
                <w:b/>
                <w:color w:val="212529"/>
                <w:sz w:val="19"/>
              </w:rPr>
              <w:t xml:space="preserve">   • Plain Legal Meaning &amp; StatCon Application: </w:t>
            </w:r>
            <w:r>
              <w:rPr>
                <w:rFonts w:ascii="Calibri" w:hAnsi="Calibri"/>
                <w:color w:val="212529"/>
                <w:sz w:val="19"/>
              </w:rPr>
              <w:t>The solemn certification of legislative leaders carries conclusive verity.</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legislative power to certify bills belongs exclusively to the leaders of Congress.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a. Presumption Against Unconstitutionality (Validity of RA 7720 Santiago City Charter)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the Enrolled Bill Doctrine is conclusive proof of regular legislative enactment)</w:t>
              <w:br/>
              <w:br/>
              <w:t>Secondary:</w:t>
              <w:br/>
              <w:t>• Res judicata pro veritate accipitur (conclusive verity of official acts)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undermine the solemn certification of Congress by using selective journal entries to attack an enrolled bill.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officially signed copy of a law by the leaders of Congress is the final, untouchable truth that the law was passed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Alvarez v. Guingona is the prime authority on the Enrolled Bill Doctrine: the enrolled copy of a statute prevails conclusively over legislative journals."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Alvarez v. Guingona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118303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Alvarez v. Guingona,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undermine the solemn certification of Congress by using selective journal entries to attack...</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constitutionality and validity of Republic Act No. 7720 creating the City of Santiago.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The Enrolled Bill Doctrine: An enrolled bill signed by the presiding officers of both Houses of Congress and approved by the President imports absolute verity and is conclusive upon the judiciary regarding constitutional compliance.</w:t>
              <w:br/>
              <w:t xml:space="preserve">   - Result: 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Res judicata pro veritate accipitur (conclusive verity of official acts)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Alvarez v. Guingona to mean and apply strictly in accordance with Omnia praesumuntur rite et solemniter esse acta, holding that Yes. When the heads of both Houses of Congress sign a law and send it to the President, that official paper (Enrolled Bill) is final and conclusive. Courts resp.</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officially signed copy of a law by the leaders of Congress is the final, untouchable truth that the law was passed properly.</w:t>
            </w:r>
          </w:p>
        </w:tc>
      </w:tr>
    </w:tbl>
    <w:p>
      <w:r>
        <w:br w:type="page"/>
      </w:r>
    </w:p>
    <w:p>
      <w:pPr>
        <w:keepNext/>
        <w:spacing w:before="320" w:after="80"/>
      </w:pPr>
      <w:r>
        <w:rPr>
          <w:rFonts w:ascii="Arial" w:hAnsi="Arial"/>
          <w:b/>
          <w:color w:val="0F2043"/>
          <w:sz w:val="26"/>
        </w:rPr>
        <w:t>47. NATIONAL HOUSING AUTHORITY (NHA) V. HON. FLORELIANA CASTRO-REYES AND SPOUSES ARSENIO &amp; AMANDA POSADAS</w:t>
      </w:r>
    </w:p>
    <w:p>
      <w:pPr>
        <w:spacing w:before="40" w:after="80" w:line="276" w:lineRule="auto"/>
      </w:pPr>
      <w:r>
        <w:rPr>
          <w:rFonts w:ascii="Calibri" w:hAnsi="Calibri"/>
          <w:b/>
          <w:color w:val="212529"/>
          <w:sz w:val="21"/>
        </w:rPr>
        <w:t xml:space="preserve">Citation: </w:t>
      </w:r>
      <w:r>
        <w:rPr>
          <w:rFonts w:ascii="Calibri" w:hAnsi="Calibri"/>
          <w:i/>
          <w:color w:val="212529"/>
          <w:sz w:val="21"/>
        </w:rPr>
        <w:t>G.R. No. L-49439 | June 29, 1983 | 123 SCRA 245 | En Banc | Ponente: J. Vasquez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National Housing Authority (NHA)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Floreliana Castro-Reyes (Judge, CFI Rizal) and Spouses Arsenio &amp; Amanda Posadas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Rizal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Mandamus under Rule 65 concerning just compensation formula in expropriation under Presidential Decree Nos. 464, 794, and 1224.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National Housing Authority (NHA) took private land to build socialized housing and insisted that under Marcos-era Presidential Decrees, the court must pay only the declared tax value (which was extremely low). The trial judge refused to follow the decree and awarded a fair market price, saying the decree formula was unconstitutional. The Supreme Court initially upheld the presidential decrees under the Presumption of Constitutionality and Dura Lex Sed Lex, ruling that presidential decrees had the force of statute until formally declared void. (Note: The Supreme Court later abandoned this formula in EPZA v. Dulay).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Were trial judges required to follow the expropriation valuation formulas in Presidential Decrees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trial courts must enforce Presidential Decrees on just compensation under the Presumption of Constitutionality and Dura Lex Sed Lex, pending formal constitutional invalidation by the Supreme Court En Banc."</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Presumption of Constitutionality and Dura lex, sed lex, Presidential Decrees had the force of law and were binding on trial courts. A lower court cannot disregard an operative statute on grounds of unconstitutionality without meeting the strict constitutional threshold for judicial review."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Nos. 464, 794, and 1224: </w:t>
            </w:r>
            <w:r>
              <w:rPr>
                <w:rFonts w:ascii="Calibri" w:hAnsi="Calibri"/>
                <w:color w:val="212529"/>
                <w:sz w:val="20"/>
              </w:rPr>
              <w:t>Expropriation valuation formula fixing just compensation at declared tax value or assessed value, whichever is lower.</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Judges cannot substitute their personal sense of fairness for the explicit command of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464, PD 1224, Presumption of Constitutionality,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1224, governed by the Presumption of Constitutionality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Force and Effect of Presidential Decrees: </w:t>
            </w:r>
            <w:r>
              <w:rPr>
                <w:rFonts w:ascii="Calibri" w:hAnsi="Calibri"/>
                <w:color w:val="212529"/>
                <w:sz w:val="20"/>
              </w:rPr>
              <w:t>Under the 1973 Constitution, Presidential Decrees formed part of the law of the land, enjoying the same presumption of constitutionality as legislative acts.</w:t>
            </w:r>
          </w:p>
          <w:p>
            <w:pPr>
              <w:spacing w:before="20" w:after="40" w:line="276" w:lineRule="auto"/>
            </w:pPr>
            <w:r>
              <w:rPr>
                <w:rFonts w:ascii="Calibri" w:hAnsi="Calibri"/>
                <w:b/>
                <w:color w:val="212529"/>
                <w:sz w:val="20"/>
              </w:rPr>
              <w:t xml:space="preserve">2. Restraint on Lower Court Judicial Review: </w:t>
            </w:r>
            <w:r>
              <w:rPr>
                <w:rFonts w:ascii="Calibri" w:hAnsi="Calibri"/>
                <w:color w:val="212529"/>
                <w:sz w:val="20"/>
              </w:rPr>
              <w:t>Trial judges are bound to apply the law as enacted. Disregarding an operative statute violates judicial hierarchy and the presumption of validity.</w:t>
            </w:r>
          </w:p>
          <w:p>
            <w:pPr>
              <w:spacing w:before="20" w:after="40" w:line="276" w:lineRule="auto"/>
            </w:pPr>
            <w:r>
              <w:rPr>
                <w:rFonts w:ascii="Calibri" w:hAnsi="Calibri"/>
                <w:b/>
                <w:color w:val="212529"/>
                <w:sz w:val="20"/>
              </w:rPr>
              <w:t xml:space="preserve">3. Historical Note / Subsequent Reversal in EPZA v. Dulay: </w:t>
            </w:r>
            <w:r>
              <w:rPr>
                <w:rFonts w:ascii="Calibri" w:hAnsi="Calibri"/>
                <w:color w:val="212529"/>
                <w:sz w:val="20"/>
              </w:rPr>
              <w:t>While NHA v. Reyes upheld the decree formula under the presumption of validity, the Supreme Court En Banc subsequently declared this rigid formula unconstitutional in EPZA v. Dulay (1987) for usurping the judicial power to determine just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Lower courts are bound to enforce operative decrees under Dura Lex Sed Lex. Although this valuation doctrine was subsequently overturned in EPZA v. Dulay, NHA v. Reyes remains the leading historical example of the Presumption of Constitutionality."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trial court's market valuation, and ORDERED the trial court to apply the statutory formula under P.D. No. 1224.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trial court's order was set aside and the statutory decree formula was enforced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enforced the decree formula, upholding the Presumption of Constitutionality of presidential decrees."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b. Presumption Against Injustice &amp; Absurdity (PD 464 Expropriation Just Compensation)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acts are presumed regular and valid.</w:t>
              <w:br/>
            </w:r>
            <w:r>
              <w:rPr>
                <w:rFonts w:ascii="Calibri" w:hAnsi="Calibri"/>
                <w:b/>
                <w:color w:val="212529"/>
                <w:sz w:val="19"/>
              </w:rPr>
              <w:t xml:space="preserve">   • Plain Legal Meaning &amp; StatCon Application: </w:t>
            </w:r>
            <w:r>
              <w:rPr>
                <w:rFonts w:ascii="Calibri" w:hAnsi="Calibri"/>
                <w:color w:val="212529"/>
                <w:sz w:val="19"/>
              </w:rPr>
              <w:t>Statutes and presidential decrees enjoy the presumption of constitutionality.</w:t>
            </w:r>
          </w:p>
          <w:p>
            <w:pPr>
              <w:spacing w:before="40" w:after="60" w:line="276" w:lineRule="auto"/>
            </w:pPr>
            <w:r>
              <w:rPr>
                <w:rFonts w:ascii="Calibri" w:hAnsi="Calibri"/>
                <w:b/>
                <w:color w:val="8C3200"/>
                <w:sz w:val="20"/>
              </w:rPr>
              <w:t>2.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Trial judges are duty-bound to apply the written statutory valuation formula.</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must declare the law, not create it.</w:t>
              <w:br/>
            </w:r>
            <w:r>
              <w:rPr>
                <w:rFonts w:ascii="Calibri" w:hAnsi="Calibri"/>
                <w:b/>
                <w:color w:val="212529"/>
                <w:sz w:val="19"/>
              </w:rPr>
              <w:t xml:space="preserve">   • Plain Legal Meaning &amp; StatCon Application: </w:t>
            </w:r>
            <w:r>
              <w:rPr>
                <w:rFonts w:ascii="Calibri" w:hAnsi="Calibri"/>
                <w:color w:val="212529"/>
                <w:sz w:val="19"/>
              </w:rPr>
              <w:t>Judges cannot invent their own compensation rules against explicit statutory commands.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b. Presumption Against Injustice &amp; Absurdity (PD 464 Expropriation Just Compensation)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acts and decrees)</w:t>
              <w:br/>
              <w:br/>
              <w:t>Secondary:</w:t>
              <w:br/>
              <w:t>• Dura lex sed lex (harsh laws must be enforced by trial courts)</w:t>
              <w:br/>
              <w:t>• Judicis est ius dicere non dare (judges apply law, not make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the Presumption of Constitutionality and judicial hierarchy by unilaterally refusing to apply operative presidential decrees.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written in the statute books is presumed constitutional and must be followed by judges until the Supreme Court strikes it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NHA v. Reyes is the classical authority on the Presumption of Constitutionality: trial courts are bound to enforce statutes under the presumption of regularity until declared unconstitutional."</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National Housing Authority (NHA) v. Hon. Floreliana Castro-Reyes and Spouses Arsenio &amp; Amanda Posadas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L-49439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29, 1983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the Presumption of Constitutionality and judicial hierarchy by unilaterally refusing to apply operative presidential decrees.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National Housing Authority (NHA) v. Hon. Floreliana Castro-Reyes and Spouses Arsenio &amp; Amanda Posadas,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judge violated the Presumption of Constitutionality and judicial hierarchy by unilaterally refusing to apply 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trial court's market valuation, and ORDERED the trial court to apply the statutory formula under P.D. No. 1224.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judge violated the Presumption of Constitutionality and judicial hierarchy by unilaterally refusing to apply operative presidentia.</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Presumption of Constitutionality: All legislative enactments and executive decrees carry the presumption of constitutionality; lower courts must apply them until formally invalidated by the Supreme Court.</w:t>
              <w:br/>
              <w:t xml:space="preserve">   - Result: 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Dura lex sed lex (harsh laws must be enforced by trial courts)</w:t>
              <w:br/>
              <w:t>• Judicis est ius dicere non dare (judges apply law, not make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National Housing Authority (NHA) v. Hon. Floreliana Castro-Reyes and Spouses Arsenio &amp; Amanda Posadas to mean and apply strictly in accordance with Omnia praesumuntur rite et solemniter esse acta, holding that Yes. Every statute and decree is presumed constitutional until the Supreme Court strikes it down En Banc. Lower court judges cannot unilaterally disregard an ac.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written in the statute books is presumed constitutional and must be followed by judges until the Supreme Court strikes it down.</w:t>
            </w:r>
          </w:p>
        </w:tc>
      </w:tr>
    </w:tbl>
    <w:p>
      <w:r>
        <w:br w:type="page"/>
      </w:r>
    </w:p>
    <w:p>
      <w:pPr>
        <w:keepNext/>
        <w:spacing w:before="320" w:after="80"/>
      </w:pPr>
      <w:r>
        <w:rPr>
          <w:rFonts w:ascii="Arial" w:hAnsi="Arial"/>
          <w:b/>
          <w:color w:val="0F2043"/>
          <w:sz w:val="26"/>
        </w:rPr>
        <w:t>48. APARRI V. COURT OF APPEALS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L-30057 | January 31, 1984 | 127 SCRA 231 | Second Division | Ponente: J. Makasiar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Aparri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expiration of a fixed term of office versus illegal removal under Republic Act No. 1160 (National Resettlement and Rehabilitation Administration / NARRA).</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of a government resettlement agency was appointed by the Board of Directors with an explicit contract stating his term would expire on January 15, 1962. When that date arrived, the Board replaced him. He sued, claiming that public officials have security of tenure and cannot be removed without misconduct. The Supreme Court ruled that EXPIRATION OF A FIXED TERM is completely different from REMOVAL FROM OFFICE: when a term expires by law or contract, the officer simply reaches the end of his appointment, which does not violate security of tenure.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end of a fixed term of office count as an illegal firing under the security of tenure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expiration of a fixed term of office is equivalent to removal from office under RA 1160 and the Civil Service Law, testing the Distinction Between Term and Tenure and the Presumption of Regularity of Executive Appointments."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Expiration of a fixed term is NOT REMOVAL. Security of tenure applies only during the officer's term; once the term expires by statutory definition or valid appointment, the right to hold office automatically ceases without any removal taking place.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established the bedrock distinction: 'Term' is the statutory period during which an officer may claim to hold office; 'Tenure' is the period he actually holds it. Under statutory construction, expiration of term does not constitute removal, and does not violate the presumption of security of tenure."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1160 (NARRA Charter): </w:t>
            </w:r>
            <w:r>
              <w:rPr>
                <w:rFonts w:ascii="Calibri" w:hAnsi="Calibri"/>
                <w:color w:val="212529"/>
                <w:sz w:val="20"/>
              </w:rPr>
              <w:t>Empowers the Board of Directors to appoint and fix the terms of management personnel.</w:t>
            </w:r>
          </w:p>
          <w:p>
            <w:pPr>
              <w:spacing w:before="20" w:after="40" w:line="276" w:lineRule="auto"/>
            </w:pPr>
            <w:r>
              <w:rPr>
                <w:rFonts w:ascii="Calibri" w:hAnsi="Calibri"/>
                <w:b/>
                <w:color w:val="212529"/>
                <w:sz w:val="20"/>
              </w:rPr>
              <w:t xml:space="preserve">2. Constitutional and Statutory Security of Tenure: </w:t>
            </w:r>
            <w:r>
              <w:rPr>
                <w:rFonts w:ascii="Calibri" w:hAnsi="Calibri"/>
                <w:color w:val="212529"/>
                <w:sz w:val="20"/>
              </w:rPr>
              <w:t>Protects civil service officers against removal without cause during their lawful term.</w:t>
            </w:r>
          </w:p>
          <w:p>
            <w:pPr>
              <w:spacing w:before="20" w:after="40" w:line="276" w:lineRule="auto"/>
            </w:pPr>
            <w:r>
              <w:rPr>
                <w:rFonts w:ascii="Calibri" w:hAnsi="Calibri"/>
                <w:b/>
                <w:color w:val="212529"/>
                <w:sz w:val="20"/>
              </w:rPr>
              <w:t xml:space="preserve">3. Distinction Between Term and Tenure: </w:t>
            </w:r>
            <w:r>
              <w:rPr>
                <w:rFonts w:ascii="Calibri" w:hAnsi="Calibri"/>
                <w:color w:val="212529"/>
                <w:sz w:val="20"/>
              </w:rPr>
              <w:t>Term is fixed by statute or appointment; tenure depends on the incumbent's actual holding of office.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1160, Civil Service Law, Distinction between Term and Tenure, and Presumption of Regularity.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1160, construed under the doctrinal distinction between Term and Tenure and the Presumption of Regularity in public appointments."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Concept of Term of Office: </w:t>
            </w:r>
            <w:r>
              <w:rPr>
                <w:rFonts w:ascii="Calibri" w:hAnsi="Calibri"/>
                <w:color w:val="212529"/>
                <w:sz w:val="20"/>
              </w:rPr>
              <w:t>A term of office is the time limit fixed by law or valid executive resolution during which an officer may hold office. When the term expires, the office becomes vacant by operation of law.</w:t>
            </w:r>
          </w:p>
          <w:p>
            <w:pPr>
              <w:spacing w:before="20" w:after="40" w:line="276" w:lineRule="auto"/>
            </w:pPr>
            <w:r>
              <w:rPr>
                <w:rFonts w:ascii="Calibri" w:hAnsi="Calibri"/>
                <w:b/>
                <w:color w:val="212529"/>
                <w:sz w:val="20"/>
              </w:rPr>
              <w:t xml:space="preserve">2. Absence of Removal: </w:t>
            </w:r>
            <w:r>
              <w:rPr>
                <w:rFonts w:ascii="Calibri" w:hAnsi="Calibri"/>
                <w:color w:val="212529"/>
                <w:sz w:val="20"/>
              </w:rPr>
              <w:t>Removal implies the ouster of an incumbent before the expiration of his term. When the term naturally ends, there is no removal, but a mere severance of official relations through expiration of statutory appointment.</w:t>
            </w:r>
          </w:p>
          <w:p>
            <w:pPr>
              <w:spacing w:before="20" w:after="40" w:line="276" w:lineRule="auto"/>
            </w:pPr>
            <w:r>
              <w:rPr>
                <w:rFonts w:ascii="Calibri" w:hAnsi="Calibri"/>
                <w:b/>
                <w:color w:val="212529"/>
                <w:sz w:val="20"/>
              </w:rPr>
              <w:t xml:space="preserve">3. Presumption of Validity of Board Action: </w:t>
            </w:r>
            <w:r>
              <w:rPr>
                <w:rFonts w:ascii="Calibri" w:hAnsi="Calibri"/>
                <w:color w:val="212529"/>
                <w:sz w:val="20"/>
              </w:rPr>
              <w:t>The Board acted within its statutory powers under RA 1160 in fixing the term; its actions carry the presumption of regularity.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clarified the statutory meaning of Term versus Tenure. Security of tenure guarantees protection against arbitrary dismissal DURING the term. Upon the expiration of the term, official relations terminate automatically by operation of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DISMISSING Aparri's petition for Mandamus and Quo Warranto.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lost and his replacement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expiration of term does not constitute illegal removal under Civil Service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d. Presumption Against Ineffectiveness &amp; e. Presumption Against Absurdity (NARRA General Manager Expiration of Term)</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things are presumed regular.</w:t>
              <w:br/>
            </w:r>
            <w:r>
              <w:rPr>
                <w:rFonts w:ascii="Calibri" w:hAnsi="Calibri"/>
                <w:b/>
                <w:color w:val="212529"/>
                <w:sz w:val="19"/>
              </w:rPr>
              <w:t xml:space="preserve">   • Plain Legal Meaning &amp; StatCon Application: </w:t>
            </w:r>
            <w:r>
              <w:rPr>
                <w:rFonts w:ascii="Calibri" w:hAnsi="Calibri"/>
                <w:color w:val="212529"/>
                <w:sz w:val="19"/>
              </w:rPr>
              <w:t>The appointment and term-fixing by the Board of Directors enjoy the presumption of regularity.</w:t>
            </w:r>
          </w:p>
          <w:p>
            <w:pPr>
              <w:spacing w:before="40" w:after="60" w:line="276" w:lineRule="auto"/>
            </w:pPr>
            <w:r>
              <w:rPr>
                <w:rFonts w:ascii="Calibri" w:hAnsi="Calibri"/>
                <w:b/>
                <w:color w:val="8C3200"/>
                <w:sz w:val="20"/>
              </w:rPr>
              <w:t>2.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for a law ceases, the law ceases.</w:t>
              <w:br/>
            </w:r>
            <w:r>
              <w:rPr>
                <w:rFonts w:ascii="Calibri" w:hAnsi="Calibri"/>
                <w:b/>
                <w:color w:val="212529"/>
                <w:sz w:val="19"/>
              </w:rPr>
              <w:t xml:space="preserve">   • Plain Legal Meaning &amp; StatCon Application: </w:t>
            </w:r>
            <w:r>
              <w:rPr>
                <w:rFonts w:ascii="Calibri" w:hAnsi="Calibri"/>
                <w:color w:val="212529"/>
                <w:sz w:val="19"/>
              </w:rPr>
              <w:t>When the term of office expires, the right to hold office ceases automatically.</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explicit expiration date fixed in the appointment controls.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d. Presumption Against Ineffectiveness &amp; e. Presumption Against Absurdity (NARRA General Manager Expiration of Term)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Board resolution fixing term of office is presumed regular and valid)</w:t>
              <w:br/>
              <w:br/>
              <w:t>Secondary:</w:t>
              <w:br/>
              <w:t>• Cessante ratione legis cessat ipsa lex (expiration of term extinguishes tenure)</w:t>
              <w:br/>
              <w:t>• Verba legis non est recedendum (adherence to appointment terms)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confused 'tenure' with 'term', attempting to convert a fixed-term appointment into permanent life tenure.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fixed-term job ends on the agreed expiration date; you cannot use the security of tenure law to turn a temporary job into a permanent lifetime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Aparri v. CA is the supreme authority on the statutory distinction between Term and Tenure under Civil Service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Aparri v. Court of Appeals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L-30057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1984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Aparri v. Court of Appeals,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confused 'tenure' with 'term', attempting to convert a fixed-term appointment into permanent life tenure....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DISMISSING Aparri's petition for Mandamus and Quo Warranto.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Expiration of a fixed term is NOT REMOVAL. Security of tenure applies only during the officer's term; once the term expires by statutory definition or valid appointment, the right to hold office automatically ceases without any removal taking place.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Statutory Distinction Between Term and Tenure: 'Term' represents the legal period fixed for holding office; 'Tenure' is the actual incumbency. Expiration of term is an automatic statutory termination, not a disciplinary removal.</w:t>
              <w:br/>
              <w:t xml:space="preserve">   - Result: 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Cessante ratione legis cessat ipsa lex (expiration of term extinguishes tenure)</w:t>
              <w:br/>
              <w:t>• Verba legis non est recedendum (adherence to appointment terms)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Aparri v. Court of Appeals to mean and apply strictly in accordance with Omnia praesumuntur rite et solemniter esse acta, holding that No. Term is the time limit written in your appointment; tenure is the actual time you hold the office. When your fixed term ends, your contract is over—you were.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fixed-term job ends on the agreed expiration date; you cannot use the security of tenure law to turn a temporary job into a permanent lifetime seat.</w:t>
            </w:r>
          </w:p>
        </w:tc>
      </w:tr>
    </w:tbl>
    <w:p>
      <w:r>
        <w:br w:type="page"/>
      </w:r>
    </w:p>
    <w:p>
      <w:pPr>
        <w:keepNext/>
        <w:spacing w:before="320" w:after="80"/>
      </w:pPr>
      <w:r>
        <w:rPr>
          <w:rFonts w:ascii="Arial" w:hAnsi="Arial"/>
          <w:b/>
          <w:color w:val="0F2043"/>
          <w:sz w:val="26"/>
        </w:rPr>
        <w:t>49. REPUBLIC OF THE PHILIPPINES V. COURT OF APPEALS AND RORIDEL OLAVIANO MOLINA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108763 | February 13, 1997 | 268 SCRA 198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Roridel Olaviano Molina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 Trinidad, Benguet (Branch 8)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declaration of nullity of marriage under Article 36 of the Family Code (Psychological Incapacity) and Presumption in Favor of Marriage.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wife filed to nullify her marriage under Article 36 of the Family Code (Psychological Incapacity) because her husband was immature, spent all his time drinking with friends, and failed to provide financial support. The lower courts granted the annulment. The Supreme Court reversed the decision and laid down the famous 'Molina Guidelines', ruling that simple immaturity, refusal to support, or marital incompatibility is NOT psychological incapacity. Under the Constitution and Family Code, there is a powerful Presumption in Favor of Marriage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being immature, irresponsible, and a bad provider count as 'psychological incapacity' to void a marriage, or does the law presume the marriage is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irreconcilable differences and marital neglect satisfy Article 36 of the Family Code, testing the canonical guideline and the bedrock canon Semper Praesumitur Pro Matrimonio (always presume in favor of marriage)."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Artemio Panganiban formulated in the historic Molina Guidelines: (1) burden of proof belongs to plaintiff; (2) root cause must be medically identified; (3) gravity, juridical antecedence, and incurability must be proved; and (4) under Semper praesumitur pro matrimonio (always presume in favor of marriage), all doubts are resolved in favor of the validity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 Family Code of the Philippines: </w:t>
            </w:r>
            <w:r>
              <w:rPr>
                <w:rFonts w:ascii="Calibri" w:hAnsi="Calibri"/>
                <w:color w:val="212529"/>
                <w:sz w:val="20"/>
              </w:rPr>
              <w:t>Declaration of nullity of marriage based on psychological incapacity existing at the time of celebration.</w:t>
            </w:r>
          </w:p>
          <w:p>
            <w:pPr>
              <w:spacing w:before="20" w:after="40" w:line="276" w:lineRule="auto"/>
            </w:pPr>
            <w:r>
              <w:rPr>
                <w:rFonts w:ascii="Calibri" w:hAnsi="Calibri"/>
                <w:b/>
                <w:color w:val="212529"/>
                <w:sz w:val="20"/>
              </w:rPr>
              <w:t xml:space="preserve">2. Article 220, 1987 Constitution &amp; Article 1, Family Code: </w:t>
            </w:r>
            <w:r>
              <w:rPr>
                <w:rFonts w:ascii="Calibri" w:hAnsi="Calibri"/>
                <w:color w:val="212529"/>
                <w:sz w:val="20"/>
              </w:rPr>
              <w:t>Marriage is an inviolable social institution protected by the State.</w:t>
            </w:r>
          </w:p>
          <w:p>
            <w:pPr>
              <w:spacing w:before="20" w:after="40" w:line="276" w:lineRule="auto"/>
            </w:pPr>
            <w:r>
              <w:rPr>
                <w:rFonts w:ascii="Calibri" w:hAnsi="Calibri"/>
                <w:b/>
                <w:color w:val="212529"/>
                <w:sz w:val="20"/>
              </w:rPr>
              <w:t xml:space="preserve">3. Semper Praesumitur Pro Matrimonio (the presumption is always in favor of the validity of marriage): </w:t>
            </w:r>
            <w:r>
              <w:rPr>
                <w:rFonts w:ascii="Calibri" w:hAnsi="Calibri"/>
                <w:color w:val="212529"/>
                <w:sz w:val="20"/>
              </w:rPr>
              <w:t>Fundamental statutory presumption in civil and canonical family law.</w:t>
            </w:r>
          </w:p>
          <w:p>
            <w:pPr>
              <w:spacing w:before="20" w:after="40" w:line="276" w:lineRule="auto"/>
            </w:pPr>
            <w:r>
              <w:rPr>
                <w:rFonts w:ascii="Calibri" w:hAnsi="Calibri"/>
                <w:b/>
                <w:color w:val="212529"/>
                <w:sz w:val="20"/>
              </w:rPr>
              <w:t xml:space="preserve">4. Strictissimi Juris in Marital Dissolution: </w:t>
            </w:r>
            <w:r>
              <w:rPr>
                <w:rFonts w:ascii="Calibri" w:hAnsi="Calibri"/>
                <w:color w:val="212529"/>
                <w:sz w:val="20"/>
              </w:rPr>
              <w:t>Grounds for nullity of marriage are strictly construed to prevent easy de facto divorce.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 Family Code, Molina Guidelines, and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 of the Family Code, governed by the canonical and constitutional presumption Semper praesumitur pro matrimonio (the presumption is always in favor of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Constitutional Mandate Protecting Marriage: </w:t>
            </w:r>
            <w:r>
              <w:rPr>
                <w:rFonts w:ascii="Calibri" w:hAnsi="Calibri"/>
                <w:color w:val="212529"/>
                <w:sz w:val="20"/>
              </w:rPr>
              <w:t>The 1987 Constitution explicitly protects marriage as the foundation of the family. Article 36 was never intended to be an easy divorce escape hatch.</w:t>
            </w:r>
          </w:p>
          <w:p>
            <w:pPr>
              <w:spacing w:before="20" w:after="40" w:line="276" w:lineRule="auto"/>
            </w:pPr>
            <w:r>
              <w:rPr>
                <w:rFonts w:ascii="Calibri" w:hAnsi="Calibri"/>
                <w:b/>
                <w:color w:val="212529"/>
                <w:sz w:val="20"/>
              </w:rPr>
              <w:t xml:space="preserve">2. The Three Essential Requisites: </w:t>
            </w:r>
            <w:r>
              <w:rPr>
                <w:rFonts w:ascii="Calibri" w:hAnsi="Calibri"/>
                <w:color w:val="212529"/>
                <w:sz w:val="20"/>
              </w:rPr>
              <w:t>Psychological incapacity under Article 36 requires: (a) Gravity (truly serious and incipit); (b) Juridical Antecedence (existing prior to marriage); and (c) Incurability.</w:t>
            </w:r>
          </w:p>
          <w:p>
            <w:pPr>
              <w:spacing w:before="20" w:after="40" w:line="276" w:lineRule="auto"/>
            </w:pPr>
            <w:r>
              <w:rPr>
                <w:rFonts w:ascii="Calibri" w:hAnsi="Calibri"/>
                <w:b/>
                <w:color w:val="212529"/>
                <w:sz w:val="20"/>
              </w:rPr>
              <w:t xml:space="preserve">3. Failure vs. Incapacity: </w:t>
            </w:r>
            <w:r>
              <w:rPr>
                <w:rFonts w:ascii="Calibri" w:hAnsi="Calibri"/>
                <w:color w:val="212529"/>
                <w:sz w:val="20"/>
              </w:rPr>
              <w:t>Mere refusal, difficulty, or neglect to perform marital duties is NOT psychological incapacity. Incapacity means a psychological illness so severe that the party is mentally incapable of understanding the basic marital covenant.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8 Molina Guidelines. Under Semper Praesumitur Pro Matrimonio, the law strictly presumes the validity of marriage. Because the evidence showed only irreconcilable differences and financial neglect, the statutory threshold of Article 36 was not met."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of the Republic, REVERSED the CA, and DECLARED the marriage between Roridel and Reynaldo Molina VALID AND SUBSISTING.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marriage was declared valid and the nullity petition was denied.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annulment and upheld the validity of the marriage under the Molina Guidelines and Semper Praesumitur Pro Matrimonio."</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c. Presumption Against Implied Repeals &amp; Presumption in Favor of Marriage (FC Art. 36 Psychological Incapacity)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Semper praesumitur pro matrimonio (the presumption is always in favor of marriage)</w:t>
              <w:br/>
            </w:r>
            <w:r>
              <w:rPr>
                <w:rFonts w:ascii="Calibri" w:hAnsi="Calibri"/>
                <w:b/>
                <w:color w:val="212529"/>
                <w:sz w:val="19"/>
              </w:rPr>
              <w:t xml:space="preserve">   • Literal English Translation: </w:t>
            </w:r>
            <w:r>
              <w:rPr>
                <w:rFonts w:ascii="Calibri" w:hAnsi="Calibri"/>
                <w:i/>
                <w:color w:val="212529"/>
                <w:sz w:val="19"/>
              </w:rPr>
              <w:t>Always presume in favor of marriage.</w:t>
              <w:br/>
            </w:r>
            <w:r>
              <w:rPr>
                <w:rFonts w:ascii="Calibri" w:hAnsi="Calibri"/>
                <w:b/>
                <w:color w:val="212529"/>
                <w:sz w:val="19"/>
              </w:rPr>
              <w:t xml:space="preserve">   • Plain Legal Meaning &amp; StatCon Application: </w:t>
            </w:r>
            <w:r>
              <w:rPr>
                <w:rFonts w:ascii="Calibri" w:hAnsi="Calibri"/>
                <w:color w:val="212529"/>
                <w:sz w:val="19"/>
              </w:rPr>
              <w:t>All doubts in Article 36 proceedings are resolved in favor of the validity and indissolubility of marriage.</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Provisions authorizing the nullity of marriage are strictly construed to preserve social stability.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the stability of the family as a basic social institution is paramount.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c. Presumption Against Implied Repeals &amp; Presumption in Favor of Marriage (FC Art. 36 Psychological Incapacity)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Semper praesumitur pro matrimonio</w:t>
              <w:br/>
              <w:t>(the presumption is always in favor of marriage / Article 36 Family Code is construed strictly to uphold marital validity under the Molina Guidelines)</w:t>
              <w:br/>
              <w:br/>
              <w:t>Secondary:</w:t>
              <w:br/>
              <w:t>• Strictissimi juris (strict construction of nullity grounds)</w:t>
              <w:br/>
              <w:t>• Salus populi est suprema lex (constitutional protection of the family)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lower courts diluted Article 36 by treating simple irreconcilable differences as psychological incapacity, violating the Presumption in Favor of Marriage.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strongly protects marriage; courts will always presume a marriage is valid and will not allow couples to dissolve it over ordinary marital arguments.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Molina is the legendary landmark decision establishing the Molina Guidelines and the statutory presumption Semper praesumitur pro matrimonio under Article 36."</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Court of Appeals and Roridel Olaviano Molina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108763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13, 1997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lower courts diluted Article 36 by treating simple irreconcilable differences as psychological incapacity, violating the Presumption in Favor of Marriage.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Court of Appeals and Roridel Olaviano Molina, under the canon of Semper praesumitur pro matrimonio.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lower courts diluted Article 36 by treating simple irreconcilable differences as psychological incapacity, violating...</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of the Republic, REVERSED the CA, and DECLARED the marriage between Roridel and Reynaldo Molina VALID AND SUBSISTING.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lower courts diluted Article 36 by treating simple irreconcilable differences as psychological incapacity, violating the Presumption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Semper praesumitur pro matrimonio</w:t>
              <w:br/>
              <w:t xml:space="preserve">   - Application: Presumption in Favor of Marriage: Under Semper Praesumitur Pro Matrimonio, every intendment of the law leans toward the validity and survival of marriage; psychological incapacity requires clear proof of gravity, antecedence, and incurability.</w:t>
              <w:br/>
              <w:t xml:space="preserve">   - Result: 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construction of nullity grounds)</w:t>
              <w:br/>
              <w:t>• Salus populi est suprema lex (constitutional protection of the family)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Court of Appeals and Roridel Olaviano Molina to mean and apply strictly in accordance with Semper praesumitur pro matrimonio, holding that No. Psychological incapacity is not mere bad behavior; it is a severe psychological illness that renders a person mentally incapable of understanding marital ob.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Semper praesumitur pro matrimonio,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law strongly protects marriage; courts will always presume a marriage is valid and will not allow couples to dissolve it over ordinary marital arguments.</w:t>
            </w:r>
          </w:p>
        </w:tc>
      </w:tr>
    </w:tbl>
    <w:p>
      <w:r>
        <w:br w:type="page"/>
      </w:r>
    </w:p>
    <w:p>
      <w:pPr>
        <w:keepNext/>
        <w:spacing w:before="320" w:after="80"/>
      </w:pPr>
      <w:r>
        <w:rPr>
          <w:rFonts w:ascii="Arial" w:hAnsi="Arial"/>
          <w:b/>
          <w:color w:val="0F2043"/>
          <w:sz w:val="26"/>
        </w:rPr>
        <w:t>50. LAWYERS AGAINST MONOPOLY AND POVERTY (LAMP) V. THE SECRETARY OF BUDGET AND MANAGEMENT</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164987 | April 24, 2012 | 670 SCRA 373 | En Banc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Lawyers Against Monopoly and Poverty (LAMP)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Secretary of Budget and Management, Senate President, and Speaker of the House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Certiorari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the Priority Development Assistance Fund (PDAF / Pork Barrel) under the General Appropriations Act of 2004.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lawyers filed a petition claiming the 2004 Pork Barrel (PDAF) budget law was unconstitutional on its face because lawmakers secretly direct project spending. However, the petitioners failed to bring any concrete financial proof or audit reports to prove that the 2004 budget line-items were illegally handled. The Supreme Court dismissed the petition under the Presumption of Constitutionality, ruling that courts will not declare an entire national budget law unconstitutional without clear, convincing factual evidence. (Note: The PDAF system was later declared unconstitutional with full evidentiary records in the 2013 Belgica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strike down a national budget law as unconstitutional based on pure theory without actual evidence of illegality?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2004 PDAF budget provisions can be invalidated based on theoretical assertions, testing the Presumption of Constitutionality and the burden of proof required to invalidate a statute."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Presumption of Constitutionality, every statute is presumed to have been enacted in conformity with the Constitution. To strike down a provision in a General Appropriations Act, the petitioner must overcome this presumption with clear and convincing evidence, not mere conjectures or newspaper allegations."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9206 (General Appropriations Act of 2004): </w:t>
            </w:r>
            <w:r>
              <w:rPr>
                <w:rFonts w:ascii="Calibri" w:hAnsi="Calibri"/>
                <w:color w:val="212529"/>
                <w:sz w:val="20"/>
              </w:rPr>
              <w:t>Statutory allocation for the Priority Development Assistance Fund (PDAF).</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Statutes carry a heavy presumption of validity; nullity will be declared only upon a clear and unequivocal breach of the Constitution.</w:t>
            </w:r>
          </w:p>
          <w:p>
            <w:pPr>
              <w:spacing w:before="20" w:after="40" w:line="276" w:lineRule="auto"/>
            </w:pPr>
            <w:r>
              <w:rPr>
                <w:rFonts w:ascii="Calibri" w:hAnsi="Calibri"/>
                <w:b/>
                <w:color w:val="212529"/>
                <w:sz w:val="20"/>
              </w:rPr>
              <w:t xml:space="preserve">3. Omnia Praesumuntur Rite Esse Acta (all acts are presumed regular): </w:t>
            </w:r>
            <w:r>
              <w:rPr>
                <w:rFonts w:ascii="Calibri" w:hAnsi="Calibri"/>
                <w:color w:val="212529"/>
                <w:sz w:val="20"/>
              </w:rPr>
              <w:t>Official budget disbursements are presumed regular in the absence of contrary evidence.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9206 (2004 GAA), Presumption of Constitutionality,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9206, governed by the Presumption of Constitutionality and Omnia praesumuntur rite et solemniter esse acta (all official acts are presumed regular)."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Heavy Burden on Challengers: </w:t>
            </w:r>
            <w:r>
              <w:rPr>
                <w:rFonts w:ascii="Calibri" w:hAnsi="Calibri"/>
                <w:color w:val="212529"/>
                <w:sz w:val="20"/>
              </w:rPr>
              <w:t>To overcome the presumption of constitutionality, the petitioner must demonstrate that the law is clearly, plainly, and palpably in conflict with the Constitution. Mere speculation is insufficient.</w:t>
            </w:r>
          </w:p>
          <w:p>
            <w:pPr>
              <w:spacing w:before="20" w:after="40" w:line="276" w:lineRule="auto"/>
            </w:pPr>
            <w:r>
              <w:rPr>
                <w:rFonts w:ascii="Calibri" w:hAnsi="Calibri"/>
                <w:b/>
                <w:color w:val="212529"/>
                <w:sz w:val="20"/>
              </w:rPr>
              <w:t xml:space="preserve">2. Facial Validity of 2004 PDAF Text: </w:t>
            </w:r>
            <w:r>
              <w:rPr>
                <w:rFonts w:ascii="Calibri" w:hAnsi="Calibri"/>
                <w:color w:val="212529"/>
                <w:sz w:val="20"/>
              </w:rPr>
              <w:t>On its face, the text of the 2004 GAA assigned project implementation to executive departments (DPWH, DOH, etc.), which is constitutionally permissible on paper.</w:t>
            </w:r>
          </w:p>
          <w:p>
            <w:pPr>
              <w:spacing w:before="20" w:after="40" w:line="276" w:lineRule="auto"/>
            </w:pPr>
            <w:r>
              <w:rPr>
                <w:rFonts w:ascii="Calibri" w:hAnsi="Calibri"/>
                <w:b/>
                <w:color w:val="212529"/>
                <w:sz w:val="20"/>
              </w:rPr>
              <w:t xml:space="preserve">3. Evolution to Belgica v. Ochoa (2013): </w:t>
            </w:r>
            <w:r>
              <w:rPr>
                <w:rFonts w:ascii="Calibri" w:hAnsi="Calibri"/>
                <w:color w:val="212529"/>
                <w:sz w:val="20"/>
              </w:rPr>
              <w:t>While the 2004 budget survived in LAMP due to lack of evidence, the Supreme Court later struck down the entire PDAF system in Belgica v. Ochoa (2013) when COA Special Audit Reports provided overwhelming empirical proof of post-enactment legislative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A statute cannot be nullified on mere facial assertions without empirical proof of unconstitutional execution. The Court reaffirmed that the judiciary will not invalidate an act of Congress unless unconstitutionality is shown beyond reasonable doubt."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for lack of merit, UPHOLDING the constitutionality of the 2004 PDAF provisions under the Presumption of Constitutionality.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2004 budget law was upheld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reaffirming the Presumption of Constitutionality of General Appropriations Acts in the absence of factual proof."</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a. Presumption Against Unconstitutionality (Presumption Favoring Constitutionality of GAA CDF/PDAF Provisions)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acts are presumed regular until proved otherwise.</w:t>
              <w:br/>
            </w:r>
            <w:r>
              <w:rPr>
                <w:rFonts w:ascii="Calibri" w:hAnsi="Calibri"/>
                <w:b/>
                <w:color w:val="212529"/>
                <w:sz w:val="19"/>
              </w:rPr>
              <w:t xml:space="preserve">   • Plain Legal Meaning &amp; StatCon Application: </w:t>
            </w:r>
            <w:r>
              <w:rPr>
                <w:rFonts w:ascii="Calibri" w:hAnsi="Calibri"/>
                <w:color w:val="212529"/>
                <w:sz w:val="19"/>
              </w:rPr>
              <w:t>The General Appropriations Act enjoys a strong presumption of constitutional validity.</w:t>
            </w:r>
          </w:p>
          <w:p>
            <w:pPr>
              <w:spacing w:before="40" w:after="60" w:line="276" w:lineRule="auto"/>
            </w:pPr>
            <w:r>
              <w:rPr>
                <w:rFonts w:ascii="Calibri" w:hAnsi="Calibri"/>
                <w:b/>
                <w:color w:val="8C3200"/>
                <w:sz w:val="20"/>
              </w:rPr>
              <w:t>2. Actori incumbit onus probandi (the burden of proof rests on the plaintiff)</w:t>
              <w:br/>
            </w:r>
            <w:r>
              <w:rPr>
                <w:rFonts w:ascii="Calibri" w:hAnsi="Calibri"/>
                <w:b/>
                <w:color w:val="212529"/>
                <w:sz w:val="19"/>
              </w:rPr>
              <w:t xml:space="preserve">   • Literal English Translation: </w:t>
            </w:r>
            <w:r>
              <w:rPr>
                <w:rFonts w:ascii="Calibri" w:hAnsi="Calibri"/>
                <w:i/>
                <w:color w:val="212529"/>
                <w:sz w:val="19"/>
              </w:rPr>
              <w:t>The burden of proof lies on the claimant.</w:t>
              <w:br/>
            </w:r>
            <w:r>
              <w:rPr>
                <w:rFonts w:ascii="Calibri" w:hAnsi="Calibri"/>
                <w:b/>
                <w:color w:val="212529"/>
                <w:sz w:val="19"/>
              </w:rPr>
              <w:t xml:space="preserve">   • Plain Legal Meaning &amp; StatCon Application: </w:t>
            </w:r>
            <w:r>
              <w:rPr>
                <w:rFonts w:ascii="Calibri" w:hAnsi="Calibri"/>
                <w:color w:val="212529"/>
                <w:sz w:val="19"/>
              </w:rPr>
              <w:t>The petitioner bears the heavy burden of establishing the unconstitutionality of a statute beyond doubt.</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declares the law, not makes it.</w:t>
              <w:br/>
            </w:r>
            <w:r>
              <w:rPr>
                <w:rFonts w:ascii="Calibri" w:hAnsi="Calibri"/>
                <w:b/>
                <w:color w:val="212529"/>
                <w:sz w:val="19"/>
              </w:rPr>
              <w:t xml:space="preserve">   • Plain Legal Meaning &amp; StatCon Application: </w:t>
            </w:r>
            <w:r>
              <w:rPr>
                <w:rFonts w:ascii="Calibri" w:hAnsi="Calibri"/>
                <w:color w:val="212529"/>
                <w:sz w:val="19"/>
              </w:rPr>
              <w:t>Courts will not strike down legislative appropriations on speculative grounds.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a. Presumption Against Unconstitutionality (Presumption Favoring Constitutionality of GAA CDF/PDAF Provisions)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appropriations acts)</w:t>
              <w:br/>
              <w:br/>
              <w:t>Secondary:</w:t>
              <w:br/>
              <w:t>• Actori incumbit onus probandi (burden of proof lies on the challenger)</w:t>
              <w:br/>
              <w:t>• Judicis est ius dicere non dare (judicial restraint in reviewing fiscal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nullify an act of Congress based on theoretical arguments without presenting evidentiary proof to overcome the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passed by Congress is presumed valid; you cannot ask judges to destroy a budget law without presenting solid evidence of abuse.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LAMP v. DBM is the leading authority on the Presumption of Constitutionality in General Appropriations Acts—a statute will not be nullified without empirical proof."</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Lawyers Against Monopoly and Poverty (LAMP) v. The Secretary of Budget and Management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24,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nullify an act of Congress based on theoretical arguments without presenting evidentiary proof to overcome the Presumption of Constitutionality.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Lawyers Against Monopoly and Poverty (LAMP) v. The Secretary of Budget and Management,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nullify an act of Congress based on theoretical arguments without presenting evidentiary pro...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for lack of merit, UPHOLDING the constitutionality of the 2004 PDAF provisions under the Presumption of Constitutionality.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nullify an act of Congress based on theoretical arguments without presenting evidentiary proof to overcome the 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Overcoming the Presumption of Constitutionality: A statute will not be declared unconstitutional unless the violation is clear, complete, and established by undeniable factual and legal demonstration.</w:t>
              <w:br/>
              <w:t xml:space="preserve">   - Result: 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Actori incumbit onus probandi (burden of proof lies on the challenger)</w:t>
              <w:br/>
              <w:t>• Judicis est ius dicere non dare (judicial restraint in reviewing fiscal statutes)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Lawyers Against Monopoly and Poverty (LAMP) v. The Secretary of Budget and Management to mean and apply strictly in accordance with Omnia praesumuntur rite et solemniter esse acta, holding that No. The Supreme Court cannot strike down a law passed by Congress based on theories alone. Because every statute is presumed constitutional, the petitioner must.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passed by Congress is presumed valid; you cannot ask judges to destroy a budget law without presenting solid evidence of abuse.</w:t>
            </w:r>
          </w:p>
        </w:tc>
      </w:tr>
    </w:tbl>
    <w:p>
      <w:r>
        <w:br w:type="page"/>
      </w:r>
    </w:p>
    <w:p>
      <w:pPr>
        <w:keepNext/>
        <w:spacing w:before="320" w:after="80"/>
      </w:pPr>
      <w:r>
        <w:rPr>
          <w:rFonts w:ascii="Arial" w:hAnsi="Arial"/>
          <w:b/>
          <w:color w:val="0F2043"/>
          <w:sz w:val="26"/>
        </w:rPr>
        <w:t>51. ALONZO V. INTERMEDIATE APPELLATE COURT AND TECLA PADUA</w:t>
      </w:r>
    </w:p>
    <w:p>
      <w:pPr>
        <w:spacing w:before="40" w:after="80" w:line="276" w:lineRule="auto"/>
      </w:pPr>
      <w:r>
        <w:rPr>
          <w:rFonts w:ascii="Calibri" w:hAnsi="Calibri"/>
          <w:b/>
          <w:color w:val="212529"/>
          <w:sz w:val="21"/>
        </w:rPr>
        <w:t xml:space="preserve">Citation: </w:t>
      </w:r>
      <w:r>
        <w:rPr>
          <w:rFonts w:ascii="Calibri" w:hAnsi="Calibri"/>
          <w:i/>
          <w:color w:val="212529"/>
          <w:sz w:val="21"/>
        </w:rPr>
        <w:t>G.R. No. 72873 | May 28, 1987 | 150 SCRA 259 | First Division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Alonzo and Casimira Alonzo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Intermediate Appellate Court and Tecla Padua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Tarlac / Intermediate Appellate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legal redemption by co-heirs under Article 1088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siblings sold their inherited land shares to buyers who built a house and lived there openly for 13 years. More than a decade later, another sister tried to redeem the land, claiming she had the right to buy it back because she was never given a formal 'written notice' of the sale. The Supreme Court ruled that 13 years of actual knowledge is far better than a piece of paper, and the law will not allow a party to weaponize a literal technicality to commit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co-heir demand to redeem land 13 years after the sale by arguing that she never received a formal written notice, even though she lived right next to the buyers the whole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notice satisfies the written notice requirement of Article 1088 of the Civil Code, testing the immortal doctrine that the Spirit and Intention of the Law Prevails Over the Letter (Ratio Legis / Scire Leges Non Hoc Est Verba Earum Tenere)."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right of redemption had LAPSED. Actual knowledge of the sale for over a decade dispensed with the need for written notice. The spirit and purpose of the law prevail over a rigid, literal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Isagani Cruz famously penned, 'The spirit, rather than the letter of a statute, determines its construction.' Under Ratio legis est anima legis and Scire leges non hoc est verba earum tenere (to know laws is not to know their words, but their force and power), actual knowledge for 13 years satisfies the statutory purpose of written notice."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1088, Civil Code of the Philippines: </w:t>
            </w:r>
            <w:r>
              <w:rPr>
                <w:rFonts w:ascii="Calibri" w:hAnsi="Calibri"/>
                <w:color w:val="212529"/>
                <w:sz w:val="20"/>
              </w:rPr>
              <w:t>Provides that co-heirs have 30 days to redeem sold shares from the date they are notified in writing by the vendor.</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purpose of the written notice requirement is solely to ensure that co-heirs have actual knowledge of the sale.</w:t>
            </w:r>
          </w:p>
          <w:p>
            <w:pPr>
              <w:spacing w:before="20" w:after="40" w:line="276" w:lineRule="auto"/>
            </w:pPr>
            <w:r>
              <w:rPr>
                <w:rFonts w:ascii="Calibri" w:hAnsi="Calibri"/>
                <w:b/>
                <w:color w:val="212529"/>
                <w:sz w:val="20"/>
              </w:rPr>
              <w:t xml:space="preserve">3. Scire Leges Non Hoc Est Verba Earum Tenere, Sed Vim Ac Potestatem (to know the laws is not to observe their words, but their force and power): </w:t>
            </w:r>
            <w:r>
              <w:rPr>
                <w:rFonts w:ascii="Calibri" w:hAnsi="Calibri"/>
                <w:color w:val="212529"/>
                <w:sz w:val="20"/>
              </w:rPr>
              <w:t>Judicial interpretation must prevent the law from being used to foster injustice or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1088 Civil Code, Ratio Legis Est Anima Legis, and Scire leges non hoc est verba earum tenere.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1088 of the Civil Code, interpreted through Ratio legis est anima legis (the reason of the law is its soul) and Scire leges non hoc est verba earum tenere (to know laws is to understand their spirit, not merely their words)."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Written Notice: </w:t>
            </w:r>
            <w:r>
              <w:rPr>
                <w:rFonts w:ascii="Calibri" w:hAnsi="Calibri"/>
                <w:color w:val="212529"/>
                <w:sz w:val="20"/>
              </w:rPr>
              <w:t>The written notice required by Article 1088 is not an ornamental sacramental ritual; its sole reason for existence is to inform the co-heir so that he can exercise redemption promptly.</w:t>
            </w:r>
          </w:p>
          <w:p>
            <w:pPr>
              <w:spacing w:before="20" w:after="40" w:line="276" w:lineRule="auto"/>
            </w:pPr>
            <w:r>
              <w:rPr>
                <w:rFonts w:ascii="Calibri" w:hAnsi="Calibri"/>
                <w:b/>
                <w:color w:val="212529"/>
                <w:sz w:val="20"/>
              </w:rPr>
              <w:t xml:space="preserve">2. Impossibility of Ignorance for 13 Years: </w:t>
            </w:r>
            <w:r>
              <w:rPr>
                <w:rFonts w:ascii="Calibri" w:hAnsi="Calibri"/>
                <w:color w:val="212529"/>
                <w:sz w:val="20"/>
              </w:rPr>
              <w:t>The co-heirs lived in the same vicinity, saw the buyers build a house, and coexisted for more than a decade. To claim ignorance due to absence of paper notice is bad faith and sheer absurdity.</w:t>
            </w:r>
          </w:p>
          <w:p>
            <w:pPr>
              <w:spacing w:before="20" w:after="40" w:line="276" w:lineRule="auto"/>
            </w:pPr>
            <w:r>
              <w:rPr>
                <w:rFonts w:ascii="Calibri" w:hAnsi="Calibri"/>
                <w:b/>
                <w:color w:val="212529"/>
                <w:sz w:val="20"/>
              </w:rPr>
              <w:t xml:space="preserve">3. Subordination of the Letter to Equity and Justice: </w:t>
            </w:r>
            <w:r>
              <w:rPr>
                <w:rFonts w:ascii="Calibri" w:hAnsi="Calibri"/>
                <w:color w:val="212529"/>
                <w:sz w:val="20"/>
              </w:rPr>
              <w:t>When the literal interpretation leads to patent injustice, absurdity, or mischief, the spirit and purpose of the statute must prevail.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Justice Cruz declared that courts must not be stymied by a pedantic allegiance to literal words. Since the co-heir had actual knowledge for over a decade, the 30-day redemption period had long expired under the true spirit of Article 1088."</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Intermediate Appellate Court, DISMISSED the complaint for legal redemption, and DECLARED the Alonzos' title absolute and indefeasible.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redemption suit was dismissed and the buyers were confirmed as absolute owners of the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appellate court and dismissed the redemption suit, holding that actual notice for 13 years barred redemption under the spirit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b. Presumption Against Injustice &amp; e. Presumption Against Absurdity (Civil Code Art. 1088 / Spirit over Letter)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Scire leges non hoc est verba earum tenere, sed vim ac potestatem (to know laws is not to memorize their words, but to comprehend their intent and scope)</w:t>
              <w:br/>
            </w:r>
            <w:r>
              <w:rPr>
                <w:rFonts w:ascii="Calibri" w:hAnsi="Calibri"/>
                <w:b/>
                <w:color w:val="212529"/>
                <w:sz w:val="19"/>
              </w:rPr>
              <w:t xml:space="preserve">   • Literal English Translation: </w:t>
            </w:r>
            <w:r>
              <w:rPr>
                <w:rFonts w:ascii="Calibri" w:hAnsi="Calibri"/>
                <w:i/>
                <w:color w:val="212529"/>
                <w:sz w:val="19"/>
              </w:rPr>
              <w:t>To know the laws is not to hold their words, but their force and power.</w:t>
              <w:br/>
            </w:r>
            <w:r>
              <w:rPr>
                <w:rFonts w:ascii="Calibri" w:hAnsi="Calibri"/>
                <w:b/>
                <w:color w:val="212529"/>
                <w:sz w:val="19"/>
              </w:rPr>
              <w:t xml:space="preserve">   • Plain Legal Meaning &amp; StatCon Application: </w:t>
            </w:r>
            <w:r>
              <w:rPr>
                <w:rFonts w:ascii="Calibri" w:hAnsi="Calibri"/>
                <w:color w:val="212529"/>
                <w:sz w:val="19"/>
              </w:rPr>
              <w:t>True statutory interpretation grasps the underlying purpose rather than getting enslaved by literal phrasing.</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informational purpose of written notice was fully accomplished by 13 years of actual knowledge.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allow redemption 13 years later based on the absence of a written piece of paper.</w:t>
            </w:r>
          </w:p>
          <w:p>
            <w:pPr>
              <w:spacing w:before="40" w:after="60" w:line="276" w:lineRule="auto"/>
            </w:pPr>
            <w:r>
              <w:rPr>
                <w:rFonts w:ascii="Calibri" w:hAnsi="Calibri"/>
                <w:b/>
                <w:color w:val="8C3200"/>
                <w:sz w:val="20"/>
              </w:rPr>
              <w:t>4. Ius summum saepe summa malitia est (the highest law is often the greatest malice / extreme law is extreme injustice)</w:t>
              <w:br/>
            </w:r>
            <w:r>
              <w:rPr>
                <w:rFonts w:ascii="Calibri" w:hAnsi="Calibri"/>
                <w:b/>
                <w:color w:val="212529"/>
                <w:sz w:val="19"/>
              </w:rPr>
              <w:t xml:space="preserve">   • Literal English Translation: </w:t>
            </w:r>
            <w:r>
              <w:rPr>
                <w:rFonts w:ascii="Calibri" w:hAnsi="Calibri"/>
                <w:i/>
                <w:color w:val="212529"/>
                <w:sz w:val="19"/>
              </w:rPr>
              <w:t>Extreme law is extreme injustice.</w:t>
              <w:br/>
            </w:r>
            <w:r>
              <w:rPr>
                <w:rFonts w:ascii="Calibri" w:hAnsi="Calibri"/>
                <w:b/>
                <w:color w:val="212529"/>
                <w:sz w:val="19"/>
              </w:rPr>
              <w:t xml:space="preserve">   • Plain Legal Meaning &amp; StatCon Application: </w:t>
            </w:r>
            <w:r>
              <w:rPr>
                <w:rFonts w:ascii="Calibri" w:hAnsi="Calibri"/>
                <w:color w:val="212529"/>
                <w:sz w:val="19"/>
              </w:rPr>
              <w:t>A rigid, blind application of literal text produces injustice rather than law.</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b. Presumption Against Injustice &amp; e. Presumption Against Absurdity (Civil Code Art. 1088 / Spirit over Letter)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Scire leges non hoc est verba earum tenere, sed vim ac potestatem</w:t>
              <w:br/>
              <w:t>(to know laws is to understand their spirit and power, not merely their literal words / Justice Isagani Cruz's landmark doctrine)</w:t>
              <w:br/>
              <w:br/>
              <w:t>Secondary:</w:t>
              <w:br/>
              <w:t>• Ratio legis est anima legis (the reason of the law is its soul)</w:t>
              <w:br/>
              <w:t>• Lex non intendit absurdum (the law does not intend absurdity)</w:t>
              <w:br/>
              <w:t>• Ius summum saepe summa malitia est (extreme literalism is extreme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grave error by adhering to a blind, mechanical literalism that rewarded bad faith and produced gross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Spirit Over the Letter Doctrine: The letter of the law killeth, but the spirit giveth life. When literal adherence defeats legislative intent and produces injustice, the spirit governs.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are not robots; they must interpret the law with wisdom, common sense, and fairness, ensuring the spirit of the law defeats legalistic trickery.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Alonzo v. IAC is the supreme landmark decision penned by Justice Isagani Cruz on Ratio Legis and Scire Leges: the spirit of the law must always triumph over the literal letter to prevent absurdity and injustice."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Alonzo v. Intermediate Appellate Court and Tecla Padua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grave error by adhering to a blind, mechanical literalism that rewarded bad faith and produced gross injustice.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Alonzo v. Intermediate Appellate Court and Tecla Padua, under the canon of Scire leges non hoc est verba earum tenere, sed vim ac potestatem.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grave error by adhering to a blind, mechanical literalism that rewarded bad faith and prod...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Intermediate Appellate Court, DISMISSED the complaint for legal redemption, and DECLARED the Alonzos' title absolute and indefeasible.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right of redemption had LAPSED. Actual knowledge of the sale for over a decade dispensed with the need for written notice. The spirit and purpose of the law prevail over a rigid, literal requirement.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Scire leges non hoc est verba earum tenere, sed vim ac potestatem</w:t>
              <w:br/>
              <w:t xml:space="preserve">   - Application: The Spirit Over the Letter Doctrine: The letter of the law killeth, but the spirit giveth life. When literal adherence defeats legislative intent and produces injustice, the spirit governs.</w:t>
              <w:br/>
              <w:t xml:space="preserve">   - Result: 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(the reason of the law is its soul)</w:t>
              <w:br/>
              <w:t>• Lex non intendit absurdum (the law does not intend absurdity)</w:t>
              <w:br/>
              <w:t>• Ius summum saepe summa malitia est (extreme literalism is extreme injustice)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Alonzo v. Intermediate Appellate Court and Tecla Padua to mean and apply strictly in accordance with Scire leges non hoc est verba earum tenere, sed vim ac potestatem, holding that Yes, the right to redeem expired long ago. Written notice is just a tool to give knowledge. When a co-heir has lived next to the buyer's house for 13 years, she.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Scire leges non hoc est verba earum tenere, sed vim ac potestatem,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Spirit Over the Letter Doctrine: The letter of the law killeth, but the spirit giveth life. When literal adherence defeats legislative intent and produces injustice, the spirit governs.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are not robots; they must interpret the law with wisdom, common sense, and fairness, ensuring the spirit of the law defeats legalistic trickery.</w:t>
            </w:r>
          </w:p>
        </w:tc>
      </w:tr>
    </w:tbl>
    <w:p>
      <w:r>
        <w:br w:type="page"/>
      </w:r>
    </w:p>
    <w:p>
      <w:pPr>
        <w:keepNext/>
        <w:spacing w:before="320" w:after="80"/>
      </w:pPr>
      <w:r>
        <w:rPr>
          <w:rFonts w:ascii="Arial" w:hAnsi="Arial"/>
          <w:b/>
          <w:color w:val="0F2043"/>
          <w:sz w:val="26"/>
        </w:rPr>
        <w:t>52. COMMISSION ON AUDIT OF THE PROVINCE OF CEBU V. PROVINCE OF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141386 | November 29, 2001 | 371 SCRA 126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Audit of the Province of Cebu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Province of Cebu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64 assailing COA disallowance of salaries paid to provincial teachers and clerks charged against the Special Education Fund (SEF) under Section 272 of the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Cebu used its Special Education Fund (a special tax collected for schools) to hire extra teachers, sports coaches, and school clerks. The COA auditor blocked the payroll, arguing that the Local Government Code strictly lists what the education fund can be spent on (building classrooms, sports, and extension classes) and does not list regular school clerks or permanent teachers. The Supreme Court ruled that under Expressio Unius, the specific statutory list of authorized expenses is exclusive, but actual extension teachers hired for extension classes were legally payable.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local governments spend the Special Education Fund on salaries of regular school clerks and non-extension personnel when the law specifies only extension classes, sports, and facilities?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272 of RA 7160 permits the use of the Special Education Fund for expenses outside its statutory enumeration, testing the canon Expressio Unius Est Exclusio Alterius (the express mention of one thing is the exclusion of another)."</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Expressio unius est exclusio alterius (the express mention of one thing is the exclusion of another), the statutory enumeration of allowable SEF expenditures in Section 272 of the LGC is exclusive. The SEF can only pay for extension teachers, sports, and school facilities, not regular administrative clerks."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272, Republic Act No. 7160 (Local Government Code of 1991): </w:t>
            </w:r>
            <w:r>
              <w:rPr>
                <w:rFonts w:ascii="Calibri" w:hAnsi="Calibri"/>
                <w:color w:val="212529"/>
                <w:sz w:val="20"/>
              </w:rPr>
              <w:t>Specifically enumerates authorized uses of the Special Education Fund (operation and maintenance of extension classes, sports, construction of facilities).</w:t>
            </w:r>
          </w:p>
          <w:p>
            <w:pPr>
              <w:spacing w:before="20" w:after="40" w:line="276" w:lineRule="auto"/>
            </w:pPr>
            <w:r>
              <w:rPr>
                <w:rFonts w:ascii="Calibri" w:hAnsi="Calibri"/>
                <w:b/>
                <w:color w:val="212529"/>
                <w:sz w:val="20"/>
              </w:rPr>
              <w:t xml:space="preserve">2. Republic Act No. 5447 (Special Education Fund Act): </w:t>
            </w:r>
            <w:r>
              <w:rPr>
                <w:rFonts w:ascii="Calibri" w:hAnsi="Calibri"/>
                <w:color w:val="212529"/>
                <w:sz w:val="20"/>
              </w:rPr>
              <w:t>Original enabling law establishing the special education fund.</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statutory specification of authorized expense items excludes all unlisted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272 RA 7160, RA 5447,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272 of RA 7160, governed by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the Special Education Fund: </w:t>
            </w:r>
            <w:r>
              <w:rPr>
                <w:rFonts w:ascii="Calibri" w:hAnsi="Calibri"/>
                <w:color w:val="212529"/>
                <w:sz w:val="20"/>
              </w:rPr>
              <w:t>The SEF is a dedicated trust fund created from an additional 1% real property tax, strictly earmarked for specific statutory educational purposes.</w:t>
            </w:r>
          </w:p>
          <w:p>
            <w:pPr>
              <w:spacing w:before="20" w:after="40" w:line="276" w:lineRule="auto"/>
            </w:pPr>
            <w:r>
              <w:rPr>
                <w:rFonts w:ascii="Calibri" w:hAnsi="Calibri"/>
                <w:b/>
                <w:color w:val="212529"/>
                <w:sz w:val="20"/>
              </w:rPr>
              <w:t xml:space="preserve">2. Exclusivity of Statutory Enumeration: </w:t>
            </w:r>
            <w:r>
              <w:rPr>
                <w:rFonts w:ascii="Calibri" w:hAnsi="Calibri"/>
                <w:color w:val="212529"/>
                <w:sz w:val="20"/>
              </w:rPr>
              <w:t>Section 272 explicitly specifies: (a) extension classes; (b) facilities construction and repair; (c) educational research; (d) purchase of books; and (e) sports development. Under Expressio Unius, salaries of regular teachers and clerical personnel are excluded.</w:t>
            </w:r>
          </w:p>
          <w:p>
            <w:pPr>
              <w:spacing w:before="20" w:after="40" w:line="276" w:lineRule="auto"/>
            </w:pPr>
            <w:r>
              <w:rPr>
                <w:rFonts w:ascii="Calibri" w:hAnsi="Calibri"/>
                <w:b/>
                <w:color w:val="212529"/>
                <w:sz w:val="20"/>
              </w:rPr>
              <w:t xml:space="preserve">3. Validity of Extension Teachers: </w:t>
            </w:r>
            <w:r>
              <w:rPr>
                <w:rFonts w:ascii="Calibri" w:hAnsi="Calibri"/>
                <w:color w:val="212529"/>
                <w:sz w:val="20"/>
              </w:rPr>
              <w:t>Salaries of extension teachers hired precisely to handle newly opened extension classes fall squarely within 'operation and maintenance of extension classes' and are validly chargeable against the SEF.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Since Section 272 explicitly enumerates the allowable uses of the SEF, unlisted items like clerical salaries are excluded. The Court allowed salaries for genuine extension teachers but disallowed regular non-extension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WITH MODIFICATION the COA decision, SUSTAINING the disallowance of salaries for clerks and non-extension personnel, but ALLOWING the disbursements for genuine extension class teachers.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salaries of extension teachers were approved, but clerical and regular salaries were disallowed.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modified the disallowance, upholding Expressio Unius to restrict SEF usage strictly to statutory categories."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c. Presumption Against Implied Repeals &amp; Harmonization (RA 5447 vs Local Government Code Special Education Fund)</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statutory listing of permitted SEF disbursements excludes unlisted administrative expenditures.</w:t>
            </w:r>
          </w:p>
          <w:p>
            <w:pPr>
              <w:spacing w:before="40" w:after="60" w:line="276" w:lineRule="auto"/>
            </w:pPr>
            <w:r>
              <w:rPr>
                <w:rFonts w:ascii="Calibri" w:hAnsi="Calibri"/>
                <w:b/>
                <w:color w:val="8C3200"/>
                <w:sz w:val="20"/>
              </w:rPr>
              <w:t>2. Expressum facit cessare tacitum (what is expressed puts an end to that which is implied)</w:t>
              <w:br/>
            </w:r>
            <w:r>
              <w:rPr>
                <w:rFonts w:ascii="Calibri" w:hAnsi="Calibri"/>
                <w:b/>
                <w:color w:val="212529"/>
                <w:sz w:val="19"/>
              </w:rPr>
              <w:t xml:space="preserve">   • Literal English Translation: </w:t>
            </w:r>
            <w:r>
              <w:rPr>
                <w:rFonts w:ascii="Calibri" w:hAnsi="Calibri"/>
                <w:i/>
                <w:color w:val="212529"/>
                <w:sz w:val="19"/>
              </w:rPr>
              <w:t>That which is expressed supersedes that which is implied.</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fund purposes leaves no room for implied spending categories.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Statutory fiscal restrictions on trust funds must be strictly followed regardless of local convenience.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c. Presumption Against Implied Repeals &amp; Harmonization (RA 5447 vs Local Government Code Special Education Fund)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statutory list of allowable Special Education Fund expenses is exclusive)</w:t>
              <w:br/>
              <w:br/>
              <w:t>Secondary:</w:t>
              <w:br/>
              <w:t>• Expressum facit cessare tacitum (what is expressed ends what is implied)</w:t>
              <w:br/>
              <w:t>• Dura lex sed lex (fiscal fund restrictions are strictly enforced)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local government attempted to divert earmarked special education trust funds to general administrative salaries not enumerated in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Exclusivity of Statutory Enumeration for Special Funds: When a statute creates a special trust fund and enumerates allowable disbursements, the enumeration is exclusive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gives a specific shopping list for spending special tax money, you cannot buy items that are not on the list.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COA v. Province of Cebu establishes that statutory enumerations of special fund disbursements are exclusive under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Audit of the Province of Cebu v. Province of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141386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29,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local government attempted to divert earmarked special education trust funds to general administrative salaries not enumerated in the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Audit of the Province of Cebu v. Province of Cebu,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WITH MODIFICATION the COA decision, SUSTAINING the disallowance of salaries for clerks and non-extension personnel, but ALLOWING the disbursements for genuine extension class teachers.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Exclusivity of Statutory Enumeration for Special Funds: When a statute creates a special trust fund and enumerates allowable disbursements, the enumeration is exclusive under Expressio Unius.</w:t>
              <w:br/>
              <w:t xml:space="preserve">   - Result: 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Expressum facit cessare tacitum (what is expressed ends what is implied)</w:t>
              <w:br/>
              <w:t>• Dura lex sed lex (fiscal fund restrictions are strictly enforced)</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Audit of the Province of Cebu v. Province of Cebu to mean and apply strictly in accordance with Expressio unius est exclusio alterius, holding that No for office clerks and regular staff; yes for teachers who actually run extension classes. Because the law specifically lists what the Special Education Fund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Exclusivity of Statutory Enumeration for Special Funds: When a statute creates a special trust fund and enumerates allowable disbursements, the enumeration is exclusive under Expressio Unius.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gives a specific shopping list for spending special tax money, you cannot buy items that are not on the list.</w:t>
            </w:r>
          </w:p>
        </w:tc>
      </w:tr>
    </w:tbl>
    <w:p>
      <w:r>
        <w:br w:type="page"/>
      </w:r>
    </w:p>
    <w:p>
      <w:pPr>
        <w:keepNext/>
        <w:spacing w:before="320" w:after="80"/>
      </w:pPr>
      <w:r>
        <w:rPr>
          <w:rFonts w:ascii="Arial" w:hAnsi="Arial"/>
          <w:b/>
          <w:color w:val="0F2043"/>
          <w:sz w:val="26"/>
        </w:rPr>
        <w:t>53. MARIA VIRGINIA V. REMO V. THE HONORABLE SECRETARY OF FOREIGN AFFAIRS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169202 | March 5, 2010 | 614 SCRA 281 | Second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Maria Virginia V. Remo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Secretary of Foreign Affairs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 married woman's right to revert to her maiden name in her Philippine Passport under Republic Act No. 8239 (Philippine Passport Act of 1996) and Article 370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married woman who used her husband's last name on her old passport wanted to switch back to her maiden last name on her new passport, even though they were still happily married. The DFA refused, citing the Passport Act rules which say once you choose to put your husband's surname on your passport, you can only change it back if your husband dies or you get an annulment/divorce. The Supreme Court ruled that while the Civil Code allows a woman to use her maiden name in daily life, the Passport Act is a special law governing travel documents that restricts mid-marriage name changes on passports to prevent identity confusion.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married woman switch back to her maiden name on her passport while still married, despite the specific restrictions in the Passport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370 of the Civil Code overrides the special name-change restrictions under Section 5(d) of the Philippine Passport Act (RA 8239), testing the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married woman who has chosen to adopt her husband's surname in her passport CANNOT revert to her maiden name while the marriage is subsisting. Under Generalia Specialibus Non Derogant, the special Passport Act prevails over the general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while Article 370 of the Civil Code gives a married woman the option to use her maiden name, under Generalia specialibus non derogant (general laws yield to special laws), RA 8239 is a special law governing international travel documents. Once she opts to use her husband's surname in her passport, she can only revert to her maiden name upon death, divorce, or annulment."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5(d), Republic Act No. 8239 (Philippine Passport Act of 1996): </w:t>
            </w:r>
            <w:r>
              <w:rPr>
                <w:rFonts w:ascii="Calibri" w:hAnsi="Calibri"/>
                <w:color w:val="212529"/>
                <w:sz w:val="20"/>
              </w:rPr>
              <w:t>Restricts amendment of passport names of married women to instances of widowhood, annulment, or divorce.</w:t>
            </w:r>
          </w:p>
          <w:p>
            <w:pPr>
              <w:spacing w:before="20" w:after="40" w:line="276" w:lineRule="auto"/>
            </w:pPr>
            <w:r>
              <w:rPr>
                <w:rFonts w:ascii="Calibri" w:hAnsi="Calibri"/>
                <w:b/>
                <w:color w:val="212529"/>
                <w:sz w:val="20"/>
              </w:rPr>
              <w:t xml:space="preserve">2. Article 370, Civil Code of the Philippines: </w:t>
            </w:r>
            <w:r>
              <w:rPr>
                <w:rFonts w:ascii="Calibri" w:hAnsi="Calibri"/>
                <w:color w:val="212529"/>
                <w:sz w:val="20"/>
              </w:rPr>
              <w:t>General rule allowing married women to use maiden name or husband's surname.</w:t>
            </w:r>
          </w:p>
          <w:p>
            <w:pPr>
              <w:spacing w:before="20" w:after="40" w:line="276" w:lineRule="auto"/>
            </w:pPr>
            <w:r>
              <w:rPr>
                <w:rFonts w:ascii="Calibri" w:hAnsi="Calibri"/>
                <w:b/>
                <w:color w:val="212529"/>
                <w:sz w:val="20"/>
              </w:rPr>
              <w:t xml:space="preserve">3. Generalia Specialibus Non Derogant (general provisions do not derogate from special provisions): </w:t>
            </w:r>
            <w:r>
              <w:rPr>
                <w:rFonts w:ascii="Calibri" w:hAnsi="Calibri"/>
                <w:color w:val="212529"/>
                <w:sz w:val="20"/>
              </w:rPr>
              <w:t>The specific passport security statute prevails over the general civil law on surnames.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5(d) RA 8239, Article 370 Civil Code,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5(d) of RA 8239 in relation to Article 370 of the Civil Code, governed by Generalia specialibus non derogant (special laws prevail over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of Civil Code and Passport Act: </w:t>
            </w:r>
            <w:r>
              <w:rPr>
                <w:rFonts w:ascii="Calibri" w:hAnsi="Calibri"/>
                <w:color w:val="212529"/>
                <w:sz w:val="20"/>
              </w:rPr>
              <w:t>Article 370 of the Civil Code grants a woman the choice of whether to adopt her husband's surname. However, once she exercises that choice and registers her married name on her official passport, RA 8239 regulates how and when that passport name may be changed.</w:t>
            </w:r>
          </w:p>
          <w:p>
            <w:pPr>
              <w:spacing w:before="20" w:after="40" w:line="276" w:lineRule="auto"/>
            </w:pPr>
            <w:r>
              <w:rPr>
                <w:rFonts w:ascii="Calibri" w:hAnsi="Calibri"/>
                <w:b/>
                <w:color w:val="212529"/>
                <w:sz w:val="20"/>
              </w:rPr>
              <w:t xml:space="preserve">2. Special Law on Travel Documents: </w:t>
            </w:r>
            <w:r>
              <w:rPr>
                <w:rFonts w:ascii="Calibri" w:hAnsi="Calibri"/>
                <w:color w:val="212529"/>
                <w:sz w:val="20"/>
              </w:rPr>
              <w:t>RA 8239 is a special law designed to protect the integrity of Philippine passports and prevent identity fraud in international travel. Its specific provisions override general civil provisions.</w:t>
            </w:r>
          </w:p>
          <w:p>
            <w:pPr>
              <w:spacing w:before="20" w:after="40" w:line="276" w:lineRule="auto"/>
            </w:pPr>
            <w:r>
              <w:rPr>
                <w:rFonts w:ascii="Calibri" w:hAnsi="Calibri"/>
                <w:b/>
                <w:color w:val="212529"/>
                <w:sz w:val="20"/>
              </w:rPr>
              <w:t xml:space="preserve">3. Validity of Administrative Regulations: </w:t>
            </w:r>
            <w:r>
              <w:rPr>
                <w:rFonts w:ascii="Calibri" w:hAnsi="Calibri"/>
                <w:color w:val="212529"/>
                <w:sz w:val="20"/>
              </w:rPr>
              <w:t>The DFA regulations strictly tracking Section 5(d) of RA 8239 were valid exercises of subordinate rule-making power consistent with statutory intent.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The Civil Code is general law on personal names, while the Passport Act is special law governing international travel integrity. The Court held that statutory passport restrictions control during the subsistence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Appeals and DFA denying the reversion to maiden name on the passport.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woman was not allowed to switch her passport name while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DFA's denial, upholding the primacy of the special Passport Act over general Civil Code provisions."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c. Presumption Against Implied Repeals &amp; Harmonization (Civil Code Art. 370 vs Passport Act RA 8239)</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provisions of the Philippine Passport Act prevail over the general provisions of the Civil Code on names.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5(d) of RA 8239 explicitly enumerates the exclusive grounds for changing passport names.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8239 establishes international security standards for travel documents.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c. Presumption Against Implied Repeals &amp; Harmonization (Civil Code Art. 370 vs Passport Act RA 8239)</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Philippine Passport Act RA 8239 governs over general Civil Code name rules)</w:t>
              <w:br/>
              <w:br/>
              <w:t>Secondary:</w:t>
              <w:br/>
              <w:t>• Verba legis non est recedendum (clear statutory text on passport name changes)</w:t>
              <w:br/>
              <w:t>• Optima statuti interpretatrix est ipsum statutum (statute is its own best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elevate general civil law provisions over a specific, subsequent statute governing international travel document security.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Special Regulatory Statutes: Special statutes enacted to protect state security and international document integrity override general civil law provisions on the same subject.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security law on passports beats a general civil law about family names.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Remo v. Secretary of Foreign Affairs is the leading modern case applying Generalia specialibus non derogant to resolve conflicts between the Civil Code and special regulatory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Maria Virginia V. Remo v. The Honorable Secretary of Foreign Affairs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169202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5,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elevate general civil law provisions over a specific, subsequent statute governing international travel document security.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Maria Virginia V. Remo v. The Honorable Secretary of Foreign Affairs,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 sought to elevate general civil law provisions over a specific, subsequent statute governing international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Appeals and DFA denying the reversion to maiden name on the passport.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married woman who has chosen to adopt her husband's surname in her passport CANNOT revert to her maiden name while the marriage is subsisting. Under Generalia Specialibus Non Derogant, the special Passport Act prevails over the general Civil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sought to elevate general civil law provisions over a specific, subsequent statute governing international travel document securi.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Special Regulatory Statutes: Special statutes enacted to protect state security and international document integrity override general civil law provisions on the same subject.</w:t>
              <w:br/>
              <w:t xml:space="preserve">   - Result: 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text on passport name changes)</w:t>
              <w:br/>
              <w:t>• Optima statuti interpretatrix est ipsum statutum (statute is its own best interpreter)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Maria Virginia V. Remo v. The Honorable Secretary of Foreign Affairs to mean and apply strictly in accordance with Generalia specialibus non derogant, holding that No. Under the Civil Code, you can choose to keep your maiden name when you get married. But once you elect to put your married name on your official passport,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Special Regulatory Statutes: Special statutes enacted to protect state security and international document integrity override general civil law provisions on the same subject.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security law on passports beats a general civil law about family names.</w:t>
            </w:r>
          </w:p>
        </w:tc>
      </w:tr>
    </w:tbl>
    <w:p>
      <w:r>
        <w:br w:type="page"/>
      </w:r>
    </w:p>
    <w:p>
      <w:pPr>
        <w:keepNext/>
        <w:spacing w:before="320" w:after="80"/>
      </w:pPr>
      <w:r>
        <w:rPr>
          <w:rFonts w:ascii="Arial" w:hAnsi="Arial"/>
          <w:b/>
          <w:color w:val="0F2043"/>
          <w:sz w:val="26"/>
        </w:rPr>
        <w:t>54. JOSE V. MELCHOR, JR. V. COMMISSION ON AUDIT</w:t>
      </w:r>
    </w:p>
    <w:p>
      <w:pPr>
        <w:spacing w:before="40" w:after="80" w:line="276" w:lineRule="auto"/>
      </w:pPr>
      <w:r>
        <w:rPr>
          <w:rFonts w:ascii="Calibri" w:hAnsi="Calibri"/>
          <w:b/>
          <w:color w:val="212529"/>
          <w:sz w:val="21"/>
        </w:rPr>
        <w:t xml:space="preserve">Citation: </w:t>
      </w:r>
      <w:r>
        <w:rPr>
          <w:rFonts w:ascii="Calibri" w:hAnsi="Calibri"/>
          <w:i/>
          <w:color w:val="212529"/>
          <w:sz w:val="21"/>
        </w:rPr>
        <w:t>G.R. No. 95398 | August 16, 1991 | 200 SCRA 704 | En Banc | Ponente: J. Gutierrez,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V. Melchor,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Audit (COA)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(COA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COA decision disallowing payments for completed infrastructure repair work based on absence of prior public bidding and certificate of availability of funds.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hired contractors to fix storm-damaged facilities. The contractors finished the work and the government used the buildings. The COA auditor disallowed the payments because the project lacked prior public bidding and an advance funding certificate, ordering the agency head to pay millions out of his own pocket. The Supreme Court ruled that because the government got the benefit of the completed work, it cannot unjustifiably enrich itself: under the principle of Quantum Meruit, the contractor must be paid the fair value of the work, and the official is not personally liable where there is no fraud.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government keep the benefits of completed repair work for free and make a public official pay out of his own pocket just because technical bidding papers were missing?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principle of Quantum Meruit applies to compensate completed government contracts despite procedural auditing defects under PD 1445, testing the canon that the Law Does Not Intend Unjust Enrichment (Nemo Cum Alterius Detrimento Locupletari Potest / Lex Non Intendit Absurdum)."</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doctrine of Quantum Meruit (as much as he deserved) and the equitable maxim Nemo cum alterius detrimento locupletari potest (no one should be enriched at the expense of another), the government cannot keep the benefit of completed work without compensating the contractor, and personal liability cannot be imposed on an official in the absence of bad faith or fraud."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85, 86, and 87, Presidential Decree No. 1445 (Government Auditing Code): </w:t>
            </w:r>
            <w:r>
              <w:rPr>
                <w:rFonts w:ascii="Calibri" w:hAnsi="Calibri"/>
                <w:color w:val="212529"/>
                <w:sz w:val="20"/>
              </w:rPr>
              <w:t>Auditing requirements for government contracts, balanced against equitable principles of public contracting.</w:t>
            </w:r>
          </w:p>
          <w:p>
            <w:pPr>
              <w:spacing w:before="20" w:after="40" w:line="276" w:lineRule="auto"/>
            </w:pPr>
            <w:r>
              <w:rPr>
                <w:rFonts w:ascii="Calibri" w:hAnsi="Calibri"/>
                <w:b/>
                <w:color w:val="212529"/>
                <w:sz w:val="20"/>
              </w:rPr>
              <w:t xml:space="preserve">2. Quantum Meruit (as much as he deserved): </w:t>
            </w:r>
            <w:r>
              <w:rPr>
                <w:rFonts w:ascii="Calibri" w:hAnsi="Calibri"/>
                <w:color w:val="212529"/>
                <w:sz w:val="20"/>
              </w:rPr>
              <w:t>Equitable remedy allowing compensation for actual value of goods or services rendered and accepted.</w:t>
            </w:r>
          </w:p>
          <w:p>
            <w:pPr>
              <w:spacing w:before="20" w:after="40" w:line="276" w:lineRule="auto"/>
            </w:pPr>
            <w:r>
              <w:rPr>
                <w:rFonts w:ascii="Calibri" w:hAnsi="Calibri"/>
                <w:b/>
                <w:color w:val="212529"/>
                <w:sz w:val="20"/>
              </w:rPr>
              <w:t xml:space="preserve">3. Nemo Cum Alterius Detrimento Locupletari Potest (no one shall enrich himself at the expense of another): </w:t>
            </w:r>
            <w:r>
              <w:rPr>
                <w:rFonts w:ascii="Calibri" w:hAnsi="Calibri"/>
                <w:color w:val="212529"/>
                <w:sz w:val="20"/>
              </w:rPr>
              <w:t>Fundamental principle against unjust enrichment by the government.</w:t>
            </w:r>
          </w:p>
          <w:p>
            <w:pPr>
              <w:spacing w:before="20" w:after="40" w:line="276" w:lineRule="auto"/>
            </w:pPr>
            <w:r>
              <w:rPr>
                <w:rFonts w:ascii="Calibri" w:hAnsi="Calibri"/>
                <w:b/>
                <w:color w:val="212529"/>
                <w:sz w:val="20"/>
              </w:rPr>
              <w:t xml:space="preserve">4. Lex Non Intendit Aliquid Impossibile Aut Absurdum (the law does not intend anything impossible or absurd): </w:t>
            </w:r>
            <w:r>
              <w:rPr>
                <w:rFonts w:ascii="Calibri" w:hAnsi="Calibri"/>
                <w:color w:val="212529"/>
                <w:sz w:val="20"/>
              </w:rPr>
              <w:t>Statutory auditing rules must not be construed to authorize state confiscation of private labor.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Quantum Meruit,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harmonized with the doctrine of Quantum Meruit and the bedrock maxim Nemo cum alterius detrimento locupletari potest (no one shall enrich himself at another's loss)."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Prevention of Government Unjust Enrichment: </w:t>
            </w:r>
            <w:r>
              <w:rPr>
                <w:rFonts w:ascii="Calibri" w:hAnsi="Calibri"/>
                <w:color w:val="212529"/>
                <w:sz w:val="20"/>
              </w:rPr>
              <w:t>The government received and currently enjoys the full benefit of the typhoon repair work. To deny compensation would amount to state enrichment at the expense of private contractors.</w:t>
            </w:r>
          </w:p>
          <w:p>
            <w:pPr>
              <w:spacing w:before="20" w:after="40" w:line="276" w:lineRule="auto"/>
            </w:pPr>
            <w:r>
              <w:rPr>
                <w:rFonts w:ascii="Calibri" w:hAnsi="Calibri"/>
                <w:b/>
                <w:color w:val="212529"/>
                <w:sz w:val="20"/>
              </w:rPr>
              <w:t xml:space="preserve">2. Scope of Quantum Meruit in Government Contracts: </w:t>
            </w:r>
            <w:r>
              <w:rPr>
                <w:rFonts w:ascii="Calibri" w:hAnsi="Calibri"/>
                <w:color w:val="212529"/>
                <w:sz w:val="20"/>
              </w:rPr>
              <w:t>Where a contract is invalid solely due to procedural auditing omissions but involves no fraud or overpricing, equity demands compensation based on the reasonable value of labor and materials.</w:t>
            </w:r>
          </w:p>
          <w:p>
            <w:pPr>
              <w:spacing w:before="20" w:after="40" w:line="276" w:lineRule="auto"/>
            </w:pPr>
            <w:r>
              <w:rPr>
                <w:rFonts w:ascii="Calibri" w:hAnsi="Calibri"/>
                <w:b/>
                <w:color w:val="212529"/>
                <w:sz w:val="20"/>
              </w:rPr>
              <w:t xml:space="preserve">3. Public Officer Good Faith: </w:t>
            </w:r>
            <w:r>
              <w:rPr>
                <w:rFonts w:ascii="Calibri" w:hAnsi="Calibri"/>
                <w:color w:val="212529"/>
                <w:sz w:val="20"/>
              </w:rPr>
              <w:t>An administrative official who acted in good faith to address an emergency without personal gain cannot be held personally liable for the contractor's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Quantum Meruit and equitable statutory interpretation. While auditing rules under PD 1445 are mandatory, they cannot be interpreted to allow the State to confiscate private work without compensation. The Court relieved the official of personal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COA disallowance, AUTHORIZED payment to the contractors on the basis of QUANTUM MERUIT, and ABSOLVED petitioner Jose Melchor, Jr. from personal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disallowance was set aside; contractors were ordered paid under quantum meruit, and the official was cleared of personal liability.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personal disallowance and authorized payment on quantum meruit, preventing unjust enrichment by the State."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b. Presumption Against Injustice (Quantum Meruit Compensation on Executed Government Contracts)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Nemo cum alterius detrimento locupletari potest (no one should be enriched to the damage or injury of another)</w:t>
              <w:br/>
            </w:r>
            <w:r>
              <w:rPr>
                <w:rFonts w:ascii="Calibri" w:hAnsi="Calibri"/>
                <w:b/>
                <w:color w:val="212529"/>
                <w:sz w:val="19"/>
              </w:rPr>
              <w:t xml:space="preserve">   • Literal English Translation: </w:t>
            </w:r>
            <w:r>
              <w:rPr>
                <w:rFonts w:ascii="Calibri" w:hAnsi="Calibri"/>
                <w:i/>
                <w:color w:val="212529"/>
                <w:sz w:val="19"/>
              </w:rPr>
              <w:t>No one should be enriched at another's expense.</w:t>
              <w:br/>
            </w:r>
            <w:r>
              <w:rPr>
                <w:rFonts w:ascii="Calibri" w:hAnsi="Calibri"/>
                <w:b/>
                <w:color w:val="212529"/>
                <w:sz w:val="19"/>
              </w:rPr>
              <w:t xml:space="preserve">   • Plain Legal Meaning &amp; StatCon Application: </w:t>
            </w:r>
            <w:r>
              <w:rPr>
                <w:rFonts w:ascii="Calibri" w:hAnsi="Calibri"/>
                <w:color w:val="212529"/>
                <w:sz w:val="19"/>
              </w:rPr>
              <w:t>The government cannot use auditing technicalities to confiscate completed private work for free.</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interpret auditing statutes as permitting state confiscation of completed repairs.</w:t>
            </w:r>
          </w:p>
          <w:p>
            <w:pPr>
              <w:spacing w:before="40" w:after="60" w:line="276" w:lineRule="auto"/>
            </w:pPr>
            <w:r>
              <w:rPr>
                <w:rFonts w:ascii="Calibri" w:hAnsi="Calibri"/>
                <w:b/>
                <w:color w:val="8C3200"/>
                <w:sz w:val="20"/>
              </w:rPr>
              <w:t>3. Quantum meruit (as much as he deserved)</w:t>
              <w:br/>
            </w:r>
            <w:r>
              <w:rPr>
                <w:rFonts w:ascii="Calibri" w:hAnsi="Calibri"/>
                <w:b/>
                <w:color w:val="212529"/>
                <w:sz w:val="19"/>
              </w:rPr>
              <w:t xml:space="preserve">   • Literal English Translation: </w:t>
            </w:r>
            <w:r>
              <w:rPr>
                <w:rFonts w:ascii="Calibri" w:hAnsi="Calibri"/>
                <w:i/>
                <w:color w:val="212529"/>
                <w:sz w:val="19"/>
              </w:rPr>
              <w:t>As much as he deserved.</w:t>
              <w:br/>
            </w:r>
            <w:r>
              <w:rPr>
                <w:rFonts w:ascii="Calibri" w:hAnsi="Calibri"/>
                <w:b/>
                <w:color w:val="212529"/>
                <w:sz w:val="19"/>
              </w:rPr>
              <w:t xml:space="preserve">   • Plain Legal Meaning &amp; StatCon Application: </w:t>
            </w:r>
            <w:r>
              <w:rPr>
                <w:rFonts w:ascii="Calibri" w:hAnsi="Calibri"/>
                <w:color w:val="212529"/>
                <w:sz w:val="19"/>
              </w:rPr>
              <w:t>Fair and reasonable compensation must be paid for actual benefits accepted and used by the government.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b. Presumption Against Injustice (Quantum Meruit Compensation on Executed Government Contracts)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Nemo cum alterius detrimento locupletari potest</w:t>
              <w:br/>
              <w:t>(no one should be enriched at the expense of another / government cannot invoke technical contract nullity to confiscate completed works without compensation)</w:t>
              <w:br/>
              <w:br/>
              <w:t>Secondary:</w:t>
              <w:br/>
              <w:t>• Quantum meruit (as much as he deserved)</w:t>
              <w:br/>
              <w:t>• Lex non intendit absurdum (the law does not intend absurdity)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COA interpreted auditing rules with mechanical rigidity to confiscate private construction work without compensation, creating unjust enrichment.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laws must be applied with fairness; the government cannot take private services and refuse to pay by crying technicality.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Melchor v. COA establishes that statutory auditing rules under PD 1445 cannot override the equitable principle against unjust enrichment—authorizing payment under Quantum Meruit."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V. Melchor, Jr. v. Commission on Audit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95398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16, 1991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COA interpreted auditing rules with mechanical rigidity to confiscate private construction work without compensation, creating unjust enrichment.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V. Melchor, Jr. v. Commission on Audit, under the canon of Nemo cum alterius detrimento locupletari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COA interpreted auditing rules with mechanical rigidity to confiscate private construction work without compensation, cr...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COA disallowance, AUTHORIZED payment to the contractors on the basis of QUANTUM MERUIT, and ABSOLVED petitioner Jose Melchor, Jr. from personal liability.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COA interpreted auditing rules with mechanical rigidity to confiscate private construction work without compensation, creating unjust enrich.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Nemo cum alterius detrimento locupletari potest</w:t>
              <w:br/>
              <w:t xml:space="preserve">   - Application: Equitable Construction Against Unjust Enrichment: Auditing statutes must be construed in harmony with equity; procedural defects will not bar recovery on quantum meruit for completed, beneficial works.</w:t>
              <w:br/>
              <w:t xml:space="preserve">   - Result: 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Quantum meruit (as much as he deserved)</w:t>
              <w:br/>
              <w:t>• Lex non intendit absurdum (the law does not intend absurdity)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V. Melchor, Jr. v. Commission on Audit to mean and apply strictly in accordance with Nemo cum alterius detrimento locupletari potest, holding that No. The government cannot take completed buildings for free. Under Quantum Meruit, the contractor is entitled to fair payment for actual work done, and an offic.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Nemo cum alterius detrimento locupletari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Auditing laws must be applied with fairness; the government cannot take private services and refuse to pay by crying technicality.</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1)</w:t>
              <w:br/>
            </w:r>
            <w:r>
              <w:rPr>
                <w:rFonts w:ascii="Arial" w:hAnsi="Arial"/>
                <w:b/>
                <w:color w:val="FFFFFF"/>
                <w:sz w:val="24"/>
              </w:rPr>
              <w:t>INTERPRETATION OF WORDS AND PHRASES: GENERAL &amp; SPECIFIC WORDS</w:t>
              <w:br/>
            </w:r>
            <w:r>
              <w:rPr>
                <w:rFonts w:ascii="Arial" w:hAnsi="Arial"/>
                <w:i/>
                <w:color w:val="D7E6FA"/>
                <w:sz w:val="19"/>
              </w:rPr>
              <w:t>Cases 55 to 67 | Generic, Technical &amp; Commercial Words, Disjunctive/Conjunctive, Mandatory/Directory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General Words and Phrases: Generic words, commercial meaning, technical/legal meaning</w:t>
            </w:r>
          </w:p>
          <w:p>
            <w:pPr>
              <w:spacing w:before="20" w:after="20"/>
            </w:pPr>
            <w:r>
              <w:rPr>
                <w:rFonts w:ascii="Calibri" w:hAnsi="Calibri"/>
                <w:color w:val="F0F5FF"/>
                <w:sz w:val="18"/>
              </w:rPr>
              <w:t>• • Disjunctive and Conjunctive Words: 'Or' (alternative) vs. 'And' (cumulative/conjunctive)</w:t>
            </w:r>
          </w:p>
          <w:p>
            <w:pPr>
              <w:spacing w:before="20" w:after="20"/>
            </w:pPr>
            <w:r>
              <w:rPr>
                <w:rFonts w:ascii="Calibri" w:hAnsi="Calibri"/>
                <w:color w:val="F0F5FF"/>
                <w:sz w:val="18"/>
              </w:rPr>
              <w:t>• • Mandatory and Directory Words: 'Shall' (imperative/mandatory) vs. 'May' (permissive/discretionary)</w:t>
            </w:r>
          </w:p>
          <w:p>
            <w:pPr>
              <w:spacing w:before="20" w:after="20"/>
            </w:pPr>
            <w:r>
              <w:rPr>
                <w:rFonts w:ascii="Calibri" w:hAnsi="Calibri"/>
                <w:color w:val="F0F5FF"/>
                <w:sz w:val="18"/>
              </w:rPr>
              <w:t>• • Contextual Meaning: Words defined by legislative purpose and statutory framework</w:t>
            </w:r>
          </w:p>
        </w:tc>
      </w:tr>
    </w:tbl>
    <w:p>
      <w:pPr>
        <w:spacing w:before="120"/>
      </w:pPr>
    </w:p>
    <w:p>
      <w:pPr>
        <w:keepNext/>
        <w:spacing w:before="320" w:after="80"/>
      </w:pPr>
      <w:r>
        <w:rPr>
          <w:rFonts w:ascii="Arial" w:hAnsi="Arial"/>
          <w:b/>
          <w:color w:val="0F2043"/>
          <w:sz w:val="26"/>
        </w:rPr>
        <w:t>55. PEDRO GATCHALIAN V. COMMISSION ON ELECTIONS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L-32560-61 | October 22, 1970 | 35 SCRA 435 | En Banc | Ponente: J. Teehankee</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Pedro Gatchalian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(COMELEC)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COMELEC resolution prohibiting foreign individuals and foreign non-stock organizations from contributing to delegates in the 1971 Constitutional Convention under Section 56 of the Revised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Section 56 of the Revised Election Code prohibited 'any foreigner' or 'any person' acting for a foreigner from making political campaign contributions to any candidate. Pedro Gatchalian, an active campaigner, challenged COMELEC's enforcement of the ban, contending that the phrase 'any foreigner' was intended to apply only to foreign commercial corporations, and should not be construed to ban individual aliens or foreign religious/missionary non-profit groups from expressing support or giving contributions. Gatchalian argued for a restrictive interpretation.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Election Code prohibited 'any foreigner' from making political campaign contributions to candidates. A campaigner argued that this law only meant foreign commercial corporations, not individual foreigners or religious missionaries. The Supreme Court ruled under Verba Legis and Ubi Lex Non Distinguit that 'any foreigner' means every single foreigner without exception, and courts cannot invent an exemption for individual aliens.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'any foreigner' in Section 56 of the Revised Election Code includes all foreign natural persons without distinction, testing Verba Legis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election contribution ban on 'any foreigner' apply to all individual foreign nationals without exception?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'any foreigner' in Section 56 of the Revised Election Code applies universally to all foreign individuals, testing the canon Verba Legis (the words of the law)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term 'any foreigner' is COMPREHENSIVE and applies to ALL non-citizens without exception. Where the statute employs broad, universal language, courts cannot create distinctions or exceptions not found in the text.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'Any foreigner' means any non-Filipino citizen. The law does not distinguish between a foreign business, an individual tourist, or a foreign missionary. Where the law makes no distinction, courts must make none.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and Ubi lex non distinguit nec nos distinguere debemus (where the law does not distinguish, we should not distinguish), the statutory phrase 'any foreigner' is absolute and admits of no judicial exception, completely barring foreign money from domestic elections."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56, Republic Act No. 180 (Revised Election Code): </w:t>
            </w:r>
            <w:r>
              <w:rPr>
                <w:rFonts w:ascii="Calibri" w:hAnsi="Calibri"/>
                <w:color w:val="212529"/>
                <w:sz w:val="20"/>
              </w:rPr>
              <w:t>Prohibits any foreigner from making political campaign contributions directly or indirectly.</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plain meaning of 'any foreigner' encompasses all alien natural and juridical persons.</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the statute makes no distinction among classes of foreigners, courts must make none.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56 RA 180, Verba Legis, and Ubi Lex Non Distinguit.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56 of the Revised Election Code, governed by Verba legis non est recedendum and Ubi lex non distinguit nec nos distinguere debemus."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Breadth of 'Any Foreigner': </w:t>
            </w:r>
            <w:r>
              <w:rPr>
                <w:rFonts w:ascii="Calibri" w:hAnsi="Calibri"/>
                <w:color w:val="212529"/>
                <w:sz w:val="20"/>
              </w:rPr>
              <w:t>The word 'any' is an all-inclusive adjective meaning every or all. In statutory construction, 'any' excludes any idea of limitation or qualification.</w:t>
            </w:r>
          </w:p>
          <w:p>
            <w:pPr>
              <w:spacing w:before="20" w:after="40" w:line="276" w:lineRule="auto"/>
            </w:pPr>
            <w:r>
              <w:rPr>
                <w:rFonts w:ascii="Calibri" w:hAnsi="Calibri"/>
                <w:b/>
                <w:color w:val="212529"/>
                <w:sz w:val="20"/>
              </w:rPr>
              <w:t xml:space="preserve">2. National Sovereignty and Electoral Purity: </w:t>
            </w:r>
            <w:r>
              <w:rPr>
                <w:rFonts w:ascii="Calibri" w:hAnsi="Calibri"/>
                <w:color w:val="212529"/>
                <w:sz w:val="20"/>
              </w:rPr>
              <w:t>The legislative intent of Section 56 was to insulate Philippine democratic elections from foreign influence of every kind, whether commercial, ideological, or religious.</w:t>
            </w:r>
          </w:p>
          <w:p>
            <w:pPr>
              <w:spacing w:before="20" w:after="40" w:line="276" w:lineRule="auto"/>
            </w:pPr>
            <w:r>
              <w:rPr>
                <w:rFonts w:ascii="Calibri" w:hAnsi="Calibri"/>
                <w:b/>
                <w:color w:val="212529"/>
                <w:sz w:val="20"/>
              </w:rPr>
              <w:t xml:space="preserve">3. Prohibition of Judicial Exceptions: </w:t>
            </w:r>
            <w:r>
              <w:rPr>
                <w:rFonts w:ascii="Calibri" w:hAnsi="Calibri"/>
                <w:color w:val="212529"/>
                <w:sz w:val="20"/>
              </w:rPr>
              <w:t>Courts cannot carve out exemptions for 'individual aliens' or 'religious groups' where Congress used unrestricted universal phrasing.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'any' is the broadest word in the English language. When Congress bans 'any foreigner', it means every non-citizen on earth. Allowing individual foreigners to fund candidates would let foreign money buy local politicians, destroying national sovereignty.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Ubi Lex Non Distinguit and Verba Legis. The statutory word 'any' is universal. To safeguard national sovereignty, the Court held that Section 56 prohibits all foreign political contributions without qualification."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absolute ban on foreign campaign contributions under Section 56 of the Revised Election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absolute ban on foreign contributions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complete ban on foreign contributions, ruling that 'any foreigner' covers all non-citizens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c. Technical/Legal Meaning (Election Code Foreigner Campaign Contribution Ban)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The statutory phrase 'any foreigner' makes no distinction between corporate and natural persons.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plain word 'any' must be given its unrestricted universal effect.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sovereign elections from foreign interference is a core national policy.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c. Technical/Legal Meaning (Election Code Foreigner Campaign Contribution Ban)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'any foreigner' in Section 56 Election Code covers all non-citizens universally)</w:t>
              <w:br/>
              <w:br/>
              <w:t>Secondary:</w:t>
              <w:br/>
              <w:t>• Verba legis non est recedendum (plain meaning of 'any')</w:t>
              <w:br/>
              <w:t>• Salus populi est suprema lex (electoral sovereignty)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introduce an unwritten exemption into a universal statutory prohibition to permit individual foreign political contributions.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Construction of Indefinite Pronouns: When a statute employs universal terms such as 'any', 'all', or 'every', courts are bound under Ubi Lex Non Distinguit to apply the provision without creating unauthorized exceptions.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uses the word 'ANY', it means every single one without exception; judges cannot invent an exception.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Gatchalian v. COMELEC is the foundational authority on the construction of universal terms ('any foreigner')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Pedro Gatchalian v. Commission on Elections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L-32560-61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22, 1970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Section 56 of the Revised Election Code prohibited 'any foreigner' or 'any person' acting for a foreigner from making political campaign contributions to any candidate. Pedro Gatchalian, an active campaigner, challenged COMELEC's enforcement of the ban, contending that the phrase 'any foreigner' was intended to apply only to foreign commercial corporations, and should not be construed to ban individual aliens or foreign religious/missionary non-profit groups from expressing support or giving contributions. Gatchalian argued for a restrictive interpretation.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56, Republic Act No. 180 (Revised Election Code): Prohibits any foreigner from making political campaign contributions directly or indirectly.</w:t>
              <w:br/>
              <w:t>2. Verba Legis Non Est Recedendum (from the words of the statute there should be no departure): The plain meaning of 'any foreigner' encompasses all alien natural and juridical persons.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introduce an unwritten exemption into a universal statutory prohibition to permit individual foreign political contributions.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'any foreigner' in Section 56 of the Revised Election Code includes all foreign natural persons without distinction, testing Verba Legis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Pedro Gatchalian v. Commission on Elections,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56, Republic Act No. 180 (Revised Election Code): Prohibits any foreigner from making political campaign contributions directly or indirectly.</w:t>
              <w:br/>
              <w:t>2. Verba Legis Non Est Recedendum (from the words of the statute there should be no departure): The plain meaning of 'any foreigner' encompasses all alien natural and juridical persons.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absolute ban on foreign campaign contributions under Section 56 of the Revised Election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term 'any foreigner' is COMPREHENSIVE and applies to ALL non-citizens without exception. Where the statute employs broad, universal language, courts cannot create distinctions or exceptions not found in the text.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introduce an unwritten exemption into a universal statutory prohibition to permit individual foreign political c.</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Construction of Indefinite Pronouns: When a statute employs universal terms such as 'any', 'all', or 'every', courts are bound under Ubi Lex Non Distinguit to apply the provision without creating unauthorized exceptions.</w:t>
              <w:br/>
              <w:t xml:space="preserve">   - Result: Yes. 'Any foreigner' means any non-Filipino citizen. The law does not distinguish between a foreign business, an individual tourist, or a foreign missionary. Where the law makes no distinction, courts must make none.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'any')</w:t>
              <w:br/>
              <w:t>• Salus populi est suprema lex (electoral sovereignty)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Pedro Gatchalian v. Commission on Elections to mean and apply strictly in accordance with Ubi lex non distinguit, nec nos distinguere debemus, holding that Yes. 'Any foreigner' means any non-Filipino citizen. The law does not distinguish between a foreign business, an individual tourist, or a foreign missionary. Wh.</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word 'any' is the broadest word in the English language. When Congress bans 'any foreigner', it means every non-citizen on earth. Allowing individual foreigners to fund candidates would let foreign money buy local politicians, destroying national sovereignty.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Construction of Indefinite Pronouns: When a statute employs universal terms such as 'any', 'all', or 'every', courts are bound under Ubi Lex Non Distinguit to apply the provision without creating unauthorized exceptions.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uses the word 'ANY', it means every single one without exception; judges cannot invent an exception.</w:t>
            </w:r>
          </w:p>
        </w:tc>
      </w:tr>
    </w:tbl>
    <w:p>
      <w:r>
        <w:br w:type="page"/>
      </w:r>
    </w:p>
    <w:p>
      <w:pPr>
        <w:keepNext/>
        <w:spacing w:before="320" w:after="80"/>
      </w:pPr>
      <w:r>
        <w:rPr>
          <w:rFonts w:ascii="Arial" w:hAnsi="Arial"/>
          <w:b/>
          <w:color w:val="0F2043"/>
          <w:sz w:val="26"/>
        </w:rPr>
        <w:t>56. JUANITO C. SALUDAGA V. HONORABLE SANDIGANBAYAN (FOURTH DIVISION)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184537 | April 23, 2010 | 619 SCRA 264 | Second Division | Ponente: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Juanito C. Saludaga, Municipal Mayor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Honorable Sandiganbayan (Fourth Division)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(Fourth Division)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the mandatory preventive suspension order issued by the Sandiganbayan under Section 13 of Republic Act No. 3019 (Anti-Graft and Corrupt Practices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Mayor Juanito Saludaga was criminally charged before the Sandiganbayan with violation of Section 3(e) of Republic Act No. 3019 for alleged anomalous municipal procurements. After the information was declared valid following a pre-suspension hearing, the Sandiganbayan issued a 90-day preventive suspension order pursuant to Section 13 of RA 3019, which provides that any incumbent public officer against whom any valid information is pending 'shall be suspended from office.' Saludaga contested the suspension, arguing that the Sandiganbayan had discretion to withhold suspension because the term 'shall' should be construed as permissive ('may') to avoid paralyzing local municipal administration.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town mayor was criminally charged with graft. Under Section 13 of the Anti-Graft Law, once a graft charge is declared valid, the court 'shall suspend' the official for 90 days. The mayor argued that 'shall' should be interpreted as optional ('may') so he could continue running the town. The Supreme Court ruled that the statutory word 'shall' is imperative and mandatory, leaving the Sandiganbayan with zero discretion once the charge is validated.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'shall' in Section 13 of R.A. No. 3019 is mandatory or discretionary in ordering the preventive suspension of an accused public officer.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word 'shall' in the Anti-Graft Law mandatory, meaning the court MUST suspend the official once the graft charge is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word 'shall' in Section 13 of RA 3019 is mandatory, testing the Construction of Mandatory Words ('Shall' vs. 'May') and Dura Lex Sed Lex."</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word 'shall' in Section 13 of R.A. No. 3019 is MANDATORY and IMPERATIVE. Once the court determines that the information is valid, preventive suspension of the incumbent official is an inescapable statutory duty.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 statutory construction, 'shall' commands an absolute duty. Once the graft information is proven valid, the court has no choice and must suspend the official for 90 days to prevent tampering with public records.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word 'shall' is a word of command that is mandatory in statutory construction. Under Section 13 of RA 3019 and Dura lex, sed lex, the Sandiganbayan possesses no discretion to refuse preventive suspension once the validity of the criminal charge is established."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Republic Act No. 3019 (Anti-Graft and Corrupt Practices Act): </w:t>
            </w:r>
            <w:r>
              <w:rPr>
                <w:rFonts w:ascii="Calibri" w:hAnsi="Calibri"/>
                <w:color w:val="212529"/>
                <w:sz w:val="20"/>
              </w:rPr>
              <w:t>Provides that an accused public officer 'shall be suspended from office' during trial.</w:t>
            </w:r>
          </w:p>
          <w:p>
            <w:pPr>
              <w:spacing w:before="20" w:after="40" w:line="276" w:lineRule="auto"/>
            </w:pPr>
            <w:r>
              <w:rPr>
                <w:rFonts w:ascii="Calibri" w:hAnsi="Calibri"/>
                <w:b/>
                <w:color w:val="212529"/>
                <w:sz w:val="20"/>
              </w:rPr>
              <w:t xml:space="preserve">2. Statutory Construction of 'Shall' as Mandatory: </w:t>
            </w:r>
            <w:r>
              <w:rPr>
                <w:rFonts w:ascii="Calibri" w:hAnsi="Calibri"/>
                <w:color w:val="212529"/>
                <w:sz w:val="20"/>
              </w:rPr>
              <w:t>The word 'shall' is imperative, commanding an absolute, non-discretionary statutory obligation.</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mandatory policy of preventive suspension must be applied regardless of municipal inconvenience.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RA 3019, 'Shall' as Mandatory Word,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RA 3019, applied under the cardinal rule that 'shall' denotes a mandatory statutory obligation, governed by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Character of 'Shall': </w:t>
            </w:r>
            <w:r>
              <w:rPr>
                <w:rFonts w:ascii="Calibri" w:hAnsi="Calibri"/>
                <w:color w:val="212529"/>
                <w:sz w:val="20"/>
              </w:rPr>
              <w:t>In statutory construction, the word 'shall' operates to impose a duty which may be enforced. It is not directory or permissive unless the context unmistakably indicates otherwise.</w:t>
            </w:r>
          </w:p>
          <w:p>
            <w:pPr>
              <w:spacing w:before="20" w:after="40" w:line="276" w:lineRule="auto"/>
            </w:pPr>
            <w:r>
              <w:rPr>
                <w:rFonts w:ascii="Calibri" w:hAnsi="Calibri"/>
                <w:b/>
                <w:color w:val="212529"/>
                <w:sz w:val="20"/>
              </w:rPr>
              <w:t xml:space="preserve">2. Purpose of Preventive Suspension in Graft Cases: </w:t>
            </w:r>
            <w:r>
              <w:rPr>
                <w:rFonts w:ascii="Calibri" w:hAnsi="Calibri"/>
                <w:color w:val="212529"/>
                <w:sz w:val="20"/>
              </w:rPr>
              <w:t>Preventive suspension is not a penalty; its statutory purpose is to prevent the accused official from using the powers of his office to intimidate witnesses, tamper with municipal records, or continue committing irregularities.</w:t>
            </w:r>
          </w:p>
          <w:p>
            <w:pPr>
              <w:spacing w:before="20" w:after="40" w:line="276" w:lineRule="auto"/>
            </w:pPr>
            <w:r>
              <w:rPr>
                <w:rFonts w:ascii="Calibri" w:hAnsi="Calibri"/>
                <w:b/>
                <w:color w:val="212529"/>
                <w:sz w:val="20"/>
              </w:rPr>
              <w:t xml:space="preserve">3. Ministerial Duty of Sandiganbayan: </w:t>
            </w:r>
            <w:r>
              <w:rPr>
                <w:rFonts w:ascii="Calibri" w:hAnsi="Calibri"/>
                <w:color w:val="212529"/>
                <w:sz w:val="20"/>
              </w:rPr>
              <w:t>Once the preliminary determination of validity is concluded, the issuance of the suspension order is ministerial.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says 'shall', it means 'YOU MUST DO IT'. Congress used 'shall' in the Anti-Graft Law so corrupt officials cannot sit in their offices and shred evidence or threaten witnesses while their criminal trial is ongoing. The judge has no choice.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reaffirmed that 'shall' is imperative. Section 13 of RA 3019 leaves no room for judicial discretion. The purpose of the statute is to protect public records, making preventive suspension mandatory under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Mayor Saludaga's petition and AFFIRMED the Sandiganbayan's mandatory 90-day preventive suspension order.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lost and his 90-day suspension from office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preventive suspension, holding that 'shall' in Section 13 of RA 3019 is strictly mandatory."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c. Technical/Legal Meaning (Anti-Graft RA 3019 / Gross Negligence)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mandatory command 'shall' in Section 13 RA 3019 must be enforced as enacted.</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Courts cannot convert the mandatory 'shall' into a discretionary 'may'.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Preventive suspension protects public records and the integrity of public office.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c. Technical/Legal Meaning (Anti-Graft RA 3019 / Gross Negligence)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'shall' in Section 13 RA 3019 commands mandatory preventive suspension without judicial discretion)</w:t>
              <w:br/>
              <w:br/>
              <w:t>Secondary:</w:t>
              <w:br/>
              <w:t>• Verba legis non est recedendum (mandatory force of 'shall')</w:t>
              <w:br/>
              <w:t>• Salus populi est suprema lex (preservation of public records)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dilute a mandatory word of command ('shall') into a permissive option ('may') to evade statutory preventive suspension.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Force of 'Shall': In statutory construction, the term 'shall' is a word of command that imposes an imperative, non-discretionary duty upon courts and administrative bodies.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law, the word 'SHALL' is an order that must be obeyed; judges cannot treat it as an optional suggestion.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Saludaga v. Sandiganbayan is the leading authority on mandatory statutory words: 'shall' in Section 13 of RA 3019 imposes a mandatory ministerial duty on courts."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Juanito C. Saludaga v. Honorable Sandiganbayan (Fourth Division)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184537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23,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Mayor Juanito Saludaga was criminally charged before the Sandiganbayan with violation of Section 3(e) of Republic Act No. 3019 for alleged anomalous municipal procurements. After the information was declared valid following a pre-suspension hearing, the Sandiganbayan issued a 90-day preventive suspension order pursuant to Section 13 of RA 3019, which provides that any incumbent public officer against whom any valid information is pending 'shall be suspended from office.' Saludaga contested the suspension, arguing that the Sandiganbayan had discretion to withhold suspension because the term 'shall' should be construed as permissive ('may') to avoid paralyzing local municipal administration.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Republic Act No. 3019 (Anti-Graft and Corrupt Practices Act): Provides that an accused public officer 'shall be suspended from office' during trial.</w:t>
              <w:br/>
              <w:t>2. Statutory Construction of 'Shall' as Mandatory: The word 'shall' is imperative, commanding an absolute, non-discretionary statutory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dilute a mandatory word of command ('shall') into a permissive option ('may') to evade statutory preventive suspension.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'shall' in Section 13 of R.A. No. 3019 is mandatory or discretionary in ordering the preventive suspension of an accused public officer.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Juanito C. Saludaga v. Honorable Sandiganbayan (Fourth Division),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Republic Act No. 3019 (Anti-Graft and Corrupt Practices Act): Provides that an accused public officer 'shall be suspended from office' during trial.</w:t>
              <w:br/>
              <w:t>2. Statutory Construction of 'Shall' as Mandatory: The word 'shall' is imperative, commanding an absolute, non-discretionary statutory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dilute a mandatory word of command ('shall') into a permissive option ('may') to evade statu...</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Mayor Saludaga's petition and AFFIRMED the Sandiganbayan's mandatory 90-day preventive suspension order.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word 'shall' in Section 13 of R.A. No. 3019 is MANDATORY and IMPERATIVE. Once the court determines that the information is valid, preventive suspension of the incumbent official is an inescapable statutory duty.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dilute a mandatory word of command ('shall') into a permissive option ('may') to evade statutory preventive susp.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Mandatory Force of 'Shall': In statutory construction, the term 'shall' is a word of command that imposes an imperative, non-discretionary duty upon courts and administrative bodies.</w:t>
              <w:br/>
              <w:t xml:space="preserve">   - Result: Yes. In statutory construction, 'shall' commands an absolute duty. Once the graft information is proven valid, the court has no choice and must suspend the official for 90 days to prevent tampering with public records.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(mandatory force of 'shall')</w:t>
              <w:br/>
              <w:t>• Salus populi est suprema lex (preservation of public records)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Juanito C. Saludaga v. Honorable Sandiganbayan (Fourth Division) to mean and apply strictly in accordance with Dura lex, sed lex, holding that Yes. In statutory construction, 'shall' commands an absolute duty. Once the graft information is proven valid, the court has no choice and must suspend the offi.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a law says 'shall', it means 'YOU MUST DO IT'. Congress used 'shall' in the Anti-Graft Law so corrupt officials cannot sit in their offices and shred evidence or threaten witnesses while their criminal trial is ongoing. The judge has no choice.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Force of 'Shall': In statutory construction, the term 'shall' is a word of command that imposes an imperative, non-discretionary duty upon courts and administrative bodies.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law, the word 'SHALL' is an order that must be obeyed; judges cannot treat it as an optional suggestion.</w:t>
            </w:r>
          </w:p>
        </w:tc>
      </w:tr>
    </w:tbl>
    <w:p>
      <w:r>
        <w:br w:type="page"/>
      </w:r>
    </w:p>
    <w:p>
      <w:pPr>
        <w:keepNext/>
        <w:spacing w:before="320" w:after="80"/>
      </w:pPr>
      <w:r>
        <w:rPr>
          <w:rFonts w:ascii="Arial" w:hAnsi="Arial"/>
          <w:b/>
          <w:color w:val="0F2043"/>
          <w:sz w:val="26"/>
        </w:rPr>
        <w:t>57. COMMISSIONER OF INTERNAL REVENUE V. JULIAN ARIETE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164152 | January 21, 2010 | 610 SCRA 414 | Second Division | Ponente: J. Carpio Morales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Julian Ariete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mandatory nature of tax amnesty immunities under Republic Act No. 9480 versus Section 203 of the NIRC.</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Julian Ariete availed of the Tax Amnesty Law under Republic Act No. 9480 by submitting his Notice of Availment, Statement of Assets, Liabilities, and Net Worth (SALN), and paying the mandatory amnesty tax. Despite full compliance, the BIR issued a final assessment notice for deficiency income taxes, claiming that Ariete's tax returns were fraudulent and therefore exempt from amnesty benefits. Ariete invoked Section 6 of RA 9480, which explicitly provides that taxpayers who avail of the tax amnesty 'shall be immune from payment of taxes, as well as additions thereto, and the civil, criminal or administrative penalties.'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taxpayer fully paid his tax amnesty under the 2007 Tax Amnesty Law (RA 9480) and submitted all required financial papers. Despite this, the BIR still assessed him for back taxes and penalties. The taxpayer argued that under RA 9480, once a taxpayer complies with the amnesty requirements, the law says he 'shall be immune' from all back taxes and lawsuits. The Supreme Court ruled that 'shall' is mandatory, meaning the BIR is legally bound to grant full tax immunity to compliant taxpayers.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grant of tax immunity under Section 6 of R.A. No. 9480 is mandatory upon full taxpayer compliance, testing the construction of 'Shall' in Tax Amnesty Statutes.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BIR legally bound to grant full immunity from back taxes once a taxpayer pays and complies with a Tax Amnesty Law using the word 'shall'?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'shall' in Section 6 of RA 9480 creates a mandatory right to tax immunity, testing the construction of Mandatory Words ('Shall') in tax amnesty legislation."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statutory grant of immunity is MANDATORY. The term 'shall' in Section 6 of R.A. No. 9480 creates an imperative statutory obligation on the BIR to grant complete civil, criminal, and tax immunity once the taxpayer complies with the amnesty requirements.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'Shall' means mandatory. When Congress promises full tax immunity in exchange for paying an amnesty tax, the government must honor its word. The BIR cannot take the amnesty payment and still chase the taxpayer for back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mandatory force of the word 'shall' in Section 6 of RA 9480, taxpayers who fully comply with the tax amnesty law enjoy an absolute, mandatory immunity from further tax assessments, which the BIR has no discretion to withhold."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 Republic Act No. 9480 (Tax Amnesty Act of 2007): </w:t>
            </w:r>
            <w:r>
              <w:rPr>
                <w:rFonts w:ascii="Calibri" w:hAnsi="Calibri"/>
                <w:color w:val="212529"/>
                <w:sz w:val="20"/>
              </w:rPr>
              <w:t>Explicitly provides that taxpayers who avail of the amnesty 'shall be immune from payment of taxes' and penalties.</w:t>
            </w:r>
          </w:p>
          <w:p>
            <w:pPr>
              <w:spacing w:before="20" w:after="40" w:line="276" w:lineRule="auto"/>
            </w:pPr>
            <w:r>
              <w:rPr>
                <w:rFonts w:ascii="Calibri" w:hAnsi="Calibri"/>
                <w:b/>
                <w:color w:val="212529"/>
                <w:sz w:val="20"/>
              </w:rPr>
              <w:t xml:space="preserve">2. Construction of 'Shall' as an Imperative Mandate: </w:t>
            </w:r>
            <w:r>
              <w:rPr>
                <w:rFonts w:ascii="Calibri" w:hAnsi="Calibri"/>
                <w:color w:val="212529"/>
                <w:sz w:val="20"/>
              </w:rPr>
              <w:t>The word 'shall' in a statute creates a non-discretionary obligation.</w:t>
            </w:r>
          </w:p>
          <w:p>
            <w:pPr>
              <w:spacing w:before="20" w:after="40" w:line="276" w:lineRule="auto"/>
            </w:pPr>
            <w:r>
              <w:rPr>
                <w:rFonts w:ascii="Calibri" w:hAnsi="Calibri"/>
                <w:b/>
                <w:color w:val="212529"/>
                <w:sz w:val="20"/>
              </w:rPr>
              <w:t xml:space="preserve">3. Estoppel and Good Faith in Tax Amnesties: </w:t>
            </w:r>
            <w:r>
              <w:rPr>
                <w:rFonts w:ascii="Calibri" w:hAnsi="Calibri"/>
                <w:color w:val="212529"/>
                <w:sz w:val="20"/>
              </w:rPr>
              <w:t>The State is bound by its statutory covenants; tax amnesty statutes are construed to protect compliant taxpayers.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 RA 9480, Mandatory 'Shall', and State Good Faith in Tax Amnesties.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 of RA 9480, applied under the rule that 'shall' establishes an imperative, mandatory statutory immunity."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Imperative Command of 'Shall': </w:t>
            </w:r>
            <w:r>
              <w:rPr>
                <w:rFonts w:ascii="Calibri" w:hAnsi="Calibri"/>
                <w:color w:val="212529"/>
                <w:sz w:val="20"/>
              </w:rPr>
              <w:t>Section 6 used the mandatory word 'shall'. The legislature intended to provide complete peace of mind and total immunity to taxpayers who came forward and paid the amnesty tax.</w:t>
            </w:r>
          </w:p>
          <w:p>
            <w:pPr>
              <w:spacing w:before="20" w:after="40" w:line="276" w:lineRule="auto"/>
            </w:pPr>
            <w:r>
              <w:rPr>
                <w:rFonts w:ascii="Calibri" w:hAnsi="Calibri"/>
                <w:b/>
                <w:color w:val="212529"/>
                <w:sz w:val="20"/>
              </w:rPr>
              <w:t xml:space="preserve">2. Nature of Tax Amnesty: </w:t>
            </w:r>
            <w:r>
              <w:rPr>
                <w:rFonts w:ascii="Calibri" w:hAnsi="Calibri"/>
                <w:color w:val="212529"/>
                <w:sz w:val="20"/>
              </w:rPr>
              <w:t>A tax amnesty is a general pardon or intentional overlooking by the State of its authority to impose penalties on tax evaders. Once accepted and paid, the tax debt is extinguished by operation of law.</w:t>
            </w:r>
          </w:p>
          <w:p>
            <w:pPr>
              <w:spacing w:before="20" w:after="40" w:line="276" w:lineRule="auto"/>
            </w:pPr>
            <w:r>
              <w:rPr>
                <w:rFonts w:ascii="Calibri" w:hAnsi="Calibri"/>
                <w:b/>
                <w:color w:val="212529"/>
                <w:sz w:val="20"/>
              </w:rPr>
              <w:t xml:space="preserve">3. Unlawful Administrative Evasion: </w:t>
            </w:r>
            <w:r>
              <w:rPr>
                <w:rFonts w:ascii="Calibri" w:hAnsi="Calibri"/>
                <w:color w:val="212529"/>
                <w:sz w:val="20"/>
              </w:rPr>
              <w:t>The BIR cannot defeat the legislative will by inventing exceptions not found in RA 9480 to harass taxpayers who complied in good faith.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tax amnesty is a solemn contract with the State: 'pay this discounted amount now, and the government pardons your past tax debts completely'. Because Congress wrote that the taxpayer 'shall be immune', the BIR cannot break the promise and issue new tax bills.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canon of 'shall'. Section 6 of RA 9480 leaves no discretion to the BIR. Compliant taxpayers are entitled to immediate statutory immunity, extinguishing prior tax liabilities."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Appeals, and CANCELLED the tax deficiency assessments against Julian Ariete.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taxpayer won and the BIR's back-tax assessment was cancelled under mandatory tax amnesty immunity.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confirming that 'shall' in RA 9480 confers mandatory tax immunity upon compliant taxpayers."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c. Technical/Legal Meaning (Tax Amnesty RA 9480 / Net Worth Definition)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mandatory command 'shall be immune' must be enforced literally.</w:t>
            </w:r>
          </w:p>
          <w:p>
            <w:pPr>
              <w:spacing w:before="40" w:after="60" w:line="276" w:lineRule="auto"/>
            </w:pPr>
            <w:r>
              <w:rPr>
                <w:rFonts w:ascii="Calibri" w:hAnsi="Calibri"/>
                <w:b/>
                <w:color w:val="8C3200"/>
                <w:sz w:val="20"/>
              </w:rPr>
              <w:t>2.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statutory tax amnesty covenant offered by the State is binding on the executive tax authority.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Encouraging tax compliance and revenue generation through reliable tax amnesties serves the public good.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c. Technical/Legal Meaning (Tax Amnesty RA 9480 / Net Worth Definition)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'shall be immune' in RA 9480 confers mandatory, non-discretionary tax amnesty protection)</w:t>
              <w:br/>
              <w:br/>
              <w:t>Secondary:</w:t>
              <w:br/>
              <w:t>• Pacta sunt servanda (binding nature of statutory amnesty)</w:t>
              <w:br/>
              <w:t>• Salus populi est suprema lex (fiscal public policy)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disregard the mandatory command 'shall be immune' in a tax amnesty statute, issuing unauthorized assessments against a compliant taxpayer.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Enforcement of Statutory Immunities: When an amnesty statute provides that a compliant citizen 'shall be immune', the executive branch is stripped of all discretion to pursue further collection.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promises that a citizen who complies 'SHALL BE IMMUNE', the government must keep its word and cannot take the money and then sue the citizen anyway.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Ariete demonstrates the mandatory force of 'shall' in tax amnesty legislation—conferring absolute statutory immunity on compliant taxpayers."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Julian Ariete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164152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21,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Julian Ariete availed of the Tax Amnesty Law under Republic Act No. 9480 by submitting his Notice of Availment, Statement of Assets, Liabilities, and Net Worth (SALN), and paying the mandatory amnesty tax. Despite full compliance, the BIR issued a final assessment notice for deficiency income taxes, claiming that Ariete's tax returns were fraudulent and therefore exempt from amnesty benefits. Ariete invoked Section 6 of RA 9480, which explicitly provides that taxpayers who avail of the tax amnesty 'shall be immune from payment of taxes, as well as additions thereto, and the civil, criminal or administrative penalties.'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 Republic Act No. 9480 (Tax Amnesty Act of 2007): Explicitly provides that taxpayers who avail of the amnesty 'shall be immune from payment of taxes' and penalties.</w:t>
              <w:br/>
              <w:t>2. Construction of 'Shall' as an Imperative Mandate: The word 'shall' in a statute creates a non-discretionary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disregard the mandatory command 'shall be immune' in a tax amnesty statute, issuing unauthorized assessments against a compliant taxpayer.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grant of tax immunity under Section 6 of R.A. No. 9480 is mandatory upon full taxpayer compliance, testing the construction of 'Shall' in Tax Amnesty Statutes.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Julian Ariete,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 Republic Act No. 9480 (Tax Amnesty Act of 2007): Explicitly provides that taxpayers who avail of the amnesty 'shall be immune from payment of taxes' and penalties.</w:t>
              <w:br/>
              <w:t>2. Construction of 'Shall' as an Imperative Mandate: The word 'shall' in a statute creates a non-discretionary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Appeals, and CANCELLED the tax deficiency assessments against Julian Ariete.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statutory grant of immunity is MANDATORY. The term 'shall' in Section 6 of R.A. No. 9480 creates an imperative statutory obligation on the BIR to grant complete civil, criminal, and tax immunity once the taxpayer complies with the amnesty requirements.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Mandatory Enforcement of Statutory Immunities: When an amnesty statute provides that a compliant citizen 'shall be immune', the executive branch is stripped of all discretion to pursue further collection.</w:t>
              <w:br/>
              <w:t xml:space="preserve">   - Result: Yes. 'Shall' means mandatory. When Congress promises full tax immunity in exchange for paying an amnesty tax, the government must honor its word. The BIR cannot take the amnesty payment and still chase the taxpayer for back taxes.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sunt servanda (binding nature of statutory amnesty)</w:t>
              <w:br/>
              <w:t>• Salus populi est suprema lex (fiscal public policy)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Julian Ariete to mean and apply strictly in accordance with Verba legis non est recedendum, holding that Yes. 'Shall' means mandatory. When Congress promises full tax immunity in exchange for paying an amnesty tax, the government must honor its word. The BIR cannot.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tax amnesty is a solemn contract with the State: 'pay this discounted amount now, and the government pardons your past tax debts completely'. Because Congress wrote that the taxpayer 'shall be immune', the BIR cannot break the promise and issue new tax bills.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Enforcement of Statutory Immunities: When an amnesty statute provides that a compliant citizen 'shall be immune', the executive branch is stripped of all discretion to pursue further collection.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promises that a citizen who complies 'SHALL BE IMMUNE', the government must keep its word and cannot take the money and then sue the citizen anyway.</w:t>
            </w:r>
          </w:p>
        </w:tc>
      </w:tr>
    </w:tbl>
    <w:p>
      <w:r>
        <w:br w:type="page"/>
      </w:r>
    </w:p>
    <w:p>
      <w:pPr>
        <w:keepNext/>
        <w:spacing w:before="320" w:after="80"/>
      </w:pPr>
      <w:r>
        <w:rPr>
          <w:rFonts w:ascii="Arial" w:hAnsi="Arial"/>
          <w:b/>
          <w:color w:val="0F2043"/>
          <w:sz w:val="26"/>
        </w:rPr>
        <w:t>58. OFFICE OF THE OMBUDSMAN V. ROLANDO ANDUTAN, JR.</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164679 | July 27, 2011 | 654 SCRA 539 | Second Division | Ponente: J. Brion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Office of the Ombudsman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Rolando Andutan,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administrative disciplinary jurisdiction of the Ombudsman over public officers who resigned or retired prior to the filing of the administrative complaint under Republic Act No. 6770 (The Ombudsman Act of 1989).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Rolando Andutan, Jr., former Executive Director of the Department of Finance One-Stop-Shop Inter-Agency Tax Credit Center, resigned from government service in 1999. In 2001 (over a year after his resignation took effect), the Ombudsman filed an administrative disciplinary complaint against him for Grave Misconduct arising from the fraudulent issuance of Tax Credit Certificates. The Ombudsman found him guilty and imposed the penalty of dismissal from service with forfeiture of benefits. Andutan appealed, arguing that under Section 19 and 21 of R.A. No. 6770, the Ombudsman's administrative disciplinary jurisdiction applies exclusively to INCUMBENT public officers, and cannot be exercised over individuals who have already separated from service prior to the initiation of the administrative case.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director resigned from his post in 1999. More than a year later, the Ombudsman filed administrative disciplinary charges against him for a past tax fraud scandal and ordered him 'fired' from government with loss of retirement benefits. The former official argued that the Ombudsman's administrative disciplinary power only covers active, incumbent government employees, not people who had already left public service before the case was filed. The Supreme Court agreed with the former official, ruling that administrative discipline requires an existing employer-employee relationship.</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Ombudsman has the statutory authority under R.A. No. 6770 to institute and prosecute an administrative disciplinary case against a public officer who had already resigned from government service prior to the filing of the complaint.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Ombudsman file an administrative disciplinary case to 'fire' someone who had already resigned from the government years before the case was filed?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Ombudsman has administrative disciplinary jurisdiction over non-incumbents who separated from service prior to the complaint, testing the statutory phrase 'Public Officer or Employee' in RA 6770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Ombudsman has NO ADMINISTRATIVE JURISDICTION to initiate an administrative case against a person who is NO LONGER in public service at the time the complaint is filed. Administrative discipline is predicated on an existing official employer-employee relationship.</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You cannot administratively 'fire' someone who is already gone from government before you filed the case. While the government can still file CRIMINAL charges or civil lawsuits to recover stolen money, administrative disciplinary jurisdiction applies only to active government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statutory construction of RA 6770, administrative disciplinary jurisdiction is designed to remove unfit incumbents from public office. Where the officer resigned prior to the filing of the administrative complaint, the Ombudsman has no jurisdiction to initiate administrative proceedings, without prejudice to criminal prosecution under RA 3019."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19, 21, and 22, Republic Act No. 6770 (The Ombudsman Act of 1989): </w:t>
            </w:r>
            <w:r>
              <w:rPr>
                <w:rFonts w:ascii="Calibri" w:hAnsi="Calibri"/>
                <w:color w:val="212529"/>
                <w:sz w:val="20"/>
              </w:rPr>
              <w:t>Defines administrative disciplinary authority of the Ombudsman over 'any public official or employee of the Government'.</w:t>
            </w:r>
          </w:p>
          <w:p>
            <w:pPr>
              <w:spacing w:before="20" w:after="40" w:line="276" w:lineRule="auto"/>
            </w:pPr>
            <w:r>
              <w:rPr>
                <w:rFonts w:ascii="Calibri" w:hAnsi="Calibri"/>
                <w:b/>
                <w:color w:val="212529"/>
                <w:sz w:val="20"/>
              </w:rPr>
              <w:t xml:space="preserve">2. Statutory Meaning of 'Public Official or Employee': </w:t>
            </w:r>
            <w:r>
              <w:rPr>
                <w:rFonts w:ascii="Calibri" w:hAnsi="Calibri"/>
                <w:color w:val="212529"/>
                <w:sz w:val="20"/>
              </w:rPr>
              <w:t>Refers to active incumbents holding public office at the time disciplinary jurisdiction is invoked.</w:t>
            </w:r>
          </w:p>
          <w:p>
            <w:pPr>
              <w:spacing w:before="20" w:after="40" w:line="276" w:lineRule="auto"/>
            </w:pPr>
            <w:r>
              <w:rPr>
                <w:rFonts w:ascii="Calibri" w:hAnsi="Calibri"/>
                <w:b/>
                <w:color w:val="212529"/>
                <w:sz w:val="20"/>
              </w:rPr>
              <w:t xml:space="preserve">3. Cessante Ratione Legis, Cessat Ipsa Lex (when the reason of the law ceases, the law itself ceases): </w:t>
            </w:r>
            <w:r>
              <w:rPr>
                <w:rFonts w:ascii="Calibri" w:hAnsi="Calibri"/>
                <w:color w:val="212529"/>
                <w:sz w:val="20"/>
              </w:rPr>
              <w:t>The purpose of administrative dismissal (cleansing the civil service) has no reason to operate where the officer has already separated from service.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19 &amp; 21 RA 6770, Statutory Definition of Public Officer, and Cessante Ratione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19 and 21 of RA 6770, construed under Cessante ratione legis cessat ipsa lex (when the reason of the law ceases, the law itself ceases)."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Administrative Disciplinary Jurisdiction: </w:t>
            </w:r>
            <w:r>
              <w:rPr>
                <w:rFonts w:ascii="Calibri" w:hAnsi="Calibri"/>
                <w:color w:val="212529"/>
                <w:sz w:val="20"/>
              </w:rPr>
              <w:t>The primary objective of administrative discipline is to maintain the purity and efficiency of the civil service by removing undesirable incumbents. It is not designed to impose penal sanctions on private citizens.</w:t>
            </w:r>
          </w:p>
          <w:p>
            <w:pPr>
              <w:spacing w:before="20" w:after="40" w:line="276" w:lineRule="auto"/>
            </w:pPr>
            <w:r>
              <w:rPr>
                <w:rFonts w:ascii="Calibri" w:hAnsi="Calibri"/>
                <w:b/>
                <w:color w:val="212529"/>
                <w:sz w:val="20"/>
              </w:rPr>
              <w:t xml:space="preserve">2. Temporal Jurisdiction Requirement: </w:t>
            </w:r>
            <w:r>
              <w:rPr>
                <w:rFonts w:ascii="Calibri" w:hAnsi="Calibri"/>
                <w:color w:val="212529"/>
                <w:sz w:val="20"/>
              </w:rPr>
              <w:t>While an officer who resigns DURING the pendency of an administrative case cannot escape liability, an administrative case cannot be INITIATED against a person who had already severed all official ties before the complaint was filed.</w:t>
            </w:r>
          </w:p>
          <w:p>
            <w:pPr>
              <w:spacing w:before="20" w:after="40" w:line="276" w:lineRule="auto"/>
            </w:pPr>
            <w:r>
              <w:rPr>
                <w:rFonts w:ascii="Calibri" w:hAnsi="Calibri"/>
                <w:b/>
                <w:color w:val="212529"/>
                <w:sz w:val="20"/>
              </w:rPr>
              <w:t xml:space="preserve">3. Preservation of Criminal and Civil Remedies: </w:t>
            </w:r>
            <w:r>
              <w:rPr>
                <w:rFonts w:ascii="Calibri" w:hAnsi="Calibri"/>
                <w:color w:val="212529"/>
                <w:sz w:val="20"/>
              </w:rPr>
              <w:t>Dismissal of the administrative case does not mean impunity; the Ombudsman remains fully empowered to file criminal charges under RA 3019 and civil actions for forfeiture of ill-gotten wealth.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point of administrative discipline is to clean up government offices by firing bad workers. If a worker resigned years ago, he is already out of the office. You cannot administratively fire a private citizen. If he committed a crime, the Ombudsman must file a criminal case in court, not an administrative office complaint.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Cessante Ratione Legis. The purpose of administrative sanctions is removal from office. Because respondent had already resigned before the case was instituted, administrative jurisdiction never attached. The proper statutory remedy is criminal prosecution under the Penal Code or RA 3019."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Ombudsman's petition, AFFIRMED the Court of Appeals, and DISMISSED the administrative disciplinary case against Rolando Andutan, Jr.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administrative case was dismissed for lack of jurisdiction because the official had resigned before the case was filed.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administrative case, holding that the Ombudsman cannot initiate administrative discipline against individuals who separated from service prior to filing."</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c. Technical/Legal Meaning (Ombudsman Act Sec. 20(5) / One-Year Period)</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of the law ceases, the law itself ceases.</w:t>
              <w:br/>
            </w:r>
            <w:r>
              <w:rPr>
                <w:rFonts w:ascii="Calibri" w:hAnsi="Calibri"/>
                <w:b/>
                <w:color w:val="212529"/>
                <w:sz w:val="19"/>
              </w:rPr>
              <w:t xml:space="preserve">   • Plain Legal Meaning &amp; StatCon Application: </w:t>
            </w:r>
            <w:r>
              <w:rPr>
                <w:rFonts w:ascii="Calibri" w:hAnsi="Calibri"/>
                <w:color w:val="212529"/>
                <w:sz w:val="19"/>
              </w:rPr>
              <w:t>The administrative power to dismiss an incumbent ceases when the official has already left government service before the complaint.</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RA 6770 grants administrative disciplinary authority specifically over 'public officers and employees'.</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expanded beyond statutory grants.</w:t>
              <w:br/>
            </w:r>
            <w:r>
              <w:rPr>
                <w:rFonts w:ascii="Calibri" w:hAnsi="Calibri"/>
                <w:b/>
                <w:color w:val="212529"/>
                <w:sz w:val="19"/>
              </w:rPr>
              <w:t xml:space="preserve">   • Plain Legal Meaning &amp; StatCon Application: </w:t>
            </w:r>
            <w:r>
              <w:rPr>
                <w:rFonts w:ascii="Calibri" w:hAnsi="Calibri"/>
                <w:color w:val="212529"/>
                <w:sz w:val="19"/>
              </w:rPr>
              <w:t>Administrative agencies cannot expand their disciplinary reach to private citizens.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c. Technical/Legal Meaning (Ombudsman Act Sec. 20(5) / One-Year Period)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Cessante ratione legis, cessat ipsa lex</w:t>
              <w:br/>
              <w:t>(when the reason of the law ceases, the law itself ceases / administrative dismissal powers of the Ombudsman apply only to incumbent public officers)</w:t>
              <w:br/>
              <w:br/>
              <w:t>Secondary:</w:t>
              <w:br/>
              <w:t>• Verba legis non est recedendum (definition of 'public officer')</w:t>
              <w:br/>
              <w:t>• Potestas delegata non delegari potest (limits of administrative reach)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Ombudsman attempted to expand its administrative disciplinary jurisdiction over private individuals who had already resigned prior to the institution of proceedings.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Jurisdictional Limits of Administrative Disciplinary Statutes: Administrative disciplinary charters operate only upon incumbent public officers; they cannot be initiated against former employees who resigned prior to the filing of the complaint.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Administrative office punishments only apply to current government workers; you cannot file an office discipline case to fire someone who already resigned years ago.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Ombudsman v. Andutan establishes that administrative disciplinary provisions of RA 6770 apply strictly to incumbents under Cessante ratione legis cessat ipsa lex."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Office of the Ombudsman v. Rolando Andutan,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164679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27,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Rolando Andutan, Jr., former Executive Director of the Department of Finance One-Stop-Shop Inter-Agency Tax Credit Center, resigned from government service in 1999. In 2001 (over a year after his resignation took effect), the Ombudsman filed an administrative disciplinary complaint against him for Grave Misconduct arising from the fraudulent issuance of Tax Credit Certificates. The Ombudsman found him guilty and imposed the penalty of dismissal from service with forfeiture of benefits. Andutan appealed, arguing that under Section 19 and 21 of R.A. No. 6770, the Ombudsman's administrative disciplinary jurisdiction applies exclusively to INCUMBENT public officers, and cannot be exercised over individuals who have already separated from service prior to the initiation of the administrative case.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19, 21, and 22, Republic Act No. 6770 (The Ombudsman Act of 1989): Defines administrative disciplinary authority of the Ombudsman over 'any public official or employee of the Government'.</w:t>
              <w:br/>
              <w:t>2. Statutory Meaning of 'Public Official or Employee': Refers to active incumbents holding public office at the time disciplinary jurisdiction is invoked.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Ombudsman attempted to expand its administrative disciplinary jurisdiction over private individuals who had already resigned prior to the institution of proceedings.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Ombudsman has the statutory authority under R.A. No. 6770 to institute and prosecute an administrative disciplinary case against a public officer who had already resigned from government service prior to the filing of the complaint.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Office of the Ombudsman v. Rolando Andutan, Jr., under the canon of Cessante ratione legis, cessat ipsa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19, 21, and 22, Republic Act No. 6770 (The Ombudsman Act of 1989): Defines administrative disciplinary authority of the Ombudsman over 'any public official or employee of the Government'.</w:t>
              <w:br/>
              <w:t>2. Statutory Meaning of 'Public Official or Employee': Refers to active incumbents holding public office at the time disciplinary jurisdiction is invoked.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Ombudsman attempted to expand its administrative disciplinary jurisdiction over private individuals who had already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Ombudsman's petition, AFFIRMED the Court of Appeals, and DISMISSED the administrative disciplinary case against Rolando Andutan, Jr.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Ombudsman has NO ADMINISTRATIVE JURISDICTION to initiate an administrative case against a person who is NO LONGER in public service at the time the complaint is filed. Administrative discipline is predicated on an existing official employer-employee relationship.</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Ombudsman attempted to expand its administrative disciplinary jurisdiction over private individuals who had already resigned prior to th.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Cessante ratione legis, cessat ipsa lex</w:t>
              <w:br/>
              <w:t xml:space="preserve">   - Application: Jurisdictional Limits of Administrative Disciplinary Statutes: Administrative disciplinary charters operate only upon incumbent public officers; they cannot be initiated against former employees who resigned prior to the filing of the complaint.</w:t>
              <w:br/>
              <w:t xml:space="preserve">   - Result: No. You cannot administratively 'fire' someone who is already gone from government before you filed the case. While the government can still file CRIMINAL charges or civil lawsuits to recover stolen money, administrative disciplinary jurisdiction applies only to active government workers.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(definition of 'public officer')</w:t>
              <w:br/>
              <w:t>• Potestas delegata non delegari potest (limits of administrative reach)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Office of the Ombudsman v. Rolando Andutan, Jr. to mean and apply strictly in accordance with Cessante ratione legis, cessat ipsa lex, holding that No. You cannot administratively 'fire' someone who is already gone from government before you filed the case. While the government can still file CRIMINAL charg.</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point of administrative discipline is to clean up government offices by firing bad workers. If a worker resigned years ago, he is already out of the office. You cannot administratively fire a private citizen. If he committed a crime, the Ombudsman must file a criminal case in court, not an administrative office complaint.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Cessante ratione legis, cessat ipsa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Jurisdictional Limits of Administrative Disciplinary Statutes: Administrative disciplinary charters operate only upon incumbent public officers; they cannot be initiated against former employees who resigned prior to the filing of the complaint.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Administrative office punishments only apply to current government workers; you cannot file an office discipline case to fire someone who already resigned years ago.</w:t>
            </w:r>
          </w:p>
        </w:tc>
      </w:tr>
    </w:tbl>
    <w:p>
      <w:r>
        <w:br w:type="page"/>
      </w:r>
    </w:p>
    <w:p>
      <w:pPr>
        <w:keepNext/>
        <w:spacing w:before="320" w:after="80"/>
      </w:pPr>
      <w:r>
        <w:rPr>
          <w:rFonts w:ascii="Arial" w:hAnsi="Arial"/>
          <w:b/>
          <w:color w:val="0F2043"/>
          <w:sz w:val="26"/>
        </w:rPr>
        <w:t>59. SPOUSES ROBERTO AND THELMA ENRIQUEZ V. SPOUSES VICTOR AND MILAGROS ENRIQUEZ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139303 | August 25, 2005 | 468 SCRA 9 | First Division | Ponente: J. Quisumbing</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Spouses Roberto and Thelma Enriquez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Spouses Victor and Milagros Enriquez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San Pedro, Laguna (Branch 31)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mandatory requirement of proof of service under Section 13, Rule 13 and Section 4, Rule 41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a civil action for partition of real property, the RTC rendered judgment against petitioners. Petitioners filed a Notice of Appeal, but failed to include a written explanation as to why personal service was not made and why service was effected by registered mail, as literally required by Section 11, Rule 13 of the 1997 Rules of Civil Procedure. The trial court dismissed the appeal. Petitioners appealed the dismissal, arguing that Section 11 should be interpreted liberally under the word 'may', and that the omission was a minor procedural lapse that should not forfeit their substantive right to appeal.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losing party in a property case filed an appeal by mail, but completely forgot to include the mandatory written explanation stating why they couldn't serve the papers in person. The court dismissed their appeal. The party argued that procedural rules should be interpreted loosely under 'may'. The Supreme Court ruled that the rule explicitly uses mandatory language ('shall'), and the requirement to explain why personal service was not done is strictly mandatory.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requirement under Section 11, Rule 13 of the 1997 Rules of Civil Procedure to explain why personal service was not made is mandatory or directory, testing the words 'Shall' and 'May'.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it strictly mandatory to write an explanation when you send court appeal papers by mail instead of personal delivery?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11, Rule 13 of the Rules of Court is mandatory, testing the Construction of Mandatory Terms ('Shall') and the limits of liberal construction in remedial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11, Rule 13 is MANDATORY. The rule explicitly provides that a party 'shall' serve and file pleadings personally whenever practicable, and if not, a written explanation 'shall' be attached. Failure to comply is fatal to the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rule uses the word 'shall'. Personal service is the priority rule, and if you send papers by mail, you MUST attach a written explanation. Disregarding this rule justifies dismissing the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established in Solar Team Entertainment v. Ricafort and reaffirmed here, Section 11, Rule 13 employs the mandatory word 'shall'. The requirement of a written explanation for non-personal service is mandatory and jurisdictional, and its complete omission justifies the dismissal of the appeal."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 Rule 13, 1997 Rules of Civil Procedure: </w:t>
            </w:r>
            <w:r>
              <w:rPr>
                <w:rFonts w:ascii="Calibri" w:hAnsi="Calibri"/>
                <w:color w:val="212529"/>
                <w:sz w:val="20"/>
              </w:rPr>
              <w:t>Mandates that service and filing shall be done personally; if by other modes, a written explanation shall be provided.</w:t>
            </w:r>
          </w:p>
          <w:p>
            <w:pPr>
              <w:spacing w:before="20" w:after="40" w:line="276" w:lineRule="auto"/>
            </w:pPr>
            <w:r>
              <w:rPr>
                <w:rFonts w:ascii="Calibri" w:hAnsi="Calibri"/>
                <w:b/>
                <w:color w:val="212529"/>
                <w:sz w:val="20"/>
              </w:rPr>
              <w:t xml:space="preserve">2. Construction of Mandatory Words ('Shall'): </w:t>
            </w:r>
            <w:r>
              <w:rPr>
                <w:rFonts w:ascii="Calibri" w:hAnsi="Calibri"/>
                <w:color w:val="212529"/>
                <w:sz w:val="20"/>
              </w:rPr>
              <w:t>The word 'shall' in procedural codes commands an imperative, mandatory compliance.</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Procedural rules designed to prevent delay and ensure order must be observed as enacted.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 Rule 13 Rules of Court, Mandatory 'Shall',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 Rule 13 of the Rules of Court, applied under the mandatory construction of 'shall' and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Priority of Personal Service: </w:t>
            </w:r>
            <w:r>
              <w:rPr>
                <w:rFonts w:ascii="Calibri" w:hAnsi="Calibri"/>
                <w:color w:val="212529"/>
                <w:sz w:val="20"/>
              </w:rPr>
              <w:t>The 1997 Rules of Civil Procedure instituted personal service as the primary mode of filing to eliminate delays in civil litigation. The rule explicitly uses the imperative 'shall'.</w:t>
            </w:r>
          </w:p>
          <w:p>
            <w:pPr>
              <w:spacing w:before="20" w:after="40" w:line="276" w:lineRule="auto"/>
            </w:pPr>
            <w:r>
              <w:rPr>
                <w:rFonts w:ascii="Calibri" w:hAnsi="Calibri"/>
                <w:b/>
                <w:color w:val="212529"/>
                <w:sz w:val="20"/>
              </w:rPr>
              <w:t xml:space="preserve">2. Strict Enforcement of the Written Explanation: </w:t>
            </w:r>
            <w:r>
              <w:rPr>
                <w:rFonts w:ascii="Calibri" w:hAnsi="Calibri"/>
                <w:color w:val="212529"/>
                <w:sz w:val="20"/>
              </w:rPr>
              <w:t>The written explanation is not a meaningless formality; it provides the court with the factual basis to determine if the deviation from personal service was justified.</w:t>
            </w:r>
          </w:p>
          <w:p>
            <w:pPr>
              <w:spacing w:before="20" w:after="40" w:line="276" w:lineRule="auto"/>
            </w:pPr>
            <w:r>
              <w:rPr>
                <w:rFonts w:ascii="Calibri" w:hAnsi="Calibri"/>
                <w:b/>
                <w:color w:val="212529"/>
                <w:sz w:val="20"/>
              </w:rPr>
              <w:t xml:space="preserve">3. Limits of Liberal Construction: </w:t>
            </w:r>
            <w:r>
              <w:rPr>
                <w:rFonts w:ascii="Calibri" w:hAnsi="Calibri"/>
                <w:color w:val="212529"/>
                <w:sz w:val="20"/>
              </w:rPr>
              <w:t>Liberal construction of remedial rules cannot be invoked to excuse total, unexplained non-compliance with clear mandatory requirements.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created this rule so lawyers wouldn't play games by hiding behind snail-mail. Personal delivery is the default. If you use the post office, you must write why you couldn't deliver it in person. Because the rule says 'shall', ignoring it completely gets your appeal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force of 'shall'. Section 11, Rule 13 was enacted to stop procedural delay. Where a party provides zero explanation for mailing instead of personal service, the appeal is fatally defective under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dismissal of the appeal, and DECLARED the RTC judgment final and executory.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appeal was dismissed for failure to attach the mandatory written explanation for service by mail.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dismissal of the appeal, holding that Section 11, Rule 13 is strictly mandatory under the word 'shall'."</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a. Generic Words (Civil Code Co-Ownership / Family Dwelling)</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Mandatory procedural rules must be enforced strictly to maintain orderly justice.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word 'shall' in Section 11, Rule 13 leaves no room for discretionary exemption.</w:t>
            </w:r>
          </w:p>
          <w:p>
            <w:pPr>
              <w:spacing w:before="40" w:after="60" w:line="276" w:lineRule="auto"/>
            </w:pPr>
            <w:r>
              <w:rPr>
                <w:rFonts w:ascii="Calibri" w:hAnsi="Calibri"/>
                <w:b/>
                <w:color w:val="8C3200"/>
                <w:sz w:val="20"/>
              </w:rPr>
              <w:t>3. Ignorantia legis non excusat (ignorance of the law excuses no one)</w:t>
              <w:br/>
            </w:r>
            <w:r>
              <w:rPr>
                <w:rFonts w:ascii="Calibri" w:hAnsi="Calibri"/>
                <w:b/>
                <w:color w:val="212529"/>
                <w:sz w:val="19"/>
              </w:rPr>
              <w:t xml:space="preserve">   • Literal English Translation: </w:t>
            </w:r>
            <w:r>
              <w:rPr>
                <w:rFonts w:ascii="Calibri" w:hAnsi="Calibri"/>
                <w:i/>
                <w:color w:val="212529"/>
                <w:sz w:val="19"/>
              </w:rPr>
              <w:t>Ignorance of the law excuses no one.</w:t>
              <w:br/>
            </w:r>
            <w:r>
              <w:rPr>
                <w:rFonts w:ascii="Calibri" w:hAnsi="Calibri"/>
                <w:b/>
                <w:color w:val="212529"/>
                <w:sz w:val="19"/>
              </w:rPr>
              <w:t xml:space="preserve">   • Plain Legal Meaning &amp; StatCon Application: </w:t>
            </w:r>
            <w:r>
              <w:rPr>
                <w:rFonts w:ascii="Calibri" w:hAnsi="Calibri"/>
                <w:color w:val="212529"/>
                <w:sz w:val="19"/>
              </w:rPr>
              <w:t>Litigants and counsel are bound to know and follow mandatory procedural amendments.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a. Generic Words (Civil Code Co-Ownership / Family Dwelling)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mandatory requirement of written explanation under Section 11 Rule 13 must be enforced strictly)</w:t>
              <w:br/>
              <w:br/>
              <w:t>Secondary:</w:t>
              <w:br/>
              <w:t>• Verba legis non est recedendum (mandatory 'shall' in procedural rules)</w:t>
              <w:br/>
              <w:t>• Ignorantia legis non excusat (procedural rules bind counsel)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Petitioners completely ignored the mandatory command 'shall' in Section 11, Rule 13, attempting to treat an imperative requirement as optional.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Character of Procedural Commands: When procedural rules employ the word 'shall', compliance is mandatory; liberal construction cannot cure a total absence of compliance with the rule.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court rules say you 'SHALL' do something, doing nothing will cause you to lose your case automatically.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Enriquez v. Enriquez demonstrates that procedural rules containing 'shall' are strictly mandatory under Dura lex, sed lex."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Spouses Roberto and Thelma Enriquez v. Spouses Victor and Milagros Enriquez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139303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25,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a civil action for partition of real property, the RTC rendered judgment against petitioners. Petitioners filed a Notice of Appeal, but failed to include a written explanation as to why personal service was not made and why service was effected by registered mail, as literally required by Section 11, Rule 13 of the 1997 Rules of Civil Procedure. The trial court dismissed the appeal. Petitioners appealed the dismissal, arguing that Section 11 should be interpreted liberally under the word 'may', and that the omission was a minor procedural lapse that should not forfeit their substantive right to appeal.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 Rule 13, 1997 Rules of Civil Procedure: Mandates that service and filing shall be done personally; if by other modes, a written explanation shall be provided.</w:t>
              <w:br/>
              <w:t>2. Construction of Mandatory Words ('Shall'): The word 'shall' in procedural codes commands an imperative, mandatory compliance.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Petitioners completely ignored the mandatory command 'shall' in Section 11, Rule 13, attempting to treat an imperative requirement as optional.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requirement under Section 11, Rule 13 of the 1997 Rules of Civil Procedure to explain why personal service was not made is mandatory or directory, testing the words 'Shall' and 'May'.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Spouses Roberto and Thelma Enriquez v. Spouses Victor and Milagros Enriquez,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 Rule 13, 1997 Rules of Civil Procedure: Mandates that service and filing shall be done personally; if by other modes, a written explanation shall be provided.</w:t>
              <w:br/>
              <w:t>2. Construction of Mandatory Words ('Shall'): The word 'shall' in procedural codes commands an imperative, mandatory compliance.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Petitioners completely ignored the mandatory command 'shall' in Section 11, Rule 13, attempting to treat an imperative 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dismissal of the appeal, and DECLARED the RTC judgment final and executory.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11, Rule 13 is MANDATORY. The rule explicitly provides that a party 'shall' serve and file pleadings personally whenever practicable, and if not, a written explanation 'shall' be attached. Failure to comply is fatal to the appeal.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Petitioners completely ignored the mandatory command 'shall' in Section 11, Rule 13, attempting to treat an imperative requirement as option.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Mandatory Character of Procedural Commands: When procedural rules employ the word 'shall', compliance is mandatory; liberal construction cannot cure a total absence of compliance with the rule.</w:t>
              <w:br/>
              <w:t xml:space="preserve">   - Result: Yes. The rule uses the word 'shall'. Personal service is the priority rule, and if you send papers by mail, you MUST attach a written explanation. Disregarding this rule justifies dismissing the appeal.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(mandatory 'shall' in procedural rules)</w:t>
              <w:br/>
              <w:t>• Ignorantia legis non excusat (procedural rules bind counsel)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Spouses Roberto and Thelma Enriquez v. Spouses Victor and Milagros Enriquez to mean and apply strictly in accordance with Dura lex, sed lex, holding that Yes. The rule uses the word 'shall'. Personal service is the priority rule, and if you send papers by mail, you MUST attach a written explanation. Disregarding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Supreme Court created this rule so lawyers wouldn't play games by hiding behind snail-mail. Personal delivery is the default. If you use the post office, you must write why you couldn't deliver it in person. Because the rule says 'shall', ignoring it completely gets your appeal dismissed.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Character of Procedural Commands: When procedural rules employ the word 'shall', compliance is mandatory; liberal construction cannot cure a total absence of compliance with the rule.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court rules say you 'SHALL' do something, doing nothing will cause you to lose your case automatically.</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1)</w:t>
              <w:br/>
            </w:r>
            <w:r>
              <w:rPr>
                <w:rFonts w:ascii="Arial" w:hAnsi="Arial"/>
                <w:b/>
                <w:color w:val="FFFFFF"/>
                <w:sz w:val="24"/>
              </w:rPr>
              <w:t>INTERPRETATION OF WORDS AND PHRASES: GENERAL &amp; SPECIFIC WORDS</w:t>
              <w:br/>
            </w:r>
            <w:r>
              <w:rPr>
                <w:rFonts w:ascii="Arial" w:hAnsi="Arial"/>
                <w:i/>
                <w:color w:val="D7E6FA"/>
                <w:sz w:val="19"/>
              </w:rPr>
              <w:t>Cases 55 to 67 | Generic, Technical &amp; Commercial Words, Disjunctive/Conjunctive, Mandatory/Directory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General Words and Phrases: Generic words, commercial meaning, technical/legal meaning</w:t>
            </w:r>
          </w:p>
          <w:p>
            <w:pPr>
              <w:spacing w:before="20" w:after="20"/>
            </w:pPr>
            <w:r>
              <w:rPr>
                <w:rFonts w:ascii="Calibri" w:hAnsi="Calibri"/>
                <w:color w:val="F0F5FF"/>
                <w:sz w:val="18"/>
              </w:rPr>
              <w:t>• • Disjunctive and Conjunctive Words: 'Or' (alternative) vs. 'And' (cumulative/conjunctive)</w:t>
            </w:r>
          </w:p>
          <w:p>
            <w:pPr>
              <w:spacing w:before="20" w:after="20"/>
            </w:pPr>
            <w:r>
              <w:rPr>
                <w:rFonts w:ascii="Calibri" w:hAnsi="Calibri"/>
                <w:color w:val="F0F5FF"/>
                <w:sz w:val="18"/>
              </w:rPr>
              <w:t>• • Mandatory and Directory Words: 'Shall' (imperative/mandatory) vs. 'May' (permissive/discretionary)</w:t>
            </w:r>
          </w:p>
          <w:p>
            <w:pPr>
              <w:spacing w:before="20" w:after="20"/>
            </w:pPr>
            <w:r>
              <w:rPr>
                <w:rFonts w:ascii="Calibri" w:hAnsi="Calibri"/>
                <w:color w:val="F0F5FF"/>
                <w:sz w:val="18"/>
              </w:rPr>
              <w:t>• • Contextual Meaning: Words defined by legislative purpose and statutory framework</w:t>
            </w:r>
          </w:p>
        </w:tc>
      </w:tr>
    </w:tbl>
    <w:p>
      <w:pPr>
        <w:spacing w:before="120"/>
      </w:pPr>
    </w:p>
    <w:p>
      <w:pPr>
        <w:keepNext/>
        <w:spacing w:before="320" w:after="80"/>
      </w:pPr>
      <w:r>
        <w:rPr>
          <w:rFonts w:ascii="Arial" w:hAnsi="Arial"/>
          <w:b/>
          <w:color w:val="0F2043"/>
          <w:sz w:val="26"/>
        </w:rPr>
        <w:t>60. RAMON DIOKNO V. REHABILITATION FINANCE CORPORATION (RFC)</w:t>
      </w:r>
    </w:p>
    <w:p>
      <w:pPr>
        <w:spacing w:before="40" w:after="80" w:line="276" w:lineRule="auto"/>
      </w:pPr>
      <w:r>
        <w:rPr>
          <w:rFonts w:ascii="Calibri" w:hAnsi="Calibri"/>
          <w:b/>
          <w:color w:val="212529"/>
          <w:sz w:val="21"/>
        </w:rPr>
        <w:t xml:space="preserve">Citation: </w:t>
      </w:r>
      <w:r>
        <w:rPr>
          <w:rFonts w:ascii="Calibri" w:hAnsi="Calibri"/>
          <w:i/>
          <w:color w:val="212529"/>
          <w:sz w:val="21"/>
        </w:rPr>
        <w:t>G.R. No. L-4712 | July 11, 1952 | 91 Phil. 608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Ramon Diokno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Rehabilitation Finance Corporation (RFC)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the Rehabilitation Finance Corporation (RFC) to accept Backpay Certificates in payment of a loan under Republic Act No. 304.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Senator Ramon Diokno obtained a loan from the Rehabilitation Finance Corporation (RFC, predecessor of DBP) secured by a mortgage. When Congress enacted Republic Act No. 304 (Backpay Law), Section 2 provided that backpay certificates 'MAY be accepted' by government-owned financial institutions in payment of pre-existing debts. Diokno tendered his backpay certificate to RFC in payment of his loan. RFC refused, citing financial constraints and arguing that under statutory construction, the word 'may' is permissive and confers discretion on RFC whether to accept certificates. Diokno filed for Mandamus, contending that 'may' should be construed as mandatory ('shall') for government institutions.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borrower tried to pay his mortgage loan at a government bank (RFC) using government backpay certificates under a law that said banks 'MAY accept' backpay certificates. The bank refused, saying it needed cash to survive. The borrower filed a Mandamus case, arguing that 'may' should be read as mandatory ('must'). The Supreme Court ruled that the word 'may' is ordinarily permissive and discretionary, not mandatory, and mandamus cannot compel a bank to do a discretionary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'may' in Section 2 of R.A. No. 304 is permissive or mandatory in compelling government financial institutions to accept backpay certificates.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'may' in a statute give an institution permission and discretion, or does it legally force them to accept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'may' in Section 2 of RA 304 is permissive or mandatory, testing the Construction of Permissive Words ('May' vs. 'Shall') and the limits of Mandamus."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word 'may' is PERMISSIVE AND DISCRETIONARY. In statutory construction, 'may' is an enabling word that confers discretion, and cannot be construed as mandatory ('shall') unless the context clearly requires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'May' is permissive. It gives permission and choice. It does not force the bank to take certificates if taking them would harm the bank's financial stability. Mandamus only lies to compel mandatory duties, not discretionary choices.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the word 'may' is an auxiliary verb indicating permission, ability, or possibility. In statutory construction, 'may' is ordinarily permissive and discretionary. Mandamus will not lie to compel RFC to accept backpay certificates where Congress used the discretionary term 'may'. (Note: Congress subsequently amended the law in RA 897 to make acceptance mandatory)."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304 (Original Backpay Law): </w:t>
            </w:r>
            <w:r>
              <w:rPr>
                <w:rFonts w:ascii="Calibri" w:hAnsi="Calibri"/>
                <w:color w:val="212529"/>
                <w:sz w:val="20"/>
              </w:rPr>
              <w:t>Provided that backpay certificates 'may be accepted' by government corporations.</w:t>
            </w:r>
          </w:p>
          <w:p>
            <w:pPr>
              <w:spacing w:before="20" w:after="40" w:line="276" w:lineRule="auto"/>
            </w:pPr>
            <w:r>
              <w:rPr>
                <w:rFonts w:ascii="Calibri" w:hAnsi="Calibri"/>
                <w:b/>
                <w:color w:val="212529"/>
                <w:sz w:val="20"/>
              </w:rPr>
              <w:t xml:space="preserve">2. Construction of Permissive Words ('May'): </w:t>
            </w:r>
            <w:r>
              <w:rPr>
                <w:rFonts w:ascii="Calibri" w:hAnsi="Calibri"/>
                <w:color w:val="212529"/>
                <w:sz w:val="20"/>
              </w:rPr>
              <w:t>The word 'may' is prima facie permissive and discretionary, conferring an option rather than commanding an obligation.</w:t>
            </w:r>
          </w:p>
          <w:p>
            <w:pPr>
              <w:spacing w:before="20" w:after="40" w:line="276" w:lineRule="auto"/>
            </w:pPr>
            <w:r>
              <w:rPr>
                <w:rFonts w:ascii="Calibri" w:hAnsi="Calibri"/>
                <w:b/>
                <w:color w:val="212529"/>
                <w:sz w:val="20"/>
              </w:rPr>
              <w:t xml:space="preserve">3. Nature of Mandamus (Rule 65): </w:t>
            </w:r>
            <w:r>
              <w:rPr>
                <w:rFonts w:ascii="Calibri" w:hAnsi="Calibri"/>
                <w:color w:val="212529"/>
                <w:sz w:val="20"/>
              </w:rPr>
              <w:t>Mandamus lies solely to enforce a clear, ministerial, mandatory duty, never a discretionary prerogative.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304, Construction of 'May' as Permissive, and Rules on Mandamus.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304, governed by the canon that 'may' is a permissive word conferring discretion, precluding the issuance of Mandamus."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Grammatical and Legal Meaning of 'May': </w:t>
            </w:r>
            <w:r>
              <w:rPr>
                <w:rFonts w:ascii="Calibri" w:hAnsi="Calibri"/>
                <w:color w:val="212529"/>
                <w:sz w:val="20"/>
              </w:rPr>
              <w:t>The word 'may' in ordinary parlance denotes discretion and choice. While 'may' can be construed as 'shall' where public interest or justice imperatively demands, it is presumed discretionary.</w:t>
            </w:r>
          </w:p>
          <w:p>
            <w:pPr>
              <w:spacing w:before="20" w:after="40" w:line="276" w:lineRule="auto"/>
            </w:pPr>
            <w:r>
              <w:rPr>
                <w:rFonts w:ascii="Calibri" w:hAnsi="Calibri"/>
                <w:b/>
                <w:color w:val="212529"/>
                <w:sz w:val="20"/>
              </w:rPr>
              <w:t xml:space="preserve">2. Financial Protection of Banking Institutions: </w:t>
            </w:r>
            <w:r>
              <w:rPr>
                <w:rFonts w:ascii="Calibri" w:hAnsi="Calibri"/>
                <w:color w:val="212529"/>
                <w:sz w:val="20"/>
              </w:rPr>
              <w:t>Congress deliberately used 'may' in RA 304 to give government banks the discretion to manage their liquidity and protect the national credit structure.</w:t>
            </w:r>
          </w:p>
          <w:p>
            <w:pPr>
              <w:spacing w:before="20" w:after="40" w:line="276" w:lineRule="auto"/>
            </w:pPr>
            <w:r>
              <w:rPr>
                <w:rFonts w:ascii="Calibri" w:hAnsi="Calibri"/>
                <w:b/>
                <w:color w:val="212529"/>
                <w:sz w:val="20"/>
              </w:rPr>
              <w:t xml:space="preserve">3. Legislative Response: </w:t>
            </w:r>
            <w:r>
              <w:rPr>
                <w:rFonts w:ascii="Calibri" w:hAnsi="Calibri"/>
                <w:color w:val="212529"/>
                <w:sz w:val="20"/>
              </w:rPr>
              <w:t>The correctness of the Court's interpretation was proven when Congress subsequently enacted Republic Act No. 897, explicitly replacing 'may' with mandatory language requiring acceptance of backpay certificates.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and law, 'may' means 'you have permission if you want to'. It does not mean 'you are forced to'. Congress used 'may' so the bank wouldn't go bankrupt by being flooded with paper IOUs instead of cash. The Court cannot rewrite 'may' into 'must'.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the distinction between 'may' and 'shall'. 'May' is an enabling, permissive word. Congress gave the bank discretion to protect its liquidity. Mandamus was properly denied because the statutory duty was discretionary."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for Mandamus, HOLDING that RFC had discretion under the word 'may' to refuse acceptance of backpay certificates under RA 304.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bank was not forced to accept the certificates under the permissive word 'may'.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mandamus, establishing that 'may' is an enabling permissive word conferring discretion."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B. Specific Words -&gt; b. Mandatory and Directory Words: 'May' vs 'Shall' (RA 85 Backpay Acceptance)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permissive word 'may' must be given its ordinary discretionary meaning.</w:t>
            </w:r>
          </w:p>
          <w:p>
            <w:pPr>
              <w:spacing w:before="40" w:after="60" w:line="276" w:lineRule="auto"/>
            </w:pPr>
            <w:r>
              <w:rPr>
                <w:rFonts w:ascii="Calibri" w:hAnsi="Calibri"/>
                <w:b/>
                <w:color w:val="8C3200"/>
                <w:sz w:val="20"/>
              </w:rPr>
              <w:t>2.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declares the law, not makes it.</w:t>
              <w:br/>
            </w:r>
            <w:r>
              <w:rPr>
                <w:rFonts w:ascii="Calibri" w:hAnsi="Calibri"/>
                <w:b/>
                <w:color w:val="212529"/>
                <w:sz w:val="19"/>
              </w:rPr>
              <w:t xml:space="preserve">   • Plain Legal Meaning &amp; StatCon Application: </w:t>
            </w:r>
            <w:r>
              <w:rPr>
                <w:rFonts w:ascii="Calibri" w:hAnsi="Calibri"/>
                <w:color w:val="212529"/>
                <w:sz w:val="19"/>
              </w:rPr>
              <w:t>Courts cannot transform a permissive 'may' into a mandatory 'shall'.</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preserve bank liquidity supports the permissive construction of 'may'.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B. Specific Words -&gt; b. Mandatory and Directory Words: 'May' vs 'Shall' (RA 85 Backpay Acceptance)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'may' is ordinarily permissive and discretionary in statutory construction)</w:t>
              <w:br/>
              <w:br/>
              <w:t>Secondary:</w:t>
              <w:br/>
              <w:t>• Judicis est ius dicere non dare (judges cannot convert 'may' to 'shall')</w:t>
              <w:br/>
              <w:t>• Ratio legis est anima legis (banking liquidity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sought to use Mandamus to transform a discretionary, permissive statutory term ('may') into an imperative command ('shall').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Discretionary Construction of 'May': The word 'may' in a statute is presumed to be permissive and directory, conferring discretion upon the public body or officer unless context imperatively demands otherwise.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'MAY' gives permission and choice; it does not force an agency to act against its discretion.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Diokno v. RFC is the premier authority on the interpretation of permissive words: 'may' is ordinarily discretionary and cannot be coerced by Mandamus."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Ramon Diokno v. Rehabilitation Finance Corporation (RFC)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L-4712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11,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Senator Ramon Diokno obtained a loan from the Rehabilitation Finance Corporation (RFC, predecessor of DBP) secured by a mortgage. When Congress enacted Republic Act No. 304 (Backpay Law), Section 2 provided that backpay certificates 'MAY be accepted' by government-owned financial institutions in payment of pre-existing debts. Diokno tendered his backpay certificate to RFC in payment of his loan. RFC refused, citing financial constraints and arguing that under statutory construction, the word 'may' is permissive and confers discretion on RFC whether to accept certificates. Diokno filed for Mandamus, contending that 'may' should be construed as mandatory ('shall') for government institutions.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304 (Original Backpay Law): Provided that backpay certificates 'may be accepted' by government corporations.</w:t>
              <w:br/>
              <w:t>2. Construction of Permissive Words ('May'): The word 'may' is prima facie permissive and discretionary, conferring an option rather than commanding an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sought to use Mandamus to transform a discretionary, permissive statutory term ('may') into an imperative command ('shall').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'may' in Section 2 of R.A. No. 304 is permissive or mandatory in compelling government financial institutions to accept backpay certificates.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Ramon Diokno v. Rehabilitation Finance Corporation (RFC),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304 (Original Backpay Law): Provided that backpay certificates 'may be accepted' by government corporations.</w:t>
              <w:br/>
              <w:t>2. Construction of Permissive Words ('May'): The word 'may' is prima facie permissive and discretionary, conferring an option rather than commanding an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for Mandamus, HOLDING that RFC had discretion under the word 'may' to refuse acceptance of backpay certificates under RA 304.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word 'may' is PERMISSIVE AND DISCRETIONARY. In statutory construction, 'may' is an enabling word that confers discretion, and cannot be construed as mandatory ('shall') unless the context clearly requires 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Discretionary Construction of 'May': The word 'may' in a statute is presumed to be permissive and directory, conferring discretion upon the public body or officer unless context imperatively demands otherwise.</w:t>
              <w:br/>
              <w:t xml:space="preserve">   - Result: 'May' is permissive. It gives permission and choice. It does not force the bank to take certificates if taking them would harm the bank's financial stability. Mandamus only lies to compel mandatory duties, not discretionary choices.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Judicis est ius dicere non dare (judges cannot convert 'may' to 'shall')</w:t>
              <w:br/>
              <w:t>• Ratio legis est anima legis (banking liquidity purpose)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Ramon Diokno v. Rehabilitation Finance Corporation (RFC) to mean and apply strictly in accordance with Verba legis non est recedendum, holding that 'May' is permissive. It gives permission and choice. It does not force the bank to take certificates if taking them would harm the bank's financial stability. M.</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and law, 'may' means 'you have permission if you want to'. It does not mean 'you are forced to'. Congress used 'may' so the bank wouldn't go bankrupt by being flooded with paper IOUs instead of cash. The Court cannot rewrite 'may' into 'must'.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Discretionary Construction of 'May': The word 'may' in a statute is presumed to be permissive and directory, conferring discretion upon the public body or officer unless context imperatively demands otherwise.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'MAY' gives permission and choice; it does not force an agency to act against its discretion.</w:t>
            </w:r>
          </w:p>
        </w:tc>
      </w:tr>
    </w:tbl>
    <w:p>
      <w:r>
        <w:br w:type="page"/>
      </w:r>
    </w:p>
    <w:p>
      <w:pPr>
        <w:keepNext/>
        <w:spacing w:before="320" w:after="80"/>
      </w:pPr>
      <w:r>
        <w:rPr>
          <w:rFonts w:ascii="Arial" w:hAnsi="Arial"/>
          <w:b/>
          <w:color w:val="0F2043"/>
          <w:sz w:val="26"/>
        </w:rPr>
        <w:t>61. SAN CARLOS MILLING CO., INC.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103379 | November 23, 1993 | 228 SCRA 135 | Second Division | Ponente: J. Padilla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San Carlos Milling Co.,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and Court of Tax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taxpayer's irrevocable election under Section 69 of the National Internal Revenue Code regarding excess creditable income tax (Tax Refund vs. Tax Credit).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San Carlos Milling had excess creditable withholding taxes. In its final corporate income tax return, it elected to carry over the excess tax as an automatic TAX CREDIT against its estimated income tax liabilities for the succeeding taxable year. However, in the following year, the company suffered net operational losses and incurred no income tax liability. San Carlos Milling then changed its mind and filed an administrative claim with the BIR for a CASH REFUND of the unused excess taxes. The CTA and CA denied the refund, holding that under Section 69 (now Sec. 76) of the NIRC, the disjunctive word 'OR' between refund and tax credit makes the two remedies ALTERNATIVE AND IRREVOCABLE once chosen.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 had excess tax payments and ticked the box to carry over the money as an automatic tax credit for next year's taxes. Next year, the company had zero income and owed no taxes. The company then asked the BIR for a cash refund. The BIR and the Supreme Court said NO: the Tax Code says you can choose a refund 'OR' a tax credit. The word 'or' makes the choice mutually exclusive and irrevocable. Once you choose to carry over, you must stick with carrying it over.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taxpayer who has chosen to carry over excess creditable taxes as a tax credit may subsequently change its election and claim a cash refund, testing the Disjunctive Particle 'OR' in Section 69 NIRC.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'OR' in the tax refund law make the choice between a cash refund and carrying over tax credits mutually exclusive and irrevocable?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disjunctive word 'OR' in Section 69 of the NIRC establishes alternative and mutually exclusive remedies, testing the Construction of Disjunctive Particles ('Or' vs. 'And') and the Irrevocability Rule in Tax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taxpayer CANNOT switch to a cash refund. In statutory construction, the word 'OR' is a DISJUNCTIVE CONJUNCTION that indicates an alternative; the two remedies are MUTUALLY EXCLUSIVE, and once an election is made, it is IRREVOCABLE.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word 'or' separates two different choices: you can take a refund, OR carry it over. You cannot pick both, and once you pick carry-over, the choice is locked permanently until consumed. 'Or' means alternative.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the word 'or' is a disjunctive particle expressing an alternative. Under Section 69 of the NIRC, a corporate taxpayer is given the option either to obtain a refund OR to carry over the excess credit. Once the taxpayer elects to carry over, the two remedies are mutually exclusive, and the choice is irrevocable under the explicit statutory text."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69 (now Section 76), National Internal Revenue Code: </w:t>
            </w:r>
            <w:r>
              <w:rPr>
                <w:rFonts w:ascii="Calibri" w:hAnsi="Calibri"/>
                <w:color w:val="212529"/>
                <w:sz w:val="20"/>
              </w:rPr>
              <w:t>Provides that a corporation with excess quarterly taxes may either (a) be refunded, OR (b) automatically credit the excess against future taxes.</w:t>
            </w:r>
          </w:p>
          <w:p>
            <w:pPr>
              <w:spacing w:before="20" w:after="40" w:line="276" w:lineRule="auto"/>
            </w:pPr>
            <w:r>
              <w:rPr>
                <w:rFonts w:ascii="Calibri" w:hAnsi="Calibri"/>
                <w:b/>
                <w:color w:val="212529"/>
                <w:sz w:val="20"/>
              </w:rPr>
              <w:t xml:space="preserve">2. Construction of Disjunctive Particle 'OR': </w:t>
            </w:r>
            <w:r>
              <w:rPr>
                <w:rFonts w:ascii="Calibri" w:hAnsi="Calibri"/>
                <w:color w:val="212529"/>
                <w:sz w:val="20"/>
              </w:rPr>
              <w:t>The word 'or' connects mutually exclusive alternatives, signifying that one or the other, but not both, may be chosen.</w:t>
            </w:r>
          </w:p>
          <w:p>
            <w:pPr>
              <w:spacing w:before="20" w:after="40" w:line="276" w:lineRule="auto"/>
            </w:pPr>
            <w:r>
              <w:rPr>
                <w:rFonts w:ascii="Calibri" w:hAnsi="Calibri"/>
                <w:b/>
                <w:color w:val="212529"/>
                <w:sz w:val="20"/>
              </w:rPr>
              <w:t xml:space="preserve">3. Strictissimi Juris (of the strictest interpretation) in Tax Refunds: </w:t>
            </w:r>
            <w:r>
              <w:rPr>
                <w:rFonts w:ascii="Calibri" w:hAnsi="Calibri"/>
                <w:color w:val="212529"/>
                <w:sz w:val="20"/>
              </w:rPr>
              <w:t>Tax refund rules are strictly construed against the taxpayer; procedural statutory conditions are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69 NIRC, Disjunctive Particle 'Or', and Strictissimi Juris in tax refunds.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69 of the NIRC, governed by the grammatical and statutory rule on the Disjunctive Particle 'OR' and Strictissimi Juris in tax refunds."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Disjunctive Nature of 'Or': </w:t>
            </w:r>
            <w:r>
              <w:rPr>
                <w:rFonts w:ascii="Calibri" w:hAnsi="Calibri"/>
                <w:color w:val="212529"/>
                <w:sz w:val="20"/>
              </w:rPr>
              <w:t>In statutory construction, 'or' is a disjunctive that marks an alternative which generally corresponds to the word 'either' ('either this OR that'). It separates distinct items and establishes mutual exclusivity.</w:t>
            </w:r>
          </w:p>
          <w:p>
            <w:pPr>
              <w:spacing w:before="20" w:after="40" w:line="276" w:lineRule="auto"/>
            </w:pPr>
            <w:r>
              <w:rPr>
                <w:rFonts w:ascii="Calibri" w:hAnsi="Calibri"/>
                <w:b/>
                <w:color w:val="212529"/>
                <w:sz w:val="20"/>
              </w:rPr>
              <w:t xml:space="preserve">2. The Irrevocability Rule: </w:t>
            </w:r>
            <w:r>
              <w:rPr>
                <w:rFonts w:ascii="Calibri" w:hAnsi="Calibri"/>
                <w:color w:val="212529"/>
                <w:sz w:val="20"/>
              </w:rPr>
              <w:t>Allowing taxpayers to switch back and forth between tax credits and cash refunds would create administrative chaos in the BIR's revenue forecasting and auditing systems.</w:t>
            </w:r>
          </w:p>
          <w:p>
            <w:pPr>
              <w:spacing w:before="20" w:after="40" w:line="276" w:lineRule="auto"/>
            </w:pPr>
            <w:r>
              <w:rPr>
                <w:rFonts w:ascii="Calibri" w:hAnsi="Calibri"/>
                <w:b/>
                <w:color w:val="212529"/>
                <w:sz w:val="20"/>
              </w:rPr>
              <w:t xml:space="preserve">3. Protection of Unused Credits: </w:t>
            </w:r>
            <w:r>
              <w:rPr>
                <w:rFonts w:ascii="Calibri" w:hAnsi="Calibri"/>
                <w:color w:val="212529"/>
                <w:sz w:val="20"/>
              </w:rPr>
              <w:t>While the taxpayer cannot get a cash refund, its excess credit is not lost; it remains carried over indefinitely until completely absorbed against future corporate tax liabilities.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and statutory construction, 'OR' means you choose Path A or Path B, not both. The law was written this way so the BIR knows whether to set aside cash for a check or just adjust future bookkeeping. Once you tick 'carry over', the tax code locks your choice.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disjunctive rule for the word 'or'. 'Or' connects alternative, mutually exclusive choices. Under Section 69 NIRC, electing to carry over excess credits permanently bars a subsequent claim for cash refund, enforcing administrative order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Tax Appeals denying the cash refund.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cash refund was denied and the taxpayer was held to its choice to carry over the credits.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denial of the refund, ruling that the disjunctive 'or' establishes mutually exclusive and irrevocable tax remedies."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B. Specific Words -&gt; a. Disjunctive/Conjunctive Words: 'Or' vs 'And' (NIRC Sec. 86 / Net Income Options)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disjunctive particle 'or' must be given its plain alternative meaning.</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refund statutes are construed strictissimi juris against the claimant.</w:t>
            </w:r>
          </w:p>
          <w:p>
            <w:pPr>
              <w:spacing w:before="40" w:after="60" w:line="276" w:lineRule="auto"/>
            </w:pPr>
            <w:r>
              <w:rPr>
                <w:rFonts w:ascii="Calibri" w:hAnsi="Calibri"/>
                <w:b/>
                <w:color w:val="8C3200"/>
                <w:sz w:val="20"/>
              </w:rPr>
              <w:t>3. Electa una via, non datur recursus ad alteram (having chosen one way, recourse to another is not given)</w:t>
              <w:br/>
            </w:r>
            <w:r>
              <w:rPr>
                <w:rFonts w:ascii="Calibri" w:hAnsi="Calibri"/>
                <w:b/>
                <w:color w:val="212529"/>
                <w:sz w:val="19"/>
              </w:rPr>
              <w:t xml:space="preserve">   • Literal English Translation: </w:t>
            </w:r>
            <w:r>
              <w:rPr>
                <w:rFonts w:ascii="Calibri" w:hAnsi="Calibri"/>
                <w:i/>
                <w:color w:val="212529"/>
                <w:sz w:val="19"/>
              </w:rPr>
              <w:t>When one way is chosen, recourse to another is barred.</w:t>
              <w:br/>
            </w:r>
            <w:r>
              <w:rPr>
                <w:rFonts w:ascii="Calibri" w:hAnsi="Calibri"/>
                <w:b/>
                <w:color w:val="212529"/>
                <w:sz w:val="19"/>
              </w:rPr>
              <w:t xml:space="preserve">   • Plain Legal Meaning &amp; StatCon Application: </w:t>
            </w:r>
            <w:r>
              <w:rPr>
                <w:rFonts w:ascii="Calibri" w:hAnsi="Calibri"/>
                <w:color w:val="212529"/>
                <w:sz w:val="19"/>
              </w:rPr>
              <w:t>Choosing the carry-over option irrevocably bars the cash refund option.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B. Specific Words -&gt; a. Disjunctive/Conjunctive Words: 'Or' vs 'And' (NIRC Sec. 86 / Net Income Options)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Electa una via, non datur recursus ad alteram</w:t>
              <w:br/>
              <w:t>(having chosen one way, recourse to another is not given / the disjunctive 'or' in Section 69 NIRC makes tax refund and tax credit mutually exclusive and irrevocable)</w:t>
              <w:br/>
              <w:br/>
              <w:t>Secondary:</w:t>
              <w:br/>
              <w:t>• Verba legis non est recedendum (disjunctive force of 'or')</w:t>
              <w:br/>
              <w:t>• Strictissimi juris (strict construction of refund provisions)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taxpayer attempted to treat the disjunctive particle 'or' as conjunctive ('and'), switching between mutually exclusive statutory options.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Disjunctive Particle 'Or': The word 'or' is a disjunctive conjunction that connects separate, mutually exclusive alternatives; under the doctrine Electa Una Via, selecting one alternative irrevocably forecloses the other.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'OR' means you pick one option and stick with it; you cannot choose option A and then try to take option 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San Carlos Milling v. CIR is the leading authority on the disjunctive particle 'OR' in statutory construction: 'or' establishes alternative, mutually exclusive, and irrevocable remedies."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San Carlos Milling Co., Inc.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103379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23,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San Carlos Milling had excess creditable withholding taxes. In its final corporate income tax return, it elected to carry over the excess tax as an automatic TAX CREDIT against its estimated income tax liabilities for the succeeding taxable year. However, in the following year, the company suffered net operational losses and incurred no income tax liability. San Carlos Milling then changed its mind and filed an administrative claim with the BIR for a CASH REFUND of the unused excess taxes. The CTA and CA denied the refund, holding that under Section 69 (now Sec. 76) of the NIRC, the disjunctive word 'OR' between refund and tax credit makes the two remedies ALTERNATIVE AND IRREVOCABLE once chosen.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69 (now Section 76), National Internal Revenue Code: Provides that a corporation with excess quarterly taxes may either (a) be refunded, OR (b) automatically credit the excess against future taxes.</w:t>
              <w:br/>
              <w:t>2. Construction of Disjunctive Particle 'OR': The word 'or' connects mutually exclusive alternatives, signifying that one or the other, but not both, may be chosen.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taxpayer attempted to treat the disjunctive particle 'or' as conjunctive ('and'), switching between mutually exclusive statutory options.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taxpayer who has chosen to carry over excess creditable taxes as a tax credit may subsequently change its election and claim a cash refund, testing the Disjunctive Particle 'OR' in Section 69 NIRC.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San Carlos Milling Co., Inc. v. Commissioner of Internal Revenue, under the canon of Electa una via, non datur recursus ad alteram.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69 (now Section 76), National Internal Revenue Code: Provides that a corporation with excess quarterly taxes may either (a) be refunded, OR (b) automatically credit the excess against future taxes.</w:t>
              <w:br/>
              <w:t>2. Construction of Disjunctive Particle 'OR': The word 'or' connects mutually exclusive alternatives, signifying that one or the other, but not both, may be chosen.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taxpayer attempted to treat the disjunctive particle 'or' as conjunctive ('and'), switching between mutually exclusi...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Tax Appeals denying the cash refund.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taxpayer CANNOT switch to a cash refund. In statutory construction, the word 'OR' is a DISJUNCTIVE CONJUNCTION that indicates an alternative; the two remedies are MUTUALLY EXCLUSIVE, and once an election is made, it is IRREVOCABLE.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taxpayer attempted to treat the disjunctive particle 'or' as conjunctive ('and'), switching between mutually exclusive statutory options.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Electa una via, non datur recursus ad alteram</w:t>
              <w:br/>
              <w:t xml:space="preserve">   - Application: The Disjunctive Particle 'Or': The word 'or' is a disjunctive conjunction that connects separate, mutually exclusive alternatives; under the doctrine Electa Una Via, selecting one alternative irrevocably forecloses the other.</w:t>
              <w:br/>
              <w:t xml:space="preserve">   - Result: No. The word 'or' separates two different choices: you can take a refund, OR carry it over. You cannot pick both, and once you pick carry-over, the choice is locked permanently until consumed. 'Or' means alternative.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(disjunctive force of 'or')</w:t>
              <w:br/>
              <w:t>• Strictissimi juris (strict construction of refund provisions)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San Carlos Milling Co., Inc. v. Commissioner of Internal Revenue to mean and apply strictly in accordance with Electa una via, non datur recursus ad alteram, holding that No. The word 'or' separates two different choices: you can take a refund, OR carry it over. You cannot pick both, and once you pick carry-over, the choice is lo.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and statutory construction, 'OR' means you choose Path A or Path B, not both. The law was written this way so the BIR knows whether to set aside cash for a check or just adjust future bookkeeping. Once you tick 'carry over', the tax code locks your choice.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Electa una via, non datur recursus ad alteram,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Disjunctive Particle 'Or': The word 'or' is a disjunctive conjunction that connects separate, mutually exclusive alternatives; under the doctrine Electa Una Via, selecting one alternative irrevocably forecloses the other.</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'OR' means you pick one option and stick with it; you cannot choose option A and then try to take option B.</w:t>
            </w:r>
          </w:p>
        </w:tc>
      </w:tr>
    </w:tbl>
    <w:p>
      <w:r>
        <w:br w:type="page"/>
      </w:r>
    </w:p>
    <w:p>
      <w:pPr>
        <w:keepNext/>
        <w:spacing w:before="320" w:after="80"/>
      </w:pPr>
      <w:r>
        <w:rPr>
          <w:rFonts w:ascii="Arial" w:hAnsi="Arial"/>
          <w:b/>
          <w:color w:val="0F2043"/>
          <w:sz w:val="26"/>
        </w:rPr>
        <w:t>62. ZACARIAS BERCES, SR. V. HON. TEOFISTO T. GUINGONA, JR. AND MAYOR NAOMI CORRAL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112099 | February 21, 1995 | 241 SCRA 539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Zacarias Berces, Sr.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Teofisto T. Guingona, Jr., Executive Secretary, and Mayor Naomi Corral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an appeal to the Office of the President from a Sangguniang Panlalawigan disciplinary order automatically stays execution under Section 68 of Republic Act No. 7160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Zacarias Berces filed administrative complaints against Tiwi, Albay Municipal Mayor Naomi Corral before the Sangguniang Panlalawigan of Albay. The Sanggunian found the Mayor guilty of abuse of authority and suspended her for two consecutive terms of 60 days. Mayor Corral appealed the suspension to the Office of the President pursuant to Section 67 of the Local Government Code, and the Executive Secretary issued a Stay of Execution. Berces challenged the stay order, contending that under Section 68 of the LGC, execution of the Sanggunian's suspension order is mandatory, and arguing that the word 'may' in Section 68 should be read as mandatory upon the local sanggunian.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provincial board suspended a town mayor for 60 days. The mayor appealed to the President of the Philippines, and the Executive Secretary stayed (paused) the suspension while the appeal was being studied. The complainant sued, arguing that under Section 68 of the Local Government Code, the suspension must be carried out immediately and the President had no power to pause it. The Supreme Court ruled that Section 68 uses the permissive word 'may', granting the Office of the President full discretionary power to stay execution during an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'may' in Section 68 of the Local Government Code is permissive and authorizes the Office of the President to stay the execution of an administrative suspension pending appeal.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'may' give the President discretionary power to pause a mayor's suspension while the appeal is pending?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'may' in Section 68 of RA 7160 confers discretionary power to stay execution on appeal, testing the Construction of Permissive Words ('May') and Executive Supervision."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word 'may' is PERMISSIVE AND DISCRETIONARY. Section 68 of the Local Government Code explicitly empowers the Office of the President, in its sound discretion, to stay the execution of a preventive or disciplinary suspension pending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statute says the appeal 'may' stay execution. 'May' gives the President the legal option to pause the suspension so the mayor is not unfairly removed before the President finishes reviewing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statutory construction, 'may' is an auxiliary verb indicating discretion and permission. Under Section 68 of RA 7160, an appeal to the Office of the President does not automatically stay execution, but the President possesses the discretionary authority under 'may' to grant a stay of execution where justice requires."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68, Republic Act No. 7160 (Local Government Code of 1991): </w:t>
            </w:r>
            <w:r>
              <w:rPr>
                <w:rFonts w:ascii="Calibri" w:hAnsi="Calibri"/>
                <w:color w:val="212529"/>
                <w:sz w:val="20"/>
              </w:rPr>
              <w:t>Provides that an appeal shall not prevent the execution of a decision, but the Office of the President 'may' grant a stay.</w:t>
            </w:r>
          </w:p>
          <w:p>
            <w:pPr>
              <w:spacing w:before="20" w:after="40" w:line="276" w:lineRule="auto"/>
            </w:pPr>
            <w:r>
              <w:rPr>
                <w:rFonts w:ascii="Calibri" w:hAnsi="Calibri"/>
                <w:b/>
                <w:color w:val="212529"/>
                <w:sz w:val="20"/>
              </w:rPr>
              <w:t xml:space="preserve">2. Construction of 'May' as Permissive: </w:t>
            </w:r>
            <w:r>
              <w:rPr>
                <w:rFonts w:ascii="Calibri" w:hAnsi="Calibri"/>
                <w:color w:val="212529"/>
                <w:sz w:val="20"/>
              </w:rPr>
              <w:t>The word 'may' is prima facie directory and confers discretionary authority upon appellate bodies.</w:t>
            </w:r>
          </w:p>
          <w:p>
            <w:pPr>
              <w:spacing w:before="20" w:after="40" w:line="276" w:lineRule="auto"/>
            </w:pPr>
            <w:r>
              <w:rPr>
                <w:rFonts w:ascii="Calibri" w:hAnsi="Calibri"/>
                <w:b/>
                <w:color w:val="212529"/>
                <w:sz w:val="20"/>
              </w:rPr>
              <w:t xml:space="preserve">3. Article X, Section 4, 1987 Constitution: </w:t>
            </w:r>
            <w:r>
              <w:rPr>
                <w:rFonts w:ascii="Calibri" w:hAnsi="Calibri"/>
                <w:color w:val="212529"/>
                <w:sz w:val="20"/>
              </w:rPr>
              <w:t>General supervisory power of the President over local government units.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68 RA 7160, Construction of 'May' as Permissive, and Constitutional Presidential Supervision.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68 of RA 7160 in relation to Article X, Section 4 of the Constitution, applied under the rule that 'may' confers discretionary authority."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Permissive Meaning of 'May': </w:t>
            </w:r>
            <w:r>
              <w:rPr>
                <w:rFonts w:ascii="Calibri" w:hAnsi="Calibri"/>
                <w:color w:val="212529"/>
                <w:sz w:val="20"/>
              </w:rPr>
              <w:t>The statutory phrasing 'may be stayed by the Office of the President' plainly leaves the decision to the sound judgment of the President. It is neither an automatic stay nor a total prohibition against stays.</w:t>
            </w:r>
          </w:p>
          <w:p>
            <w:pPr>
              <w:spacing w:before="20" w:after="40" w:line="276" w:lineRule="auto"/>
            </w:pPr>
            <w:r>
              <w:rPr>
                <w:rFonts w:ascii="Calibri" w:hAnsi="Calibri"/>
                <w:b/>
                <w:color w:val="212529"/>
                <w:sz w:val="20"/>
              </w:rPr>
              <w:t xml:space="preserve">2. Presidential Power of General Supervision: </w:t>
            </w:r>
            <w:r>
              <w:rPr>
                <w:rFonts w:ascii="Calibri" w:hAnsi="Calibri"/>
                <w:color w:val="212529"/>
                <w:sz w:val="20"/>
              </w:rPr>
              <w:t>The President's constitutional duty to ensure that laws are faithfully executed includes the administrative prerogative to maintain the status quo and prevent political disruption while reviewing local disciplinary orders.</w:t>
            </w:r>
          </w:p>
          <w:p>
            <w:pPr>
              <w:spacing w:before="20" w:after="40" w:line="276" w:lineRule="auto"/>
            </w:pPr>
            <w:r>
              <w:rPr>
                <w:rFonts w:ascii="Calibri" w:hAnsi="Calibri"/>
                <w:b/>
                <w:color w:val="212529"/>
                <w:sz w:val="20"/>
              </w:rPr>
              <w:t xml:space="preserve">3. Harmonization of Local Autonomy and Executive Oversight: </w:t>
            </w:r>
            <w:r>
              <w:rPr>
                <w:rFonts w:ascii="Calibri" w:hAnsi="Calibri"/>
                <w:color w:val="212529"/>
                <w:sz w:val="20"/>
              </w:rPr>
              <w:t>Section 68 strikes a balance: the local decision is executable, but the President can intervene to prevent irreparable injury to local governance.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law meant the suspension could NEVER be paused, it would have said 'shall not be stayed'. Instead, Congress wrote 'may be stayed by the Office of the President'. That one word 'may' gives the President the right to freeze the suspension if the appeal looks strong.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permissive construction of 'may'. 'May' indicates discretion. Section 68 RA 7160 grants the Office of the President the discretionary power to stay execution to prevent administrative disruption while exercising constitutional supervision."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Berces' petition and UPHELD the Stay of Execution issued by the Office of the President.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stay order issued by the President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stay of execution, confirming that 'may' in Section 68 LGC is permissive and discretionary."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B. Specific Words -&gt; b. Mandatory and Directory Words: 'May' (Local Government Code Sec. 68 / Stay of Execution)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permissive word 'may' must be given its ordinary discretionary meaning.</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authority is exercised within statutory boundaries.</w:t>
              <w:br/>
            </w:r>
            <w:r>
              <w:rPr>
                <w:rFonts w:ascii="Calibri" w:hAnsi="Calibri"/>
                <w:b/>
                <w:color w:val="212529"/>
                <w:sz w:val="19"/>
              </w:rPr>
              <w:t xml:space="preserve">   • Plain Legal Meaning &amp; StatCon Application: </w:t>
            </w:r>
            <w:r>
              <w:rPr>
                <w:rFonts w:ascii="Calibri" w:hAnsi="Calibri"/>
                <w:color w:val="212529"/>
                <w:sz w:val="19"/>
              </w:rPr>
              <w:t>The President exercises statutory discretionary power under Section 68 LGC.</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Preventing political disruption in local government units serves the public order.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B. Specific Words -&gt; b. Mandatory and Directory Words: 'May' (Local Government Code Sec. 68 / Stay of Execution)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'may' in Section 68 LGC confers discretionary authority on the President to stay execution)</w:t>
              <w:br/>
              <w:br/>
              <w:t>Secondary:</w:t>
              <w:br/>
              <w:t>• Potestas delegata (statutory supervisory powers)</w:t>
              <w:br/>
              <w:t>• Salus populi est suprema lex (stability of local governance)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rewrite a permissive statutory term ('may') into an absolute prohibition against presidential stay orders.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Discretionary Nature of 'May' in Appellate Review: In statutory provisions governing appeals, the term 'may' confers a broad, sound discretion upon the appellate authority to grant interim stays of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says an appellate body 'MAY' stay an order, it gives the reviewer total discretion to pause the penalty while studying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Berces v. Guingona confirms that the word 'may' in Section 68 of the Local Government Code confers discretionary power on the President to stay administrative executions."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Zacarias Berces, Sr. v. Hon. Teofisto T. Guingona, Jr. and Mayor Naomi Corral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112099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21,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Zacarias Berces filed administrative complaints against Tiwi, Albay Municipal Mayor Naomi Corral before the Sangguniang Panlalawigan of Albay. The Sanggunian found the Mayor guilty of abuse of authority and suspended her for two consecutive terms of 60 days. Mayor Corral appealed the suspension to the Office of the President pursuant to Section 67 of the Local Government Code, and the Executive Secretary issued a Stay of Execution. Berces challenged the stay order, contending that under Section 68 of the LGC, execution of the Sanggunian's suspension order is mandatory, and arguing that the word 'may' in Section 68 should be read as mandatory upon the local sanggunian.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68, Republic Act No. 7160 (Local Government Code of 1991): Provides that an appeal shall not prevent the execution of a decision, but the Office of the President 'may' grant a stay.</w:t>
              <w:br/>
              <w:t>2. Construction of 'May' as Permissive: The word 'may' is prima facie directory and confers discretionary authority upon appellate bodies.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rewrite a permissive statutory term ('may') into an absolute prohibition against presidential stay orders.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'may' in Section 68 of the Local Government Code is permissive and authorizes the Office of the President to stay the execution of an administrative suspension pending appeal.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Zacarias Berces, Sr. v. Hon. Teofisto T. Guingona, Jr. and Mayor Naomi Corral,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68, Republic Act No. 7160 (Local Government Code of 1991): Provides that an appeal shall not prevent the execution of a decision, but the Office of the President 'may' grant a stay.</w:t>
              <w:br/>
              <w:t>2. Construction of 'May' as Permissive: The word 'may' is prima facie directory and confers discretionary authority upon appellate bodies.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Berces' petition and UPHELD the Stay of Execution issued by the Office of the President.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word 'may' is PERMISSIVE AND DISCRETIONARY. Section 68 of the Local Government Code explicitly empowers the Office of the President, in its sound discretion, to stay the execution of a preventive or disciplinary suspension pending appeal.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Discretionary Nature of 'May' in Appellate Review: In statutory provisions governing appeals, the term 'may' confers a broad, sound discretion upon the appellate authority to grant interim stays of execution.</w:t>
              <w:br/>
              <w:t xml:space="preserve">   - Result: Yes. The statute says the appeal 'may' stay execution. 'May' gives the President the legal option to pause the suspension so the mayor is not unfairly removed before the President finishes reviewing the case.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Potestas delegata (statutory supervisory powers)</w:t>
              <w:br/>
              <w:t>• Salus populi est suprema lex (stability of local governance)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Zacarias Berces, Sr. v. Hon. Teofisto T. Guingona, Jr. and Mayor Naomi Corral to mean and apply strictly in accordance with Verba legis non est recedendum, holding that Yes. The statute says the appeal 'may' stay execution. 'May' gives the President the legal option to pause the suspension so the mayor is not unfairly removed 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the law meant the suspension could NEVER be paused, it would have said 'shall not be stayed'. Instead, Congress wrote 'may be stayed by the Office of the President'. That one word 'may' gives the President the right to freeze the suspension if the appeal looks strong.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Discretionary Nature of 'May' in Appellate Review: In statutory provisions governing appeals, the term 'may' confers a broad, sound discretion upon the appellate authority to grant interim stays of execution.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says an appellate body 'MAY' stay an order, it gives the reviewer total discretion to pause the penalty while studying the case.</w:t>
            </w:r>
          </w:p>
        </w:tc>
      </w:tr>
    </w:tbl>
    <w:p>
      <w:r>
        <w:br w:type="page"/>
      </w:r>
    </w:p>
    <w:p>
      <w:pPr>
        <w:keepNext/>
        <w:spacing w:before="320" w:after="80"/>
      </w:pPr>
      <w:r>
        <w:rPr>
          <w:rFonts w:ascii="Arial" w:hAnsi="Arial"/>
          <w:b/>
          <w:color w:val="0F2043"/>
          <w:sz w:val="26"/>
        </w:rPr>
        <w:t>63. VIVENCIO MAPA AND CANDIDO MAPA V. HON. JOKER ARROYO, EXECUTIVE SECRETARY, AND LABRADOR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78585 | July 5, 1989 | 175 SCRA 76 | En Banc | Ponente: J. Paras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Vivencio Mapa and Candido Mapa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Joker Arroyo (Executive Secretary) and Labrador Development Corporation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Section 20 of P.D. No. 957 applies to commercial subdivision lots under the Doctrine of Last Antecedent.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brothers bought commercial lots in a subdivision and stopped paying installments because the developer failed to construct the promised subdivision roads and drainage. The developer claimed that PD 957 only protects 'residential' lots, not commercial lots. The Supreme Court ruled that Section 20 uses the comprehensive term 'subdivision project' without qualification, and under the Doctrine of Last Antecedent and plain meaning, all subdivision lots within an approved plan are protected.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apply to commercial lots as well as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20 of PD 957 protects buyers of commercial subdivision lots, testing the Doctrine of Last Antecedent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20 of P.D. No. 957 applies to ALL subdivision lots, whether residential or commercial. The phrase 'subdivision project' is used without qualification, and qualifying residential terms in other sections cannot be imported to restrict Section 20.</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Ubi lex non distinguit nec nos distinguere debemus (where the law does not distinguish, we should not distinguish) and the Doctrine of Last Antecedent, Section 20 of PD 957 applies to all subdivision lots, residential or commercial, without distinction."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20, Presidential Decree No. 957: </w:t>
            </w:r>
            <w:r>
              <w:rPr>
                <w:rFonts w:ascii="Calibri" w:hAnsi="Calibri"/>
                <w:color w:val="212529"/>
                <w:sz w:val="20"/>
              </w:rPr>
              <w:t>Mandates completion of subdivision infrastructure according to approved plans and specifications.</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20 uses 'subdivision project' without distinguishing between residential and commercial, courts must make no distinction.</w:t>
            </w:r>
          </w:p>
          <w:p>
            <w:pPr>
              <w:spacing w:before="20" w:after="40" w:line="276" w:lineRule="auto"/>
            </w:pPr>
            <w:r>
              <w:rPr>
                <w:rFonts w:ascii="Calibri" w:hAnsi="Calibri"/>
                <w:b/>
                <w:color w:val="212529"/>
                <w:sz w:val="20"/>
              </w:rPr>
              <w:t xml:space="preserve">3. Doctrine of Last Antecedent: </w:t>
            </w:r>
            <w:r>
              <w:rPr>
                <w:rFonts w:ascii="Calibri" w:hAnsi="Calibri"/>
                <w:color w:val="212529"/>
                <w:sz w:val="20"/>
              </w:rPr>
              <w:t>Qualifying words in one section cannot be mechanically transposed to restrict broad unqualified terms in another section.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20 PD 957, Ubi Lex Non Distinguit, and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20 of PD 957, governed by Ubi lex non distinguit nec nos distinguere debemus and the proper limits of the Doctrine of Last Antecedent."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Comprehensive Scope of 'Subdivision Project': </w:t>
            </w:r>
            <w:r>
              <w:rPr>
                <w:rFonts w:ascii="Calibri" w:hAnsi="Calibri"/>
                <w:color w:val="212529"/>
                <w:sz w:val="20"/>
              </w:rPr>
              <w:t>Section 2 of PD 957 broadly defines a subdivision project as a tract of land partitioned for residential, commercial, or industrial purposes.</w:t>
            </w:r>
          </w:p>
          <w:p>
            <w:pPr>
              <w:spacing w:before="20" w:after="40" w:line="276" w:lineRule="auto"/>
            </w:pPr>
            <w:r>
              <w:rPr>
                <w:rFonts w:ascii="Calibri" w:hAnsi="Calibri"/>
                <w:b/>
                <w:color w:val="212529"/>
                <w:sz w:val="20"/>
              </w:rPr>
              <w:t xml:space="preserve">2. Inapplicability of Restrictive Modifiers: </w:t>
            </w:r>
            <w:r>
              <w:rPr>
                <w:rFonts w:ascii="Calibri" w:hAnsi="Calibri"/>
                <w:color w:val="212529"/>
                <w:sz w:val="20"/>
              </w:rPr>
              <w:t>Qualifying words in the preamble or other distinct clauses cannot be used to restrict Section 20 where the statutory text is clear and universal.</w:t>
            </w:r>
          </w:p>
          <w:p>
            <w:pPr>
              <w:spacing w:before="20" w:after="40" w:line="276" w:lineRule="auto"/>
            </w:pPr>
            <w:r>
              <w:rPr>
                <w:rFonts w:ascii="Calibri" w:hAnsi="Calibri"/>
                <w:b/>
                <w:color w:val="212529"/>
                <w:sz w:val="20"/>
              </w:rPr>
              <w:t xml:space="preserve">3. Developer's Statutory Duty: </w:t>
            </w:r>
            <w:r>
              <w:rPr>
                <w:rFonts w:ascii="Calibri" w:hAnsi="Calibri"/>
                <w:color w:val="212529"/>
                <w:sz w:val="20"/>
              </w:rPr>
              <w:t>A developer who undertakes an approved subdivision plan is legally obligated under police power to deliver the promised infrastructure to all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definition section of PD 957 with Section 20. Under Ubi Lex Non Distinguit, because the decree defines subdivision projects to include commercial land, developers are legally bound to complete facilities for all lots."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Office of the President and HLURB, HOLDING that Section 20 of PD 957 protects commercial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was ordered to complete the facilities for the commercial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ruling, holding that Section 20 of PD 957 covers both residential and commercial subdivision lots."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B. Specific Words -&gt; a. Disjunctive 'Or' &amp; Conjunctive 'And' (PD 957 / Scope of Subdivision Protection)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20 PD 957 does not distinguish between residential and commercial subdivision buyers.</w:t>
            </w:r>
          </w:p>
          <w:p>
            <w:pPr>
              <w:spacing w:before="40" w:after="60" w:line="276" w:lineRule="auto"/>
            </w:pPr>
            <w:r>
              <w:rPr>
                <w:rFonts w:ascii="Calibri" w:hAnsi="Calibri"/>
                <w:b/>
                <w:color w:val="8C3200"/>
                <w:sz w:val="20"/>
              </w:rPr>
              <w:t>2. Ad proximum antecedens fiat relatio (relative words refer to the nearest antecedent)</w:t>
              <w:br/>
            </w:r>
            <w:r>
              <w:rPr>
                <w:rFonts w:ascii="Calibri" w:hAnsi="Calibri"/>
                <w:b/>
                <w:color w:val="212529"/>
                <w:sz w:val="19"/>
              </w:rPr>
              <w:t xml:space="preserve">   • Literal English Translation: </w:t>
            </w:r>
            <w:r>
              <w:rPr>
                <w:rFonts w:ascii="Calibri" w:hAnsi="Calibri"/>
                <w:i/>
                <w:color w:val="212529"/>
                <w:sz w:val="19"/>
              </w:rPr>
              <w:t>Relative words refer to the nearest antecedent.</w:t>
              <w:br/>
            </w:r>
            <w:r>
              <w:rPr>
                <w:rFonts w:ascii="Calibri" w:hAnsi="Calibri"/>
                <w:b/>
                <w:color w:val="212529"/>
                <w:sz w:val="19"/>
              </w:rPr>
              <w:t xml:space="preserve">   • Plain Legal Meaning &amp; StatCon Application: </w:t>
            </w:r>
            <w:r>
              <w:rPr>
                <w:rFonts w:ascii="Calibri" w:hAnsi="Calibri"/>
                <w:color w:val="212529"/>
                <w:sz w:val="19"/>
              </w:rPr>
              <w:t>Qualifying words in specific sections cannot be exported to restrict general definition clauses.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Broad consumer protection in real estate developments advances public economic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B. Specific Words -&gt; a. Disjunctive 'Or' &amp; Conjunctive 'And' (PD 957 / Scope of Subdivision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Section 20 PD 957 applies to both residential and commercial subdivision lots)</w:t>
              <w:br/>
              <w:br/>
              <w:t>Secondary:</w:t>
              <w:br/>
              <w:t>• Ad proximum antecedens fiat relatio (limits of qualifying modifiers)</w:t>
              <w:br/>
              <w:t>• Salus populi est suprema lex (real estate consumer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manufacture a non-existent commercial exemption by misapplying qualifying modifiers from other sections.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definition at the start of a law says 'subdivision includes commercial lots', you cannot later claim that the law only applies to residential 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Mapa v. Arroyo shows how statutory definitions in PD 957 control operative sections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Vivencio Mapa and Candido Mapa v. Hon. Joker Arroyo, Executive Secretary, and Labrador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78585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5, 1989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Vivencio Mapa and Candido Mapa v. Hon. Joker Arroyo, Executive Secretary, and Labrador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Office of the President and HLURB, HOLDING that Section 20 of PD 957 protects commercial lot buyers.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20 of P.D. No. 957 applies to ALL subdivision lots, whether residential or commercial. The phrase 'subdivision project' is used without qualification, and qualifying residential terms in other sections cannot be imported to restrict Section 20.</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Statutory Definitions: When the statutory definition clause encompasses multiple categories (residential, commercial, industrial), subsequent operative sections must be applied to all categories unless explicitly restricted.</w:t>
              <w:br/>
              <w:t xml:space="preserve">   - Result: 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Ad proximum antecedens fiat relatio (limits of qualifying modifiers)</w:t>
              <w:br/>
              <w:t>• Salus populi est suprema lex (real estate consumer protection)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Vivencio Mapa and Candido Mapa v. Hon. Joker Arroyo, Executive Secretary, and Labrador Development Corporation to mean and apply strictly in accordance with Ubi lex non distinguit, nec nos distinguere debemus, holding that Yes. The law protects all lots in an approved subdivision project. Where the statute says 'subdivision project' without restricting it to houses, commercial lot.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definition at the start of a law says 'subdivision includes commercial lots', you cannot later claim that the law only applies to residential houses.</w:t>
            </w:r>
          </w:p>
        </w:tc>
      </w:tr>
    </w:tbl>
    <w:p>
      <w:r>
        <w:br w:type="page"/>
      </w:r>
    </w:p>
    <w:p>
      <w:pPr>
        <w:keepNext/>
        <w:spacing w:before="320" w:after="80"/>
      </w:pPr>
      <w:r>
        <w:rPr>
          <w:rFonts w:ascii="Arial" w:hAnsi="Arial"/>
          <w:b/>
          <w:color w:val="0F2043"/>
          <w:sz w:val="26"/>
        </w:rPr>
        <w:t>64. CHANG YUNG FA AND CO KIM CHAM V. HON. EMILIO L. GIANZO</w:t>
      </w:r>
    </w:p>
    <w:p>
      <w:pPr>
        <w:spacing w:before="40" w:after="80" w:line="276" w:lineRule="auto"/>
      </w:pPr>
      <w:r>
        <w:rPr>
          <w:rFonts w:ascii="Calibri" w:hAnsi="Calibri"/>
          <w:b/>
          <w:color w:val="212529"/>
          <w:sz w:val="21"/>
        </w:rPr>
        <w:t xml:space="preserve">Citation: </w:t>
      </w:r>
      <w:r>
        <w:rPr>
          <w:rFonts w:ascii="Calibri" w:hAnsi="Calibri"/>
          <w:i/>
          <w:color w:val="212529"/>
          <w:sz w:val="21"/>
        </w:rPr>
        <w:t>G.R. No. L-7885 | November 25, 1955 | 97 Phil. 913 | En Banc | Ponente: J. Montemayor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Chang Yung Fa and Co Kim Cham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Emilio L. Gianzo, Commissioner of Immigration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and Prohibition challenging the authority of the Commissioner of Immigration to deport temporary Chinese visitors upon the expiration of their authorized stay under Commonwealth Act No. 613 (The Philippine Immigration Act of 1940).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Chinese citizens admitted to the Philippines as temporary visitors under Commonwealth Act No. 613, sought indefinite extensions of stay due to political turmoil in mainland China. The Commissioner of Immigration denied further extensions and issued warrants of deportation pursuant to Section 37 of CA 613, which provides that any alien who remains in the Philippines beyond the period permitted 'SHALL BE DEPORTED' by order of the Commissioner. Petitioners filed for Mandamus, arguing that Section 47 of the law says the President or Commissioner 'MAY extend' visits, and claimed that 'shall be deported' should be construed flexibly and directories in humanitarian cases.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Temporary foreign visitors from China whose visas expired demanded that they be allowed to stay indefinitely because of political conflict in their home country. The Immigration Commissioner ordered them deported under the law which says illegal overstaying aliens 'shall be deported'. The foreigners argued that 'shall' should be read as flexible and optional. The Supreme Court ruled that 'shall be deported' is strictly mandatory, and once an alien's visa expires, the Commissioner is required by law to deport them.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'shall be deported' in Section 37 of the Philippine Immigration Act of 1940 is mandatory, leaving the Immigration Commissioner with no discretion to allow overstaying aliens to remain.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phrase 'shall be deported' mandatory when an alien overstays his visa?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'shall be deported' in Section 37 of CA 613 is mandatory, testing the Construction of Mandatory Words ('Shall') in immigration and deportation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phrase 'shall be deported' is STRICTLY MANDATORY. Once an alien overstays his authorized visa, the Commissioner of Immigration has an imperative, ministerial duty to arrest and deport the alien.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commands that an overstaying foreigner 'shall be deported'. An alien has no constitutional right to remain in a foreign country once his visa expires. 'Shall' means the government must enforce deportation.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and the mandatory force of 'shall', Section 37 of CA 613 imposes an imperative duty on the Commissioner of Immigration to execute deportation against overstaying temporary visitors. National sovereignty dictates that alien stays are privileges strictly governed by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37(a)(7), Commonwealth Act No. 613 (Philippine Immigration Act of 1940): </w:t>
            </w:r>
            <w:r>
              <w:rPr>
                <w:rFonts w:ascii="Calibri" w:hAnsi="Calibri"/>
                <w:color w:val="212529"/>
                <w:sz w:val="20"/>
              </w:rPr>
              <w:t>Mandates that any alien who remains in the Philippines in violation of any limitation or condition 'shall be arrested and deported'.</w:t>
            </w:r>
          </w:p>
          <w:p>
            <w:pPr>
              <w:spacing w:before="20" w:after="40" w:line="276" w:lineRule="auto"/>
            </w:pPr>
            <w:r>
              <w:rPr>
                <w:rFonts w:ascii="Calibri" w:hAnsi="Calibri"/>
                <w:b/>
                <w:color w:val="212529"/>
                <w:sz w:val="20"/>
              </w:rPr>
              <w:t xml:space="preserve">2. Mandatory Construction of 'Shall': </w:t>
            </w:r>
            <w:r>
              <w:rPr>
                <w:rFonts w:ascii="Calibri" w:hAnsi="Calibri"/>
                <w:color w:val="212529"/>
                <w:sz w:val="20"/>
              </w:rPr>
              <w:t>The word 'shall' is a word of command leaving no administrative discretion to withhold execution.</w:t>
            </w:r>
          </w:p>
          <w:p>
            <w:pPr>
              <w:spacing w:before="20" w:after="40" w:line="276" w:lineRule="auto"/>
            </w:pPr>
            <w:r>
              <w:rPr>
                <w:rFonts w:ascii="Calibri" w:hAnsi="Calibri"/>
                <w:b/>
                <w:color w:val="212529"/>
                <w:sz w:val="20"/>
              </w:rPr>
              <w:t xml:space="preserve">3. Inherent Sovereign Power of Expulsion: </w:t>
            </w:r>
            <w:r>
              <w:rPr>
                <w:rFonts w:ascii="Calibri" w:hAnsi="Calibri"/>
                <w:color w:val="212529"/>
                <w:sz w:val="20"/>
              </w:rPr>
              <w:t>The State has the plenary sovereign right to expel aliens who violate immigration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37 CA 613, Mandatory 'Shall', and Sovereign Power of Deportation.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37 of CA 613, applied under the mandatory construction of 'shall' and the inherent sovereign prerogative of alien expulsion."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Force of 'Shall': </w:t>
            </w:r>
            <w:r>
              <w:rPr>
                <w:rFonts w:ascii="Calibri" w:hAnsi="Calibri"/>
                <w:color w:val="212529"/>
                <w:sz w:val="20"/>
              </w:rPr>
              <w:t>The statutory directive 'shall be deported' is absolute and imperative. The Commissioner of Immigration has no discretion to convert temporary visitors into permanent residents or allow indefinite overstays.</w:t>
            </w:r>
          </w:p>
          <w:p>
            <w:pPr>
              <w:spacing w:before="20" w:after="40" w:line="276" w:lineRule="auto"/>
            </w:pPr>
            <w:r>
              <w:rPr>
                <w:rFonts w:ascii="Calibri" w:hAnsi="Calibri"/>
                <w:b/>
                <w:color w:val="212529"/>
                <w:sz w:val="20"/>
              </w:rPr>
              <w:t xml:space="preserve">2. Absence of Vested Right: </w:t>
            </w:r>
            <w:r>
              <w:rPr>
                <w:rFonts w:ascii="Calibri" w:hAnsi="Calibri"/>
                <w:color w:val="212529"/>
                <w:sz w:val="20"/>
              </w:rPr>
              <w:t>A temporary visitor enters the country under a conditional privilege with an explicit promise to leave upon expiration of the authorized period. No vested right is acquired.</w:t>
            </w:r>
          </w:p>
          <w:p>
            <w:pPr>
              <w:spacing w:before="20" w:after="40" w:line="276" w:lineRule="auto"/>
            </w:pPr>
            <w:r>
              <w:rPr>
                <w:rFonts w:ascii="Calibri" w:hAnsi="Calibri"/>
                <w:b/>
                <w:color w:val="212529"/>
                <w:sz w:val="20"/>
              </w:rPr>
              <w:t xml:space="preserve">3. Subordination of Humanitarian Excuses: </w:t>
            </w:r>
            <w:r>
              <w:rPr>
                <w:rFonts w:ascii="Calibri" w:hAnsi="Calibri"/>
                <w:color w:val="212529"/>
                <w:sz w:val="20"/>
              </w:rPr>
              <w:t>Political instability abroad does not suspend the operation of domestic immigration statutes. Changes in immigration policy belong exclusively to the political branches.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you enter a country on a tourist visa, you promise to leave when your time is up. The statute says overstaying aliens 'shall be deported'. The word 'shall' gives the Immigration Commissioner a direct order to send you home. Judges cannot turn 'shall' into a permanent stay permit.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force of 'shall'. Section 37 of CA 613 leaves zero discretion. Temporary visitors who overstay are subject to mandatory deportation under the plain text of the Immigration Act."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for Mandamus and Prohibition and UPHELD the deportation orders issued by the Commissioner of Immigration.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deportation of the overstaying aliens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'shall be deported' in CA 613 is mandatory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B. Specific Words -&gt; b. Mandatory vs Directory Words: 'May' (Philippine Immigration Act Sec. 37 / Deportation Order)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command 'shall be deported' in CA 613 must be enforced as enacted.</w:t>
            </w:r>
          </w:p>
          <w:p>
            <w:pPr>
              <w:spacing w:before="40" w:after="60" w:line="276" w:lineRule="auto"/>
            </w:pPr>
            <w:r>
              <w:rPr>
                <w:rFonts w:ascii="Calibri" w:hAnsi="Calibri"/>
                <w:b/>
                <w:color w:val="8C3200"/>
                <w:sz w:val="20"/>
              </w:rPr>
              <w:t>2.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Deportation of overstaying aliens is a harsh but mandatory consequence of immigration laws.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Control of national borders and expulsion of unauthorized aliens preserves national sovereignty.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B. Specific Words -&gt; b. Mandatory vs Directory Words: 'May' (Philippine Immigration Act Sec. 37 / Deportation Order)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'shall be deported' in Section 37 CA 613 is an imperative mandatory command)</w:t>
              <w:br/>
              <w:br/>
              <w:t>Secondary:</w:t>
              <w:br/>
              <w:t>• Dura lex sed lex (harsh consequence of overstaying)</w:t>
              <w:br/>
              <w:t>• Salus populi est suprema lex (border sovereignty)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convert a mandatory statutory command ('shall be deported') into a discretionary option to secure indefinite residency.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Character of Immigration Expulsion: Where an immigration statute provides that unauthorized aliens 'shall be deported', the statutory command is imperative, non-discretionary, and enforceable by the executive.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immigration law says overstaying foreigners 'SHALL BE DEPORTED', it is a direct order that must be enforced.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Chang Yung Fa v. Gianzo confirms that 'shall be deported' in Commonwealth Act No. 613 is strictly mandatory under Verba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Chang Yung Fa and Co Kim Cham v. Hon. Emilio L. Gianzo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L-7885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25, 1955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Chinese citizens admitted to the Philippines as temporary visitors under Commonwealth Act No. 613, sought indefinite extensions of stay due to political turmoil in mainland China. The Commissioner of Immigration denied further extensions and issued warrants of deportation pursuant to Section 37 of CA 613, which provides that any alien who remains in the Philippines beyond the period permitted 'SHALL BE DEPORTED' by order of the Commissioner. Petitioners filed for Mandamus, arguing that Section 47 of the law says the President or Commissioner 'MAY extend' visits, and claimed that 'shall be deported' should be construed flexibly and directories in humanitarian cases.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37(a)(7), Commonwealth Act No. 613 (Philippine Immigration Act of 1940): Mandates that any alien who remains in the Philippines in violation of any limitation or condition 'shall be arrested and deported'.</w:t>
              <w:br/>
              <w:t>2. Mandatory Construction of 'Shall': The word 'shall' is a word of command leaving no administrative discretion to withhold execution.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convert a mandatory statutory command ('shall be deported') into a discretionary option to secure indefinite residency.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'shall be deported' in Section 37 of the Philippine Immigration Act of 1940 is mandatory, leaving the Immigration Commissioner with no discretion to allow overstaying aliens to remain.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Chang Yung Fa and Co Kim Cham v. Hon. Emilio L. Gianzo,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37(a)(7), Commonwealth Act No. 613 (Philippine Immigration Act of 1940): Mandates that any alien who remains in the Philippines in violation of any limitation or condition 'shall be arrested and deported'.</w:t>
              <w:br/>
              <w:t>2. Mandatory Construction of 'Shall': The word 'shall' is a word of command leaving no administrative discretion to withhold execution.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for Mandamus and Prohibition and UPHELD the deportation orders issued by the Commissioner of Immigration.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phrase 'shall be deported' is STRICTLY MANDATORY. Once an alien overstays his authorized visa, the Commissioner of Immigration has an imperative, ministerial duty to arrest and deport the alien.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Mandatory Character of Immigration Expulsion: Where an immigration statute provides that unauthorized aliens 'shall be deported', the statutory command is imperative, non-discretionary, and enforceable by the executive.</w:t>
              <w:br/>
              <w:t xml:space="preserve">   - Result: Yes. The law commands that an overstaying foreigner 'shall be deported'. An alien has no constitutional right to remain in a foreign country once his visa expires. 'Shall' means the government must enforce deportation.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Dura lex sed lex (harsh consequence of overstaying)</w:t>
              <w:br/>
              <w:t>• Salus populi est suprema lex (border sovereignty)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Chang Yung Fa and Co Kim Cham v. Hon. Emilio L. Gianzo to mean and apply strictly in accordance with Verba legis non est recedendum, holding that Yes. The law commands that an overstaying foreigner 'shall be deported'. An alien has no constitutional right to remain in a foreign country once his visa expir.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you enter a country on a tourist visa, you promise to leave when your time is up. The statute says overstaying aliens 'shall be deported'. The word 'shall' gives the Immigration Commissioner a direct order to send you home. Judges cannot turn 'shall' into a permanent stay permit.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Character of Immigration Expulsion: Where an immigration statute provides that unauthorized aliens 'shall be deported', the statutory command is imperative, non-discretionary, and enforceable by the executive.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immigration law says overstaying foreigners 'SHALL BE DEPORTED', it is a direct order that must be enforced.</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1)</w:t>
              <w:br/>
            </w:r>
            <w:r>
              <w:rPr>
                <w:rFonts w:ascii="Arial" w:hAnsi="Arial"/>
                <w:b/>
                <w:color w:val="FFFFFF"/>
                <w:sz w:val="24"/>
              </w:rPr>
              <w:t>INTERPRETATION OF WORDS AND PHRASES: GENERAL &amp; SPECIFIC WORDS</w:t>
              <w:br/>
            </w:r>
            <w:r>
              <w:rPr>
                <w:rFonts w:ascii="Arial" w:hAnsi="Arial"/>
                <w:i/>
                <w:color w:val="D7E6FA"/>
                <w:sz w:val="19"/>
              </w:rPr>
              <w:t>Cases 55 to 67 | Generic, Technical &amp; Commercial Words, Disjunctive/Conjunctive, Mandatory/Directory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General Words and Phrases: Generic words, commercial meaning, technical/legal meaning</w:t>
            </w:r>
          </w:p>
          <w:p>
            <w:pPr>
              <w:spacing w:before="20" w:after="20"/>
            </w:pPr>
            <w:r>
              <w:rPr>
                <w:rFonts w:ascii="Calibri" w:hAnsi="Calibri"/>
                <w:color w:val="F0F5FF"/>
                <w:sz w:val="18"/>
              </w:rPr>
              <w:t>• • Disjunctive and Conjunctive Words: 'Or' (alternative) vs. 'And' (cumulative/conjunctive)</w:t>
            </w:r>
          </w:p>
          <w:p>
            <w:pPr>
              <w:spacing w:before="20" w:after="20"/>
            </w:pPr>
            <w:r>
              <w:rPr>
                <w:rFonts w:ascii="Calibri" w:hAnsi="Calibri"/>
                <w:color w:val="F0F5FF"/>
                <w:sz w:val="18"/>
              </w:rPr>
              <w:t>• • Mandatory and Directory Words: 'Shall' (imperative/mandatory) vs. 'May' (permissive/discretionary)</w:t>
            </w:r>
          </w:p>
          <w:p>
            <w:pPr>
              <w:spacing w:before="20" w:after="20"/>
            </w:pPr>
            <w:r>
              <w:rPr>
                <w:rFonts w:ascii="Calibri" w:hAnsi="Calibri"/>
                <w:color w:val="F0F5FF"/>
                <w:sz w:val="18"/>
              </w:rPr>
              <w:t>• • Contextual Meaning: Words defined by legislative purpose and statutory framework</w:t>
            </w:r>
          </w:p>
        </w:tc>
      </w:tr>
    </w:tbl>
    <w:p>
      <w:pPr>
        <w:spacing w:before="120"/>
      </w:pPr>
    </w:p>
    <w:p>
      <w:pPr>
        <w:keepNext/>
        <w:spacing w:before="320" w:after="80"/>
      </w:pPr>
      <w:r>
        <w:rPr>
          <w:rFonts w:ascii="Arial" w:hAnsi="Arial"/>
          <w:b/>
          <w:color w:val="0F2043"/>
          <w:sz w:val="26"/>
        </w:rPr>
        <w:t>65. VICTORIAS MILLING COMPANY, INC. V. SOCIAL SECURITY COMMISSION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L-16704 | March 17, 1962 | 4 SCRA 627 | En Banc | Ponente: J. Barrera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Victorias Milling Company,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Social Security Commission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Social Security Commission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Social Security Commission Resolution requiring the inclusion of bonuses, overtime pay, and commissions in the statutory definition of 'Compensation' under Republic Act No. 1161 (Social Security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Social Security Commission issued Circular No. 22 directing all employers that under Section 8(f) of Republic Act No. 1161, as amended by Republic Act No. 1792, the term 'Compensation' includes 'all remunerations for employment, including bonuses, overtime pay, and cash allowances,' and ordering the inclusion of these items in computing monthly SSS premium contributions. Victorias Milling Company protested, arguing that in the original 1954 SSS Act, Section 8(f) explicitly excluded bonuses, overtime, and allowances. When Congress amended the section in 1957 by deleting the exclusion phrase, Victorias argued that the deletion did not mean Congress intended to include bonuses, and that 'compensation' should be strictly interpreted as basic wage only.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Social Security Commission ordered companies to pay SSS contributions based on total employee compensation, including overtime pay and bonuses. A sugar milling company objected, pointing out that in the original SSS law, bonuses and overtime were specifically excluded from the definition of 'compensation'. However, Congress later amended the law and deliberately DELETED the exclusion words. The Supreme Court ruled that when Congress deletes an exclusion, it intentionally broadens the statutory term 'compensation' to cover all earnings.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'Compensation' in Section 8(f) of the amended SSS Act includes bonuses, overtime pay, and allowances following the legislative deletion of the exclusion clause.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'compensation' under the SSS law include overtime pay and bonuses after Congress deleted the clause that used to exclude them?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legislative deletion of an exclusion clause expands the statutory definition of 'Compensation' under Section 8(f) of RA 1161, testing Legislative History and Amendatory Deletions as Intrinsic/Extrinsic Aids."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'Compensation' INCLUDES bonuses, overtime pay, and allowances. The deliberate LEGISLATIVE DELETION of the exclusion clause in the amendatory statute (R.A. No. 1792) conclusively demonstrates the legislative intent to make the definition of compensation all-inclusive.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Congress strikes out an exclusion from a law, it means the excluded items are now INCLUDED. 'Compensation' means everything an employee receives for working, so SSS contributions must be based on total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Legislative History and the effect of Amendatory Deletions, when Congress amended Section 8(f) of RA 1161 and deleted the express exclusion of bonuses and overtime, the inescapable legislative intent was to embrace ALL employee remunerations within the statutory term 'Compensation'."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8(f), Republic Act No. 1161 (as amended by R.A. No. 1792): </w:t>
            </w:r>
            <w:r>
              <w:rPr>
                <w:rFonts w:ascii="Calibri" w:hAnsi="Calibri"/>
                <w:color w:val="212529"/>
                <w:sz w:val="20"/>
              </w:rPr>
              <w:t>Defines 'Compensation' as all remuneration for employment, including the cash value of any remuneration paid in any medium other than cash.</w:t>
            </w:r>
          </w:p>
          <w:p>
            <w:pPr>
              <w:spacing w:before="20" w:after="40" w:line="276" w:lineRule="auto"/>
            </w:pPr>
            <w:r>
              <w:rPr>
                <w:rFonts w:ascii="Calibri" w:hAnsi="Calibri"/>
                <w:b/>
                <w:color w:val="212529"/>
                <w:sz w:val="20"/>
              </w:rPr>
              <w:t xml:space="preserve">2. Legislative Deletion as an Aid to Statutory Construction: </w:t>
            </w:r>
            <w:r>
              <w:rPr>
                <w:rFonts w:ascii="Calibri" w:hAnsi="Calibri"/>
                <w:color w:val="212529"/>
                <w:sz w:val="20"/>
              </w:rPr>
              <w:t>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20"/>
              </w:rPr>
              <w:t xml:space="preserve">3. Liberal Construction of Social Welfare Legislation: </w:t>
            </w:r>
            <w:r>
              <w:rPr>
                <w:rFonts w:ascii="Calibri" w:hAnsi="Calibri"/>
                <w:color w:val="212529"/>
                <w:sz w:val="20"/>
              </w:rPr>
              <w:t>Social security statutes are construed liberally in favor of expanding worker benefits and system sustainability.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8(f) RA 1161 as amended, Effect of Legislative Deletions, and Liberal Social Construction.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8(f) of RA 1161 as amended by RA 1792, applied under the rule on the Effect of Statutory Amendatory Deletions and liberal construction of social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Significance of Amendatory Deletions: </w:t>
            </w:r>
            <w:r>
              <w:rPr>
                <w:rFonts w:ascii="Calibri" w:hAnsi="Calibri"/>
                <w:color w:val="212529"/>
                <w:sz w:val="20"/>
              </w:rPr>
              <w:t>Under the original 1954 law, Section 8(f) ended with 'excluding overtime pay, bonuses, and allowances.' In 1957, Congress deliberately repealed that phrase. In statutory construction, deleting an exception abolishes the exception and restores the universal scope of the term.</w:t>
            </w:r>
          </w:p>
          <w:p>
            <w:pPr>
              <w:spacing w:before="20" w:after="40" w:line="276" w:lineRule="auto"/>
            </w:pPr>
            <w:r>
              <w:rPr>
                <w:rFonts w:ascii="Calibri" w:hAnsi="Calibri"/>
                <w:b/>
                <w:color w:val="212529"/>
                <w:sz w:val="20"/>
              </w:rPr>
              <w:t xml:space="preserve">2. All-Inclusive Definition of Compensation: </w:t>
            </w:r>
            <w:r>
              <w:rPr>
                <w:rFonts w:ascii="Calibri" w:hAnsi="Calibri"/>
                <w:color w:val="212529"/>
                <w:sz w:val="20"/>
              </w:rPr>
              <w:t>The term 'all remuneration for employment' is comprehensive. Overtime pay and performance bonuses are earned directly from employment and constitute compensation.</w:t>
            </w:r>
          </w:p>
          <w:p>
            <w:pPr>
              <w:spacing w:before="20" w:after="40" w:line="276" w:lineRule="auto"/>
            </w:pPr>
            <w:r>
              <w:rPr>
                <w:rFonts w:ascii="Calibri" w:hAnsi="Calibri"/>
                <w:b/>
                <w:color w:val="212529"/>
                <w:sz w:val="20"/>
              </w:rPr>
              <w:t xml:space="preserve">3. Advancement of Social Security Purpose: </w:t>
            </w:r>
            <w:r>
              <w:rPr>
                <w:rFonts w:ascii="Calibri" w:hAnsi="Calibri"/>
                <w:color w:val="212529"/>
                <w:sz w:val="20"/>
              </w:rPr>
              <w:t>Expanding the compensation base ensures higher pension benefits for retiring workers and guarantees the actuarial solvency of the social security fund.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 law says 'fruits, excluding apples', and later Congress deletes the words 'excluding apples', it is obvious that apples are now included! By deleting the exclusion for overtime and bonuses, Congress intentionally expanded 'compensation' to include every peso earned by the worker.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canon on amendatory deletions. Deleting an express exclusion indicates a clear legislative intent to embrace what was previously excluded. Under liberal construction of social legislation, 'Compensation' in the amended SSS Act includes all overtime, bonuses, and allowances."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resolution of the Social Security Commission, HOLDING that bonuses, overtime pay, and allowances form part of 'Compensation' under Section 8(f) of RA 1161.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sugar milling company lost and SSS contributions were ordered computed on total employee pay including bonuses and overtime.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SSC ruling, holding that legislative deletion of an exclusion expands the statutory term 'Compensation' to all employee earnings."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c. Technical Meaning (Social Security Act / Definition of 'Compensation' and Bonuses)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deletion of the exclusionary phrase eliminated the statutory exclusion entirely.</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Comparing the original text with the amendatory act reveals the definitive legislative intent.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Maximizing retirement and social security protections for the working class advances public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c. Technical Meaning (Social Security Act / Definition of 'Compensation' and Bonuses)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Optima statuti interpretatrix est ipsum statutum</w:t>
              <w:br/>
              <w:t>(the best interpreter of a statute is the statute itself / comparing original and amendatory texts proves that deleting an exclusion makes 'Compensation' all-inclusive)</w:t>
              <w:br/>
              <w:br/>
              <w:t>Secondary:</w:t>
              <w:br/>
              <w:t>• Expressio unius est exclusio alterius (elimination of exceptions)</w:t>
              <w:br/>
              <w:t>• Salus populi est suprema lex (social security expansion)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employer attempted to revive a repealed statutory exception that Congress had deliberately deleted from the amendatory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Effect of Legislative Deletions: When the legislature amends a statute by deliberately deleting a restrictive or exclusionary clause, the deletion is conclusive proof of legislative intent to broaden the operative term to its unrestricted natural scope.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Congress deletes a line from a law that used to say 'except this', it means that thing is now included under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Victorias Milling v. SSC is the leading case on the effect of statutory deletions: deleting an exclusion broadens the statutory term 'Compensation' under Optima statuti interpretatrix."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Victorias Milling Company, Inc. v. Social Security Commission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L-16704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17, 1962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Social Security Commission issued Circular No. 22 directing all employers that under Section 8(f) of Republic Act No. 1161, as amended by Republic Act No. 1792, the term 'Compensation' includes 'all remunerations for employment, including bonuses, overtime pay, and cash allowances,' and ordering the inclusion of these items in computing monthly SSS premium contributions. Victorias Milling Company protested, arguing that in the original 1954 SSS Act, Section 8(f) explicitly excluded bonuses, overtime, and allowances. When Congress amended the section in 1957 by deleting the exclusion phrase, Victorias argued that the deletion did not mean Congress intended to include bonuses, and that 'compensation' should be strictly interpreted as basic wage only.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8(f), Republic Act No. 1161 (as amended by R.A. No. 1792): Defines 'Compensation' as all remuneration for employment, including the cash value of any remuneration paid in any medium other than cash.</w:t>
              <w:br/>
              <w:t>2. Legislative Deletion as an Aid to Statutory Construction: 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employer attempted to revive a repealed statutory exception that Congress had deliberately deleted from the amendatory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'Compensation' in Section 8(f) of the amended SSS Act includes bonuses, overtime pay, and allowances following the legislative deletion of the exclusion clause.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Victorias Milling Company, Inc. v. Social Security Commission, under the canon of Optima statuti interpretatrix est ipsum statutum.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8(f), Republic Act No. 1161 (as amended by R.A. No. 1792): Defines 'Compensation' as all remuneration for employment, including the cash value of any remuneration paid in any medium other than cash.</w:t>
              <w:br/>
              <w:t>2. Legislative Deletion as an Aid to Statutory Construction: 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employer attempted to revive a repealed statutory exception that Congress had deliberately deleted from the amendato...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resolution of the Social Security Commission, HOLDING that bonuses, overtime pay, and allowances form part of 'Compensation' under Section 8(f) of RA 1161.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'Compensation' INCLUDES bonuses, overtime pay, and allowances. The deliberate LEGISLATIVE DELETION of the exclusion clause in the amendatory statute (R.A. No. 1792) conclusively demonstrates the legislative intent to make the definition of compensation all-inclusive.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employer attempted to revive a repealed statutory exception that Congress had deliberately deleted from the amendatory statute..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Optima statuti interpretatrix est ipsum statutum</w:t>
              <w:br/>
              <w:t xml:space="preserve">   - Application: Statutory Effect of Legislative Deletions: When the legislature amends a statute by deliberately deleting a restrictive or exclusionary clause, the deletion is conclusive proof of legislative intent to broaden the operative term to its unrestricted natural scope.</w:t>
              <w:br/>
              <w:t xml:space="preserve">   - Result: Yes. When Congress strikes out an exclusion from a law, it means the excluded items are now INCLUDED. 'Compensation' means everything an employee receives for working, so SSS contributions must be based on total pay.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(elimination of exceptions)</w:t>
              <w:br/>
              <w:t>• Salus populi est suprema lex (social security expansion)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Victorias Milling Company, Inc. v. Social Security Commission to mean and apply strictly in accordance with Optima statuti interpretatrix est ipsum statutum, holding that Yes. When Congress strikes out an exclusion from a law, it means the excluded items are now INCLUDED. 'Compensation' means everything an employee receives for w.</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 law says 'fruits, excluding apples', and later Congress deletes the words 'excluding apples', it is obvious that apples are now included! By deleting the exclusion for overtime and bonuses, Congress intentionally expanded 'compensation' to include every peso earned by the worker.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Optima statuti interpretatrix est ipsum statutum,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Effect of Legislative Deletions: When the legislature amends a statute by deliberately deleting a restrictive or exclusionary clause, the deletion is conclusive proof of legislative intent to broaden the operative term to its unrestricted natural scope.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Congress deletes a line from a law that used to say 'except this', it means that thing is now included under the law.</w:t>
            </w:r>
          </w:p>
        </w:tc>
      </w:tr>
    </w:tbl>
    <w:p>
      <w:r>
        <w:br w:type="page"/>
      </w:r>
    </w:p>
    <w:p>
      <w:pPr>
        <w:keepNext/>
        <w:spacing w:before="320" w:after="80"/>
      </w:pPr>
      <w:r>
        <w:rPr>
          <w:rFonts w:ascii="Arial" w:hAnsi="Arial"/>
          <w:b/>
          <w:color w:val="0F2043"/>
          <w:sz w:val="26"/>
        </w:rPr>
        <w:t>66. COMMISSIONER OF INTERNAL REVENUE V. MANILA LODGE NO. 761, B.P.O.E.</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L-11176 | June 29, 1959 | 105 Phil. 938 | En Banc | Ponente: J. Bautista Angelo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Manila Lodge No. 761, Benevolent and Protective Order of Elks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decision exempting a fraternal club from fixed and percentage taxes on restaurant and bar operations under Section 191 of the National Internal Revenue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Manila Lodge No. 761 of the Benevolent and Protective Order of Elks (BPOE) is a non-profit fraternal organization that maintains a clubhouse in Manila with a dining room and bar operated exclusively for its members and their invited guests. The Collector of Internal Revenue assessed Manila Lodge for percentage taxes as a 'keeper of restaurant, refreshment parlor, and bar' under Section 191 of the Tax Code. Manila Lodge protested, arguing that in statutory construction, the words 'business', 'restaurant', and 'bar' in tax statutes apply strictly to commercial enterprises operated FOR PROFIT and open to the GENERAL PUBLIC.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Elks Club is a private fraternal club that runs an exclusive dining room and bar solely for its members, with no profit motive and closed to the general public. The BIR tried to tax the club as a commercial restaurant and bar under the Tax Code. The Supreme Court ruled in favor of the club, holding that in tax statutes, terms like 'restaurant', 'bar', and 'business' imply commercial enterprises open to the public for profit, not exclusive private clubhouses.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private, non-profit fraternal club operating a dining room and bar exclusively for members is a 'keeper of restaurant or bar' engaged in business under Section 191 of the Tax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an exclusive private members' club subject to commercial restaurant taxes when it serves food to members without a profit motive?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non-profit fraternal clubhouse falls within the statutory meaning of 'restaurant' and 'business' under Section 191 NIRC, testing the Construction of Commercial Terms (Strictissimi Juris in Taxation)."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Manila Lodge is NOT a commercial restaurant or bar and is NOT subject to the tax. In statutory construction of tax codes, terms like 'business' and 'restaurant' denote commercial activities conducted FOR PROFIT and catering to the GENERAL PUBLIC.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In tax law, words like 'restaurant' and 'bar' mean public commercial businesses run to make money. A private club serving food only to its members at cost is not a public commercial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Strictissimi Juris in tax statutes, the terms 'business', 'restaurant', and 'bar' denote commercial enterprises open to the general public for pecuniary profit. A non-profit fraternal club catering exclusively to members is not engaged in commercial business under Section 191 NIRC."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191, National Internal Revenue Code: </w:t>
            </w:r>
            <w:r>
              <w:rPr>
                <w:rFonts w:ascii="Calibri" w:hAnsi="Calibri"/>
                <w:color w:val="212529"/>
                <w:sz w:val="20"/>
              </w:rPr>
              <w:t>Levies percentage taxes on keepers of restaurants, bars, and refreshment parlors engaged in business.</w:t>
            </w:r>
          </w:p>
          <w:p>
            <w:pPr>
              <w:spacing w:before="20" w:after="40" w:line="276" w:lineRule="auto"/>
            </w:pPr>
            <w:r>
              <w:rPr>
                <w:rFonts w:ascii="Calibri" w:hAnsi="Calibri"/>
                <w:b/>
                <w:color w:val="212529"/>
                <w:sz w:val="20"/>
              </w:rPr>
              <w:t xml:space="preserve">2. Statutory Definition of 'Business' and 'Commercial Terms': </w:t>
            </w:r>
            <w:r>
              <w:rPr>
                <w:rFonts w:ascii="Calibri" w:hAnsi="Calibri"/>
                <w:color w:val="212529"/>
                <w:sz w:val="20"/>
              </w:rPr>
              <w:t>In taxation, 'business' means that which occupies the time, attention, and labor of men for the purpose of a livelihood or profit.</w:t>
            </w:r>
          </w:p>
          <w:p>
            <w:pPr>
              <w:spacing w:before="20" w:after="40" w:line="276" w:lineRule="auto"/>
            </w:pPr>
            <w:r>
              <w:rPr>
                <w:rFonts w:ascii="Calibri" w:hAnsi="Calibri"/>
                <w:b/>
                <w:color w:val="212529"/>
                <w:sz w:val="20"/>
              </w:rPr>
              <w:t xml:space="preserve">3. Strictissimi Juris (of the strictest interpretation) in Tax Imposition: </w:t>
            </w:r>
            <w:r>
              <w:rPr>
                <w:rFonts w:ascii="Calibri" w:hAnsi="Calibri"/>
                <w:color w:val="212529"/>
                <w:sz w:val="20"/>
              </w:rPr>
              <w:t>Tax burdens are never presumed and cannot be extended to non-commercial, private fraternal entities.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191 NIRC, Definition of 'Business',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191 NIRC, interpreted under the commercial definition of 'business' and the canon Strictissimi Juris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Ordinary and Technical Meaning of 'Business': </w:t>
            </w:r>
            <w:r>
              <w:rPr>
                <w:rFonts w:ascii="Calibri" w:hAnsi="Calibri"/>
                <w:color w:val="212529"/>
                <w:sz w:val="20"/>
              </w:rPr>
              <w:t>The word 'business' in tax jurisprudence denotes an activity undertaken for commercial gain or profit. The Elks Club operated its canteen on a non-profit basis purely for member convenience.</w:t>
            </w:r>
          </w:p>
          <w:p>
            <w:pPr>
              <w:spacing w:before="20" w:after="40" w:line="276" w:lineRule="auto"/>
            </w:pPr>
            <w:r>
              <w:rPr>
                <w:rFonts w:ascii="Calibri" w:hAnsi="Calibri"/>
                <w:b/>
                <w:color w:val="212529"/>
                <w:sz w:val="20"/>
              </w:rPr>
              <w:t xml:space="preserve">2. The Element of Public Catering: </w:t>
            </w:r>
            <w:r>
              <w:rPr>
                <w:rFonts w:ascii="Calibri" w:hAnsi="Calibri"/>
                <w:color w:val="212529"/>
                <w:sz w:val="20"/>
              </w:rPr>
              <w:t>A 'restaurant' or 'bar' under Section 191 implies an establishment holding itself out to the general public. An exclusive fraternal facility restricted strictly to members is not a public restaurant.</w:t>
            </w:r>
          </w:p>
          <w:p>
            <w:pPr>
              <w:spacing w:before="20" w:after="40" w:line="276" w:lineRule="auto"/>
            </w:pPr>
            <w:r>
              <w:rPr>
                <w:rFonts w:ascii="Calibri" w:hAnsi="Calibri"/>
                <w:b/>
                <w:color w:val="212529"/>
                <w:sz w:val="20"/>
              </w:rPr>
              <w:t xml:space="preserve">3. Strict Construction Against Taxing Authority: </w:t>
            </w:r>
            <w:r>
              <w:rPr>
                <w:rFonts w:ascii="Calibri" w:hAnsi="Calibri"/>
                <w:color w:val="212529"/>
                <w:sz w:val="20"/>
              </w:rPr>
              <w:t>Taxes are burdens that must be explicitly authorized. The BIR cannot stretch commercial categories to tax private social and fraternal arrangements.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Code taxes businesses that make profits by selling meals to the public. The Elks Club is a private club that buys food for its own members at cost. It does not sell to the public and makes zero profit. Because tax terms must be given their commercial meaning, the club is not a 'restaurant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commercial definition of statutory words and Strictissimi Juris. The terms 'restaurant' and 'business' in the Tax Code require a profit motive and public service. The Court held that exclusive fraternal canteens are exempt from percentage business taxes."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Tax Appeals, CANCELLING the tax assessments against Manila Lodge No. 761.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Elks Club won and the commercial restaurant tax assessment was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holding that private non-profit fraternal clubs do not constitute commercial 'restaurants' under Section 191 NIRC."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b. Commercial Meaning (NIRC Percentage Tax on Fraternal Lodge Bar/Catering Operations)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statutes imposing burdens on businesses are construed strictly against the government.</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Commercial words in tax codes must be given their standard commercial meaning.</w:t>
            </w:r>
          </w:p>
          <w:p>
            <w:pPr>
              <w:spacing w:before="40" w:after="60" w:line="276" w:lineRule="auto"/>
            </w:pPr>
            <w:r>
              <w:rPr>
                <w:rFonts w:ascii="Calibri" w:hAnsi="Calibri"/>
                <w:b/>
                <w:color w:val="8C3200"/>
                <w:sz w:val="20"/>
              </w:rPr>
              <w:t>3.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term 'keepers of restaurants' is colored by associated commercial business establishments in Section 191.</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b. Commercial Meaning (NIRC Percentage Tax on Fraternal Lodge Bar/Catering Operations)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'business' and 'restaurant' in tax statutes require commercial profit motives and public patronage)</w:t>
              <w:br/>
              <w:br/>
              <w:t>Secondary:</w:t>
              <w:br/>
              <w:t>• Noscitur a sociis (commercial words defined by context)</w:t>
              <w:br/>
              <w:t>• Verba legis non est recedendum (ordinary meaning of business terms)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stretch the commercial terms 'restaurant' and 'business' to encompass private, non-profit fraternal clubs.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Commercial Construction of Tax Words: Statutory words designating commercial entities ('business', 'restaurant') are construed in their ordinary commercial sense requiring a profit motive and public trade; they cannot be extended to private non-profit arrangements.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Words in tax laws like 'restaurant' and 'business' only apply to money-making businesses open to the public, not private clubs sharing meals among members.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Manila Lodge No. 761 is the classic authority establishing that commercial terms in tax statutes require a profit motive and public catering under Strictissimi Juris."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Manila Lodge No. 761, B.P.O.E.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L-11176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29,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Manila Lodge No. 761 of the Benevolent and Protective Order of Elks (BPOE) is a non-profit fraternal organization that maintains a clubhouse in Manila with a dining room and bar operated exclusively for its members and their invited guests. The Collector of Internal Revenue assessed Manila Lodge for percentage taxes as a 'keeper of restaurant, refreshment parlor, and bar' under Section 191 of the Tax Code. Manila Lodge protested, arguing that in statutory construction, the words 'business', 'restaurant', and 'bar' in tax statutes apply strictly to commercial enterprises operated FOR PROFIT and open to the GENERAL PUBLIC.</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191, National Internal Revenue Code: Levies percentage taxes on keepers of restaurants, bars, and refreshment parlors engaged in business.</w:t>
              <w:br/>
              <w:t>2. Statutory Definition of 'Business' and 'Commercial Terms': In taxation, 'business' means that which occupies the time, attention, and labor of men for the purpose of a livelihood or profit.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stretch the commercial terms 'restaurant' and 'business' to encompass private, non-profit fraternal clubs.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private, non-profit fraternal club operating a dining room and bar exclusively for members is a 'keeper of restaurant or bar' engaged in business under Section 191 of the Tax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Manila Lodge No. 761, B.P.O.E.,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191, National Internal Revenue Code: Levies percentage taxes on keepers of restaurants, bars, and refreshment parlors engaged in business.</w:t>
              <w:br/>
              <w:t>2. Statutory Definition of 'Business' and 'Commercial Terms': In taxation, 'business' means that which occupies the time, attention, and labor of men for the purpose of a livelihood or profit.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attempted to stretch the commercial terms 'restaurant' and 'business' to encompass private, non-profit fraternal...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Tax Appeals, CANCELLING the tax assessments against Manila Lodge No. 761.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Manila Lodge is NOT a commercial restaurant or bar and is NOT subject to the tax. In statutory construction of tax codes, terms like 'business' and 'restaurant' denote commercial activities conducted FOR PROFIT and catering to the GENERAL PUBLIC.</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attempted to stretch the commercial terms 'restaurant' and 'business' to encompass private, non-profit fraternal clubs..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Commercial Construction of Tax Words: Statutory words designating commercial entities ('business', 'restaurant') are construed in their ordinary commercial sense requiring a profit motive and public trade; they cannot be extended to private non-profit arrangements.</w:t>
              <w:br/>
              <w:t xml:space="preserve">   - Result: No. In tax law, words like 'restaurant' and 'bar' mean public commercial businesses run to make money. A private club serving food only to its members at cost is not a public commercial business.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(commercial words defined by context)</w:t>
              <w:br/>
              <w:t>• Verba legis non est recedendum (ordinary meaning of business terms)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Manila Lodge No. 761, B.P.O.E. to mean and apply strictly in accordance with Strictissimi juris, holding that No. In tax law, words like 'restaurant' and 'bar' mean public commercial businesses run to make money. A private club serving food only to its members at cost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Tax Code taxes businesses that make profits by selling meals to the public. The Elks Club is a private club that buys food for its own members at cost. It does not sell to the public and makes zero profit. Because tax terms must be given their commercial meaning, the club is not a 'restaurant business'.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Commercial Construction of Tax Words: Statutory words designating commercial entities ('business', 'restaurant') are construed in their ordinary commercial sense requiring a profit motive and public trade; they cannot be extended to private non-profit arrangements.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Words in tax laws like 'restaurant' and 'business' only apply to money-making businesses open to the public, not private clubs sharing meals among members.</w:t>
            </w:r>
          </w:p>
        </w:tc>
      </w:tr>
    </w:tbl>
    <w:p>
      <w:r>
        <w:br w:type="page"/>
      </w:r>
    </w:p>
    <w:p>
      <w:pPr>
        <w:keepNext/>
        <w:spacing w:before="320" w:after="80"/>
      </w:pPr>
      <w:r>
        <w:rPr>
          <w:rFonts w:ascii="Arial" w:hAnsi="Arial"/>
          <w:b/>
          <w:color w:val="0F2043"/>
          <w:sz w:val="26"/>
        </w:rPr>
        <w:t>67. MUSTANG LUMBER, INC. V. COURT OF APPEALS AND SECRETARY OF ENVIRONMENT AND NATURAL RESOURCES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104988 | June 18, 1996 | 257 SCRA 430 | En Banc | Ponente: J. Davide,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Mustang Lumber,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Secretary of Environment and Natural Resources (DENR)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35)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administrative seizure of processed lumber under Section 68 of Presidential Decree No. 705 (Revised Forestry Code of the Philippines).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DENR agents raided the lumberyard of Mustang Lumber, Inc. and seized truckloads of processed narra lumber lacking the required auxiliary invoices and transport permits. Mustang Lumber filed an action for replevin to recover the lumber, arguing that Section 68 of P.D. No. 705 penalizes the possession of 'timber or other forest products' without permits, and contended that processed 'lumber' is not 'timber' because timber refers exclusively to raw logs and felled trees. Mustang argued that penal statutes must be strictly construed and that lumber cannot be included in timber.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forestry agents seized truckloads of processed narra wood from a lumber company because the company had no transport permits. The lumber company sued to get the wood back, arguing that the Forestry Code only penalizes possessing illegal 'timber' (raw logs), not 'lumber' (cut wooden planks). The Supreme Court rejected this excuse, ruling that 'timber' is the broad category that naturally includes processed 'lumber'. Allowing illegal loggers to escape punishment simply by sawing logs into planks would destroy the country's forests.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'timber' in Section 68 of P.D. No. 705 (Revised Forestry Code) includes processed 'lumber', testing Purposive Construction and Ratio Legis.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'timber' in the illegal logging law include sawed and processed 'lumber'?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term 'timber' in Section 68 of PD 705 includes processed 'lumber', testing the canon Ratio Legis Est Anima Legis (the reason of the law is the soul of the law) and Purposive Environmental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'Lumber' IS INCLUDED within the statutory term 'timber'. In statutory construction, lumber is simply processed timber; interpreting timber to exclude lumber would create an absurd loophole that completely frustrates the legislative intent to protect national forests.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Lumber is simply timber that has been sawed into boards. If the law didn't cover lumber, illegal loggers would just set up sawmills in the forest to slice up stolen trees into lumber and walk away scot-free. The law was made to protect trees in every form.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Hilario Davide, Jr. definitively ruled, lumber is merely processed timber. Under Ratio legis est anima legis and Lex non intendit absurdum, to exclude lumber from timber would legalize the illegal trade of forest products by the simple expedient of sawing logs into boards, utterly defeating the purpose of PD 705."</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68, Presidential Decree No. 705 (as amended by E.O. No. 277): </w:t>
            </w:r>
            <w:r>
              <w:rPr>
                <w:rFonts w:ascii="Calibri" w:hAnsi="Calibri"/>
                <w:color w:val="212529"/>
                <w:sz w:val="20"/>
              </w:rPr>
              <w:t>Penalizes the cutting, gathering, or possession of timber or other forest products without license or permit.</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statutory purpose is comprehensive forest conservation.</w:t>
            </w:r>
          </w:p>
          <w:p>
            <w:pPr>
              <w:spacing w:before="20" w:after="40" w:line="276" w:lineRule="auto"/>
            </w:pPr>
            <w:r>
              <w:rPr>
                <w:rFonts w:ascii="Calibri" w:hAnsi="Calibri"/>
                <w:b/>
                <w:color w:val="212529"/>
                <w:sz w:val="20"/>
              </w:rPr>
              <w:t xml:space="preserve">3. Lex Non Intendit Aliquid Impossibile Aut Absurdum (the law does not intend anything impossible or absurd): </w:t>
            </w:r>
            <w:r>
              <w:rPr>
                <w:rFonts w:ascii="Calibri" w:hAnsi="Calibri"/>
                <w:color w:val="212529"/>
                <w:sz w:val="20"/>
              </w:rPr>
              <w:t>Statutes will not be interpreted to allow easy circumvention through superficial processing.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68 PD 705, Ratio Legis Est Anima Legis, and Lex Non Intendit Absurdum.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68 of PD 705, governed by Ratio legis est anima legis (the reason of the law is its soul) and the bedrock principle that the law rejects absurd evasions (Lex non intendit absurdum)."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Definition of Timber: </w:t>
            </w:r>
            <w:r>
              <w:rPr>
                <w:rFonts w:ascii="Calibri" w:hAnsi="Calibri"/>
                <w:color w:val="212529"/>
                <w:sz w:val="20"/>
              </w:rPr>
              <w:t>Timber in its broad generic sense includes wood in all forms suitable for construction, whether in logs, beams, or processed lumber.</w:t>
            </w:r>
          </w:p>
          <w:p>
            <w:pPr>
              <w:spacing w:before="20" w:after="40" w:line="276" w:lineRule="auto"/>
            </w:pPr>
            <w:r>
              <w:rPr>
                <w:rFonts w:ascii="Calibri" w:hAnsi="Calibri"/>
                <w:b/>
                <w:color w:val="212529"/>
                <w:sz w:val="20"/>
              </w:rPr>
              <w:t xml:space="preserve">2. Prevention of Legislative Frustration: </w:t>
            </w:r>
            <w:r>
              <w:rPr>
                <w:rFonts w:ascii="Calibri" w:hAnsi="Calibri"/>
                <w:color w:val="212529"/>
                <w:sz w:val="20"/>
              </w:rPr>
              <w:t>If the possession of unlicensed lumber were legal while unlicensed logs were illegal, illegal loggers would simply saw logs into lumber before transport, rendering the Forestry Code completely futile.</w:t>
            </w:r>
          </w:p>
          <w:p>
            <w:pPr>
              <w:spacing w:before="20" w:after="40" w:line="276" w:lineRule="auto"/>
            </w:pPr>
            <w:r>
              <w:rPr>
                <w:rFonts w:ascii="Calibri" w:hAnsi="Calibri"/>
                <w:b/>
                <w:color w:val="212529"/>
                <w:sz w:val="20"/>
              </w:rPr>
              <w:t xml:space="preserve">3. Subordination of Strict Penal Construction: </w:t>
            </w:r>
            <w:r>
              <w:rPr>
                <w:rFonts w:ascii="Calibri" w:hAnsi="Calibri"/>
                <w:color w:val="212529"/>
                <w:sz w:val="20"/>
              </w:rPr>
              <w:t>While penal laws are strictly construed, strict construction cannot be carried to the point of destroying the obvious manifest intention of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Lumber comes from timber. A plank of wood is still forest wood. If cutting a tree is illegal, transporting the cut boards of that tree without a permit is equally illegal. The Court ruled that common sense and forest protection prevail over linguistic hair-splitting.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construction. Section 68 of PD 705 was enacted under police power to stop environmental destruction. Under Ratio Legis, 'timber' encompasses lumber to prevent loggers from escaping liability through mechanical processing."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Mustang Lumber's petition, AFFIRMED the seizure of the illegal lumber, and DISMISSED the replevin suit.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lumber company lost and the government's seizure of the illegal wood was upheld.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seizure of the lumber, ruling that 'timber' encompasses processed 'lumber' under PD 705."</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A. General Words -&gt; a. Generic Words &amp; Technical Meaning (PD 705 Revised Forestry Code / 'Timber' Includes 'Lumber')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purpose to preserve national forest resources governs the definition of forest products.</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penalize uncut logs while exempting the same wood once sawed into planks.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forests against deforestation is essential for environmental survival.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A. General Words -&gt; a. Generic Words &amp; Technical Meaning (PD 705 Revised Forestry Code / 'Timber' Includes 'Lumber')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'timber' in PD 705 includes processed 'lumber' to fulfill the conservation purpose of the Forestry Code)</w:t>
              <w:br/>
              <w:br/>
              <w:t>Secondary:</w:t>
              <w:br/>
              <w:t>• Lex non intendit absurdum (rejecting absurd log-processing loopholes)</w:t>
              <w:br/>
              <w:t>• Salus populi est suprema lex (environmental conservation)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use mechanical literalism to create a fraudulent loophole exempting processed wood from the Forestry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Purposive Construction of Environmental Terms: Generic statutory terms in conservation laws ('timber') encompass all processed derivatives ('lumber') to prevent the evasion of penal and regulatory prohibitions.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'timber' covers all wood products, including sliced lumber, so illegal loggers cannot escape by sawing trees into boards.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Mustang Lumber v. CA is the supreme authority on generic statutory terms: under Ratio Legis, 'timber' includes 'lumber' to prevent absurd evasions of forestry laws."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Mustang Lumber, Inc. v. Court of Appeals and Secretary of Environment and Natural Resources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104988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18,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DENR agents raided the lumberyard of Mustang Lumber, Inc. and seized truckloads of processed narra lumber lacking the required auxiliary invoices and transport permits. Mustang Lumber filed an action for replevin to recover the lumber, arguing that Section 68 of P.D. No. 705 penalizes the possession of 'timber or other forest products' without permits, and contended that processed 'lumber' is not 'timber' because timber refers exclusively to raw logs and felled trees. Mustang argued that penal statutes must be strictly construed and that lumber cannot be included in timber.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68, Presidential Decree No. 705 (as amended by E.O. No. 277): Penalizes the cutting, gathering, or possession of timber or other forest products without license or permit.</w:t>
              <w:br/>
              <w:t>2. Ratio Legis Est Anima Legis (the reason of the law is the soul of the law): The statutory purpose is comprehensive forest conservation.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use mechanical literalism to create a fraudulent loophole exempting processed wood from the Forestry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'timber' in Section 68 of P.D. No. 705 (Revised Forestry Code) includes processed 'lumber', testing Purposive Construction and Ratio Legis.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Mustang Lumber, Inc. v. Court of Appeals and Secretary of Environment and Natural Resources,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68, Presidential Decree No. 705 (as amended by E.O. No. 277): Penalizes the cutting, gathering, or possession of timber or other forest products without license or permit.</w:t>
              <w:br/>
              <w:t>2. Ratio Legis Est Anima Legis (the reason of the law is the soul of the law): The statutory purpose is comprehensive forest conservation.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use mechanical literalism to create a fraudulent loophole exempting processed wood from the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Mustang Lumber's petition, AFFIRMED the seizure of the illegal lumber, and DISMISSED the replevin suit.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'Lumber' IS INCLUDED within the statutory term 'timber'. In statutory construction, lumber is simply processed timber; interpreting timber to exclude lumber would create an absurd loophole that completely frustrates the legislative intent to protect national forests.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use mechanical literalism to create a fraudulent loophole exempting processed wood from the Forestry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Purposive Construction of Environmental Terms: Generic statutory terms in conservation laws ('timber') encompass all processed derivatives ('lumber') to prevent the evasion of penal and regulatory prohibitions.</w:t>
              <w:br/>
              <w:t xml:space="preserve">   - Result: Yes! Lumber is simply timber that has been sawed into boards. If the law didn't cover lumber, illegal loggers would just set up sawmills in the forest to slice up stolen trees into lumber and walk away scot-free. The law was made to protect trees in every form.</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intendit absurdum (rejecting absurd log-processing loopholes)</w:t>
              <w:br/>
              <w:t>• Salus populi est suprema lex (environmental conservation)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Mustang Lumber, Inc. v. Court of Appeals and Secretary of Environment and Natural Resources to mean and apply strictly in accordance with Ratio legis est anima legis, holding that Yes! Lumber is simply timber that has been sawed into boards. If the law didn't cover lumber, illegal loggers would just set up sawmills in the forest to slice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Lumber comes from timber. A plank of wood is still forest wood. If cutting a tree is illegal, transporting the cut boards of that tree without a permit is equally illegal. The Court ruled that common sense and forest protection prevail over linguistic hair-splitting.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Purposive Construction of Environmental Terms: Generic statutory terms in conservation laws ('timber') encompass all processed derivatives ('lumber') to prevent the evasion of penal and regulatory prohibitions.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'timber' covers all wood products, including sliced lumber, so illegal loggers cannot escape by sawing trees into boards.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68. C&amp;C COMMERCIAL CORPORATION V. NATIONAL WATERWORKS AND SEWERAGE AUTHORITY (NAWASA)</w:t>
      </w:r>
    </w:p>
    <w:p>
      <w:pPr>
        <w:spacing w:before="40" w:after="80" w:line="276" w:lineRule="auto"/>
      </w:pPr>
      <w:r>
        <w:rPr>
          <w:rFonts w:ascii="Calibri" w:hAnsi="Calibri"/>
          <w:b/>
          <w:color w:val="212529"/>
          <w:sz w:val="21"/>
        </w:rPr>
        <w:t xml:space="preserve">Citation: </w:t>
      </w:r>
      <w:r>
        <w:rPr>
          <w:rFonts w:ascii="Calibri" w:hAnsi="Calibri"/>
          <w:i/>
          <w:color w:val="212529"/>
          <w:sz w:val="21"/>
        </w:rPr>
        <w:t>G.R. No. L-27275 | November 18, 1967 | 21 SCRA 984 | En Banc | Ponente: J. Sanchez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C&amp;C Commercial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National Waterworks and Sewerage Authority (NAWASA)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Mandamus concerning the preferential treatment of domestic bidders under Commonwealth Act No. 138 (The Flag Law).</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NAWASA conducted a public bidding for the supply of steel water pipes. C&amp;C Commercial Corporation, a domestic Filipino company, submitted a bid to supply pipes that were to be manufactured locally but using imported foreign raw steel plates. A foreign bidder submitted a lower bid. C&amp;C claimed the statutory 15% preference for domestic bidders under Commonwealth Act No. 138 (The Flag Law). NAWASA refused to grant the preference, arguing that under Section 1 of CA 138, a 'domestic entity' or 'domestic product' requires that the articles be manufactured in the Philippines 'substantially from articles, materials, or supplies of the growth, production, or manufacture of the Philippines', which C&amp;C failed to satisfy since its raw steel was 100% imported.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Filipino company joined a government bidding to supply steel pipes and demanded a 15% price advantage under the Flag Law (a law giving preference to Filipino products). The government agency refused because the company was importing 100% of its raw steel from abroad and only bending the pipes locally. The Supreme Court ruled in favor of NAWASA: under the plain words of the Flag Law, to get the domestic preference, the product must be made substantially from Filipino raw materials, not just assembled from foreign steel.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domestic bidder manufacturing products from 100% imported raw materials is entitled to the statutory preference under Commonwealth Act No. 138 (The Flag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local company get Filipino-product preference under the Flag Law if its products are made entirely from imported foreign steel?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C&amp;C Commercial qualifies for domestic preference under Commonwealth Act No. 138, testing the Statutory Definition of 'Domestic Product'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C&amp;C Commercial is NOT entitled to the Flag Law preference. Under Section 1 of Commonwealth Act No. 138, a 'domestic product' MUST be manufactured substantially from local Philippine raw materials, not completely imported components.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Flag Law was passed to boost Philippine natural resources and local raw materials. You cannot import raw steel from abroad, weld it in Manila, and claim it is a 'Philippine-grown' product under the Flag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the explicit text of Section 1 of Commonwealth Act No. 138 (The Flag Law), domestic preference requires that the goods be produced substantially from Philippine raw materials. Merely processing 100% imported steel plates does not satisfy the statutory definition of a domestic product."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Commonwealth Act No. 138 (The Flag Law): </w:t>
            </w:r>
            <w:r>
              <w:rPr>
                <w:rFonts w:ascii="Calibri" w:hAnsi="Calibri"/>
                <w:color w:val="212529"/>
                <w:sz w:val="20"/>
              </w:rPr>
              <w:t>Defines domestic product as unmanufactured articles of the growth or production of the Philippines, or manufactured articles made substantially from Philippine materials.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statutory condition 'substantially from materials of Philippine growth' is clear and mandatory.</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Flag Law was enacted to foster domestic raw material industries and national economic self-sufficiency.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CA 138 (Flag Law), Verba Legis,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CA 138, applied under Verba legis non est recedendum (from the words of the statute no departure) and the nationalistic economic purpose of the Flag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Explicit Statutory Requisites of Flag Law: </w:t>
            </w:r>
            <w:r>
              <w:rPr>
                <w:rFonts w:ascii="Calibri" w:hAnsi="Calibri"/>
                <w:color w:val="212529"/>
                <w:sz w:val="20"/>
              </w:rPr>
              <w:t>CA 138 establishes two strict requirements: (a) the bidder must be a domestic entity; and (b) the goods must be domestic products manufactured substantially from local raw materials.</w:t>
            </w:r>
          </w:p>
          <w:p>
            <w:pPr>
              <w:spacing w:before="20" w:after="40" w:line="276" w:lineRule="auto"/>
            </w:pPr>
            <w:r>
              <w:rPr>
                <w:rFonts w:ascii="Calibri" w:hAnsi="Calibri"/>
                <w:b/>
                <w:color w:val="212529"/>
                <w:sz w:val="20"/>
              </w:rPr>
              <w:t xml:space="preserve">2. Failure to Satisfy Material Origin: </w:t>
            </w:r>
            <w:r>
              <w:rPr>
                <w:rFonts w:ascii="Calibri" w:hAnsi="Calibri"/>
                <w:color w:val="212529"/>
                <w:sz w:val="20"/>
              </w:rPr>
              <w:t>C&amp;C admitted that 100% of its steel raw materials were imported from foreign manufacturers. It merely performed the labor of shaping and welding the pipes in the Philippines.</w:t>
            </w:r>
          </w:p>
          <w:p>
            <w:pPr>
              <w:spacing w:before="20" w:after="40" w:line="276" w:lineRule="auto"/>
            </w:pPr>
            <w:r>
              <w:rPr>
                <w:rFonts w:ascii="Calibri" w:hAnsi="Calibri"/>
                <w:b/>
                <w:color w:val="212529"/>
                <w:sz w:val="20"/>
              </w:rPr>
              <w:t xml:space="preserve">3. Protection of Public Treasury: </w:t>
            </w:r>
            <w:r>
              <w:rPr>
                <w:rFonts w:ascii="Calibri" w:hAnsi="Calibri"/>
                <w:color w:val="212529"/>
                <w:sz w:val="20"/>
              </w:rPr>
              <w:t>The Flag Law gives a 15% price handicap at public expense. Because it costs public taxpayers more money, statutory conditions for domestic preference must be strictly enforced.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Flag Law spends extra taxpayer money (15% more) to encourage local miners and manufacturers. If a company buys all its steel from overseas, giving it extra taxpayer money defeats the purpose of the Flag Law. The statutory requirement for local materials must be strictly met.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strictly enforced the statutory definition in CA 138. The Flag Law grants an exceptional financial preference at taxpayer expense. Under Verba Legis, because the raw steel was entirely imported, the statutory condition of Philippine material origin was not satisfied."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C&amp;C Commercial's petition and UPHELD NAWASA's award of the contract to the lowest compliant bidder.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local company lost its claim for preference because its raw materials were imported.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Flag Law preference requires substantial Philippine raw materials under Section 1 CA 138."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C. General Words &amp; H. Provisos/Exceptions (Flag Law CA 138 / Preference for Domestic Materials)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Philippine material origin in CA 138 must be applied literally.</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Statutes granting economic preferences or public spending handicaps are strictly construed.</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Flag Law's purpose to develop domestic raw material industries governs.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C. General Words &amp; H. Provisos/Exceptions (Flag Law CA 138 / Preference for Domestic Materials)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'domestic product' in CA 138 requires substantial Philippine raw materials)</w:t>
              <w:br/>
              <w:br/>
              <w:t>Secondary:</w:t>
              <w:br/>
              <w:t>• Strictissimi juris (strict construction of procurement preferences)</w:t>
              <w:br/>
              <w:t>• Ratio legis est anima legis (development of local industries)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bidder attempted to claim a statutory price preference without satisfying the explicit statutory definition of Philippine material origin.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Procurement Preferences: Statutory preferences in public bidding (Flag Law) are strictly construed; bidders must satisfy all explicit statutory definitions regarding domestic entity status and local material composition.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get Filipino-product preference in government biddings, the law strictly requires the raw materials to come from the Philippines.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C&amp;C Commercial v. NAWASA is the leading authority on the statutory construction of the Flag Law: 'domestic product' strictly requires Philippine raw materials under Verba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C&amp;C Commercial Corporation v. National Waterworks and Sewerage Authority (NAWASA)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L-27275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18, 1967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NAWASA conducted a public bidding for the supply of steel water pipes. C&amp;C Commercial Corporation, a domestic Filipino company, submitted a bid to supply pipes that were to be manufactured locally but using imported foreign raw steel plates. A foreign bidder submitted a lower bid. C&amp;C claimed the statutory 15% preference for domestic bidders under Commonwealth Act No. 138 (The Flag Law). NAWASA refused to grant the preference, arguing that under Section 1 of CA 138, a 'domestic entity' or 'domestic product' requires that the articles be manufactured in the Philippines 'substantially from articles, materials, or supplies of the growth, production, or manufacture of the Philippines', which C&amp;C failed to satisfy since its raw steel was 100% imported.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Commonwealth Act No. 138 (The Flag Law): Defines domestic product as unmanufactured articles of the growth or production of the Philippines, or manufactured articles made substantially from Philippine materials.</w:t>
              <w:br/>
              <w:t>2. Verba Legis Non Est Recedendum (from the words of the statute there should be no departure): The statutory condition 'substantially from materials of Philippine growth' is clear and mandatory.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bidder attempted to claim a statutory price preference without satisfying the explicit statutory definition of Philippine material origin.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domestic bidder manufacturing products from 100% imported raw materials is entitled to the statutory preference under Commonwealth Act No. 138 (The Flag Law).</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C&amp;C Commercial Corporation v. National Waterworks and Sewerage Authority (NAWASA),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Commonwealth Act No. 138 (The Flag Law): Defines domestic product as unmanufactured articles of the growth or production of the Philippines, or manufactured articles made substantially from Philippine materials.</w:t>
              <w:br/>
              <w:t>2. Verba Legis Non Est Recedendum (from the words of the statute there should be no departure): The statutory condition 'substantially from materials of Philippine growth' is clear and mandatory.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C&amp;C Commercial's petition and UPHELD NAWASA's award of the contract to the lowest compliant bidder.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C&amp;C Commercial is NOT entitled to the Flag Law preference. Under Section 1 of Commonwealth Act No. 138, a 'domestic product' MUST be manufactured substantially from local Philippine raw materials, not completely imported components.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Strict Construction of Procurement Preferences: Statutory preferences in public bidding (Flag Law) are strictly construed; bidders must satisfy all explicit statutory definitions regarding domestic entity status and local material composition.</w:t>
              <w:br/>
              <w:t xml:space="preserve">   - Result: No. The Flag Law was passed to boost Philippine natural resources and local raw materials. You cannot import raw steel from abroad, weld it in Manila, and claim it is a 'Philippine-grown' product under the Flag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construction of procurement preferences)</w:t>
              <w:br/>
              <w:t>• Ratio legis est anima legis (development of local industries)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C&amp;C Commercial Corporation v. National Waterworks and Sewerage Authority (NAWASA) to mean and apply strictly in accordance with Verba legis non est recedendum, holding that No. The Flag Law was passed to boost Philippine natural resources and local raw materials. You cannot import raw steel from abroad, weld it in Manila, and claim.</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Flag Law spends extra taxpayer money (15% more) to encourage local miners and manufacturers. If a company buys all its steel from overseas, giving it extra taxpayer money defeats the purpose of the Flag Law. The statutory requirement for local materials must be strictly met.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Procurement Preferences: Statutory preferences in public bidding (Flag Law) are strictly construed; bidders must satisfy all explicit statutory definitions regarding domestic entity status and local material composition.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To get Filipino-product preference in government biddings, the law strictly requires the raw materials to come from the Philippines.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69. ROLANDO GEOTINA, COMMISSIONER OF CUSTOMS V. COURT OF TAX APPEALS AND SPOUSES LUIS &amp; FRANCISCA YAP</w:t>
      </w:r>
    </w:p>
    <w:p>
      <w:pPr>
        <w:spacing w:before="40" w:after="80" w:line="276" w:lineRule="auto"/>
      </w:pPr>
      <w:r>
        <w:rPr>
          <w:rFonts w:ascii="Calibri" w:hAnsi="Calibri"/>
          <w:b/>
          <w:color w:val="212529"/>
          <w:sz w:val="21"/>
        </w:rPr>
        <w:t xml:space="preserve">Citation: </w:t>
      </w:r>
      <w:r>
        <w:rPr>
          <w:rFonts w:ascii="Calibri" w:hAnsi="Calibri"/>
          <w:i/>
          <w:color w:val="212529"/>
          <w:sz w:val="21"/>
        </w:rPr>
        <w:t>G.R. No. L-33500 | August 30, 1971 | 40 SCRA 362 | En Banc | Ponente: J. Teehankee</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Rolando Geotina, Commissioner of Customs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Tax Appeals and Spouses Luis &amp; Francisca Yap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injunction ordering the release on bond of smuggled foreign luxury goods under Section 1207 and 2301 of the Tariff and Customs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Yap imported 30,000 cartons of foreign 'Chesterfield' and 'Salem' cigarettes without Central Bank release certificates, falsely declaring the shipment as fresh fruits. Customs Collector seized the goods as 'articles of prohibited importation' under Section 1207 of the Tariff and Customs Code. The importers petitioned the Court of Tax Appeals, which issued an injunction ordering the Commissioner of Customs to release the seized cigarettes upon the posting of a cash bond pursuant to Section 2301 of the Customs Code. The Commissioner petitioned the Supreme Court, arguing that under Section 2301, 'articles of prohibited importation' are absolutely non-releasable on bond.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Smugglers tried to sneak 30,000 cartons of foreign cigarettes into the country by falsely labelling the containers as 'fresh apples'. Customs caught and seized the cigarettes. The Tax Court ordered Customs to release the cigarettes to the smugglers if they posted a bond. The Supreme Court reversed the Tax Court, holding that under the Tariff and Customs Code, smuggled and prohibited items can NEVER be released on bond because the law strictly forbids releasing illegal contraband back to smugglers.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smuggled goods and 'articles of prohibited importation' can be released to the importer upon the posting of a bond under Section 2301 of the Tariff and Customs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court order Customs to release smuggled goods on bond while the smuggling case is ongoing?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'articles of prohibited importation' under Section 1207 and 2301 of the Tariff and Customs Code can be released on bond, testing Verba Legis (the words of the law) and Express Exception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Articles of prohibited importation and smuggled goods CANNOT be released on bond. Section 2301 of the Tariff and Customs Code contains an EXPLICIT STATUTORY EXCEPTION prohibiting the release on bond of any seized merchandise whose importation is prohibited by law.</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explicitly says: 'articles the importation of which is prohibited by law shall not be released under bond.' Releasing smuggled goods on bond would allow smugglers to flood the market with contraband while the case is crawling in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Claudio Teehankee ruled, Section 2301 of the Tariff and Customs Code explicitly excludes prohibited importations from release on bond under the canon of Verba Legis. The Court of Tax Appeals committed grave abuse of discretion in ordering the release of smuggled cigarettes on bond."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2301, Tariff and Customs Code: </w:t>
            </w:r>
            <w:r>
              <w:rPr>
                <w:rFonts w:ascii="Calibri" w:hAnsi="Calibri"/>
                <w:color w:val="212529"/>
                <w:sz w:val="20"/>
              </w:rPr>
              <w:t>Authorizes release of seized property on bond 'provided that articles the importation of which is prohibited by law shall not be released under any circumstance'.</w:t>
            </w:r>
          </w:p>
          <w:p>
            <w:pPr>
              <w:spacing w:before="20" w:after="40" w:line="276" w:lineRule="auto"/>
            </w:pPr>
            <w:r>
              <w:rPr>
                <w:rFonts w:ascii="Calibri" w:hAnsi="Calibri"/>
                <w:b/>
                <w:color w:val="212529"/>
                <w:sz w:val="20"/>
              </w:rPr>
              <w:t xml:space="preserve">2. Section 1207, Tariff and Customs Code: </w:t>
            </w:r>
            <w:r>
              <w:rPr>
                <w:rFonts w:ascii="Calibri" w:hAnsi="Calibri"/>
                <w:color w:val="212529"/>
                <w:sz w:val="20"/>
              </w:rPr>
              <w:t>Defines articles of prohibited importation to include unmanifested or misdeclared goods violating Central Bank circulars.</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statutory prohibition against release on bond is absolute and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1207 &amp; 2301 Tariff and Customs Code, Verba Legis, and Absolute Statutory Prohibition.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2301 of the Tariff and Customs Code, applied under Verba legis non est recedendum (from statutory words no departure) and the absolute statutory prohibition against release of contraband."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Character of Statutory Proviso: </w:t>
            </w:r>
            <w:r>
              <w:rPr>
                <w:rFonts w:ascii="Calibri" w:hAnsi="Calibri"/>
                <w:color w:val="212529"/>
                <w:sz w:val="20"/>
              </w:rPr>
              <w:t>The proviso in Section 2301 is an explicit, non-discretionary command. Where importation is prohibited, the Collector of Customs and the courts are totally devoid of authority to order release on bond.</w:t>
            </w:r>
          </w:p>
          <w:p>
            <w:pPr>
              <w:spacing w:before="20" w:after="40" w:line="276" w:lineRule="auto"/>
            </w:pPr>
            <w:r>
              <w:rPr>
                <w:rFonts w:ascii="Calibri" w:hAnsi="Calibri"/>
                <w:b/>
                <w:color w:val="212529"/>
                <w:sz w:val="20"/>
              </w:rPr>
              <w:t xml:space="preserve">2. Public Policy Against Smuggling: </w:t>
            </w:r>
            <w:r>
              <w:rPr>
                <w:rFonts w:ascii="Calibri" w:hAnsi="Calibri"/>
                <w:color w:val="212529"/>
                <w:sz w:val="20"/>
              </w:rPr>
              <w:t>Releasing smuggled goods on bond frustrates customs law enforcement by allowing contraband to be sold in the market before final forfeiture can be decreed.</w:t>
            </w:r>
          </w:p>
          <w:p>
            <w:pPr>
              <w:spacing w:before="20" w:after="40" w:line="276" w:lineRule="auto"/>
            </w:pPr>
            <w:r>
              <w:rPr>
                <w:rFonts w:ascii="Calibri" w:hAnsi="Calibri"/>
                <w:b/>
                <w:color w:val="212529"/>
                <w:sz w:val="20"/>
              </w:rPr>
              <w:t xml:space="preserve">3. Exclusive Customs Jurisdiction: </w:t>
            </w:r>
            <w:r>
              <w:rPr>
                <w:rFonts w:ascii="Calibri" w:hAnsi="Calibri"/>
                <w:color w:val="212529"/>
                <w:sz w:val="20"/>
              </w:rPr>
              <w:t>The Bureau of Customs has primary and exclusive jurisdiction over seizure and forfeiture proceedings; the CTA cannot undermine statutory customs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says in black and white: 'prohibited goods SHALL NOT be released under bond'. If courts released smuggled cigarettes on bond, the smugglers would sell the cigarettes that afternoon, pocket millions, and disappear. The statutory prohibition is absolute.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Section 2301 contains an absolute statutory exception barring release on bond for prohibited importations. The Court held that CTA's release order was null and void for violating the express prohibition of the Customs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CTA release order, and DECLARED the smuggled cigarettes subject to absolute customs forfeiture.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Court's release order was voided and the smuggled cigarettes were ordered confiscated.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release order, holding that prohibited importations can never be released on bond under Section 2301 Customs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I. Statute Construed as a Whole (Tariff &amp; Customs Code Sec. 2530 / Exclusive Jurisdiction of Collector of Customs)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command that prohibited articles 'shall not be released under bond' is absolute.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Stopping the economic sabotage of smuggling protects national revenue and economy.</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Seizure and forfeiture of contraband without release on bond is mandatory.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I. Statute Construed as a Whole (Tariff &amp; Customs Code Sec. 2530 / Exclusive Jurisdiction of Collector of Customs)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Section 2301 Customs Code absolutely bars the release on bond of prohibited importations)</w:t>
              <w:br/>
              <w:br/>
              <w:t>Secondary:</w:t>
              <w:br/>
              <w:t>• Salus populi est suprema lex (anti-smuggling public policy)</w:t>
              <w:br/>
              <w:t>• Dura lex sed lex (mandatory customs forfeiture)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Court of Tax Appeals issued an injunction releasing smuggled goods on bond in direct violation of the express statutory prohibition in Section 2301 Customs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Enforcement of Statutory Provisos and Absolute Prohibitions: Where a statute creates an express exception prohibiting release on bond, judicial and administrative bodies have no jurisdiction to order the provisional release of seized contraband.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customs law says smuggled goods can NEVER be released on bond, courts cannot let smugglers post bail for their illegal cargo.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Geotina v. CTA is the landmark customs case on Verba Legis: Section 2301 absolutely bars the release on bond of smuggled contraband."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Rolando Geotina, Commissioner of Customs v. Court of Tax Appeals and Spouses Luis &amp; Francisca Yap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L-33500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30, 1971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Yap imported 30,000 cartons of foreign 'Chesterfield' and 'Salem' cigarettes without Central Bank release certificates, falsely declaring the shipment as fresh fruits. Customs Collector seized the goods as 'articles of prohibited importation' under Section 1207 of the Tariff and Customs Code. The importers petitioned the Court of Tax Appeals, which issued an injunction ordering the Commissioner of Customs to release the seized cigarettes upon the posting of a cash bond pursuant to Section 2301 of the Customs Code. The Commissioner petitioned the Supreme Court, arguing that under Section 2301, 'articles of prohibited importation' are absolutely non-releasable on bond.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2301, Tariff and Customs Code: Authorizes release of seized property on bond 'provided that articles the importation of which is prohibited by law shall not be released under any circumstance'.</w:t>
              <w:br/>
              <w:t>2. Section 1207, Tariff and Customs Code: Defines articles of prohibited importation to include unmanifested or misdeclared goods violating Central Bank circulars.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Court of Tax Appeals issued an injunction releasing smuggled goods on bond in direct violation of the express statutory prohibition in Section 2301 Customs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smuggled goods and 'articles of prohibited importation' can be released to the importer upon the posting of a bond under Section 2301 of the Tariff and Customs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Rolando Geotina, Commissioner of Customs v. Court of Tax Appeals and Spouses Luis &amp; Francisca Yap,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2301, Tariff and Customs Code: Authorizes release of seized property on bond 'provided that articles the importation of which is prohibited by law shall not be released under any circumstance'.</w:t>
              <w:br/>
              <w:t>2. Section 1207, Tariff and Customs Code: Defines articles of prohibited importation to include unmanifested or misdeclared goods violating Central Bank circulars.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CTA release order, and DECLARED the smuggled cigarettes subject to absolute customs forfeiture.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Articles of prohibited importation and smuggled goods CANNOT be released on bond. Section 2301 of the Tariff and Customs Code contains an EXPLICIT STATUTORY EXCEPTION prohibiting the release on bond of any seized merchandise whose importation is prohibited by law.</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Enforcement of Statutory Provisos and Absolute Prohibitions: Where a statute creates an express exception prohibiting release on bond, judicial and administrative bodies have no jurisdiction to order the provisional release of seized contraband.</w:t>
              <w:br/>
              <w:t xml:space="preserve">   - Result: No. The law explicitly says: 'articles the importation of which is prohibited by law shall not be released under bond.' Releasing smuggled goods on bond would allow smugglers to flood the market with contraband while the case is crawling in court.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(anti-smuggling public policy)</w:t>
              <w:br/>
              <w:t>• Dura lex sed lex (mandatory customs forfeiture)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Rolando Geotina, Commissioner of Customs v. Court of Tax Appeals and Spouses Luis &amp; Francisca Yap to mean and apply strictly in accordance with Verba legis non est recedendum, holding that No. The law explicitly says: 'articles the importation of which is prohibited by law shall not be released under bond.' Releasing smuggled goods on bond would 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says in black and white: 'prohibited goods SHALL NOT be released under bond'. If courts released smuggled cigarettes on bond, the smugglers would sell the cigarettes that afternoon, pocket millions, and disappear. The statutory prohibition is absolute.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Enforcement of Statutory Provisos and Absolute Prohibitions: Where a statute creates an express exception prohibiting release on bond, judicial and administrative bodies have no jurisdiction to order the provisional release of seized contraband.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customs law says smuggled goods can NEVER be released on bond, courts cannot let smugglers post bail for their illegal cargo.</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70. SAN MIGUEL CORPORATION V. MUNICIPAL COUNCIL OF MANDAUE,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L-30761 | July 11, 1973 | 52 SCRA 43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San Miguel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Municipal Council of Mandaue, Cebu and Pedro Hermosisima, Municipal Treasurer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Cebu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Declaratory Relief challenging Mandaue Municipal Ordinance No. 23 imposing a graduated municipal tax on manufactured beer based on 'Gross Sales' versus 'Actual Deliveries outside the Municipality'.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Municipality of Mandaue, Cebu enacted Ordinance No. 23 imposing a graduated local tax on manufacturers of beer within the municipality based on their total 'gross sales'. San Miguel Corporation operated the Mandaue Brewery, which produced beer sold not only in Mandaue but shipped directly to branch warehouses and customers across the Visayas and Mindanao. San Miguel challenged the assessment, arguing that under Section 2 of Commonwealth Act No. 472 (Local Taxing Power), the term 'gross sales' for local taxation is strictly limited to sales CONSUMMATED WITHIN the territory of the municipality, and cannot be levied on beer shipped and sold outside Mandaue territory.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town of Mandaue taxed San Miguel Brewery based on all the beer it brewed, including beer shipped and sold to other provinces in Visayas and Mindanao. San Miguel argued that a local municipality can only tax sales that actually happen INSIDE its town borders. The Supreme Court agreed with San Miguel, holding that under territoriality principles in statutory construction, 'gross sales' in a municipal tax ordinance refers strictly to sales perfected and delivered within the town's geographic borders.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and municipal phrase 'gross sales' in a local tax ordinance can include sales perfected and consummated outside the territorial jurisdiction of the municipality.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town government collect local business taxes on sales that were made outside the town's borders?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'gross sales' in municipal taxation can include extraterritorial sales, testing the Territoriality of Local Taxing Statutes and Strict Construction of Delegated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'Gross sales' in local taxation is STRICTLY RESTRICTED to sales perfected, consummated, or delivered WITHIN the territorial limits of the municipality. A municipal corporation has no statutory power to tax sales consummated outside its territorial boundaries.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Local governments can only tax what happens inside their borders. A town cannot tax beer sold in Bohol or Davao just because the factory is in Mandaue. 'Gross sales' means local sales only.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Principle of Territoriality and Strictissimi Juris in local taxation, the statutory phrase 'gross sales' in a municipal ordinance cannot be given extraterritorial effect. Mandaue can tax only the sales consummated within its municipal borders."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Commonwealth Act No. 472 (Municipal Tax Law): </w:t>
            </w:r>
            <w:r>
              <w:rPr>
                <w:rFonts w:ascii="Calibri" w:hAnsi="Calibri"/>
                <w:color w:val="212529"/>
                <w:sz w:val="20"/>
              </w:rPr>
              <w:t>Delegates taxing power to municipalities strictly within their territorial jurisdiction.</w:t>
            </w:r>
          </w:p>
          <w:p>
            <w:pPr>
              <w:spacing w:before="20" w:after="40" w:line="276" w:lineRule="auto"/>
            </w:pPr>
            <w:r>
              <w:rPr>
                <w:rFonts w:ascii="Calibri" w:hAnsi="Calibri"/>
                <w:b/>
                <w:color w:val="212529"/>
                <w:sz w:val="20"/>
              </w:rPr>
              <w:t xml:space="preserve">2. Territoriality of Municipal Taxing Power: </w:t>
            </w:r>
            <w:r>
              <w:rPr>
                <w:rFonts w:ascii="Calibri" w:hAnsi="Calibri"/>
                <w:color w:val="212529"/>
                <w:sz w:val="20"/>
              </w:rPr>
              <w:t>Municipal ordinances are inherently territorial and operate only within the geographic boundaries of the enacting LGU.</w:t>
            </w:r>
          </w:p>
          <w:p>
            <w:pPr>
              <w:spacing w:before="20" w:after="40" w:line="276" w:lineRule="auto"/>
            </w:pPr>
            <w:r>
              <w:rPr>
                <w:rFonts w:ascii="Calibri" w:hAnsi="Calibri"/>
                <w:b/>
                <w:color w:val="212529"/>
                <w:sz w:val="20"/>
              </w:rPr>
              <w:t xml:space="preserve">3. Strictissimi Juris (of the strictest interpretation) in Local Taxation: </w:t>
            </w:r>
            <w:r>
              <w:rPr>
                <w:rFonts w:ascii="Calibri" w:hAnsi="Calibri"/>
                <w:color w:val="212529"/>
                <w:sz w:val="20"/>
              </w:rPr>
              <w:t>Grants of taxing power to municipalities are construed strictly against the LGU and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 472, Territoriality Principle, and Strictissimi Juris in local taxation.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CA 472, governed by the Principle of Territoriality in municipal legislation and Strictissimi Juris in local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Territorial Limitation on Municipal Power: </w:t>
            </w:r>
            <w:r>
              <w:rPr>
                <w:rFonts w:ascii="Calibri" w:hAnsi="Calibri"/>
                <w:color w:val="212529"/>
                <w:sz w:val="20"/>
              </w:rPr>
              <w:t>A municipal corporation's legislative and taxing jurisdiction is strictly co-extensive with its geographic territory. An ordinance attempting to tax transactions occurring in other provinces is ultra vires.</w:t>
            </w:r>
          </w:p>
          <w:p>
            <w:pPr>
              <w:spacing w:before="20" w:after="40" w:line="276" w:lineRule="auto"/>
            </w:pPr>
            <w:r>
              <w:rPr>
                <w:rFonts w:ascii="Calibri" w:hAnsi="Calibri"/>
                <w:b/>
                <w:color w:val="212529"/>
                <w:sz w:val="20"/>
              </w:rPr>
              <w:t xml:space="preserve">2. Definition of 'Gross Sales': </w:t>
            </w:r>
            <w:r>
              <w:rPr>
                <w:rFonts w:ascii="Calibri" w:hAnsi="Calibri"/>
                <w:color w:val="212529"/>
                <w:sz w:val="20"/>
              </w:rPr>
              <w:t>In municipal tax jurisprudence, gross sales means sales realized from transactions concluded within the municipal territory, not total national factory production.</w:t>
            </w:r>
          </w:p>
          <w:p>
            <w:pPr>
              <w:spacing w:before="20" w:after="40" w:line="276" w:lineRule="auto"/>
            </w:pPr>
            <w:r>
              <w:rPr>
                <w:rFonts w:ascii="Calibri" w:hAnsi="Calibri"/>
                <w:b/>
                <w:color w:val="212529"/>
                <w:sz w:val="20"/>
              </w:rPr>
              <w:t xml:space="preserve">3. Prevention of Multi-Municipal Taxation: </w:t>
            </w:r>
            <w:r>
              <w:rPr>
                <w:rFonts w:ascii="Calibri" w:hAnsi="Calibri"/>
                <w:color w:val="212529"/>
                <w:sz w:val="20"/>
              </w:rPr>
              <w:t>Allowing Mandaue to tax sales made in other provinces would subject San Miguel to double local taxation in both the manufacturing town and the destination towns.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Towns only have power inside their town limits. If Mandaue could tax beer sold in Iloilo, and Iloilo also taxes the beer sold in Iloilo, the company would be double-taxed. In local tax law, 'gross sales' means sales made inside the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territorial construction and Strictissimi Juris. Municipal taxing powers are strictly territorial. The Court held that 'gross sales' in Ordinance No. 23 is limited to sales consummated within Mandaue, invalidating the tax on extraterritorial shipments."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trial court, DECLARING that Mandaue Municipality can levy the tax only on gross sales consummated within Mandaue.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San Miguel won; Mandaue was forbidden from taxing beer sold outside the municipality.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restricted the local tax to sales consummated within the municipality under the Principle of Territoriality."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H. Provisos &amp; Saving Clauses (Local Autonomy Act RA 2264 / Tax on Specific Manufacturing Products)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Extra territorium ius dicenti non paretur impune (one who exercises jurisdiction out of his territory is not obeyed with impunity)</w:t>
              <w:br/>
            </w:r>
            <w:r>
              <w:rPr>
                <w:rFonts w:ascii="Calibri" w:hAnsi="Calibri"/>
                <w:b/>
                <w:color w:val="212529"/>
                <w:sz w:val="19"/>
              </w:rPr>
              <w:t xml:space="preserve">   • Literal English Translation: </w:t>
            </w:r>
            <w:r>
              <w:rPr>
                <w:rFonts w:ascii="Calibri" w:hAnsi="Calibri"/>
                <w:i/>
                <w:color w:val="212529"/>
                <w:sz w:val="19"/>
              </w:rPr>
              <w:t>Beyond his territory, a magistrate is not obeyed with impunity.</w:t>
              <w:br/>
            </w:r>
            <w:r>
              <w:rPr>
                <w:rFonts w:ascii="Calibri" w:hAnsi="Calibri"/>
                <w:b/>
                <w:color w:val="212529"/>
                <w:sz w:val="19"/>
              </w:rPr>
              <w:t xml:space="preserve">   • Plain Legal Meaning &amp; StatCon Application: </w:t>
            </w:r>
            <w:r>
              <w:rPr>
                <w:rFonts w:ascii="Calibri" w:hAnsi="Calibri"/>
                <w:color w:val="212529"/>
                <w:sz w:val="19"/>
              </w:rPr>
              <w:t>Municipal tax ordinances cannot reach beyond the geographic borders of the town.</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Delegated municipal taxing powers are strictly construed against the local government.</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Municipal taxing grants are confined to their territorial terms.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H. Provisos &amp; Saving Clauses (Local Autonomy Act RA 2264 / Tax on Specific Manufacturing Products)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Extra territorium ius dicenti non paretur impune</w:t>
              <w:br/>
              <w:t>(beyond his territory a magistrate is not obeyed / municipal tax ordinances on 'gross sales' are strictly confined to local territorial transactions)</w:t>
              <w:br/>
              <w:br/>
              <w:t>Secondary:</w:t>
              <w:br/>
              <w:t>• Strictissimi juris (strict interpretation of local taxing grants)</w:t>
              <w:br/>
              <w:t>• Verba legis non est recedendum (territorial terms of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municipality attempted to extend its local taxing power extraterritorially to transactions consummated in other provinces.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Territoriality of Local Taxing Statutes: Words denoting commercial transactions ('gross sales') in municipal tax ordinances are restricted strictly to sales perfected within the geographic borders of the enacting local government unit.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town's tax laws stop at the town border; a mayor cannot tax goods sold in other cities.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SMC v. Municipal Council of Mandaue confirms that 'gross sales' in local tax statutes is strictly territorial under Extra territorium ius dicenti non paretur impune."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San Miguel Corporation v. Municipal Council of Mandaue,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L-30761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11, 1973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Municipality of Mandaue, Cebu enacted Ordinance No. 23 imposing a graduated local tax on manufacturers of beer within the municipality based on their total 'gross sales'. San Miguel Corporation operated the Mandaue Brewery, which produced beer sold not only in Mandaue but shipped directly to branch warehouses and customers across the Visayas and Mindanao. San Miguel challenged the assessment, arguing that under Section 2 of Commonwealth Act No. 472 (Local Taxing Power), the term 'gross sales' for local taxation is strictly limited to sales CONSUMMATED WITHIN the territory of the municipality, and cannot be levied on beer shipped and sold outside Mandaue territory.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Commonwealth Act No. 472 (Municipal Tax Law): Delegates taxing power to municipalities strictly within their territorial jurisdiction.</w:t>
              <w:br/>
              <w:t>2. Territoriality of Municipal Taxing Power: Municipal ordinances are inherently territorial and operate only within the geographic boundaries of the enacting LGU.</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municipality attempted to extend its local taxing power extraterritorially to transactions consummated in other provinces.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and municipal phrase 'gross sales' in a local tax ordinance can include sales perfected and consummated outside the territorial jurisdiction of the municipality.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San Miguel Corporation v. Municipal Council of Mandaue, Cebu, under the canon of Extra territorium ius dicenti non paretur impune.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Commonwealth Act No. 472 (Municipal Tax Law): Delegates taxing power to municipalities strictly within their territorial jurisdiction.</w:t>
              <w:br/>
              <w:t>2. Territoriality of Municipal Taxing Power: Municipal ordinances are inherently territorial and operate only within the geographic boundaries of the enacting LGU.</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municipality attempted to extend its local taxing power extraterritorially to transactions consummated in other prov...</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trial court, DECLARING that Mandaue Municipality can levy the tax only on gross sales consummated within Mandaue.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'Gross sales' in local taxation is STRICTLY RESTRICTED to sales perfected, consummated, or delivered WITHIN the territorial limits of the municipality. A municipal corporation has no statutory power to tax sales consummated outside its territorial boundaries.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municipality attempted to extend its local taxing power extraterritorially to transactions consummated in other provinces..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Extra territorium ius dicenti non paretur impune</w:t>
              <w:br/>
              <w:t xml:space="preserve">   - Application: Territoriality of Local Taxing Statutes: Words denoting commercial transactions ('gross sales') in municipal tax ordinances are restricted strictly to sales perfected within the geographic borders of the enacting local government unit.</w:t>
              <w:br/>
              <w:t xml:space="preserve">   - Result: No. Local governments can only tax what happens inside their borders. A town cannot tax beer sold in Bohol or Davao just because the factory is in Mandaue. 'Gross sales' means local sales only.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interpretation of local taxing grants)</w:t>
              <w:br/>
              <w:t>• Verba legis non est recedendum (territorial terms of the statute)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San Miguel Corporation v. Municipal Council of Mandaue, Cebu to mean and apply strictly in accordance with Extra territorium ius dicenti non paretur impune, holding that No. Local governments can only tax what happens inside their borders. A town cannot tax beer sold in Bohol or Davao just because the factory is in Mandaue. 'Gro.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Towns only have power inside their town limits. If Mandaue could tax beer sold in Iloilo, and Iloilo also taxes the beer sold in Iloilo, the company would be double-taxed. In local tax law, 'gross sales' means sales made inside the town.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Extra territorium ius dicenti non paretur impune,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Territoriality of Local Taxing Statutes: Words denoting commercial transactions ('gross sales') in municipal tax ordinances are restricted strictly to sales perfected within the geographic borders of the enacting local government unit.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town's tax laws stop at the town border; a mayor cannot tax goods sold in other cities.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71. ATTY. DOMINADOR MALANYAON V. HON. RAFAEL SILSING AND MAYOR JAIME CLAVERIA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L-56028 | July 30, 1981 | 106 SCRA 237 | En Banc | Ponente: J. De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Atty. Dominador Malanyaon, Municipal Mayor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Rafael Silsing (Judge, CFI Camarines Sur) and Jaime Claveria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Camarines Sur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payment of back salaries following the dismissal of a criminal graft case under Section 13 of Republic Act No. 3019.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Mayor Dominador Malanyaon was preventively suspended from office under Section 13 of R.A. No. 3019 pending trial for graft. During the trial, the prosecution failed to establish the elements of the offense, and the trial court dismissed the case on a demurrer to evidence (which constitutes an acquittal on the merits). Mayor Malanyaon demanded reinstatement and payment of his full back salaries during his suspension pursuant to Section 13 of RA 3019, which provides that if the public officer 'SHALL BE ACQUITTED', he shall be entitled to reinstatement and back salaries. The Municipal Council refused to pay, arguing that a dismissal on demurrer to evidence is technically a 'dismissal' and not a formal 'acquittal' under the literal wording of Section 13.</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mayor was suspended from office while facing a graft case. The court threw out the case on a demurrer to evidence (meaning the prosecution had zero evidence, which legally equals an acquittal). When the mayor asked for his back salaries under the law that says an 'acquitted' official gets back pay, the town refused, arguing that a 'dismissal on demurrer' is not a real 'acquittal'. The Supreme Court ruled that a dismissal on demurrer to evidence IS an acquittal on the merits, and back salaries must be paid.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dismissal of a criminal case on a demurrer to evidence constitutes an 'acquittal' within the meaning of Section 13 of R.A. No. 3019 entitling the official to back salaries.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winning a criminal case on a demurrer to evidence count as an 'acquittal' that entitles a suspended mayor to back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dismissal on demurrer to evidence constitutes an 'acquittal' under Section 13 of RA 3019, testing the Legal Definition of 'Acquittal' and Ratio Legis Est Anima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 dismissal based on a demurrer to evidence IS AN ACQUITTAL on the merits. In legal and statutory construction, 'acquittal' means any final judicial determination clearing the accused of criminal liability, entitling the officer to full back salaries under Section 13 of RA 3019.</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a judge grants a demurrer to evidence, it means the prosecutor failed to prove any crime, which is a complete acquittal. The suspended official is entitled to all his back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in criminal statutory construction, a dismissal on demurrer to evidence is a judgment of acquittal on the merits. Under Section 13 of RA 3019 and Ratio legis est anima legis, an acquitted public officer is entitled as a matter of right to reinstatement and full back salaries during the period of preventive suspension."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Republic Act No. 3019 (Anti-Graft and Corrupt Practices Act): </w:t>
            </w:r>
            <w:r>
              <w:rPr>
                <w:rFonts w:ascii="Calibri" w:hAnsi="Calibri"/>
                <w:color w:val="212529"/>
                <w:sz w:val="20"/>
              </w:rPr>
              <w:t>Explicitly provides that if the accused public officer 'shall be acquitted, he shall be entitled to reinstatement and to the salaries and benefits which he failed to receive during suspension'.</w:t>
            </w:r>
          </w:p>
          <w:p>
            <w:pPr>
              <w:spacing w:before="20" w:after="40" w:line="276" w:lineRule="auto"/>
            </w:pPr>
            <w:r>
              <w:rPr>
                <w:rFonts w:ascii="Calibri" w:hAnsi="Calibri"/>
                <w:b/>
                <w:color w:val="212529"/>
                <w:sz w:val="20"/>
              </w:rPr>
              <w:t xml:space="preserve">2. Legal Definition of 'Acquittal': </w:t>
            </w:r>
            <w:r>
              <w:rPr>
                <w:rFonts w:ascii="Calibri" w:hAnsi="Calibri"/>
                <w:color w:val="212529"/>
                <w:sz w:val="20"/>
              </w:rPr>
              <w:t>A final judgment on the merits discharging the accused from the charge, including dismissals on demurrer to evidence.</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legislative intent of Section 13 is to compensate innocent officials who were unjustly deprived of their salaries during trial.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RA 3019, Legal Definition of 'Acquittal',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RA 3019, interpreted under the legal definition of 'acquittal' and Ratio legis est anima legis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Legal Substance of Demurrer Dismissal: </w:t>
            </w:r>
            <w:r>
              <w:rPr>
                <w:rFonts w:ascii="Calibri" w:hAnsi="Calibri"/>
                <w:color w:val="212529"/>
                <w:sz w:val="20"/>
              </w:rPr>
              <w:t>A demurrer to evidence is an adjudication on the merits finding that the prosecution's evidence is insufficient to sustain a conviction. Once granted, it is a complete acquittal that attaches double jeopardy.</w:t>
            </w:r>
          </w:p>
          <w:p>
            <w:pPr>
              <w:spacing w:before="20" w:after="40" w:line="276" w:lineRule="auto"/>
            </w:pPr>
            <w:r>
              <w:rPr>
                <w:rFonts w:ascii="Calibri" w:hAnsi="Calibri"/>
                <w:b/>
                <w:color w:val="212529"/>
                <w:sz w:val="20"/>
              </w:rPr>
              <w:t xml:space="preserve">2. True Meaning of 'Acquitted' in Section 13: </w:t>
            </w:r>
            <w:r>
              <w:rPr>
                <w:rFonts w:ascii="Calibri" w:hAnsi="Calibri"/>
                <w:color w:val="212529"/>
                <w:sz w:val="20"/>
              </w:rPr>
              <w:t>The word 'acquitted' in Section 13 RA 3019 is used in its comprehensive legal sense: being cleared of the criminal charge on the merits, regardless of whether the decision is titled 'acquittal' or 'dismissal'.</w:t>
            </w:r>
          </w:p>
          <w:p>
            <w:pPr>
              <w:spacing w:before="20" w:after="40" w:line="276" w:lineRule="auto"/>
            </w:pPr>
            <w:r>
              <w:rPr>
                <w:rFonts w:ascii="Calibri" w:hAnsi="Calibri"/>
                <w:b/>
                <w:color w:val="212529"/>
                <w:sz w:val="20"/>
              </w:rPr>
              <w:t xml:space="preserve">3. Mandatory Right to Back Pay: </w:t>
            </w:r>
            <w:r>
              <w:rPr>
                <w:rFonts w:ascii="Calibri" w:hAnsi="Calibri"/>
                <w:color w:val="212529"/>
                <w:sz w:val="20"/>
              </w:rPr>
              <w:t>Preventive suspension is not a penalty. When the charges collapse, justice and the statute demand that the innocent official be made financially whole.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demurrer means the government's evidence was so weak the defense didn't even need to present a witness. That is an acquittal in every sense of the word. Calling it a 'dismissal' doesn't change the fact that the mayor was found completely innocent. The town must pay his back wages.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defined the legal meaning of 'acquittal'. A dismissal on demurrer is an acquittal on the merits. Under Ratio Legis and Section 13 of RA 3019, the mayor was entitled as a matter of statutory right to his full back salaries."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and ORDERED the municipal government to pay Mayor Malanyaon his full back salaries and benefits during his suspension.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won and the municipal government was ordered to pay his complete back salaries.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mandamus for payment of back salaries, holding that a dismissal on demurrer to evidence constitutes an acquittal under Section 13 RA 3019."</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G. Meaning Qualified by Purpose (Anti-Graft RA 3019 Sec. 13 / Reinstatement and Back Salaries upon Acquittal)</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A dismissal on demurrer to evidence is in substance an acquittal on the merits.</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make innocent suspended officials whole dictates payment of back salaries.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13 RA 3019 mandates back pay upon acquittal.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G. Meaning Qualified by Purpose (Anti-Graft RA 3019 Sec. 13 / Reinstatement and Back Salaries upon Acquittal)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Substantia praevalet formae</w:t>
              <w:br/>
              <w:t>(substance prevails over form / a dismissal on demurrer to evidence is in substance a judgment of 'acquittal' under Section 13 RA 3019)</w:t>
              <w:br/>
              <w:br/>
              <w:t>Secondary:</w:t>
              <w:br/>
              <w:t>• Ratio legis est anima legis (restoration of back salaries to innocent officials)</w:t>
              <w:br/>
              <w:t>• Verba legis non est recedendum (statutory mandate of back pay)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municipal council used a semantic distinction between 'dismissal' and 'acquittal' to deprive an innocent mayor of statutory back pay.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Technical Legal Construction of Judicial Terms: Statutory terms denoting legal outcomes ('acquittal') are construed in their substantive judicial meaning; a dismissal on the merits on a demurrer to evidence is legally equivalent to an acquittal.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criminal case is thrown out because of zero evidence, that is an acquittal; the government cannot play word games to withhold back salaries.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Malanyaon v. Lising confirms that in statutory construction, a dismissal on demurrer to evidence constitutes an 'acquittal' under Section 13 of RA 3019—Substantia praevalet formae."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Atty. Dominador Malanyaon v. Hon. Rafael Silsing and Mayor Jaime Claveria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L-56028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30, 1981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Mayor Dominador Malanyaon was preventively suspended from office under Section 13 of R.A. No. 3019 pending trial for graft. During the trial, the prosecution failed to establish the elements of the offense, and the trial court dismissed the case on a demurrer to evidence (which constitutes an acquittal on the merits). Mayor Malanyaon demanded reinstatement and payment of his full back salaries during his suspension pursuant to Section 13 of RA 3019, which provides that if the public officer 'SHALL BE ACQUITTED', he shall be entitled to reinstatement and back salaries. The Municipal Council refused to pay, arguing that a dismissal on demurrer to evidence is technically a 'dismissal' and not a formal 'acquittal' under the literal wording of Section 13.</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Republic Act No. 3019 (Anti-Graft and Corrupt Practices Act): Explicitly provides that if the accused public officer 'shall be acquitted, he shall be entitled to reinstatement and to the salaries and benefits which he failed to receive during suspension'.</w:t>
              <w:br/>
              <w:t>2. Legal Definition of 'Acquittal': A final judgment on the merits discharging the accused from the charge, including dismissals on demurrer to evidence.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municipal council used a semantic distinction between 'dismissal' and 'acquittal' to deprive an innocent mayor of statutory back pay.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dismissal of a criminal case on a demurrer to evidence constitutes an 'acquittal' within the meaning of Section 13 of R.A. No. 3019 entitling the official to back salaries.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Atty. Dominador Malanyaon v. Hon. Rafael Silsing and Mayor Jaime Claveria, under the canon of Substantia praevalet formae.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Republic Act No. 3019 (Anti-Graft and Corrupt Practices Act): Explicitly provides that if the accused public officer 'shall be acquitted, he shall be entitled to reinstatement and to the salaries and benefits which he failed to receive during suspension'.</w:t>
              <w:br/>
              <w:t>2. Legal Definition of 'Acquittal': A final judgment on the merits discharging the accused from the charge, including dismissals on demurrer to evidence.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municipal council used a semantic distinction between 'dismissal' and 'acquittal' to deprive an innocent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and ORDERED the municipal government to pay Mayor Malanyaon his full back salaries and benefits during his suspension.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 dismissal based on a demurrer to evidence IS AN ACQUITTAL on the merits. In legal and statutory construction, 'acquittal' means any final judicial determination clearing the accused of criminal liability, entitling the officer to full back salaries under Section 13 of RA 3019.</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respondent municipal council used a semantic distinction between 'dismissal' and 'acquittal' to deprive an innocent mayor of statutory b.</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Substantia praevalet formae</w:t>
              <w:br/>
              <w:t xml:space="preserve">   - Application: Technical Legal Construction of Judicial Terms: Statutory terms denoting legal outcomes ('acquittal') are construed in their substantive judicial meaning; a dismissal on the merits on a demurrer to evidence is legally equivalent to an acquittal.</w:t>
              <w:br/>
              <w:t xml:space="preserve">   - Result: Yes. When a judge grants a demurrer to evidence, it means the prosecutor failed to prove any crime, which is a complete acquittal. The suspended official is entitled to all his back pay.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(restoration of back salaries to innocent officials)</w:t>
              <w:br/>
              <w:t>• Verba legis non est recedendum (statutory mandate of back pay)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Atty. Dominador Malanyaon v. Hon. Rafael Silsing and Mayor Jaime Claveria to mean and apply strictly in accordance with Substantia praevalet formae, holding that Yes. When a judge grants a demurrer to evidence, it means the prosecutor failed to prove any crime, which is a complete acquittal. The suspended official is ent.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demurrer means the government's evidence was so weak the defense didn't even need to present a witness. That is an acquittal in every sense of the word. Calling it a 'dismissal' doesn't change the fact that the mayor was found completely innocent. The town must pay his back wages.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Substantia praevalet formae,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Technical Legal Construction of Judicial Terms: Statutory terms denoting legal outcomes ('acquittal') are construed in their substantive judicial meaning; a dismissal on the merits on a demurrer to evidence is legally equivalent to an acquittal.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criminal case is thrown out because of zero evidence, that is an acquittal; the government cannot play word games to withhold back salaries.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72. ALEXANDER A. KRIVENKO V. THE REGISTER OF DEEDS OF THE CITY OF MANILA</w:t>
      </w:r>
    </w:p>
    <w:p>
      <w:pPr>
        <w:spacing w:before="40" w:after="80" w:line="276" w:lineRule="auto"/>
      </w:pPr>
      <w:r>
        <w:rPr>
          <w:rFonts w:ascii="Calibri" w:hAnsi="Calibri"/>
          <w:b/>
          <w:color w:val="212529"/>
          <w:sz w:val="21"/>
        </w:rPr>
        <w:t xml:space="preserve">Citation: </w:t>
      </w:r>
      <w:r>
        <w:rPr>
          <w:rFonts w:ascii="Calibri" w:hAnsi="Calibri"/>
          <w:i/>
          <w:color w:val="212529"/>
          <w:sz w:val="21"/>
        </w:rPr>
        <w:t>G.R. No. L-630 | November 15, 1947 | 79 Phil. 461 | En Banc | Ponente: C.J. Moran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Alexander A. Krivenko, an alien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Register of Deeds of the City of Manila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Land Registration Commission decision refusing to register the sale of a residential lot in Manila to an alien under Article XIII, Section 5 of the 1935 Constitution.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Alexander Krivenko, an alien (Russian national), bought a residential lot in Manila. When he presented the deed of sale to the Register of Deeds of Manila for registration, the Register refused, citing Article XIII, Section 5 of the 1935 Constitution, which prohibited the transfer of 'private agricultural lands' to foreigners. Krivenko petitioned the courts, arguing that the constitutional prohibition applies exclusively to agricultural land devoted to farming and crops, and does not apply to urban, residential, or commercial city lots.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Russian national bought a residential lot in Manila and tried to register the title. The Register of Deeds refused, citing the Constitution which bans foreigners from owning 'agricultural lands'. The foreigner argued that a city house lot in Manila is obviously residential, not agricultural farm land! The Supreme Court delivered its famous landmark ruling: in constitutional law, all lands in the Philippines are classified into only three categories: (1) Timber/Forest, (2) Mineral, and (3) Agricultural. Everything that is not a forest or a gold mine is legally classified as 'Agricultural Land'—including residential, commercial, and industrial city lots. Foreigners are absolutely barred from owning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constitutional term 'private agricultural land' in Article XIII, Section 5 of the 1935 Constitution includes residential and urban lands, barring aliens from acquiring private lands in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constitutional ban on foreigners owning 'agricultural land' apply to city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term 'agricultural land' in the Constitution includes urban residential land, testing the Canonical Constitutional Construction of Public Land Classifications and National Patrimony."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'Private agricultural land' in the Constitution INCLUDES residential, commercial, and industrial lands. Under the public land classification system, all lands are divided into Timber, Mineral, and Agricultural; hence, residential city lots fall under the broad category of agricultural lands, barring alien ownership.</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 Philippine constitutional law, land is either a forest, a mine, or agricultural. Because a residential lot is neither a forest nor a gold mine, it falls under 'agricultural land'. This nationalistic rule ensures that the soil of the Philippines stays in the hands of Filipinos.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Chief Justice Moran's historic ruling established that under the 1935 Constitution (and reiterated in the 1987 Constitution), lands are classified into only three fundamental classes: forest, mineral, and agricultural. Residential lands are classified as agricultural lands. Under the constitutional policy of National Patrimony and Ut Res Magis Valeat Quam Pereat, aliens are absolutely disqualified from acquiring private lands in the Philippines."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XIII, Section 5, 1935 Constitution (now Article XII, Section 7, 1987 Constitution): </w:t>
            </w:r>
            <w:r>
              <w:rPr>
                <w:rFonts w:ascii="Calibri" w:hAnsi="Calibri"/>
                <w:color w:val="212529"/>
                <w:sz w:val="20"/>
              </w:rPr>
              <w:t>Prohibits the transfer of private lands to aliens save in cases of hereditary succession.</w:t>
            </w:r>
          </w:p>
          <w:p>
            <w:pPr>
              <w:spacing w:before="20" w:after="40" w:line="276" w:lineRule="auto"/>
            </w:pPr>
            <w:r>
              <w:rPr>
                <w:rFonts w:ascii="Calibri" w:hAnsi="Calibri"/>
                <w:b/>
                <w:color w:val="212529"/>
                <w:sz w:val="20"/>
              </w:rPr>
              <w:t xml:space="preserve">2. Public Land Act (Act No. 2874 and C.A. No. 141): </w:t>
            </w:r>
            <w:r>
              <w:rPr>
                <w:rFonts w:ascii="Calibri" w:hAnsi="Calibri"/>
                <w:color w:val="212529"/>
                <w:sz w:val="20"/>
              </w:rPr>
              <w:t>Tripartite constitutional classification of public domain into timber, mineral, and agricultural lands.</w:t>
            </w:r>
          </w:p>
          <w:p>
            <w:pPr>
              <w:spacing w:before="20" w:after="40" w:line="276" w:lineRule="auto"/>
            </w:pPr>
            <w:r>
              <w:rPr>
                <w:rFonts w:ascii="Calibri" w:hAnsi="Calibri"/>
                <w:b/>
                <w:color w:val="212529"/>
                <w:sz w:val="20"/>
              </w:rPr>
              <w:t xml:space="preserve">3. Constitutional Policy on National Patrimony: </w:t>
            </w:r>
            <w:r>
              <w:rPr>
                <w:rFonts w:ascii="Calibri" w:hAnsi="Calibri"/>
                <w:color w:val="212529"/>
                <w:sz w:val="20"/>
              </w:rPr>
              <w:t>Preservation of Philippine land and natural resources exclusively for Filipino citizens.</w:t>
            </w:r>
          </w:p>
          <w:p>
            <w:pPr>
              <w:spacing w:before="20" w:after="40" w:line="276" w:lineRule="auto"/>
            </w:pPr>
            <w:r>
              <w:rPr>
                <w:rFonts w:ascii="Calibri" w:hAnsi="Calibri"/>
                <w:b/>
                <w:color w:val="212529"/>
                <w:sz w:val="20"/>
              </w:rPr>
              <w:t xml:space="preserve">4. Ut Res Magis Valeat Quam Pereat (that the thing may rather have effect than perish): </w:t>
            </w:r>
            <w:r>
              <w:rPr>
                <w:rFonts w:ascii="Calibri" w:hAnsi="Calibri"/>
                <w:color w:val="212529"/>
                <w:sz w:val="20"/>
              </w:rPr>
              <w:t>Constitutional provisions are construed to preserve national sovereignty and prevent alien domination.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XIII Sec 5 1935 Constitution, Tripartite Land Classification, and National Patrimony Doctrine.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XIII, Section 5 of the 1935 Constitution, interpreted through the Tripartite Land Classification System and the supreme doctrine of National Patrimony."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Tripartite Constitutional Classification: </w:t>
            </w:r>
            <w:r>
              <w:rPr>
                <w:rFonts w:ascii="Calibri" w:hAnsi="Calibri"/>
                <w:color w:val="212529"/>
                <w:sz w:val="20"/>
              </w:rPr>
              <w:t>Under our legal system, the public domain consists only of: (a) Timber lands; (b) Mineral lands; and (c) Agricultural lands. Residential and commercial lands are simply agricultural lands adapted for human habitation.</w:t>
            </w:r>
          </w:p>
          <w:p>
            <w:pPr>
              <w:spacing w:before="20" w:after="40" w:line="276" w:lineRule="auto"/>
            </w:pPr>
            <w:r>
              <w:rPr>
                <w:rFonts w:ascii="Calibri" w:hAnsi="Calibri"/>
                <w:b/>
                <w:color w:val="212529"/>
                <w:sz w:val="20"/>
              </w:rPr>
              <w:t xml:space="preserve">2. Constitutional Intent on National Patrimony: </w:t>
            </w:r>
            <w:r>
              <w:rPr>
                <w:rFonts w:ascii="Calibri" w:hAnsi="Calibri"/>
                <w:color w:val="212529"/>
                <w:sz w:val="20"/>
              </w:rPr>
              <w:t>The framers of the 1935 Constitution intended to conserve the national soil for the Filipino people. If 'agricultural' were restricted to farms, foreigners could buy up all urban cities, ports, and commercial centers, rendering the constitutional prohibition completely meaningless.</w:t>
            </w:r>
          </w:p>
          <w:p>
            <w:pPr>
              <w:spacing w:before="20" w:after="40" w:line="276" w:lineRule="auto"/>
            </w:pPr>
            <w:r>
              <w:rPr>
                <w:rFonts w:ascii="Calibri" w:hAnsi="Calibri"/>
                <w:b/>
                <w:color w:val="212529"/>
                <w:sz w:val="20"/>
              </w:rPr>
              <w:t xml:space="preserve">3. Holistic Constitutional Construction: </w:t>
            </w:r>
            <w:r>
              <w:rPr>
                <w:rFonts w:ascii="Calibri" w:hAnsi="Calibri"/>
                <w:color w:val="212529"/>
                <w:sz w:val="20"/>
              </w:rPr>
              <w:t>Constitutional terms are not interpreted with technical agricultural dictionary definitions, but with the broad, nationalistic purpose of conserving the patrimony of the 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'agricultural' only meant farms where rice grows, rich foreigners could buy up all the houses, skyscrapers, and shopping malls in Makati and Manila. That would destroy the purpose of the Constitution. To protect the country, the framers defined all non-forest and non-mine land as 'agricultural', meaning aliens cannot own a single square inch of Philippine soil.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broad constitutional construction. Constitutional terms must be interpreted to fulfill the fundamental purpose of the Constitution. Under the Tripartite Classification, 'agricultural land' encompasses residential lots, protecting the National Patrimony from alien ownership."</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Register of Deeds, HOLDING that Alexander Krivenko was disqualified from acquiring and registering title to the residential lot.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foreigner lost and was prohibited from owning the residential land in Manila.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disqualification, ruling that the constitutional term 'agricultural land' includes residential lots, barring alien landownership."</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D. Progressive Interpretation &amp; Constitution as Whole (1935 Constitution Art. XIII / 'Agricultural Lands' Includes Urban Residential Lands)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constitutional prohibition on alien landownership must be construed to make national patrimony protection fully effective.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Philippine land exclusively for Filipino citizens is the supreme constitutional mandate.</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nationalistic purpose of the constitutional convention governs the interpretation of 'agricultural land'.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D. Progressive Interpretation &amp; Constitution as Whole (1935 Constitution Art. XIII / 'Agricultural Lands' Includes Urban Residential Lands)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'agricultural land' in the Constitution encompasses residential land to preserve national patrimony)</w:t>
              <w:br/>
              <w:br/>
              <w:t>Secondary:</w:t>
              <w:br/>
              <w:t>• Salus populi est suprema lex (national patrimony preservation)</w:t>
              <w:br/>
              <w:t>• Ratio legis est anima legis (constitutional intent to bar alien landownership)</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alien petitioner attempted to use a narrow, dictionary farming definition of 'agricultural' to defeat the constitutional policy barring foreigners from owning Philippine land.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the Philippine Constitution, 'agricultural land' means any land that is not a forest or a gold mine; foreigners cannot buy houses or city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Krivenko v. Register of Deeds is the monumental constitutional landmark holding that 'agricultural land' encompasses residential lands under the National Patrimony Doctrine and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Alexander A. Krivenko v. The Register of Deeds of the City of Manila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L-630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15, 1947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Alexander Krivenko, an alien (Russian national), bought a residential lot in Manila. When he presented the deed of sale to the Register of Deeds of Manila for registration, the Register refused, citing Article XIII, Section 5 of the 1935 Constitution, which prohibited the transfer of 'private agricultural lands' to foreigners. Krivenko petitioned the courts, arguing that the constitutional prohibition applies exclusively to agricultural land devoted to farming and crops, and does not apply to urban, residential, or commercial city lots.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XIII, Section 5, 1935 Constitution (now Article XII, Section 7, 1987 Constitution): Prohibits the transfer of private lands to aliens save in cases of hereditary succession.</w:t>
              <w:br/>
              <w:t>2. Public Land Act (Act No. 2874 and C.A. No. 141): Tripartite constitutional classification of public domain into timber, mineral, and agricultural lands.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alien petitioner attempted to use a narrow, dictionary farming definition of 'agricultural' to defeat the constitutional policy barring foreigners from owning Philippine land.</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constitutional term 'private agricultural land' in Article XIII, Section 5 of the 1935 Constitution includes residential and urban lands, barring aliens from acquiring private lands in the Philippines.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Alexander A. Krivenko v. The Register of Deeds of the City of Manila,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XIII, Section 5, 1935 Constitution (now Article XII, Section 7, 1987 Constitution): Prohibits the transfer of private lands to aliens save in cases of hereditary succession.</w:t>
              <w:br/>
              <w:t>2. Public Land Act (Act No. 2874 and C.A. No. 141): Tripartite constitutional classification of public domain into timber, mineral, and agricultural lands.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alien petitioner attempted to use a narrow, dictionary farming definition of 'agricultural' to defeat the constituti...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Register of Deeds, HOLDING that Alexander Krivenko was disqualified from acquiring and registering title to the residential lot.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'Private agricultural land' in the Constitution INCLUDES residential, commercial, and industrial lands. Under the public land classification system, all lands are divided into Timber, Mineral, and Agricultural; hence, residential city lots fall under the broad category of agricultural lands, barring alien ownership.</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alien petitioner attempted to use a narrow, dictionary farming definition of 'agricultural' to defeat the constitutional policy barring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br/>
              <w:t xml:space="preserve">   - Result: Yes! In Philippine constitutional law, land is either a forest, a mine, or agricultural. Because a residential lot is neither a forest nor a gold mine, it falls under 'agricultural land'. This nationalistic rule ensures that the soil of the Philippines stays in the hands of Filipinos.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(national patrimony preservation)</w:t>
              <w:br/>
              <w:t>• Ratio legis est anima legis (constitutional intent to bar alien landownership)</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Alexander A. Krivenko v. The Register of Deeds of the City of Manila to mean and apply strictly in accordance with Ut res magis valeat quam pereat, holding that Yes! In Philippine constitutional law, land is either a forest, a mine, or agricultural. Because a residential lot is neither a forest nor a gold mine, it falls.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'agricultural' only meant farms where rice grows, rich foreigners could buy up all the houses, skyscrapers, and shopping malls in Makati and Manila. That would destroy the purpose of the Constitution. To protect the country, the framers defined all non-forest and non-mine land as 'agricultural', meaning aliens cannot own a single square inch of Philippine soil.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the Philippine Constitution, 'agricultural land' means any land that is not a forest or a gold mine; foreigners cannot buy houses or city lots.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73. ADOLFO M. GARCIA V. COMMISSION ON ELECTIONS AND JUANITO C. SIOSON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111230 | September 30, 1994 | 237 SCRA 279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Adolfo M. Garcia, Vice-Mayor and Member of Sangguniang Bayan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Juanito C. Sioson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Section 69, 70, and 71 of Republic Act No. 7160 (Local Government Code) regarding the Preparatory Recall Assembly (PRA) mechanism for recalling elective local officials.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 Preparatory Recall Assembly (PRA) in Orion, Bataan voted to initiate recall proceedings against Mayor Juanito Sioson. Vice-Mayor Garcia and members of the Sangguniang Bayan challenged the validity of the recall resolutions, arguing that the phrase 'any elective local official' in Section 69 of the Local Government Code was unconstitutional because Article X, Section 3 of the 1987 Constitution mandated a mechanism for recall by the 'registered voters', which petitioners claimed could only be initiated by registered voters directly through petition, and not through a Preparatory Recall Assembly of local officials.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Local Government Code allows a 'Preparatory Recall Assembly' (composed of barangay captains and councilors) to vote to initiate a recall election against an abusive town mayor. A group of local officials challenged this, claiming the Constitution requires recall to be started directly by the citizens/voters themselves, not by a council of barangay captains. The Supreme Court ruled that the Constitution gave Congress the broad power to design the recall mechanism, and the word 'all elective local officials' in the Code validly covers mayors and councilors initiated via the Preparatory Recall Assembly.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Preparatory Recall Assembly (PRA) mechanism under the Local Government Code is constitutional, and whether the term 'any elective local official' in Section 69 LGC applies to both executive and legislative local officials.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Preparatory Recall Assembly method for recalling local officials constitutional under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PRA mechanism in RA 7160 is constitutional, testing the Construction of Broad Grants of Legislative Authority ('All Elective Local Officials') and the Presumption of Constitutionality."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Preparatory Recall Assembly (PRA) mechanism is CONSTITUTIONAL. The statutory phrase 'any elective local official' in Section 69 of the Local Government Code applies to all local officials, and Congress had full constitutional authority to establish two modes of initiating recall (by petition of voters OR by the Preparatory Recall Assembly).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Congress has the power under the Constitution to create ways to recall bad officials. Congress created two ways: (1) registered voters signing a petition, or (2) barangay leaders voting in a Preparatory Assembly. Both methods end in a general vote by the people, so it is 100%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Presumption of Constitutionality and broad construction of legislative powers under Article X, Section 3 of the Constitution, the term 'any elective local official' in Section 69 LGC embraces all local elective posts, and the PRA is a valid preparatory mechanism culminating in an election by all registered voters."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69, 70, and 71, Republic Act No. 7160 (Local Government Code of 1991): </w:t>
            </w:r>
            <w:r>
              <w:rPr>
                <w:rFonts w:ascii="Calibri" w:hAnsi="Calibri"/>
                <w:color w:val="212529"/>
                <w:sz w:val="20"/>
              </w:rPr>
              <w:t>Establishes recall of local elective officials via direct petition or Preparatory Recall Assembly.</w:t>
            </w:r>
          </w:p>
          <w:p>
            <w:pPr>
              <w:spacing w:before="20" w:after="40" w:line="276" w:lineRule="auto"/>
            </w:pPr>
            <w:r>
              <w:rPr>
                <w:rFonts w:ascii="Calibri" w:hAnsi="Calibri"/>
                <w:b/>
                <w:color w:val="212529"/>
                <w:sz w:val="20"/>
              </w:rPr>
              <w:t xml:space="preserve">2. Article X, Section 3, 1987 Constitution: </w:t>
            </w:r>
            <w:r>
              <w:rPr>
                <w:rFonts w:ascii="Calibri" w:hAnsi="Calibri"/>
                <w:color w:val="212529"/>
                <w:sz w:val="20"/>
              </w:rPr>
              <w:t>Directs Congress to enact a local government code providing for mechanisms of recall.</w:t>
            </w:r>
          </w:p>
          <w:p>
            <w:pPr>
              <w:spacing w:before="20" w:after="40" w:line="276" w:lineRule="auto"/>
            </w:pPr>
            <w:r>
              <w:rPr>
                <w:rFonts w:ascii="Calibri" w:hAnsi="Calibri"/>
                <w:b/>
                <w:color w:val="212529"/>
                <w:sz w:val="20"/>
              </w:rPr>
              <w:t xml:space="preserve">3. Presumption of Constitutionality of Statutes: </w:t>
            </w:r>
            <w:r>
              <w:rPr>
                <w:rFonts w:ascii="Calibri" w:hAnsi="Calibri"/>
                <w:color w:val="212529"/>
                <w:sz w:val="20"/>
              </w:rPr>
              <w:t>Legislative enactments are presumed valid unless palpably conflicting with the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69-71 RA 7160, Article X Sec 3 Constitution, and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69 to 71 of RA 7160 in relation to Article X, Section 3 of the Constitution, applied under the Presumption of Constitutionality."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Legislative Power Over Recall: </w:t>
            </w:r>
            <w:r>
              <w:rPr>
                <w:rFonts w:ascii="Calibri" w:hAnsi="Calibri"/>
                <w:color w:val="212529"/>
                <w:sz w:val="20"/>
              </w:rPr>
              <w:t>Article X, Section 3 of the Constitution mandated Congress to provide for recall mechanisms without prescribing a rigid single formula. Congress validly enacted two complementary modes.</w:t>
            </w:r>
          </w:p>
          <w:p>
            <w:pPr>
              <w:spacing w:before="20" w:after="40" w:line="276" w:lineRule="auto"/>
            </w:pPr>
            <w:r>
              <w:rPr>
                <w:rFonts w:ascii="Calibri" w:hAnsi="Calibri"/>
                <w:b/>
                <w:color w:val="212529"/>
                <w:sz w:val="20"/>
              </w:rPr>
              <w:t xml:space="preserve">2. The PRA is Mere Initiation, Not the Recall Itself: </w:t>
            </w:r>
            <w:r>
              <w:rPr>
                <w:rFonts w:ascii="Calibri" w:hAnsi="Calibri"/>
                <w:color w:val="212529"/>
                <w:sz w:val="20"/>
              </w:rPr>
              <w:t>The Preparatory Recall Assembly merely initiates the recall process. The actual recall takes place in a subsequent general election where every registered voter casts his ballot.</w:t>
            </w:r>
          </w:p>
          <w:p>
            <w:pPr>
              <w:spacing w:before="20" w:after="40" w:line="276" w:lineRule="auto"/>
            </w:pPr>
            <w:r>
              <w:rPr>
                <w:rFonts w:ascii="Calibri" w:hAnsi="Calibri"/>
                <w:b/>
                <w:color w:val="212529"/>
                <w:sz w:val="20"/>
              </w:rPr>
              <w:t xml:space="preserve">3. Universal Scope of 'Any Elective Local Official': </w:t>
            </w:r>
            <w:r>
              <w:rPr>
                <w:rFonts w:ascii="Calibri" w:hAnsi="Calibri"/>
                <w:color w:val="212529"/>
                <w:sz w:val="20"/>
              </w:rPr>
              <w:t>The word 'any' applies to all provincial, city, and municipal elective officers under Ubi Lex Non Distinguit.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told Congress: 'make a law on recall'. Congress decided to let barangay captains initiate the recall as an alternative to collecting thousands of signatures. But the final decision is still made by the voters on election day. Because Congress had the power to make the rule, the law is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and Ubi Lex Non Distinguit. The Constitution gave Congress broad discretion to devise recall systems. Because the ultimate judgment is rendered by the voters in a recall election, the PRA mechanism is fully constitutional."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UPHELD the constitutionality of the Preparatory Recall Assembly provisions of the Local Government Code, and ORDERED the recall election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recall proceedings were declared valid and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constitutionality of the Preparatory Recall Assembly provisions under RA 7160."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J. Statute Construed in Relation to Others (Local Government Code RA 7160 / Local Initiative and Pambayang Pederasyon)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acts are presumed regular and valid.</w:t>
              <w:br/>
            </w:r>
            <w:r>
              <w:rPr>
                <w:rFonts w:ascii="Calibri" w:hAnsi="Calibri"/>
                <w:b/>
                <w:color w:val="212529"/>
                <w:sz w:val="19"/>
              </w:rPr>
              <w:t xml:space="preserve">   • Plain Legal Meaning &amp; StatCon Application: </w:t>
            </w:r>
            <w:r>
              <w:rPr>
                <w:rFonts w:ascii="Calibri" w:hAnsi="Calibri"/>
                <w:color w:val="212529"/>
                <w:sz w:val="19"/>
              </w:rPr>
              <w:t>Statutes enacted by Congress enjoy a heavy presumption of constitutionality.</w:t>
            </w:r>
          </w:p>
          <w:p>
            <w:pPr>
              <w:spacing w:before="40" w:after="60" w:line="276" w:lineRule="auto"/>
            </w:pPr>
            <w:r>
              <w:rPr>
                <w:rFonts w:ascii="Calibri" w:hAnsi="Calibri"/>
                <w:b/>
                <w:color w:val="8C3200"/>
                <w:sz w:val="20"/>
              </w:rPr>
              <w:t>2.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69 LGC applies to 'any elective local official' without distinction.</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Empowering communities to recall non-performing local officials advances democratic accountability.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J. Statute Construed in Relation to Others (Local Government Code RA 7160 / Local Initiative and Pambayang Pederasyon)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the Preparatory Recall Assembly in RA 7160)</w:t>
              <w:br/>
              <w:br/>
              <w:t>Secondary:</w:t>
              <w:br/>
              <w:t>• Ubi lex non distinguit (universal scope of 'any elective official')</w:t>
              <w:br/>
              <w:t>• Salus populi est suprema lex (democratic accountability)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restrict a broad constitutional grant of legislative power by inventing non-existent constitutional limitations on recall.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of Constitutionality in Structural Enactments: Where the Constitution commands Congress to establish a statutory mechanism (recall) without prescribing a rigid formula, Congress has broad plenary authority to establish diverse procedural avenues.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tells Congress to make a recall law without giving strict instructions, Congress has the freedom to create practical methods for recalling officials.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Garcia v. COMELEC confirms the Presumption of Constitutionality and Ubi lex non distinguit in local recall mechanisms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Adolfo M. Garcia v. Commission on Elections and Juanito C. Sioson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111230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 Preparatory Recall Assembly (PRA) in Orion, Bataan voted to initiate recall proceedings against Mayor Juanito Sioson. Vice-Mayor Garcia and members of the Sangguniang Bayan challenged the validity of the recall resolutions, arguing that the phrase 'any elective local official' in Section 69 of the Local Government Code was unconstitutional because Article X, Section 3 of the 1987 Constitution mandated a mechanism for recall by the 'registered voters', which petitioners claimed could only be initiated by registered voters directly through petition, and not through a Preparatory Recall Assembly of local officials.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69, 70, and 71, Republic Act No. 7160 (Local Government Code of 1991): Establishes recall of local elective officials via direct petition or Preparatory Recall Assembly.</w:t>
              <w:br/>
              <w:t>2. Article X, Section 3, 1987 Constitution: Directs Congress to enact a local government code providing for mechanisms of recall.</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restrict a broad constitutional grant of legislative power by inventing non-existent constitutional limitations on recall.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Preparatory Recall Assembly (PRA) mechanism under the Local Government Code is constitutional, and whether the term 'any elective local official' in Section 69 LGC applies to both executive and legislative local officials.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Adolfo M. Garcia v. Commission on Elections and Juanito C. Sioson,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69, 70, and 71, Republic Act No. 7160 (Local Government Code of 1991): Establishes recall of local elective officials via direct petition or Preparatory Recall Assembly.</w:t>
              <w:br/>
              <w:t>2. Article X, Section 3, 1987 Constitution: Directs Congress to enact a local government code providing for mechanisms of recall.</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restrict a broad constitutional grant of legislative power by inventing non-existent consti...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UPHELD the constitutionality of the Preparatory Recall Assembly provisions of the Local Government Code, and ORDERED the recall election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Preparatory Recall Assembly (PRA) mechanism is CONSTITUTIONAL. The statutory phrase 'any elective local official' in Section 69 of the Local Government Code applies to all local officials, and Congress had full constitutional authority to establish two modes of initiating recall (by petition of voters OR by the Preparatory Recall Assembly).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restrict a broad constitutional grant of legislative power by inventing non-existent constitutional limitations.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Presumption of Constitutionality in Structural Enactments: Where the Constitution commands Congress to establish a statutory mechanism (recall) without prescribing a rigid formula, Congress has broad plenary authority to establish diverse procedural avenues.</w:t>
              <w:br/>
              <w:t xml:space="preserve">   - Result: Yes. Congress has the power under the Constitution to create ways to recall bad officials. Congress created two ways: (1) registered voters signing a petition, or (2) barangay leaders voting in a Preparatory Assembly. Both methods end in a general vote by the people, so it is 100% constitutional.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Ubi lex non distinguit (universal scope of 'any elective official')</w:t>
              <w:br/>
              <w:t>• Salus populi est suprema lex (democratic accountability)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Adolfo M. Garcia v. Commission on Elections and Juanito C. Sioson to mean and apply strictly in accordance with Omnia praesumuntur rite et solemniter esse acta, holding that Yes. Congress has the power under the Constitution to create ways to recall bad officials. Congress created two ways: (1) registered voters signing a petition,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told Congress: 'make a law on recall'. Congress decided to let barangay captains initiate the recall as an alternative to collecting thousands of signatures. But the final decision is still made by the voters on election day. Because Congress had the power to make the rule, the law is completely valid.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of Constitutionality in Structural Enactments: Where the Constitution commands Congress to establish a statutory mechanism (recall) without prescribing a rigid formula, Congress has broad plenary authority to establish diverse procedural avenues.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tells Congress to make a recall law without giving strict instructions, Congress has the freedom to create practical methods for recalling officials.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74. CARLOS GELANO AND GUILLERMINA GELANO V. COURT OF APPEALS AND INSULAR SAWMILL,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L-39050 | February 24, 1981 | 103 SCRA 90 | En Banc | Ponente: J. De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Gelano and Guillermina Gelano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Insular Sawmill, Inc.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legal capacity of a dissolved corporation to continue a pending collection suit through its retained counsel beyond the 3-year statutory winding-up period under Section 77 of the Corporation Law (Act No. 1459).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Insular Sawmill, Inc. filed a civil action against Spouses Gelano to collect unpaid debts for lumber. While the case was pending before the trial court, the corporation's corporate charter expired and it was dissolved. The collection case dragged on past the 3-year statutory winding-up period provided under Section 77 of the Corporation Law (Act No. 1459). The Gelanos moved to dismiss the action, arguing that upon the expiration of the 3-year period, the corporation ceased to exist as a juridical entity and had no capacity to sue, pointing out that the corporation never appointed a formal 'trustee' or receiver in writing.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lumber company sued a couple to collect an unpaid bill. While the case was in court, the company's 3-year dissolution period expired. The debtors argued the lawsuit must be thrown out because the dead corporation never appointed a formal 'trustee' to handle the case. The Supreme Court ruled that the company's retained lawyer in the lawsuit is legally considered a 'trustee' for the dissolved corporation, allowing the lawsuit to continue so debtors cannot use corporate death to escape paying valid debts.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dissolved corporation can continue prosecuting a pending collection suit through its retained counsel beyond the 3-year winding-up period, testing the statutory term 'Trustee' under Section 77 of the Corporation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dissolved company's retained lawyer count as a 'trustee' who can continue a collection lawsuit after the 3-year corporate winding-up period ends?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retained legal counsel is considered a 'trustee' under Section 77 of the Corporation Law to prosecute pending actions beyond the 3-year liquidation period, testing Ratio Legis Est Anima Legis and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corporation's retained legal counsel IS A TRUSTEE in contemplation of law. Section 77 of the Corporation Law must be construed to allow retained counsel to continue pending litigation to recover corporate assets for the benefit of creditors and stockholders.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word 'trustee' includes the lawyer hired by the corporation to handle the lawsuit. A debtor cannot escape paying his debt just because the corporate liquidation took longer than 3 years.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Ratio legis est anima legis and Ut res magis valeat quam pereat, the term 'trustee' in Section 77 of the Corporation Law includes the retained counsel of the dissolved corporation. Counsel may continue prosecuting the pending suit to final judgment as trustee of corporate assets, preventing debtors from obtaining unjust enrichment."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77, Act No. 1459 (now Section 139, Revised Corporation Code): </w:t>
            </w:r>
            <w:r>
              <w:rPr>
                <w:rFonts w:ascii="Calibri" w:hAnsi="Calibri"/>
                <w:color w:val="212529"/>
                <w:sz w:val="20"/>
              </w:rPr>
              <w:t>Allows dissolved corporations a 3-year period to wind up affairs and convey property to trustees.</w:t>
            </w:r>
          </w:p>
          <w:p>
            <w:pPr>
              <w:spacing w:before="20" w:after="40" w:line="276" w:lineRule="auto"/>
            </w:pPr>
            <w:r>
              <w:rPr>
                <w:rFonts w:ascii="Calibri" w:hAnsi="Calibri"/>
                <w:b/>
                <w:color w:val="212529"/>
                <w:sz w:val="20"/>
              </w:rPr>
              <w:t xml:space="preserve">2. Broad Legal Meaning of 'Trustee': </w:t>
            </w:r>
            <w:r>
              <w:rPr>
                <w:rFonts w:ascii="Calibri" w:hAnsi="Calibri"/>
                <w:color w:val="212529"/>
                <w:sz w:val="20"/>
              </w:rPr>
              <w:t>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20"/>
              </w:rPr>
              <w:t xml:space="preserve">3. Nemo Cum Alterius Detrimento Locupletari Potest (no one should enrich himself at another's expense): </w:t>
            </w:r>
            <w:r>
              <w:rPr>
                <w:rFonts w:ascii="Calibri" w:hAnsi="Calibri"/>
                <w:color w:val="212529"/>
                <w:sz w:val="20"/>
              </w:rPr>
              <w:t>Debtors cannot invoke corporate dissolution to extinguish valid contractual debts.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77 Corporation Law, Broad Definition of 'Trustee',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77 of Act No. 1459, interpreted under the broad definition of 'trustee' and the equitable maxim Nemo cum alterius detrimento locupletari potest."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3-Year Liquidation Period: </w:t>
            </w:r>
            <w:r>
              <w:rPr>
                <w:rFonts w:ascii="Calibri" w:hAnsi="Calibri"/>
                <w:color w:val="212529"/>
                <w:sz w:val="20"/>
              </w:rPr>
              <w:t>Section 77 was enacted to facilitate orderly liquidation of corporate assets, not to extinguish corporate debts or confer an unearned windfall on defaulting debtors.</w:t>
            </w:r>
          </w:p>
          <w:p>
            <w:pPr>
              <w:spacing w:before="20" w:after="40" w:line="276" w:lineRule="auto"/>
            </w:pPr>
            <w:r>
              <w:rPr>
                <w:rFonts w:ascii="Calibri" w:hAnsi="Calibri"/>
                <w:b/>
                <w:color w:val="212529"/>
                <w:sz w:val="20"/>
              </w:rPr>
              <w:t xml:space="preserve">2. Legal Counsel as De Facto Trustee: </w:t>
            </w:r>
            <w:r>
              <w:rPr>
                <w:rFonts w:ascii="Calibri" w:hAnsi="Calibri"/>
                <w:color w:val="212529"/>
                <w:sz w:val="20"/>
              </w:rPr>
              <w:t>The lawyer who was authorized by the corporation to prosecute the collection case before dissolution continues to hold the litigation in trust for the benefit of the creditors and stockholders.</w:t>
            </w:r>
          </w:p>
          <w:p>
            <w:pPr>
              <w:spacing w:before="20" w:after="40" w:line="276" w:lineRule="auto"/>
            </w:pPr>
            <w:r>
              <w:rPr>
                <w:rFonts w:ascii="Calibri" w:hAnsi="Calibri"/>
                <w:b/>
                <w:color w:val="212529"/>
                <w:sz w:val="20"/>
              </w:rPr>
              <w:t xml:space="preserve">3. Prevention of Injustice and Absurdity: </w:t>
            </w:r>
            <w:r>
              <w:rPr>
                <w:rFonts w:ascii="Calibri" w:hAnsi="Calibri"/>
                <w:color w:val="212529"/>
                <w:sz w:val="20"/>
              </w:rPr>
              <w:t>To hold that the expiration of 3 years automatically extinguishes valid pending lawsuits would reward fraudulent debtors and punish innocent corporate creditors.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3-year rule was created to force companies to wrap up their business, not to give debtors a free pass to steal money. The lawyer hired to collect the money represents the stockholders as a trustee. The lawsuit stays alive until finished.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construction. Under Ut Res Magis Valeat Quam Pereat, 'trustee' encompasses retained counsel of record. The expiration of the 3-year period does not abate pending collection suits, preventing debtors from evading legal obligations."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and ORDERED Spouses Gelano to pay their debt to the dissolved corporation through its counsel.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debtors lost and were ordered to pay their debt to the lawyer as trustee of the dissolved corporation.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collection judgment, holding that retained counsel acts as a trustee under Section 77 of the Corporation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I. Statute Construed as a Whole (Corporation Law Sec. 77 / 3-Year Liquidation Period and Appointment of Trustee)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Section 77 of the Corporation Law must be construed to preserve corporate collection suits rather than abate them.</w:t>
            </w:r>
          </w:p>
          <w:p>
            <w:pPr>
              <w:spacing w:before="40" w:after="60" w:line="276" w:lineRule="auto"/>
            </w:pPr>
            <w:r>
              <w:rPr>
                <w:rFonts w:ascii="Calibri" w:hAnsi="Calibri"/>
                <w:b/>
                <w:color w:val="8C3200"/>
                <w:sz w:val="20"/>
              </w:rPr>
              <w:t>2. Nemo cum alterius detrimento locupletari potest (no one should be enriched at another's expense)</w:t>
              <w:br/>
            </w:r>
            <w:r>
              <w:rPr>
                <w:rFonts w:ascii="Calibri" w:hAnsi="Calibri"/>
                <w:b/>
                <w:color w:val="212529"/>
                <w:sz w:val="19"/>
              </w:rPr>
              <w:t xml:space="preserve">   • Literal English Translation: </w:t>
            </w:r>
            <w:r>
              <w:rPr>
                <w:rFonts w:ascii="Calibri" w:hAnsi="Calibri"/>
                <w:i/>
                <w:color w:val="212529"/>
                <w:sz w:val="19"/>
              </w:rPr>
              <w:t>No one should be enriched to the injury of another.</w:t>
              <w:br/>
            </w:r>
            <w:r>
              <w:rPr>
                <w:rFonts w:ascii="Calibri" w:hAnsi="Calibri"/>
                <w:b/>
                <w:color w:val="212529"/>
                <w:sz w:val="19"/>
              </w:rPr>
              <w:t xml:space="preserve">   • Plain Legal Meaning &amp; StatCon Application: </w:t>
            </w:r>
            <w:r>
              <w:rPr>
                <w:rFonts w:ascii="Calibri" w:hAnsi="Calibri"/>
                <w:color w:val="212529"/>
                <w:sz w:val="19"/>
              </w:rPr>
              <w:t>Debtors cannot use corporate dissolution to wipe out their financial debts.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winding-up statute was designed to collect assets for creditors, not forgive debts.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I. Statute Construed as a Whole (Corporation Law Sec. 77 / 3-Year Liquidation Period and Appointment of Trustee)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'trustee' in Section 77 Corporation Law encompasses retained counsel to preserve pending collection suits)</w:t>
              <w:br/>
              <w:br/>
              <w:t>Secondary:</w:t>
              <w:br/>
              <w:t>• Nemo cum alterius detrimento locupletari potest (prevention of debtor unjust enrichment)</w:t>
              <w:br/>
              <w:t>• Ratio legis est anima legis (asset collection purpose of liquidation)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debtors attempted to use a mechanical reading of the 3-year liquidation period to extinguish their valid contractual debt.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and Functional Construction of 'Trustee': The term 'trustee' in corporate dissolution statutes is given a functional, equitable interpretation to include counsel of record, preserving pending judicial claims for the benefit of creditors and stockholders.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company's lawyer counts as a 'trustee' who can keep collection cases going even after the company is dissolved, so deadbeats cannot escape paying their bills.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Gelano v. CA is the landmark case establishing that 'trustee' in corporate liquidation statutes includes retained legal counsel under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Carlos Gelano and Guillermina Gelano v. Court of Appeals and Insular Sawmill,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L-39050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24, 1981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Insular Sawmill, Inc. filed a civil action against Spouses Gelano to collect unpaid debts for lumber. While the case was pending before the trial court, the corporation's corporate charter expired and it was dissolved. The collection case dragged on past the 3-year statutory winding-up period provided under Section 77 of the Corporation Law (Act No. 1459). The Gelanos moved to dismiss the action, arguing that upon the expiration of the 3-year period, the corporation ceased to exist as a juridical entity and had no capacity to sue, pointing out that the corporation never appointed a formal 'trustee' or receiver in writing.</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77, Act No. 1459 (now Section 139, Revised Corporation Code): Allows dissolved corporations a 3-year period to wind up affairs and convey property to trustees.</w:t>
              <w:br/>
              <w:t>2. Broad Legal Meaning of 'Trustee': 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debtors attempted to use a mechanical reading of the 3-year liquidation period to extinguish their valid contractual debt.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dissolved corporation can continue prosecuting a pending collection suit through its retained counsel beyond the 3-year winding-up period, testing the statutory term 'Trustee' under Section 77 of the Corporation Law.</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Carlos Gelano and Guillermina Gelano v. Court of Appeals and Insular Sawmill, Inc.,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77, Act No. 1459 (now Section 139, Revised Corporation Code): Allows dissolved corporations a 3-year period to wind up affairs and convey property to trustees.</w:t>
              <w:br/>
              <w:t>2. Broad Legal Meaning of 'Trustee': 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debtors attempted to use a mechanical reading of the 3-year liquidation period to extinguish their valid contractual...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and ORDERED Spouses Gelano to pay their debt to the dissolved corporation through its counsel.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corporation's retained legal counsel IS A TRUSTEE in contemplation of law. Section 77 of the Corporation Law must be construed to allow retained counsel to continue pending litigation to recover corporate assets for the benefit of creditors and stockholders.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debtors attempted to use a mechanical reading of the 3-year liquidation period to extinguish their valid contractual debt..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Equitable and Functional Construction of 'Trustee': The term 'trustee' in corporate dissolution statutes is given a functional, equitable interpretation to include counsel of record, preserving pending judicial claims for the benefit of creditors and stockholders.</w:t>
              <w:br/>
              <w:t xml:space="preserve">   - Result: Yes. The word 'trustee' includes the lawyer hired by the corporation to handle the lawsuit. A debtor cannot escape paying his debt just because the corporate liquidation took longer than 3 years.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Nemo cum alterius detrimento locupletari potest (prevention of debtor unjust enrichment)</w:t>
              <w:br/>
              <w:t>• Ratio legis est anima legis (asset collection purpose of liquidation)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Carlos Gelano and Guillermina Gelano v. Court of Appeals and Insular Sawmill, Inc. to mean and apply strictly in accordance with Ut res magis valeat quam pereat, holding that Yes. The word 'trustee' includes the lawyer hired by the corporation to handle the lawsuit. A debtor cannot escape paying his debt just because the corporate li.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3-year rule was created to force companies to wrap up their business, not to give debtors a free pass to steal money. The lawyer hired to collect the money represents the stockholders as a trustee. The lawsuit stays alive until finished.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and Functional Construction of 'Trustee': The term 'trustee' in corporate dissolution statutes is given a functional, equitable interpretation to include counsel of record, preserving pending judicial claims for the benefit of creditors and stockholders.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company's lawyer counts as a 'trustee' who can keep collection cases going even after the company is dissolved, so deadbeats cannot escape paying their bills.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75. PEOPLE OF THE PHILIPPINES V. MAMERTO S. CHAVES</w:t>
      </w:r>
    </w:p>
    <w:p>
      <w:pPr>
        <w:spacing w:before="40" w:after="80" w:line="276" w:lineRule="auto"/>
      </w:pPr>
      <w:r>
        <w:rPr>
          <w:rFonts w:ascii="Calibri" w:hAnsi="Calibri"/>
          <w:b/>
          <w:color w:val="212529"/>
          <w:sz w:val="21"/>
        </w:rPr>
        <w:t xml:space="preserve">Citation: </w:t>
      </w:r>
      <w:r>
        <w:rPr>
          <w:rFonts w:ascii="Calibri" w:hAnsi="Calibri"/>
          <w:i/>
          <w:color w:val="212529"/>
          <w:sz w:val="21"/>
        </w:rPr>
        <w:t>G.R. No. L-19521 | October 30, 1964 | 12 SCRA 232 | En Banc | Ponente: J. J.B.L. Reyes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Mamerto S. Chaves (Appellee)</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dismissing a criminal information for Estafa under Article 315, paragraph 2(d) of the Revised Penal Code (issuance of bouncing checks).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Mamerto Chaves purchased jewelry and issued postdated bank checks in payment. When presented for payment, the checks were dishonored for insufficiency of funds. The City Fiscal of Manila filed an information for Estafa under Article 315(2)(d) of the Revised Penal Code. Chaves moved to quash the information on the ground of lack of deceit, arguing that postdating checks to pay for goods does not constitute fraud if the payee knew the funds were not yet in the bank. The trial court dismissed the information, holding that postdating a check implies an ordinary credit transaction without criminal intent to defraud.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bought jewelry and gave postdated checks that bounced. When charged with Estafa under the Revised Penal Code, he argued that giving a postdated check is just an ordinary promise to pay in the future and doesn't have criminal deceit. The Supreme Court reversed the trial court, ruling that under Article 315(2)(d) of the Penal Code, issuing a bouncing check in payment of a simultaneous purchase is prima facie fraud under the clear text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issuing a postdated check that is subsequently dishonored for lack of funds in payment of a simultaneous obligation constitutes Estafa under Article 315(2)(d) of the Revised Penal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issuing a bouncing check to buy jewelry count as criminal Estafa under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issuance of a postdated check without sufficient funds constitutes Estafa under Article 315(2)(d) RPC, testing the Statutory Definition of 'Defraud'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Issuing a postdated check without sufficient funds to obtain property simultaneously constitutes ESTAFA under Article 315(2)(d) of the Revised Penal Code. The statutory text explicitly establishes that issuing a dishonored check in payment of a simultaneous obligation is deceitful per 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you buy jewelry by handing over a check, the seller gives you the jewelry because he believes the check is good. If the check bounces, you obtained property through deception, which is Estafa under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J.B.L. Reyes held, under Verba Legis and the plain text of Article 315(2)(d) RPC, issuing a check without sufficient funds in payment of a simultaneous obligation constitutes criminal deceit. The quashal of the information was erroneous because the statutory elements of fraud were properly alleged."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315, paragraph 2(d), Revised Penal Code (as amended): </w:t>
            </w:r>
            <w:r>
              <w:rPr>
                <w:rFonts w:ascii="Calibri" w:hAnsi="Calibri"/>
                <w:color w:val="212529"/>
                <w:sz w:val="20"/>
              </w:rPr>
              <w:t>Penalizes postdating a check or issuing a check in payment of an obligation without sufficient funds.</w:t>
            </w:r>
          </w:p>
          <w:p>
            <w:pPr>
              <w:spacing w:before="20" w:after="40" w:line="276" w:lineRule="auto"/>
            </w:pPr>
            <w:r>
              <w:rPr>
                <w:rFonts w:ascii="Calibri" w:hAnsi="Calibri"/>
                <w:b/>
                <w:color w:val="212529"/>
                <w:sz w:val="20"/>
              </w:rPr>
              <w:t xml:space="preserve">2. Statutory Definition of 'Deceit' and 'Fraud' in Penal Law: </w:t>
            </w:r>
            <w:r>
              <w:rPr>
                <w:rFonts w:ascii="Calibri" w:hAnsi="Calibri"/>
                <w:color w:val="212529"/>
                <w:sz w:val="20"/>
              </w:rPr>
              <w:t>The false representation that a check is funded, inducing the delivery of goods, constitutes criminal deceit.</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explicit statutory presumption of fraud must be applied as enacted.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315(2)(d) RPC, Statutory Fraud,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315(2)(d) of the Revised Penal Code, applied under Verba legis non est recedendum (from statutory words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Simultaneous Issuance of Check for Goods: </w:t>
            </w:r>
            <w:r>
              <w:rPr>
                <w:rFonts w:ascii="Calibri" w:hAnsi="Calibri"/>
                <w:color w:val="212529"/>
                <w:sz w:val="20"/>
              </w:rPr>
              <w:t>Deceit exists because the seller would not have parted with the jewelry but for the issuance of the check. The check is represented as a commercial payment, not a mere promissory note.</w:t>
            </w:r>
          </w:p>
          <w:p>
            <w:pPr>
              <w:spacing w:before="20" w:after="40" w:line="276" w:lineRule="auto"/>
            </w:pPr>
            <w:r>
              <w:rPr>
                <w:rFonts w:ascii="Calibri" w:hAnsi="Calibri"/>
                <w:b/>
                <w:color w:val="212529"/>
                <w:sz w:val="20"/>
              </w:rPr>
              <w:t xml:space="preserve">2. Plain Statutory Elements: </w:t>
            </w:r>
            <w:r>
              <w:rPr>
                <w:rFonts w:ascii="Calibri" w:hAnsi="Calibri"/>
                <w:color w:val="212529"/>
                <w:sz w:val="20"/>
              </w:rPr>
              <w:t>Article 315(2)(d) requires: (a) postdating or issuing a check in payment of a simultaneous obligation; and (b) failure to pay or fund the check within the statutory grace period. All elements were present.</w:t>
            </w:r>
          </w:p>
          <w:p>
            <w:pPr>
              <w:spacing w:before="20" w:after="40" w:line="276" w:lineRule="auto"/>
            </w:pPr>
            <w:r>
              <w:rPr>
                <w:rFonts w:ascii="Calibri" w:hAnsi="Calibri"/>
                <w:b/>
                <w:color w:val="212529"/>
                <w:sz w:val="20"/>
              </w:rPr>
              <w:t xml:space="preserve">3. Reversal of Erroneous Quashal: </w:t>
            </w:r>
            <w:r>
              <w:rPr>
                <w:rFonts w:ascii="Calibri" w:hAnsi="Calibri"/>
                <w:color w:val="212529"/>
                <w:sz w:val="20"/>
              </w:rPr>
              <w:t>The trial judge erred in substituting civil credit doctrines for the clear penal command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seller only parted with his jewelry because the buyer handed him a bank check. The law specifically created Article 315(2)(d) to punish people who use rubber checks to take merchandise. The trial judge was wrong to dismiss the case before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enforced the plain statutory elements of Article 315(2)(d) RPC. Issuing a check that bounces upon a simultaneous purchase constitutes prima facie deceit under Verba Legis. The Court set aside the dismissal and ordered the criminal trial to proceed."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dismissal order, REINSTATED the criminal information for Estafa, and REMANDED the case for trial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check-issuer was ordered to face trial for Estafa.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reinstated the Estafa information under the plain provisions of Article 315(2)(d) RPC."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H. Provisos and Exceptions (RA 1081 / Postal Law and Civil Service Salary Withholding for Shortages)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Article 315(2)(d) RPC explicitly penalizes the issuance of unfunded checks.</w:t>
            </w:r>
          </w:p>
          <w:p>
            <w:pPr>
              <w:spacing w:before="40" w:after="60" w:line="276" w:lineRule="auto"/>
            </w:pPr>
            <w:r>
              <w:rPr>
                <w:rFonts w:ascii="Calibri" w:hAnsi="Calibri"/>
                <w:b/>
                <w:color w:val="8C3200"/>
                <w:sz w:val="20"/>
              </w:rPr>
              <w:t>2. Fraus omnia corrumpit (fraud corrupts all things)</w:t>
              <w:br/>
            </w:r>
            <w:r>
              <w:rPr>
                <w:rFonts w:ascii="Calibri" w:hAnsi="Calibri"/>
                <w:b/>
                <w:color w:val="212529"/>
                <w:sz w:val="19"/>
              </w:rPr>
              <w:t xml:space="preserve">   • Literal English Translation: </w:t>
            </w:r>
            <w:r>
              <w:rPr>
                <w:rFonts w:ascii="Calibri" w:hAnsi="Calibri"/>
                <w:i/>
                <w:color w:val="212529"/>
                <w:sz w:val="19"/>
              </w:rPr>
              <w:t>Fraud vitiates everything.</w:t>
              <w:br/>
            </w:r>
            <w:r>
              <w:rPr>
                <w:rFonts w:ascii="Calibri" w:hAnsi="Calibri"/>
                <w:b/>
                <w:color w:val="212529"/>
                <w:sz w:val="19"/>
              </w:rPr>
              <w:t xml:space="preserve">   • Plain Legal Meaning &amp; StatCon Application: </w:t>
            </w:r>
            <w:r>
              <w:rPr>
                <w:rFonts w:ascii="Calibri" w:hAnsi="Calibri"/>
                <w:color w:val="212529"/>
                <w:sz w:val="19"/>
              </w:rPr>
              <w:t>Criminal deceit in commercial transactions destroys the integrity of commercial instruments.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Penal sanctions against commercial check fraud must be strictly enforced.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H. Provisos and Exceptions (RA 1081 / Postal Law and Civil Service Salary Withholding for Shortages)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Article 315(2)(d) RPC establishes criminal fraud per se upon issuing unfunded checks for simultaneous purchases)</w:t>
              <w:br/>
              <w:br/>
              <w:t>Secondary:</w:t>
              <w:br/>
              <w:t>• Fraus omnia corrumpit (fraud vitiates commercial transactions)</w:t>
              <w:br/>
              <w:t>• Dura lex sed lex (strict enforcement of bouncing check penal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disregarded the explicit penal text of Article 315(2)(d) RPC by treating criminal check fraud as a mere civil credit transaction.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Penal Deceit Provisions: When a penal statute defines the issuance of unfunded checks as a specific mode of fraud, courts are duty-bound under Verba Legis to apply the statutory elements without converting the crime into a civil dispute.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Giving someone a rubber check to buy goods on the spot is a crime under the written text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Chaves establishes that under Verba Legis, issuing an unfunded check for a simultaneous purchase constitutes criminal deceit under Article 315(2)(d) RPC."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Mamerto S. Chaves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L-19521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30, 1964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Mamerto Chaves purchased jewelry and issued postdated bank checks in payment. When presented for payment, the checks were dishonored for insufficiency of funds. The City Fiscal of Manila filed an information for Estafa under Article 315(2)(d) of the Revised Penal Code. Chaves moved to quash the information on the ground of lack of deceit, arguing that postdating checks to pay for goods does not constitute fraud if the payee knew the funds were not yet in the bank. The trial court dismissed the information, holding that postdating a check implies an ordinary credit transaction without criminal intent to defraud.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315, paragraph 2(d), Revised Penal Code (as amended): Penalizes postdating a check or issuing a check in payment of an obligation without sufficient funds.</w:t>
              <w:br/>
              <w:t>2. Statutory Definition of 'Deceit' and 'Fraud' in Penal Law: The false representation that a check is funded, inducing the delivery of goods, constitutes criminal deceit.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disregarded the explicit penal text of Article 315(2)(d) RPC by treating criminal check fraud as a mere civil credit transaction.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issuing a postdated check that is subsequently dishonored for lack of funds in payment of a simultaneous obligation constitutes Estafa under Article 315(2)(d) of the Revised Penal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Mamerto S. Chaves,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315, paragraph 2(d), Revised Penal Code (as amended): Penalizes postdating a check or issuing a check in payment of an obligation without sufficient funds.</w:t>
              <w:br/>
              <w:t>2. Statutory Definition of 'Deceit' and 'Fraud' in Penal Law: The false representation that a check is funded, inducing the delivery of goods, constitutes criminal deceit.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dismissal order, REINSTATED the criminal information for Estafa, and REMANDED the case for trial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Issuing a postdated check without sufficient funds to obtain property simultaneously constitutes ESTAFA under Article 315(2)(d) of the Revised Penal Code. The statutory text explicitly establishes that issuing a dishonored check in payment of a simultaneous obligation is deceitful per 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Strict Application of Penal Deceit Provisions: When a penal statute defines the issuance of unfunded checks as a specific mode of fraud, courts are duty-bound under Verba Legis to apply the statutory elements without converting the crime into a civil dispute.</w:t>
              <w:br/>
              <w:t xml:space="preserve">   - Result: Yes. When you buy jewelry by handing over a check, the seller gives you the jewelry because he believes the check is good. If the check bounces, you obtained property through deception, which is Estafa under the Penal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Fraus omnia corrumpit (fraud vitiates commercial transactions)</w:t>
              <w:br/>
              <w:t>• Dura lex sed lex (strict enforcement of bouncing check penal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Mamerto S. Chaves to mean and apply strictly in accordance with Verba legis non est recedendum, holding that Yes. When you buy jewelry by handing over a check, the seller gives you the jewelry because he believes the check is good. If the check bounces, you obtained pr.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seller only parted with his jewelry because the buyer handed him a bank check. The law specifically created Article 315(2)(d) to punish people who use rubber checks to take merchandise. The trial judge was wrong to dismiss the case before trial.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Penal Deceit Provisions: When a penal statute defines the issuance of unfunded checks as a specific mode of fraud, courts are duty-bound under Verba Legis to apply the statutory elements without converting the crime into a civil dispute.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Giving someone a rubber check to buy goods on the spot is a crime under the written text of the Penal Code.</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76. DR. BRIGIDA BUENASEDA V. SECRETARY JUAN FLAVIER AND OMBUDSMAN CONRADO VASQUEZ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106719 | September 21, 1993 | 226 SCRA 645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Dr. Brigida Buenaseda, Chief of San Lazaro Hospital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Secretary Juan Flavier (Department of Health) and Ombudsman Conrado Vasquez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Ombudsman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authority of the Ombudsman to order the PREVENTIVE SUSPENSION of medical personnel under Section 24 of Republic Act No. 6770 (The Ombudsman Act of 1989).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Employees of the San Lazaro Hospital filed administrative complaints with the Ombudsman against Hospital Chief Dr. Brigida Buenaseda for graft and gross misconduct. Ombudsman Conrado Vasquez issued a 6-month PREVENTIVE SUSPENSION order pursuant to Section 24 of Republic Act No. 6770. Dr. Buenaseda challenged the order, arguing that under Article XI, Section 13(3) of the 1987 Constitution, the Ombudsman is given only the power to 'recommend' suspension to department heads, and contended that the word 'preventive suspension' in Section 24 of RA 6770 should be construed as purely recommendatory rather than directly executory.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Ombudsman preventively suspended the head of San Lazaro Hospital for 6 months while investigating corruption charges. The doctor sued, claiming the Constitution only gives the Ombudsman power to 'recommend' disciplinary actions, so the Ombudsman has no power to directly order a suspension. The Supreme Court ruled that PREVENTIVE SUSPENSION during an investigation is a temporary preliminary measure, NOT a penalty. Congress validly gave the Ombudsman direct power to order preventive suspension under Section 24 of the Ombudsman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Ombudsman has the direct statutory authority under Section 24 of R.A. No. 6770 to order the preventive suspension of public officers, or whether such power is purely recommendatory.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Ombudsman have the legal power to directly order a 6-month preventive suspension during an investigation, or can he only 'recommend'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24 of RA 6770 confers direct preventive suspension power on the Ombudsman, testing the Distinction Between Preventive Suspension and Penal Suspension and Constitutional Harmonization."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Ombudsman has DIRECT STATUTORY AUTHORITY to order preventive suspension. Preventive suspension is NOT A PENALTY, but a preliminary administrative measure; hence, the constitutional provision on 'recommendations' of penalties does not restrict the Ombudsman's preventive powers.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Preventive suspension is not a punishment; it is a temporary freeze to keep the official away from hospital records and witnesses while the investigation is ongoing. Congress explicitly gave the Ombudsman direct power to order preventive suspension.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in administrative statutory construction, 'preventive suspension' is not a penalty, but a preliminary procedural safeguard. Under Section 24 of RA 6770 and Ut res magis valeat quam pereat, Congress validly conferred upon the Ombudsman the direct power to order preventive suspension to protect public records and witnesses during an investigation."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24, Republic Act No. 6770 (The Ombudsman Act of 1989): </w:t>
            </w:r>
            <w:r>
              <w:rPr>
                <w:rFonts w:ascii="Calibri" w:hAnsi="Calibri"/>
                <w:color w:val="212529"/>
                <w:sz w:val="20"/>
              </w:rPr>
              <w:t>Empowers the Ombudsman to preventively suspend any public officer under investigation for up to six months.</w:t>
            </w:r>
          </w:p>
          <w:p>
            <w:pPr>
              <w:spacing w:before="20" w:after="40" w:line="276" w:lineRule="auto"/>
            </w:pPr>
            <w:r>
              <w:rPr>
                <w:rFonts w:ascii="Calibri" w:hAnsi="Calibri"/>
                <w:b/>
                <w:color w:val="212529"/>
                <w:sz w:val="20"/>
              </w:rPr>
              <w:t xml:space="preserve">2. Distinction Between Preventive Suspension and Disciplinary Penalty: </w:t>
            </w:r>
            <w:r>
              <w:rPr>
                <w:rFonts w:ascii="Calibri" w:hAnsi="Calibri"/>
                <w:color w:val="212529"/>
                <w:sz w:val="20"/>
              </w:rPr>
              <w:t>Preventive suspension is a preliminary procedural measure; penalty suspension is the final punishment after due process.</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Statutory investigative powers must be construed to make anti-corruption enforcement effective.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24 RA 6770, Distinction between Preventive and Punitive Suspension,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24 of RA 6770, governed by the distinction between preventive and punitive suspensions and Ut res magis valeat quam pereat."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Preventive Suspension: </w:t>
            </w:r>
            <w:r>
              <w:rPr>
                <w:rFonts w:ascii="Calibri" w:hAnsi="Calibri"/>
                <w:color w:val="212529"/>
                <w:sz w:val="20"/>
              </w:rPr>
              <w:t>Preventive suspension is a protective measure to ensure the unhampered investigation of public anomalies. It carries no finding of guilt and does not constitute a forfeiture of office.</w:t>
            </w:r>
          </w:p>
          <w:p>
            <w:pPr>
              <w:spacing w:before="20" w:after="40" w:line="276" w:lineRule="auto"/>
            </w:pPr>
            <w:r>
              <w:rPr>
                <w:rFonts w:ascii="Calibri" w:hAnsi="Calibri"/>
                <w:b/>
                <w:color w:val="212529"/>
                <w:sz w:val="20"/>
              </w:rPr>
              <w:t xml:space="preserve">2. Constitutional Scope of Article XI: </w:t>
            </w:r>
            <w:r>
              <w:rPr>
                <w:rFonts w:ascii="Calibri" w:hAnsi="Calibri"/>
                <w:color w:val="212529"/>
                <w:sz w:val="20"/>
              </w:rPr>
              <w:t>Article XI, Section 13(8) explicitly authorizes Congress to confer additional functions and powers upon the Ombudsman. Section 24 of RA 6770 is a valid legislative expansion of investigatory powers.</w:t>
            </w:r>
          </w:p>
          <w:p>
            <w:pPr>
              <w:spacing w:before="20" w:after="40" w:line="276" w:lineRule="auto"/>
            </w:pPr>
            <w:r>
              <w:rPr>
                <w:rFonts w:ascii="Calibri" w:hAnsi="Calibri"/>
                <w:b/>
                <w:color w:val="212529"/>
                <w:sz w:val="20"/>
              </w:rPr>
              <w:t xml:space="preserve">3. Prevention of Evidence Tampering: </w:t>
            </w:r>
            <w:r>
              <w:rPr>
                <w:rFonts w:ascii="Calibri" w:hAnsi="Calibri"/>
                <w:color w:val="212529"/>
                <w:sz w:val="20"/>
              </w:rPr>
              <w:t>If the Ombudsman could only 'recommend' preventive suspension, the accused official could remain in office and destroy the very evidence needed for the investigation.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doctor confused being punished with being benched during an investigation. If an official could not be benched, they could fire the whistleblowers and burn the accounting books before the Ombudsman arrived. Congress gave the Ombudsman direct power to order preventive suspension so investigations would actually work.</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clarified the statutory meaning of preventive suspension. It is a preliminary investigative safeguard, not a punitive sanction. Under Section 24 of RA 6770, the Ombudsman has direct authority to issue preventive suspension orders to ensure integrity in public service."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validity of the Ombudsman's preventive suspension order against Dr. Buenaseda.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doctor's challenge was dismissed and the 6-month preventive suspension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Ombudsman's direct authority to order preventive suspension under Section 24 of RA 6770."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I. Statute Construed as a Whole (Ombudsman Act RA 6770 Sec. 24 / Preventive Suspension Powers)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investigative powers of the Ombudsman must be construed to make anti-corruption machinery effective.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public records and witnesses from administrative tampering preserves the public interest.</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24 RA 6770 explicitly commands the preventive suspension power of the Ombudsman.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I. Statute Construed as a Whole (Ombudsman Act RA 6770 Sec. 24 / Preventive Suspension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Section 24 RA 6770 confers direct preventive suspension authority to make Ombudsman investigations effective)</w:t>
              <w:br/>
              <w:br/>
              <w:t>Secondary:</w:t>
              <w:br/>
              <w:t>• Salus populi est suprema lex (anti-corruption public policy)</w:t>
              <w:br/>
              <w:t>• Verba legis non est recedendum (clear text of Section 24)</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confused preliminary preventive measures with final disciplinary penalties to restrict the Ombudsman's investigatory effectiveness.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Distinction Between Preventive and Punitive Measures: 'Preventive suspension' is an interlocutory investigatory safeguard that is distinct from a final penal suspension; statutory grants of preventive authority are construed broadly to ensure effective investigation.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Preventive suspension is just a temporary benching while the referee reviews the video; it is not a final punishment, so the Ombudsman can order it directly.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Buenaseda v. Flavier is the landmark authority establishing the statutory distinction between preventive suspension and punitive suspension under RA 6770."</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Dr. Brigida Buenaseda v. Secretary Juan Flavier and Ombudsman Conrado Vasquez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106719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21,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Employees of the San Lazaro Hospital filed administrative complaints with the Ombudsman against Hospital Chief Dr. Brigida Buenaseda for graft and gross misconduct. Ombudsman Conrado Vasquez issued a 6-month PREVENTIVE SUSPENSION order pursuant to Section 24 of Republic Act No. 6770. Dr. Buenaseda challenged the order, arguing that under Article XI, Section 13(3) of the 1987 Constitution, the Ombudsman is given only the power to 'recommend' suspension to department heads, and contended that the word 'preventive suspension' in Section 24 of RA 6770 should be construed as purely recommendatory rather than directly executory.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24, Republic Act No. 6770 (The Ombudsman Act of 1989): Empowers the Ombudsman to preventively suspend any public officer under investigation for up to six months.</w:t>
              <w:br/>
              <w:t>2. Distinction Between Preventive Suspension and Disciplinary Penalty: Preventive suspension is a preliminary procedural measure; penalty suspension is the final punishment after due process.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confused preliminary preventive measures with final disciplinary penalties to restrict the Ombudsman's investigatory effectiveness.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Ombudsman has the direct statutory authority under Section 24 of R.A. No. 6770 to order the preventive suspension of public officers, or whether such power is purely recommendatory.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Dr. Brigida Buenaseda v. Secretary Juan Flavier and Ombudsman Conrado Vasquez,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24, Republic Act No. 6770 (The Ombudsman Act of 1989): Empowers the Ombudsman to preventively suspend any public officer under investigation for up to six months.</w:t>
              <w:br/>
              <w:t>2. Distinction Between Preventive Suspension and Disciplinary Penalty: Preventive suspension is a preliminary procedural measure; penalty suspension is the final punishment after due process.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confused preliminary preventive measures with final disciplinary penalties to restrict the Ombudsman's 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validity of the Ombudsman's preventive suspension order against Dr. Buenaseda.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Ombudsman has DIRECT STATUTORY AUTHORITY to order preventive suspension. Preventive suspension is NOT A PENALTY, but a preliminary administrative measure; hence, the constitutional provision on 'recommendations' of penalties does not restrict the Ombudsman's preventive powers.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confused preliminary preventive measures with final disciplinary penalties to restrict the Ombudsman's investigatory effectiv.</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Statutory Distinction Between Preventive and Punitive Measures: 'Preventive suspension' is an interlocutory investigatory safeguard that is distinct from a final penal suspension; statutory grants of preventive authority are construed broadly to ensure effective investigation.</w:t>
              <w:br/>
              <w:t xml:space="preserve">   - Result: Yes. Preventive suspension is not a punishment; it is a temporary freeze to keep the official away from hospital records and witnesses while the investigation is ongoing. Congress explicitly gave the Ombudsman direct power to order preventive suspension.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(anti-corruption public policy)</w:t>
              <w:br/>
              <w:t>• Verba legis non est recedendum (clear text of Section 24)</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Dr. Brigida Buenaseda v. Secretary Juan Flavier and Ombudsman Conrado Vasquez to mean and apply strictly in accordance with Ut res magis valeat quam pereat, holding that Yes. Preventive suspension is not a punishment; it is a temporary freeze to keep the official away from hospital records and witnesses while the investigation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doctor confused being punished with being benched during an investigation. If an official could not be benched, they could fire the whistleblowers and burn the accounting books before the Ombudsman arrived. Congress gave the Ombudsman direct power to order preventive suspension so investigations would actually work.</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Distinction Between Preventive and Punitive Measures: 'Preventive suspension' is an interlocutory investigatory safeguard that is distinct from a final penal suspension; statutory grants of preventive authority are construed broadly to ensure effective investigation.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Preventive suspension is just a temporary benching while the referee reviews the video; it is not a final punishment, so the Ombudsman can order it directly.</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77. MAYOR PABLO P. MAGTAJAS V. PRYCE PROPERTIES CORPORATION AND PHILIPPINE AMUSEMENT AND GAMING CORPORATION (PAGCOR)</w:t>
      </w:r>
    </w:p>
    <w:p>
      <w:pPr>
        <w:spacing w:before="40" w:after="80" w:line="276" w:lineRule="auto"/>
      </w:pPr>
      <w:r>
        <w:rPr>
          <w:rFonts w:ascii="Calibri" w:hAnsi="Calibri"/>
          <w:b/>
          <w:color w:val="212529"/>
          <w:sz w:val="21"/>
        </w:rPr>
        <w:t xml:space="preserve">Citation: </w:t>
      </w:r>
      <w:r>
        <w:rPr>
          <w:rFonts w:ascii="Calibri" w:hAnsi="Calibri"/>
          <w:i/>
          <w:color w:val="212529"/>
          <w:sz w:val="21"/>
        </w:rPr>
        <w:t>G.R. No. 111097 | July 20, 1994 | 234 SCRA 255 | En Banc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Mayor Pablo P. Magtajas and the City Council of Cagayan de Oro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Pryce Properties Corporation and PAGCOR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challenging the validity of Cagayan de Oro City Ordinance Nos. 3353 and 3375 prohibiting the operation of a PAGCOR casino within the city under Presidential Decree No. 1869.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PAGCOR decided to expand its casino operations to Cagayan de Oro City and leased space at the Pryce Hotel. In response, the City Council of Cagayan de Oro enacted Ordinance Nos. 3353 and 3375, which prohibited the issuance of business permits for casinos and penalized any person operating a gambling casino within the city. Mayor Magtajas defended the ordinances under the general welfare clause of the Local Government Code (R.A. No. 7160), arguing that local autonomy empowers cities to prohibit gambling to protect public morals. PAGCOR and Pryce challenged the ordinances, contending that a municipal ordinance cannot prohibit what a national statute (P.D. No. 1869) explicitly authorizes.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PAGCOR wanted to open a casino in a hotel in Cagayan de Oro. The City Mayor and City Council passed an ordinance banning all casinos in the city to protect public morals. PAGCOR sued, arguing that a city ordinance cannot outlaw what a national law passed by Congress (the PAGCOR Charter) explicitly legalizes. The Supreme Court ruled that municipal ordinances are subordinate to national statutes: a city council cannot repeal or ban a national government activity authorized by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local government unit can enact an ordinance prohibiting and banning the operation of a casino authorized by a national legislative charter (P.D. No. 1869), testing the Hierarchy of Laws and Municipal Ordinance Validity.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city ordinance prohibit and ban a PAGCOR casino that was legalized by a national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city ordinance can prohibit a casino authorized by national statute (PD 1869), testing the canon that Municipal Ordinances Must Not Contravene National Statutes and the Hierarchy of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municipal ordinance CANNOT prohibit or invalidate what a national statute explicitly permits. Under the HIERARCHY OF LAWS, an ordinance is subordinate to a statute; the general welfare clause of the Local Government Code does not authorize LGUs to repeal or override national enactments.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 city ordinance is lower than a national law. When Congress or a national presidential decree legalizes PAGCOR casinos nationwide, a city council cannot declare PAGCOR illegal inside its town. The national law wins every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Isagani Cruz eloquently declared: 'A stream cannot rise higher than its source.' A municipal ordinance is subordinate to an act of Congress. Under the tests of a valid ordinance, an ordinance must not contravene the Constitution or any statute. City Ordinance Nos. 3353 and 3375 were declared null and void for violating PD 1869."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1869 (PAGCOR Charter): </w:t>
            </w:r>
            <w:r>
              <w:rPr>
                <w:rFonts w:ascii="Calibri" w:hAnsi="Calibri"/>
                <w:color w:val="212529"/>
                <w:sz w:val="20"/>
              </w:rPr>
              <w:t>National legislative franchise authorizing PAGCOR to establish and operate gambling casinos nationwide.</w:t>
            </w:r>
          </w:p>
          <w:p>
            <w:pPr>
              <w:spacing w:before="20" w:after="40" w:line="276" w:lineRule="auto"/>
            </w:pPr>
            <w:r>
              <w:rPr>
                <w:rFonts w:ascii="Calibri" w:hAnsi="Calibri"/>
                <w:b/>
                <w:color w:val="212529"/>
                <w:sz w:val="20"/>
              </w:rPr>
              <w:t xml:space="preserve">2. Section 16, Republic Act No. 7160 (General Welfare Clause): </w:t>
            </w:r>
            <w:r>
              <w:rPr>
                <w:rFonts w:ascii="Calibri" w:hAnsi="Calibri"/>
                <w:color w:val="212529"/>
                <w:sz w:val="20"/>
              </w:rPr>
              <w:t>Empowers local governments to enact ordinances, subject to the limitation that ordinances must conform to national statutes.</w:t>
            </w:r>
          </w:p>
          <w:p>
            <w:pPr>
              <w:spacing w:before="20" w:after="40" w:line="276" w:lineRule="auto"/>
            </w:pPr>
            <w:r>
              <w:rPr>
                <w:rFonts w:ascii="Calibri" w:hAnsi="Calibri"/>
                <w:b/>
                <w:color w:val="212529"/>
                <w:sz w:val="20"/>
              </w:rPr>
              <w:t xml:space="preserve">3. Tests of a Valid Ordinance: </w:t>
            </w:r>
            <w:r>
              <w:rPr>
                <w:rFonts w:ascii="Calibri" w:hAnsi="Calibri"/>
                <w:color w:val="212529"/>
                <w:sz w:val="20"/>
              </w:rPr>
              <w:t>An ordinance must: (1) not contravene the Constitution or any statute; (2) not be unfair or oppressive; (3) not be partial or discriminatory; (4) not prohibit but may regulate trade; (5) be general and consistent with public policy; and (6) not be unreasonable.</w:t>
            </w:r>
          </w:p>
          <w:p>
            <w:pPr>
              <w:spacing w:before="20" w:after="40" w:line="276" w:lineRule="auto"/>
            </w:pPr>
            <w:r>
              <w:rPr>
                <w:rFonts w:ascii="Calibri" w:hAnsi="Calibri"/>
                <w:b/>
                <w:color w:val="212529"/>
                <w:sz w:val="20"/>
              </w:rPr>
              <w:t xml:space="preserve">4. Subordination of Municipal Law to National Legislation: </w:t>
            </w:r>
            <w:r>
              <w:rPr>
                <w:rFonts w:ascii="Calibri" w:hAnsi="Calibri"/>
                <w:color w:val="212529"/>
                <w:sz w:val="20"/>
              </w:rPr>
              <w:t>National policy enacted by the Legislature overrides local municipal preferences.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1869, Section 16 RA 7160, Tests of a Valid Ordinance, and Hierarchy of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1869 in relation to Section 16 of RA 7160, governed by the Tests of a Valid Ordinance and the fundamental canon that municipal ordinances cannot contravene national statutes."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Hierarchy of Enactments: </w:t>
            </w:r>
            <w:r>
              <w:rPr>
                <w:rFonts w:ascii="Calibri" w:hAnsi="Calibri"/>
                <w:color w:val="212529"/>
                <w:sz w:val="20"/>
              </w:rPr>
              <w:t>Municipal corporations are mere creatures of the State. Their delegated ordinance-making power is subordinate to the national sovereignty expressed through acts of Congress. A municipality cannot nullify a national charter.</w:t>
            </w:r>
          </w:p>
          <w:p>
            <w:pPr>
              <w:spacing w:before="20" w:after="40" w:line="276" w:lineRule="auto"/>
            </w:pPr>
            <w:r>
              <w:rPr>
                <w:rFonts w:ascii="Calibri" w:hAnsi="Calibri"/>
                <w:b/>
                <w:color w:val="212529"/>
                <w:sz w:val="20"/>
              </w:rPr>
              <w:t xml:space="preserve">2. The 'Must Not Contravene Statutes' Test: </w:t>
            </w:r>
            <w:r>
              <w:rPr>
                <w:rFonts w:ascii="Calibri" w:hAnsi="Calibri"/>
                <w:color w:val="212529"/>
                <w:sz w:val="20"/>
              </w:rPr>
              <w:t>The first and most fundamental test of a valid ordinance is that it must not conflict with national legislation. PD 1869 legalized casino gambling under PAGCOR; Mandaue could not recriminalize it.</w:t>
            </w:r>
          </w:p>
          <w:p>
            <w:pPr>
              <w:spacing w:before="20" w:after="40" w:line="276" w:lineRule="auto"/>
            </w:pPr>
            <w:r>
              <w:rPr>
                <w:rFonts w:ascii="Calibri" w:hAnsi="Calibri"/>
                <w:b/>
                <w:color w:val="212529"/>
                <w:sz w:val="20"/>
              </w:rPr>
              <w:t xml:space="preserve">3. Regulation vs. Prohibition: </w:t>
            </w:r>
            <w:r>
              <w:rPr>
                <w:rFonts w:ascii="Calibri" w:hAnsi="Calibri"/>
                <w:color w:val="212529"/>
                <w:sz w:val="20"/>
              </w:rPr>
              <w:t>While local governments may regulate businesses under the general welfare clause, they have no statutory authority to completely prohibit an activity authorized by the national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Water cannot flow higher than its spring. A city council gets its power from Congress through the Local Government Code. It cannot use that borrowed power to attack a national law passed by Congress. If Congress says 'casinos are legal under PAGCOR', a city cannot say 'casinos are crimes in our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landmark test for municipal ordinances. An ordinance is invalid if it contravenes a national statute. Because PD 1869 expressly authorized PAGCOR casinos nationwide, Cagayan de Oro had no power under the general welfare clause to ban them."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Court of Appeals, and DECLARED Cagayan de Oro Ordinance Nos. 3353 and 3375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lost and its anti-casino ordinances were struck down as illegal and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nullified the city ordinances, establishing that municipal ordinances cannot contravene national statutes under the Hierarchy of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J. Statute Construed in Relation to Others (PAGCOR Charter PD 1869 vs Local Government Code RA 7160 Casino Ban Ordinance)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Derivativa potestas non potest esse major primitiva (the derived power cannot be greater than the primitive/original power)</w:t>
              <w:br/>
            </w:r>
            <w:r>
              <w:rPr>
                <w:rFonts w:ascii="Calibri" w:hAnsi="Calibri"/>
                <w:b/>
                <w:color w:val="212529"/>
                <w:sz w:val="19"/>
              </w:rPr>
              <w:t xml:space="preserve">   • Literal English Translation: </w:t>
            </w:r>
            <w:r>
              <w:rPr>
                <w:rFonts w:ascii="Calibri" w:hAnsi="Calibri"/>
                <w:i/>
                <w:color w:val="212529"/>
                <w:sz w:val="19"/>
              </w:rPr>
              <w:t>Derived power cannot exceed the original power.</w:t>
              <w:br/>
            </w:r>
            <w:r>
              <w:rPr>
                <w:rFonts w:ascii="Calibri" w:hAnsi="Calibri"/>
                <w:b/>
                <w:color w:val="212529"/>
                <w:sz w:val="19"/>
              </w:rPr>
              <w:t xml:space="preserve">   • Plain Legal Meaning &amp; StatCon Application: </w:t>
            </w:r>
            <w:r>
              <w:rPr>
                <w:rFonts w:ascii="Calibri" w:hAnsi="Calibri"/>
                <w:color w:val="212529"/>
                <w:sz w:val="19"/>
              </w:rPr>
              <w:t>The delegated power of a city council cannot override the plenary legislative power of Congress.</w:t>
            </w:r>
          </w:p>
          <w:p>
            <w:pPr>
              <w:spacing w:before="40" w:after="60" w:line="276" w:lineRule="auto"/>
            </w:pPr>
            <w:r>
              <w:rPr>
                <w:rFonts w:ascii="Calibri" w:hAnsi="Calibri"/>
                <w:b/>
                <w:color w:val="8C3200"/>
                <w:sz w:val="20"/>
              </w:rPr>
              <w:t>2. Lex superior derogat legi inferiori (a superior law repeals/overrides an inferior law)</w:t>
              <w:br/>
            </w:r>
            <w:r>
              <w:rPr>
                <w:rFonts w:ascii="Calibri" w:hAnsi="Calibri"/>
                <w:b/>
                <w:color w:val="212529"/>
                <w:sz w:val="19"/>
              </w:rPr>
              <w:t xml:space="preserve">   • Literal English Translation: </w:t>
            </w:r>
            <w:r>
              <w:rPr>
                <w:rFonts w:ascii="Calibri" w:hAnsi="Calibri"/>
                <w:i/>
                <w:color w:val="212529"/>
                <w:sz w:val="19"/>
              </w:rPr>
              <w:t>The higher law prevails over the lower law.</w:t>
              <w:br/>
            </w:r>
            <w:r>
              <w:rPr>
                <w:rFonts w:ascii="Calibri" w:hAnsi="Calibri"/>
                <w:b/>
                <w:color w:val="212529"/>
                <w:sz w:val="19"/>
              </w:rPr>
              <w:t xml:space="preserve">   • Plain Legal Meaning &amp; StatCon Application: </w:t>
            </w:r>
            <w:r>
              <w:rPr>
                <w:rFonts w:ascii="Calibri" w:hAnsi="Calibri"/>
                <w:color w:val="212529"/>
                <w:sz w:val="19"/>
              </w:rPr>
              <w:t>A national statute (PD 1869) prevails over municipal ordinances in case of conflict.</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must remain within its statutory bounds.</w:t>
              <w:br/>
            </w:r>
            <w:r>
              <w:rPr>
                <w:rFonts w:ascii="Calibri" w:hAnsi="Calibri"/>
                <w:b/>
                <w:color w:val="212529"/>
                <w:sz w:val="19"/>
              </w:rPr>
              <w:t xml:space="preserve">   • Plain Legal Meaning &amp; StatCon Application: </w:t>
            </w:r>
            <w:r>
              <w:rPr>
                <w:rFonts w:ascii="Calibri" w:hAnsi="Calibri"/>
                <w:color w:val="212529"/>
                <w:sz w:val="19"/>
              </w:rPr>
              <w:t>Local autonomy cannot be used to secede from national legislative policy.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J. Statute Construed in Relation to Others (PAGCOR Charter PD 1869 vs Local Government Code RA 7160 Casino Ban Ordinance)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superior derogat legi inferiori</w:t>
              <w:br/>
              <w:t>(a superior law overrides an inferior law / a municipal ordinance cannot prohibit what a national statute explicitly permits)</w:t>
              <w:br/>
              <w:br/>
              <w:t>Secondary:</w:t>
              <w:br/>
              <w:t>• Derivativa potestas non potest esse major primitiva (delegated local power is subordinate to national law)</w:t>
              <w:br/>
              <w:t>• Tests of a Valid Ordinance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council enacted municipal ordinances that directly contradicted and attempted to prohibit a national statutory charter enacted by the national government.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Subordination of Municipal Ordinances to National Statutes: A municipal ordinance is null and void if it contravenes, prohibits, or renders nugatory a lawful activity expressly authorized by an act of the national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city ordinance can never beat a national law; if a national law makes something legal, a city council cannot pass an ordinance declaring it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Magtajas v. Pryce Properties is the legendary landmark decision penned by Justice Isagani Cruz establishing that municipal ordinances cannot contravene national statutes—Lex superior derogat legi inferiori."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Mayor Pablo P. Magtajas v. Pryce Properties Corporation and Philippine Amusement and Gaming Corporation (PAGCOR)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111097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PAGCOR decided to expand its casino operations to Cagayan de Oro City and leased space at the Pryce Hotel. In response, the City Council of Cagayan de Oro enacted Ordinance Nos. 3353 and 3375, which prohibited the issuance of business permits for casinos and penalized any person operating a gambling casino within the city. Mayor Magtajas defended the ordinances under the general welfare clause of the Local Government Code (R.A. No. 7160), arguing that local autonomy empowers cities to prohibit gambling to protect public morals. PAGCOR and Pryce challenged the ordinances, contending that a municipal ordinance cannot prohibit what a national statute (P.D. No. 1869) explicitly authorizes.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1869 (PAGCOR Charter): National legislative franchise authorizing PAGCOR to establish and operate gambling casinos nationwide.</w:t>
              <w:br/>
              <w:t>2. Section 16, Republic Act No. 7160 (General Welfare Clause): Empowers local governments to enact ordinances, subject to the limitation that ordinances must conform to national statutes.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council enacted municipal ordinances that directly contradicted and attempted to prohibit a national statutory charter enacted by the national government.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local government unit can enact an ordinance prohibiting and banning the operation of a casino authorized by a national legislative charter (P.D. No. 1869), testing the Hierarchy of Laws and Municipal Ordinance Validity.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Mayor Pablo P. Magtajas v. Pryce Properties Corporation and Philippine Amusement and Gaming Corporation (PAGCOR), under the canon of Lex superior derogat legi inferiori.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1869 (PAGCOR Charter): National legislative franchise authorizing PAGCOR to establish and operate gambling casinos nationwide.</w:t>
              <w:br/>
              <w:t>2. Section 16, Republic Act No. 7160 (General Welfare Clause): Empowers local governments to enact ordinances, subject to the limitation that ordinances must conform to national statutes.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council enacted municipal ordinances that directly contradicted and attempted to prohibit a national statutory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Court of Appeals, and DECLARED Cagayan de Oro Ordinance Nos. 3353 and 3375 NULL AND VOID.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municipal ordinance CANNOT prohibit or invalidate what a national statute explicitly permits. Under the HIERARCHY OF LAWS, an ordinance is subordinate to a statute; the general welfare clause of the Local Government Code does not authorize LGUs to repeal or override national enactments.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council enacted municipal ordinances that directly contradicted and attempted to prohibit a national statutory charter enacted by 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superior derogat legi inferiori</w:t>
              <w:br/>
              <w:t xml:space="preserve">   - Application: Subordination of Municipal Ordinances to National Statutes: A municipal ordinance is null and void if it contravenes, prohibits, or renders nugatory a lawful activity expressly authorized by an act of the national legislature.</w:t>
              <w:br/>
              <w:t xml:space="preserve">   - Result: No. A city ordinance is lower than a national law. When Congress or a national presidential decree legalizes PAGCOR casinos nationwide, a city council cannot declare PAGCOR illegal inside its town. The national law wins every time.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Derivativa potestas non potest esse major primitiva (delegated local power is subordinate to national law)</w:t>
              <w:br/>
              <w:t>• Tests of a Valid Ordinance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Mayor Pablo P. Magtajas v. Pryce Properties Corporation and Philippine Amusement and Gaming Corporation (PAGCOR) to mean and apply strictly in accordance with Lex superior derogat legi inferiori, holding that No. A city ordinance is lower than a national law. When Congress or a national presidential decree legalizes PAGCOR casinos nationwide, a city council cannot de.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Water cannot flow higher than its spring. A city council gets its power from Congress through the Local Government Code. It cannot use that borrowed power to attack a national law passed by Congress. If Congress says 'casinos are legal under PAGCOR', a city cannot say 'casinos are crimes in our town'.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superior derogat legi inferiori,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Subordination of Municipal Ordinances to National Statutes: A municipal ordinance is null and void if it contravenes, prohibits, or renders nugatory a lawful activity expressly authorized by an act of the national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city ordinance can never beat a national law; if a national law makes something legal, a city council cannot pass an ordinance declaring it illegal.</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78. JOSE PENDON V. FELIX DAISNES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L-5606 | August 28, 1952 | 91 Phil. 848 | En Banc | Ponente: J. Tuason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Pendon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Felix Daisnes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Iloilo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concerning election protest for the office of Municipal Mayor and the meaning of 'Plurality of Votes' under the Revised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the mayoralty election in Anilao, Iloilo, Felix Daisnes received the highest number of votes, while Jose Pendon was the second-place candidate. Pendon filed an election protest seeking Daisnes's disqualification on the ground that Daisnes was a convicted felon who was barred from voting and holding office. Pendon argued that if Daisnes was disqualified, the candidate who received the next highest number of votes (Pendon) should be declared the duly elected Mayor pursuant to the statutory principle of 'plurality of votes' under the Election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winner of a mayoralty election was disqualified because of a past criminal conviction. The second-place candidate demanded that the court declare him the new Mayor, claiming he had the highest number of valid votes among the qualified candidates. The Supreme Court rejected his claim, ruling that the second-place candidate cannot be proclaimed winner because the people did not vote for him: the disqualification of the winner merely creates a permanent vacancy to be filled by statutory succession, not an automatic victory for the loser.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candidate who obtains the second-highest number of votes may be proclaimed elected when the winning candidate is disqualified, testing the Statutory Meaning of 'Plurality of Votes'.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second-place loser in an election become the Mayor if the first-place winner is disqualified?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second-placer in an election can be declared winner upon the disqualification of the first-placer, testing the Statutory Meaning of 'Plurality of Votes' and Democratic Representation."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second-place candidate CANNOT be proclaimed winner. Under the statutory principle of 'PLURALITY OF VOTES', only the candidate who receives the highest number of votes of the electorate can be proclaimed elected; the disqualification of the winner creates a VACANCY, not a victory for the loser.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second-placer was rejected by the voters. You cannot declare a loser to be the winner just because the winner was disqualified. That would mock democracy. The position becomes vacant and is filled by the Vice-Mayor under the law on succession.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statutory principle of 'Plurality of Votes' and democratic representation, the candidate who received the second highest number of votes cannot be declared elected. The votes cast for the disqualified winner cannot be treated as non-existent. The disqualification merely creates a vacancy to be filled by statutory succession."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170, Revised Election Code (now Section 211 Omnibus Election Code): </w:t>
            </w:r>
            <w:r>
              <w:rPr>
                <w:rFonts w:ascii="Calibri" w:hAnsi="Calibri"/>
                <w:color w:val="212529"/>
                <w:sz w:val="20"/>
              </w:rPr>
              <w:t>Provides that the candidate receiving the plurality of valid votes shall be proclaimed elected.</w:t>
            </w:r>
          </w:p>
          <w:p>
            <w:pPr>
              <w:spacing w:before="20" w:after="40" w:line="276" w:lineRule="auto"/>
            </w:pPr>
            <w:r>
              <w:rPr>
                <w:rFonts w:ascii="Calibri" w:hAnsi="Calibri"/>
                <w:b/>
                <w:color w:val="212529"/>
                <w:sz w:val="20"/>
              </w:rPr>
              <w:t xml:space="preserve">2. Statutory Meaning of 'Plurality': </w:t>
            </w:r>
            <w:r>
              <w:rPr>
                <w:rFonts w:ascii="Calibri" w:hAnsi="Calibri"/>
                <w:color w:val="212529"/>
                <w:sz w:val="20"/>
              </w:rPr>
              <w:t>Plurality means the greatest number of votes cast among all candidates.</w:t>
            </w:r>
          </w:p>
          <w:p>
            <w:pPr>
              <w:spacing w:before="20" w:after="40" w:line="276" w:lineRule="auto"/>
            </w:pPr>
            <w:r>
              <w:rPr>
                <w:rFonts w:ascii="Calibri" w:hAnsi="Calibri"/>
                <w:b/>
                <w:color w:val="212529"/>
                <w:sz w:val="20"/>
              </w:rPr>
              <w:t xml:space="preserve">3. Democratic Representation and Free Choice of Electorate: </w:t>
            </w:r>
            <w:r>
              <w:rPr>
                <w:rFonts w:ascii="Calibri" w:hAnsi="Calibri"/>
                <w:color w:val="212529"/>
                <w:sz w:val="20"/>
              </w:rPr>
              <w:t>A candidate rejected by the majority of voters cannot be imposed on the electorate by judicial decree.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170 Election Code, Meaning of 'Plurality of Votes', and Democratic Representation.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170 of the Revised Election Code, governed by the statutory definition of 'Plurality of Votes' and the principle of democratic representation."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Principle of Plurality: </w:t>
            </w:r>
            <w:r>
              <w:rPr>
                <w:rFonts w:ascii="Calibri" w:hAnsi="Calibri"/>
                <w:color w:val="212529"/>
                <w:sz w:val="20"/>
              </w:rPr>
              <w:t>The law explicitly commands that the candidate who garners the highest number of votes (plurality) is elected. The second-placer did not win a plurality.</w:t>
            </w:r>
          </w:p>
          <w:p>
            <w:pPr>
              <w:spacing w:before="20" w:after="40" w:line="276" w:lineRule="auto"/>
            </w:pPr>
            <w:r>
              <w:rPr>
                <w:rFonts w:ascii="Calibri" w:hAnsi="Calibri"/>
                <w:b/>
                <w:color w:val="212529"/>
                <w:sz w:val="20"/>
              </w:rPr>
              <w:t xml:space="preserve">2. Rejection of the Minority Rule: </w:t>
            </w:r>
            <w:r>
              <w:rPr>
                <w:rFonts w:ascii="Calibri" w:hAnsi="Calibri"/>
                <w:color w:val="212529"/>
                <w:sz w:val="20"/>
              </w:rPr>
              <w:t>To proclaim a loser who received only a minority of the votes would subvert the democratic process and install a leader whom the electorate expressly rejected.</w:t>
            </w:r>
          </w:p>
          <w:p>
            <w:pPr>
              <w:spacing w:before="20" w:after="40" w:line="276" w:lineRule="auto"/>
            </w:pPr>
            <w:r>
              <w:rPr>
                <w:rFonts w:ascii="Calibri" w:hAnsi="Calibri"/>
                <w:b/>
                <w:color w:val="212529"/>
                <w:sz w:val="20"/>
              </w:rPr>
              <w:t xml:space="preserve">3. Resolution Through Statutory Succession: </w:t>
            </w:r>
            <w:r>
              <w:rPr>
                <w:rFonts w:ascii="Calibri" w:hAnsi="Calibri"/>
                <w:color w:val="212529"/>
                <w:sz w:val="20"/>
              </w:rPr>
              <w:t>The law provides a specific remedy for the disqualification of a winning mayor: the elected Vice-Mayor succeeds to the office under the statutory rules of succession.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1,000 people voted for Candidate A and 300 voted for Candidate B, Candidate B lost. If Candidate A is later disqualified, you cannot make Candidate B mayor because 1,000 citizens voted AGAINST Candidate B. The Vice-Mayor takes over under the law of succession.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interpreted 'plurality of votes'. To declare a second-placer the winner violates the core principle of democratic elections. Disqualifying the winner creates a legal vacancy under the succession statute, rather than an automatic award to the second-placer."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DISMISSING Pendon's petition to be declared Mayor, HOLDING that the vacancy must be filled by statutory succession.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second-placer's petition was dismissed and he was not allowed to take the mayoralty.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that the second-placer cannot be proclaimed winner, maintaining the statutory definition of plurality of votes."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H. Provisos and Exceptions (Revised Election Code Sec. 99 / Disqualification for Treason and Requisite Pardon)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Vox populi, vox Dei (the voice of the people is the voice of God)</w:t>
              <w:br/>
            </w:r>
            <w:r>
              <w:rPr>
                <w:rFonts w:ascii="Calibri" w:hAnsi="Calibri"/>
                <w:b/>
                <w:color w:val="212529"/>
                <w:sz w:val="19"/>
              </w:rPr>
              <w:t xml:space="preserve">   • Literal English Translation: </w:t>
            </w:r>
            <w:r>
              <w:rPr>
                <w:rFonts w:ascii="Calibri" w:hAnsi="Calibri"/>
                <w:i/>
                <w:color w:val="212529"/>
                <w:sz w:val="19"/>
              </w:rPr>
              <w:t>The voice of the people is the voice of God.</w:t>
              <w:br/>
            </w:r>
            <w:r>
              <w:rPr>
                <w:rFonts w:ascii="Calibri" w:hAnsi="Calibri"/>
                <w:b/>
                <w:color w:val="212529"/>
                <w:sz w:val="19"/>
              </w:rPr>
              <w:t xml:space="preserve">   • Plain Legal Meaning &amp; StatCon Application: </w:t>
            </w:r>
            <w:r>
              <w:rPr>
                <w:rFonts w:ascii="Calibri" w:hAnsi="Calibri"/>
                <w:color w:val="212529"/>
                <w:sz w:val="19"/>
              </w:rPr>
              <w:t>The democratic will of the electorate who voted against the second-placer must be respected.</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'plurality of votes' means the greatest number of votes cast.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Democratic stability demands that public leaders enjoy the actual electoral consent of the majority.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H. Provisos and Exceptions (Revised Election Code Sec. 99 / Disqualification for Treason and Requisite Pardon)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Vox populi, vox Dei</w:t>
              <w:br/>
              <w:t>(the voice of the people is the voice of God / 'plurality of votes' requires actual electoral victory; second-placers cannot be proclaimed winner upon disqualification)</w:t>
              <w:br/>
              <w:br/>
              <w:t>Secondary:</w:t>
              <w:br/>
              <w:t>• Verba legis non est recedendum (plain meaning of 'plurality')</w:t>
              <w:br/>
              <w:t>• Salus populi est suprema lex (electoral legitimacy)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second-placer attempted to subvert the statutory meaning of 'plurality of votes' to install himself into public office despite electoral rejection.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second-place loser in an election cannot become the mayor if the winner is disqualified; the Vice-Mayor takes over under the succession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Pendon v. Daisnes is the foundational authority establishing that 'plurality of votes' bars the second-placer from being declared the winner upon disqualification of the first-placer—Vox populi, vox Dei."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Pendon v. Felix Daisnes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L-5606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28,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the mayoralty election in Anilao, Iloilo, Felix Daisnes received the highest number of votes, while Jose Pendon was the second-place candidate. Pendon filed an election protest seeking Daisnes's disqualification on the ground that Daisnes was a convicted felon who was barred from voting and holding office. Pendon argued that if Daisnes was disqualified, the candidate who received the next highest number of votes (Pendon) should be declared the duly elected Mayor pursuant to the statutory principle of 'plurality of votes' under the Election Code.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170, Revised Election Code (now Section 211 Omnibus Election Code): Provides that the candidate receiving the plurality of valid votes shall be proclaimed elected.</w:t>
              <w:br/>
              <w:t>2. Statutory Meaning of 'Plurality': Plurality means the greatest number of votes cast among all candidates.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second-placer attempted to subvert the statutory meaning of 'plurality of votes' to install himself into public office despite electoral rejection.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candidate who obtains the second-highest number of votes may be proclaimed elected when the winning candidate is disqualified, testing the Statutory Meaning of 'Plurality of Votes'.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Pendon v. Felix Daisnes, under the canon of Vox populi, vox Dei.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170, Revised Election Code (now Section 211 Omnibus Election Code): Provides that the candidate receiving the plurality of valid votes shall be proclaimed elected.</w:t>
              <w:br/>
              <w:t>2. Statutory Meaning of 'Plurality': Plurality means the greatest number of votes cast among all candidates.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second-placer attempted to subvert the statutory meaning of 'plurality of votes' to install himself into public offi...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DISMISSING Pendon's petition to be declared Mayor, HOLDING that the vacancy must be filled by statutory succession.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second-place candidate CANNOT be proclaimed winner. Under the statutory principle of 'PLURALITY OF VOTES', only the candidate who receives the highest number of votes of the electorate can be proclaimed elected; the disqualification of the winner creates a VACANCY, not a victory for the loser.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second-placer attempted to subvert the statutory meaning of 'plurality of votes' to install himself into public office despite electoral.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Vox populi, vox Dei</w:t>
              <w:br/>
              <w:t xml:space="preserve">   - Application: 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br/>
              <w:t xml:space="preserve">   - Result: No. The second-placer was rejected by the voters. You cannot declare a loser to be the winner just because the winner was disqualified. That would mock democracy. The position becomes vacant and is filled by the Vice-Mayor under the law on succession.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'plurality')</w:t>
              <w:br/>
              <w:t>• Salus populi est suprema lex (electoral legitimacy)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Pendon v. Felix Daisnes to mean and apply strictly in accordance with Vox populi, vox Dei, holding that No. The second-placer was rejected by the voters. You cannot declare a loser to be the winner just because the winner was disqualified. That would mock democrac.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1,000 people voted for Candidate A and 300 voted for Candidate B, Candidate B lost. If Candidate A is later disqualified, you cannot make Candidate B mayor because 1,000 citizens voted AGAINST Candidate B. The Vice-Mayor takes over under the law of succession.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Vox populi, vox Dei,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second-place loser in an election cannot become the mayor if the winner is disqualified; the Vice-Mayor takes over under the succession law.</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 (Part 2)</w:t>
              <w:br/>
            </w:r>
            <w:r>
              <w:rPr>
                <w:rFonts w:ascii="Arial" w:hAnsi="Arial"/>
                <w:b/>
                <w:color w:val="FFFFFF"/>
                <w:sz w:val="24"/>
              </w:rPr>
              <w:t>INTERPRETATION OF WORDS AND PHRASES: STRUCTURAL &amp; SYSTEMATIC RULES</w:t>
              <w:br/>
            </w:r>
            <w:r>
              <w:rPr>
                <w:rFonts w:ascii="Arial" w:hAnsi="Arial"/>
                <w:i/>
                <w:color w:val="D7E6FA"/>
                <w:sz w:val="19"/>
              </w:rPr>
              <w:t>Cases 68 to 79 | Statute as Whole, Progressive Interpretation, Provisos &amp; Inter-Statutory Harmony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Progressive Interpretation: Statutes adapt to changing conditions (Krivenko doctrine)</w:t>
            </w:r>
          </w:p>
          <w:p>
            <w:pPr>
              <w:spacing w:before="20" w:after="20"/>
            </w:pPr>
            <w:r>
              <w:rPr>
                <w:rFonts w:ascii="Calibri" w:hAnsi="Calibri"/>
                <w:color w:val="F0F5FF"/>
                <w:sz w:val="18"/>
              </w:rPr>
              <w:t>• • Provisos, Exceptions &amp; Saving Clauses: Restricting preceding general clauses</w:t>
            </w:r>
          </w:p>
          <w:p>
            <w:pPr>
              <w:spacing w:before="20" w:after="20"/>
            </w:pPr>
            <w:r>
              <w:rPr>
                <w:rFonts w:ascii="Calibri" w:hAnsi="Calibri"/>
                <w:color w:val="F0F5FF"/>
                <w:sz w:val="18"/>
              </w:rPr>
              <w:t>• • Statute Construed as a Whole: Ut res magis valeat quam pereat; reconciling conflicting sections</w:t>
            </w:r>
          </w:p>
          <w:p>
            <w:pPr>
              <w:spacing w:before="20" w:after="20"/>
            </w:pPr>
            <w:r>
              <w:rPr>
                <w:rFonts w:ascii="Calibri" w:hAnsi="Calibri"/>
                <w:color w:val="F0F5FF"/>
                <w:sz w:val="18"/>
              </w:rPr>
              <w:t>• • Statute Construed in Relation to Other Statutes: In pari materia and harmonizing local vs national laws</w:t>
            </w:r>
          </w:p>
        </w:tc>
      </w:tr>
    </w:tbl>
    <w:p>
      <w:pPr>
        <w:spacing w:before="120"/>
      </w:pPr>
    </w:p>
    <w:p>
      <w:pPr>
        <w:keepNext/>
        <w:spacing w:before="320" w:after="80"/>
      </w:pPr>
      <w:r>
        <w:rPr>
          <w:rFonts w:ascii="Arial" w:hAnsi="Arial"/>
          <w:b/>
          <w:color w:val="0F2043"/>
          <w:sz w:val="26"/>
        </w:rPr>
        <w:t>79. JUAN GROSPE AND JUANITA GROSPE V. COURT OF APPEALS AND CORNELIO ESGUERRA</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L-11443 | September 30, 1959 | 106 Phil. 208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 Grospe and Juanita Grospe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Cornelio Esguerra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Nueva Ecija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a sale of standing palay crops on a homestead constitutes an encumbrance on 'improvements' under Section 118 of Commonwealth Act No. 141 (The Public Land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Cornelio Esguerra was granted a homestead patent over agricultural land. Within the 5-year statutory prohibitory period under Section 118 of the Public Land Act, Esguerra sold the standing palay crop and improvements on the land to Spouses Grospe with a stipulation that the Grospes could cultivate and possess the land for several seasons to recoup their money. When Esguerra later filed an action to recover possession and annul the transaction, the Grospes argued that Section 118 prohibits only the sale or encumbrance of the 'land itself and its permanent improvements', and claimed that unharvested standing crops (palay) do not constitute 'improvements' or real property.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homesteader was granted free government farmland. Under the Public Land Act, homesteaders are strictly banned from selling, mortgaging, or encumbering their land or improvements for 5 years. Within that 5-year period, the homesteader sold his standing rice crops and let the buyers possess the land for several harvests. Later, the homesteader sued to get the land back, arguing the deal was illegal. The buyers claimed rice crops are just temporary plants, not 'improvements'. The Supreme Court ruled that under the Public Land Act, allowing someone to take over and harvest the land violates the 5-year ban.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sale of standing crops and temporary surrender of possession within the 5-year prohibitory period constitutes a prohibited encumbrance on 'improvements' under Section 118 of the Public Land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selling standing rice crops and turning over the farm to a buyer violate the 5-year ban on selling or encumbering homestead lands?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transaction constitutes a prohibited encumbrance on 'improvements' under Section 118 of CA 141, testing the Statutory Purpose of Homestead Legislation (Ratio Legis) and Strict Enforcement of Public Land Prohibitions."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transaction is NULL AND VOID. In statutory construction of the Public Land Act, any contract that transfers the possession, cultivation, and usufruct of homestead land and crops within the 5-year prohibitory period constitutes a prohibited ENCUMBRANCE on the land and its improvements.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poor homesteaders from losing their farms. Any clever contract that hands over the land or crops to someone else during the first 5 years is a prohibited encumbrance and is completely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Ratio legis est anima legis and the social justice policy of CA 141, Section 118 was enacted to preserve the homestead in the hands of the patentee. Any agreement that surrenders the cultivation, possession, or crops of the homestead within the 5-year prohibitory period constitutes a prohibited encumbrance and is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118, Commonwealth Act No. 141 (The Public Land Act): </w:t>
            </w:r>
            <w:r>
              <w:rPr>
                <w:rFonts w:ascii="Calibri" w:hAnsi="Calibri"/>
                <w:color w:val="212529"/>
                <w:sz w:val="20"/>
              </w:rPr>
              <w:t>Prohibits the alienation, transfer, or encumbrance of lands acquired under homestead patents within five years from issuance.</w:t>
            </w:r>
          </w:p>
          <w:p>
            <w:pPr>
              <w:spacing w:before="20" w:after="40" w:line="276" w:lineRule="auto"/>
            </w:pPr>
            <w:r>
              <w:rPr>
                <w:rFonts w:ascii="Calibri" w:hAnsi="Calibri"/>
                <w:b/>
                <w:color w:val="212529"/>
                <w:sz w:val="20"/>
              </w:rPr>
              <w:t xml:space="preserve">2. Broad Statutory Meaning of 'Encumbrance' and 'Improvements': </w:t>
            </w:r>
            <w:r>
              <w:rPr>
                <w:rFonts w:ascii="Calibri" w:hAnsi="Calibri"/>
                <w:color w:val="212529"/>
                <w:sz w:val="20"/>
              </w:rPr>
              <w:t>Includes any burden, lease, usufruct, or assignment of crops that deprives the homesteader of the land's possession and benefits.</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public policy of the Public Land Act is to preserve the land as a permanent home for the settler and his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118 CA 141, Broad Meaning of 'Encumbrance', and Ratio Legis in Public Land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118 of CA 141, governed by the broad statutory definition of 'encumbrance' and the bedrock canon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5-Year Prohibitory Period: </w:t>
            </w:r>
            <w:r>
              <w:rPr>
                <w:rFonts w:ascii="Calibri" w:hAnsi="Calibri"/>
                <w:color w:val="212529"/>
                <w:sz w:val="20"/>
              </w:rPr>
              <w:t>The state gave public land to landless settlers for free to provide them with a livelihood. Section 118 was designed to protect the homesteader from his own financial distress and from greedy money-lenders.</w:t>
            </w:r>
          </w:p>
          <w:p>
            <w:pPr>
              <w:spacing w:before="20" w:after="40" w:line="276" w:lineRule="auto"/>
            </w:pPr>
            <w:r>
              <w:rPr>
                <w:rFonts w:ascii="Calibri" w:hAnsi="Calibri"/>
                <w:b/>
                <w:color w:val="212529"/>
                <w:sz w:val="20"/>
              </w:rPr>
              <w:t xml:space="preserve">2. Broad Construction of 'Encumbrance': </w:t>
            </w:r>
            <w:r>
              <w:rPr>
                <w:rFonts w:ascii="Calibri" w:hAnsi="Calibri"/>
                <w:color w:val="212529"/>
                <w:sz w:val="20"/>
              </w:rPr>
              <w:t>The word 'encumbrance' is not limited to formal mortgages. It encompasses any contractual scheme—including the sale of future crops with transfer of possession—that strips the homesteader of the land.</w:t>
            </w:r>
          </w:p>
          <w:p>
            <w:pPr>
              <w:spacing w:before="20" w:after="40" w:line="276" w:lineRule="auto"/>
            </w:pPr>
            <w:r>
              <w:rPr>
                <w:rFonts w:ascii="Calibri" w:hAnsi="Calibri"/>
                <w:b/>
                <w:color w:val="212529"/>
                <w:sz w:val="20"/>
              </w:rPr>
              <w:t xml:space="preserve">3. Mandatory Public Policy: </w:t>
            </w:r>
            <w:r>
              <w:rPr>
                <w:rFonts w:ascii="Calibri" w:hAnsi="Calibri"/>
                <w:color w:val="212529"/>
                <w:sz w:val="20"/>
              </w:rPr>
              <w:t>Any contract violating Section 118 is contrary to public policy and void ab initio under Article 1409 of the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government gave the homesteader free land to feed his family. If loan sharks could take over the land by calling it a 'sale of future rice crops', the 5-year protection would be completely destroyed. The Court ruled that any deal that gives away the farm within 5 years is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social construction. Under Ratio Legis, Section 118 of CA 141 prohibits any transaction that divests the homesteader of the possession and fruits of the land within 5 years. The Court declared the contract void ab initio and restored the land to the homesteader."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DECLARING the contract void and ORDERING the restoration of the homestead to Esguerra.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homesteader won and the contract handing over the farm was declared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restored the homestead to the patentee, holding that transferring crops and possession within 5 years is a void encumbrance under Section 118 CA 141."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 Interpretation of Words and Phrases -&gt; G. Meaning Qualified by Purpose (Agricultural Tenancy Act RA 1199 / Tenancy Reinstatement and Harvest Rights)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protect poor homesteaders against land loss governs the construction of Section 118 CA 141.</w:t>
            </w:r>
          </w:p>
          <w:p>
            <w:pPr>
              <w:spacing w:before="40" w:after="60" w:line="276" w:lineRule="auto"/>
            </w:pPr>
            <w:r>
              <w:rPr>
                <w:rFonts w:ascii="Calibri" w:hAnsi="Calibri"/>
                <w:b/>
                <w:color w:val="8C3200"/>
                <w:sz w:val="20"/>
              </w:rPr>
              <w:t>2. Pacta quae contra legem fiunt nullam vim habent (contracts made against the law have no force)</w:t>
              <w:br/>
            </w:r>
            <w:r>
              <w:rPr>
                <w:rFonts w:ascii="Calibri" w:hAnsi="Calibri"/>
                <w:b/>
                <w:color w:val="212529"/>
                <w:sz w:val="19"/>
              </w:rPr>
              <w:t xml:space="preserve">   • Literal English Translation: </w:t>
            </w:r>
            <w:r>
              <w:rPr>
                <w:rFonts w:ascii="Calibri" w:hAnsi="Calibri"/>
                <w:i/>
                <w:color w:val="212529"/>
                <w:sz w:val="19"/>
              </w:rPr>
              <w:t>Agreements made against the law are void.</w:t>
              <w:br/>
            </w:r>
            <w:r>
              <w:rPr>
                <w:rFonts w:ascii="Calibri" w:hAnsi="Calibri"/>
                <w:b/>
                <w:color w:val="212529"/>
                <w:sz w:val="19"/>
              </w:rPr>
              <w:t xml:space="preserve">   • Plain Legal Meaning &amp; StatCon Application: </w:t>
            </w:r>
            <w:r>
              <w:rPr>
                <w:rFonts w:ascii="Calibri" w:hAnsi="Calibri"/>
                <w:color w:val="212529"/>
                <w:sz w:val="19"/>
              </w:rPr>
              <w:t>Contracts encumbering homesteads within the 5-year prohibitory period are void ab initio.</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small landholdings for poor agrarian families advances public stability.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 Interpretation of Words and Phrases -&gt; G. Meaning Qualified by Purpose (Agricultural Tenancy Act RA 1199 / Tenancy Reinstatement and Harvest Rights)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'encumbrance' in Section 118 Public Land Act covers any contract transferring possession and crops within 5 years)</w:t>
              <w:br/>
              <w:br/>
              <w:t>Secondary:</w:t>
              <w:br/>
              <w:t>• Pacta quae contra legem fiunt nullam vim habent (contracts violating public land laws are void)</w:t>
              <w:br/>
              <w:t>• Salus populi est suprema lex (social justice in agrarian homesteads)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buyers attempted to circumvent the 5-year statutory prohibition by disguising a land transfer as a mere sale of standing crops.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Homestead Statutes: Statutory terms restricting alienation ('encumbrance', 'improvements') in public land laws are construed broadly to nullify all disguised transactions that deprive the homesteader of the land.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Homestead protection laws are strictly enforced; any contract that tries to sneak around the 5-year ban by selling future crops is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Grospe v. CA establishes that under Ratio legis est anima legis, 'encumbrance' in Section 118 of the Public Land Act encompasses any contract that surrenders possession and crops within 5 years."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 Grospe and Juanita Grospe v. Court of Appeals and Cornelio Esguerra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L-11443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30,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Cornelio Esguerra was granted a homestead patent over agricultural land. Within the 5-year statutory prohibitory period under Section 118 of the Public Land Act, Esguerra sold the standing palay crop and improvements on the land to Spouses Grospe with a stipulation that the Grospes could cultivate and possess the land for several seasons to recoup their money. When Esguerra later filed an action to recover possession and annul the transaction, the Grospes argued that Section 118 prohibits only the sale or encumbrance of the 'land itself and its permanent improvements', and claimed that unharvested standing crops (palay) do not constitute 'improvements' or real property.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118, Commonwealth Act No. 141 (The Public Land Act): Prohibits the alienation, transfer, or encumbrance of lands acquired under homestead patents within five years from issuance.</w:t>
              <w:br/>
              <w:t>2. Broad Statutory Meaning of 'Encumbrance' and 'Improvements': Includes any burden, lease, usufruct, or assignment of crops that deprives the homesteader of the land's possession and benefits.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buyers attempted to circumvent the 5-year statutory prohibition by disguising a land transfer as a mere sale of standing crops.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sale of standing crops and temporary surrender of possession within the 5-year prohibitory period constitutes a prohibited encumbrance on 'improvements' under Section 118 of the Public Land Act.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 Grospe and Juanita Grospe v. Court of Appeals and Cornelio Esguerra,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118, Commonwealth Act No. 141 (The Public Land Act): Prohibits the alienation, transfer, or encumbrance of lands acquired under homestead patents within five years from issuance.</w:t>
              <w:br/>
              <w:t>2. Broad Statutory Meaning of 'Encumbrance' and 'Improvements': Includes any burden, lease, usufruct, or assignment of crops that deprives the homesteader of the land's possession and benefits.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buyers attempted to circumvent the 5-year statutory prohibition by disguising a land transfer as a mere sale of stan...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DECLARING the contract void and ORDERING the restoration of the homestead to Esguerra.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transaction is NULL AND VOID. In statutory construction of the Public Land Act, any contract that transfers the possession, cultivation, and usufruct of homestead land and crops within the 5-year prohibitory period constitutes a prohibited ENCUMBRANCE on the land and its improvements.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buyers attempted to circumvent the 5-year statutory prohibition by disguising a land transfer as a mere sale of standing crops..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Protective Construction of Homestead Statutes: Statutory terms restricting alienation ('encumbrance', 'improvements') in public land laws are construed broadly to nullify all disguised transactions that deprive the homesteader of the land.</w:t>
              <w:br/>
              <w:t xml:space="preserve">   - Result: Yes. The law protects poor homesteaders from losing their farms. Any clever contract that hands over the land or crops to someone else during the first 5 years is a prohibited encumbrance and is completely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quae contra legem fiunt nullam vim habent (contracts violating public land laws are void)</w:t>
              <w:br/>
              <w:t>• Salus populi est suprema lex (social justice in agrarian homesteads)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 Grospe and Juanita Grospe v. Court of Appeals and Cornelio Esguerra to mean and apply strictly in accordance with Ratio legis est anima legis, holding that Yes. The law protects poor homesteaders from losing their farms. Any clever contract that hands over the land or crops to someone else during the first 5 years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government gave the homesteader free land to feed his family. If loan sharks could take over the land by calling it a 'sale of future rice crops', the 5-year protection would be completely destroyed. The Court ruled that any deal that gives away the farm within 5 years is illegal and void.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Homestead Statutes: Statutory terms restricting alienation ('encumbrance', 'improvements') in public land laws are construed broadly to nullify all disguised transactions that deprive the homesteader of the land.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Homestead protection laws are strictly enforced; any contract that tries to sneak around the 5-year ban by selling future crops is illegal and void.</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VI (Part 1)</w:t>
              <w:br/>
            </w:r>
            <w:r>
              <w:rPr>
                <w:rFonts w:ascii="Arial" w:hAnsi="Arial"/>
                <w:b/>
                <w:color w:val="FFFFFF"/>
                <w:sz w:val="24"/>
              </w:rPr>
              <w:t>CONSTRUCTION OF CONSTITUTION AND SPECIFIC KINDS OF STATUTES: CONSTITUTIONAL CONSTRUCTION</w:t>
              <w:br/>
            </w:r>
            <w:r>
              <w:rPr>
                <w:rFonts w:ascii="Arial" w:hAnsi="Arial"/>
                <w:i/>
                <w:color w:val="D7E6FA"/>
                <w:sz w:val="19"/>
              </w:rPr>
              <w:t>Cases 80 to 83 | Canons of Constitutional Construction, Framers' Intent &amp; Institutional Boundaries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Tripartite Hierarchy of Constitutional Construction: (1) Verba Legis, (2) Ratio Legis, (3) Ut Res Magis Valeat Quam Pereat</w:t>
            </w:r>
          </w:p>
          <w:p>
            <w:pPr>
              <w:spacing w:before="20" w:after="20"/>
            </w:pPr>
            <w:r>
              <w:rPr>
                <w:rFonts w:ascii="Calibri" w:hAnsi="Calibri"/>
                <w:color w:val="F0F5FF"/>
                <w:sz w:val="18"/>
              </w:rPr>
              <w:t>• • Constitutional Structural Placement: Location of provisions within articles defining executive vs judicial power</w:t>
            </w:r>
          </w:p>
          <w:p>
            <w:pPr>
              <w:spacing w:before="20" w:after="20"/>
            </w:pPr>
            <w:r>
              <w:rPr>
                <w:rFonts w:ascii="Calibri" w:hAnsi="Calibri"/>
                <w:color w:val="F0F5FF"/>
                <w:sz w:val="18"/>
              </w:rPr>
              <w:t>• • Intent of Constitutional Commission: Preserving institutional balance and anti-harassment safeguards</w:t>
            </w:r>
          </w:p>
        </w:tc>
      </w:tr>
    </w:tbl>
    <w:p>
      <w:pPr>
        <w:spacing w:before="120"/>
      </w:pPr>
    </w:p>
    <w:p>
      <w:pPr>
        <w:keepNext/>
        <w:spacing w:before="320" w:after="80"/>
      </w:pPr>
      <w:r>
        <w:rPr>
          <w:rFonts w:ascii="Arial" w:hAnsi="Arial"/>
          <w:b/>
          <w:color w:val="0F2043"/>
          <w:sz w:val="26"/>
        </w:rPr>
        <w:t>80. ATTY. ERNESTO B. FRANCISCO, JR. V. THE HOUSE OF REPRESENTATIVES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160261 | November 10, 2003 | 415 SCRA 44 | En Banc | Ponente: J. Morales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Atty. Ernesto B. Francisco, Jr. and various co-petitioners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House of Representatives, Speaker Jose G. De Venecia, Jr., and the Senate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Certiorari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the second impeachment complaint filed against Chief Justice Hilario G. Davide, Jr. under Article XI, Section 3(5) of the 1987 Constitution (The One-Year Bar Rule).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On June 2, 2003, a first impeachment complaint was filed against Chief Justice Hilario G. Davide, Jr. and seven other Associate Justices by former President Joseph Estrada, which was referred to the House Committee on Justice and dismissed for insufficiency in substance on October 22, 2003. On October 23, 2003 (just one day later), a second impeachment complaint was signed by over one-third of the members of the House of Representatives and transmitted directly to the Senate for trial. Numerous citizens and lawyers petitioned the Supreme Court to declare the second impeachment complaint unconstitutional, citing Article XI, Section 3(5) of the 1987 Constitution, which provides: 'No impeachment proceeding shall be initiated against the same official more than once within a period of one year.' The House argued that 'initiation' takes place only when the complaint is filed with or transmitted to the Senate, and claimed that the issue was a non-justiciable political question.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first impeachment complaint against Chief Justice Davide was dismissed by the House Committee on Justice. The very next day, congressmen filed a second impeachment complaint against the Chief Justice and immediately sent it to the Senate. Citizens sued to stop the trial, citing the Constitution's rule that 'no impeachment proceeding shall be initiated against the same official more than once within a period of one year.' The House argued that 'initiated' only happens when the trial starts in the Senate, and that the Supreme Court had no power to tell Congress what to do. The Supreme Court ruled that under constitutional construction (Verba Legis and Ratio Legis), an impeachment is 'initiated' the moment the complaint is filed and referred to the House Committee, making the second complaint within one year completely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second impeachment complaint violates the one-year ban under Article XI, Section 3(5) of the 1987 Constitution, and what constitutes the constitutional meaning of the term 'Initiated' in impeachment proceedings.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What does the word 'initiated' mean in the constitutional one-year ban on impeachment, and was the second complaint against Chief Justice Davide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the constitutional interpretation of the term 'initiated' under Article XI, Section 3(5) of the 1987 Constitution, testing the Canons of Constitutional Construction (Verba Legis, Ratio Legis, and Ut Res Magis Valeat Quam Pereat) and Judicial Review of Political Questions."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second impeachment complaint is UNCONSTITUTIONAL and VOID. Under constitutional construction (Verba Legis and Ratio Legis), an impeachment proceeding is 'INITIATED' when the verified complaint is filed and referred to the House Committee on Justice. Since the first complaint was initiated on June 2, 2003, the second complaint filed on October 23, 2003 violated the absolute one-year constitutional bar.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'Initiated' means started. An impeachment starts the moment the complaint is filed and referred to the House committee. Because the first complaint was filed in June 2003, no second complaint could be filed against Chief Justice Davide until June 2004. The second complaint violated the Constitution and was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Justice Conchita Carpio Morales laid down the fundamental canons of constitutional construction: (1) Verba Legis (words given plain meaning); (2) Ratio Legis (constitutional framers' intent); and (3) Ut Res Magis Valeat Quam Pereat (construing the Constitution as a whole). Constitutional records prove that 'initiated' means the filing and taking of action by the House. The second impeachment complaint violated Article XI, Section 3(5) and was declared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XI, Section 3(5), 1987 Constitution: </w:t>
            </w:r>
            <w:r>
              <w:rPr>
                <w:rFonts w:ascii="Calibri" w:hAnsi="Calibri"/>
                <w:color w:val="212529"/>
                <w:sz w:val="20"/>
              </w:rPr>
              <w:t>Explicitly provides that 'No impeachment proceeding shall be initiated against the same official more than once within a period of one year'.</w:t>
            </w:r>
          </w:p>
          <w:p>
            <w:pPr>
              <w:spacing w:before="20" w:after="40" w:line="276" w:lineRule="auto"/>
            </w:pPr>
            <w:r>
              <w:rPr>
                <w:rFonts w:ascii="Calibri" w:hAnsi="Calibri"/>
                <w:b/>
                <w:color w:val="212529"/>
                <w:sz w:val="20"/>
              </w:rPr>
              <w:t xml:space="preserve">2. Primary Canons of Constitutional Construction: </w:t>
            </w:r>
            <w:r>
              <w:rPr>
                <w:rFonts w:ascii="Calibri" w:hAnsi="Calibri"/>
                <w:color w:val="212529"/>
                <w:sz w:val="20"/>
              </w:rPr>
              <w:t>(a)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20"/>
              </w:rPr>
              <w:t xml:space="preserve">3. Article VIII, Section 1, 1987 Constitution (Expanded Judicial Review): </w:t>
            </w:r>
            <w:r>
              <w:rPr>
                <w:rFonts w:ascii="Calibri" w:hAnsi="Calibri"/>
                <w:color w:val="212529"/>
                <w:sz w:val="20"/>
              </w:rPr>
              <w:t>Judicial power includes the duty to determine whether any branch has committed grave abuse of discretion amounting to lack or excess of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XI Sec 3(5) Constitution, Canons of Constitutional Construction (Verba Legis, Ratio Legis, Ut Res Magis), and Expanded Judicial Review.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XI, Section 3(5) of the 1987 Constitution, interpreted through the supreme tripartite canons of Constitutional Construction: Verba Legis, Ratio Legis, and Ut Res Magis Valeat Quam Pereat, enforced through Expanded Judicial Power under Article VIII, Section 1."</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Canons of Constitutional Construction: </w:t>
            </w:r>
            <w:r>
              <w:rPr>
                <w:rFonts w:ascii="Calibri" w:hAnsi="Calibri"/>
                <w:color w:val="212529"/>
                <w:sz w:val="20"/>
              </w:rPr>
              <w:t>First, Verba Legis: words must be given their ordinary, plain meaning as understood by the people who ratified the Constitution. 'Initiate' means to begin, commence, or start. Second, Ratio Legis: the deliberations of the 1986 Constitutional Commission (specifically Commissioner Christian Monsod's sponsor speech) prove that the one-year bar was designed to prevent the harassment of impeachable officers. Third, Ut Res Magis Valeat Quam Pereat: all parts of Section 3 must be harmonized.</w:t>
            </w:r>
          </w:p>
          <w:p>
            <w:pPr>
              <w:spacing w:before="20" w:after="40" w:line="276" w:lineRule="auto"/>
            </w:pPr>
            <w:r>
              <w:rPr>
                <w:rFonts w:ascii="Calibri" w:hAnsi="Calibri"/>
                <w:b/>
                <w:color w:val="212529"/>
                <w:sz w:val="20"/>
              </w:rPr>
              <w:t xml:space="preserve">2. The Meaning of 'Initiated': </w:t>
            </w:r>
            <w:r>
              <w:rPr>
                <w:rFonts w:ascii="Calibri" w:hAnsi="Calibri"/>
                <w:color w:val="212529"/>
                <w:sz w:val="20"/>
              </w:rPr>
              <w:t>An impeachment proceeding is initiated when a verified complaint is filed by a Member of the House or citizen and formally referred to the Committee on Justice under Section 3(2), or when endorsed by 1/3 of the House under Section 3(4).</w:t>
            </w:r>
          </w:p>
          <w:p>
            <w:pPr>
              <w:spacing w:before="20" w:after="40" w:line="276" w:lineRule="auto"/>
            </w:pPr>
            <w:r>
              <w:rPr>
                <w:rFonts w:ascii="Calibri" w:hAnsi="Calibri"/>
                <w:b/>
                <w:color w:val="212529"/>
                <w:sz w:val="20"/>
              </w:rPr>
              <w:t xml:space="preserve">3. Non-Applicability of Political Question Doctrine: </w:t>
            </w:r>
            <w:r>
              <w:rPr>
                <w:rFonts w:ascii="Calibri" w:hAnsi="Calibri"/>
                <w:color w:val="212529"/>
                <w:sz w:val="20"/>
              </w:rPr>
              <w:t>Where the Constitution sets an express, textual limitation on legislative power (the one-year bar), the Supreme Court has the constitutional duty under Article VIII, Section 1 to enforce that limitation and prevent constitutional breach.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applied the three golden rules of constitutional construction: (1) read the plain words as the people understand them; (2) check the debates of the constitutional framers; and (3) read the whole Constitution together. The records show the framers added the 1-year ban so public officials wouldn't spend all year fighting endless impeachment complaints. An impeachment starts the moment it is filed. The second complaint was filed after only 4 months, so it was completely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delivered the ultimate masterclass in constitutional construction. Under Verba Legis, 'initiate' means to commence. Under Ratio Legis, the Constitutional Commission intended to prevent constant legislative harassment of officials. The Supreme Court held that the filing and referral of the June 2003 complaint initiated the proceeding, making the October 2003 complaint void under the one-year bar."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petitions, ENJOINED the House and Senate from acting on the second impeachment complaint, and DECLARED the second impeachment complaint UNCONSTITUTIONAL and VOID AB INITIO.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Chief Justice and the petitioners won; the second impeachment complaint was declared unconstitutional and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second impeachment complaint, establishing the definitive tripartite canons of Constitutional Construction."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A. Constitutional Construction -&gt; Verba Legis, Ratio Legis &amp; Ut Res Magis Valeat Quam Pereat (Impeachment One-Year Bar)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law there must be no departure.</w:t>
              <w:br/>
            </w:r>
            <w:r>
              <w:rPr>
                <w:rFonts w:ascii="Calibri" w:hAnsi="Calibri"/>
                <w:b/>
                <w:color w:val="212529"/>
                <w:sz w:val="19"/>
              </w:rPr>
              <w:t xml:space="preserve">   • Plain Legal Meaning &amp; StatCon Application: </w:t>
            </w:r>
            <w:r>
              <w:rPr>
                <w:rFonts w:ascii="Calibri" w:hAnsi="Calibri"/>
                <w:color w:val="212529"/>
                <w:sz w:val="19"/>
              </w:rPr>
              <w:t>Constitutional provisions are construed according to their plain, ordinary meaning as understood by the sovereign people.</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intention of the framers of the 1987 Constitution to prevent political harassment governs.</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All provisions of the Constitution must be harmonized to operate as an integrated, supreme whole.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A. Constitutional Construction -&gt; Verba Legis, Ratio Legis &amp; Ut Res Magis Valeat Quam Pereat (Impeachment One-Year Bar)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 Ratio legis est anima legis / Ut res magis valeat quam pereat</w:t>
              <w:br/>
              <w:t>(the supreme tripartite canons of Constitutional Construction: plain meaning, intent of framers, and holistic harmonization)</w:t>
              <w:br/>
              <w:br/>
              <w:t>Secondary:</w:t>
              <w:br/>
              <w:t>• Lex superior derogat legi inferiori (the Constitution is supreme over House rules)</w:t>
              <w:br/>
              <w:t>• Salus populi est suprema lex (preservation of constitutional stability)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House of Representatives attempted to redefine the constitutional term 'initiated' through internal house rules to evade the explicit one-year constitutional bar.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Tripartite Canons of Constitutional Construction: In constitutional interpretation: (1) Verba Legis governs first; (2) Ratio Legis (framers' intent) resolves ambiguity; and (3) Ut Res Magis Valeat Quam Pereat ensures every constitutional clause operates harmoniously.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is the highest law in the land; its plain words and the purpose of the framers control over all politicians and house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Francisco v. House of Representatives is the magnum opus of Philippine constitutional construction, establishing the tripartite hierarchy: Verba Legis, Ratio Legis, and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Atty. Ernesto B. Francisco, Jr. v. The House of Representatives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160261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10, 2003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On June 2, 2003, a first impeachment complaint was filed against Chief Justice Hilario G. Davide, Jr. and seven other Associate Justices by former President Joseph Estrada, which was referred to the House Committee on Justice and dismissed for insufficiency in substance on October 22, 2003. On October 23, 2003 (just one day later), a second impeachment complaint was signed by over one-third of the members of the House of Representatives and transmitted directly to the Senate for trial. Numerous citizens and lawyers petitioned the Supreme Court to declare the second impeachment complaint unconstitutional, citing Article XI, Section 3(5) of the 1987 Constitution, which provides: 'No impeachment proceeding shall be initiated against the same official more than once within a period of one year.' The House argued that 'initiation' takes place only when the complaint is filed with or transmitted to the Senate, and claimed that the issue was a non-justiciable political question.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XI, Section 3(5), 1987 Constitution: Explicitly provides that 'No impeachment proceeding shall be initiated against the same official more than once within a period of one year'.</w:t>
              <w:br/>
              <w:t>2. Primary Canons of Constitutional Construction: (a)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House of Representatives attempted to redefine the constitutional term 'initiated' through internal house rules to evade the explicit one-year constitutional bar.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second impeachment complaint violates the one-year ban under Article XI, Section 3(5) of the 1987 Constitution, and what constitutes the constitutional meaning of the term 'Initiated' in impeachment proceedings.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Atty. Ernesto B. Francisco, Jr. v. The House of Representatives, under the canon of Verba legis non est recedendum / Ratio legis est anima legis /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XI, Section 3(5), 1987 Constitution: Explicitly provides that 'No impeachment proceeding shall be initiated against the same official more than once within a period of one year'.</w:t>
              <w:br/>
              <w:t>2. Primary Canons of Constitutional Construction: (a)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petitions, ENJOINED the House and Senate from acting on the second impeachment complaint, and DECLARED the second impeachment complaint UNCONSTITUTIONAL and VOID AB INITIO.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second impeachment complaint is UNCONSTITUTIONAL and VOID. Under constitutional construction (Verba Legis and Ratio Legis), an impeachment proceeding is 'INITIATED' when the verified complaint is filed and referred to the House Committee on Justice. Since the first complaint was initiated on June 2, 2003, the second complaint filed on October 23, 2003 violated the absolute one-year constitutional bar.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 Ratio legis est anima legis / Ut res magis valeat quam pereat</w:t>
              <w:br/>
              <w:t xml:space="preserve">   - Application: Tripartite Canons of Constitutional Construction: In constitutional interpretation: (1) Verba Legis governs first; (2) Ratio Legis (framers' intent) resolves ambiguity; and (3) Ut Res Magis Valeat Quam Pereat ensures every constitutional clause operates harmoniously.</w:t>
              <w:br/>
              <w:t xml:space="preserve">   - Result: Yes. 'Initiated' means started. An impeachment starts the moment the complaint is filed and referred to the House committee. Because the first complaint was filed in June 2003, no second complaint could be filed against Chief Justice Davide until June 2004. The second complaint violated the Constitution and was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superior derogat legi inferiori (the Constitution is supreme over House rules)</w:t>
              <w:br/>
              <w:t>• Salus populi est suprema lex (preservation of constitutional stability)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Atty. Ernesto B. Francisco, Jr. v. The House of Representatives to mean and apply strictly in accordance with Verba legis non est recedendum / Ratio legis est anima legis / Ut res magis valeat quam pereat, holding that Yes. 'Initiated' means started. An impeachment starts the moment the complaint is filed and referred to the House committee. Because the first complaint was fil.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applied the three golden rules of constitutional construction: (1) read the plain words as the people understand them; (2) check the debates of the constitutional framers; and (3) read the whole Constitution together. The records show the framers added the 1-year ban so public officials wouldn't spend all year fighting endless impeachment complaints. An impeachment starts the moment it is filed. The second complaint was filed after only 4 months, so it was completely unconstitutional.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 Ratio legis est anima legis /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Tripartite Canons of Constitutional Construction: In constitutional interpretation: (1) Verba Legis governs first; (2) Ratio Legis (framers' intent) resolves ambiguity; and (3) Ut Res Magis Valeat Quam Pereat ensures every constitutional clause operates harmoniously.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Constitution is the highest law in the land; its plain words and the purpose of the framers control over all politicians and house rules.</w:t>
            </w:r>
          </w:p>
        </w:tc>
      </w:tr>
    </w:tbl>
    <w:p>
      <w:r>
        <w:br w:type="page"/>
      </w:r>
    </w:p>
    <w:p>
      <w:pPr>
        <w:keepNext/>
        <w:spacing w:before="320" w:after="80"/>
      </w:pPr>
      <w:r>
        <w:rPr>
          <w:rFonts w:ascii="Arial" w:hAnsi="Arial"/>
          <w:b/>
          <w:color w:val="0F2043"/>
          <w:sz w:val="26"/>
        </w:rPr>
        <w:t>81. ARTURO M. DE CASTRO V. JUDICIAL AND BAR COUNCIL (JBC)</w:t>
      </w:r>
    </w:p>
    <w:p>
      <w:pPr>
        <w:spacing w:before="40" w:after="80" w:line="276" w:lineRule="auto"/>
      </w:pPr>
      <w:r>
        <w:rPr>
          <w:rFonts w:ascii="Calibri" w:hAnsi="Calibri"/>
          <w:b/>
          <w:color w:val="212529"/>
          <w:sz w:val="21"/>
        </w:rPr>
        <w:t xml:space="preserve">Citation: </w:t>
      </w:r>
      <w:r>
        <w:rPr>
          <w:rFonts w:ascii="Calibri" w:hAnsi="Calibri"/>
          <w:i/>
          <w:color w:val="212529"/>
          <w:sz w:val="21"/>
        </w:rPr>
        <w:t>G.R. No. 191002 | April 20, 2010 | 618 SCRA 639 | En Banc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Arturo M. De Castro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Judicial and Bar Council (JBC) and President Gloria Macapagal-Arroyo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 and Certiorari)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the JBC to submit a list of nominees for Chief Justice upon the retirement of Chief Justice Reynato Puno, involving the constitutional conflict between Article VII, Section 15 (Midnight Appointments Ban) and Article VIII, Section 4(1) (Mandatory 90-Day Supreme Court Vacancy Filling).</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Chief Justice Reynato S. Puno was scheduled to retire on May 17, 2010 (seven days after the May 10, 2010 presidential elections). The JBC suspended the submission of nominees to President Gloria Macapagal-Arroyo, citing Article VII, Section 15 of the 1987 Constitution, which prohibits the President from making appointments two months immediately before the next presidential elections and up to the end of her term (The Midnight Appointments Ban). Petitioner De Castro filed for Mandamus, arguing that Article VIII, Section 4(1) of the Constitution mandating that vacancies in the Supreme Court 'shall be filled within ninety days from the occurrence thereof' is a specific, mandatory directive that operates as an EXCEPTION to the general midnight appointments ban.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Chief Justice Puno was retiring a week after the 2010 presidential election. The JBC stopped sending names to President Arroyo, citing the Constitution's 'Midnight Appointment Ban' (which stops outgoing presidents from appointing people in their final 2 months). Petitioners sued, pointing out that under Article VIII of the Constitution, Supreme Court vacancies MUST be filled within 90 days. The Supreme Court ruled that the Midnight Appointment Ban applies only to Executive branch jobs, NOT to the Supreme Court, because the 90-day deadline for the judiciary is specific and mandatory.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Midnight Appointments Ban in Article VII, Section 15 applies to appointments to the Supreme Court under Article VIII, Section 4(1)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election-time ban on presidential appointments apply to appointing Supreme Court Justices, or is the Supreme Court exempt?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Midnight Appointments Ban in Article VII, Section 15 applies to Supreme Court vacancies under Article VIII, Section 4(1), testing Generalia Specialibus Non Derogant, Constitutional Placement, and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Midnight Appointments Ban under Article VII, Section 15 applies EXCLUSIVELY to Executive department appointments, NOT to the Supreme Court. Under constitutional construction and Generalia Specialibus Non Derogant, the specific 90-day mandate in Article VIII, Section 4(1) governs Supreme Court appointments.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midnight appointment ban is located inside Article VII (Executive Department) and was made to stop presidents from packing executive departments before leaving. In contrast, Article VIII (Judicial Department) specifically orders the President to fill Supreme Court vacancies within 90 days. The specific judicial rule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Constitutional Placement, Intent of the Framers, and Generalia specialibus non derogant, the general ban on midnight appointments in Article VII, Section 15 does not extend to the Supreme Court. The specific, mandatory 90-day deadline in Article VIII, Section 4(1) commands the President to fill Supreme Court vacancies without exception."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4(1), 1987 Constitution: </w:t>
            </w:r>
            <w:r>
              <w:rPr>
                <w:rFonts w:ascii="Calibri" w:hAnsi="Calibri"/>
                <w:color w:val="212529"/>
                <w:sz w:val="20"/>
              </w:rPr>
              <w:t>Mandates that any vacancy in the Supreme Court shall be filled within ninety days from the occurrence thereof.</w:t>
            </w:r>
          </w:p>
          <w:p>
            <w:pPr>
              <w:spacing w:before="20" w:after="40" w:line="276" w:lineRule="auto"/>
            </w:pPr>
            <w:r>
              <w:rPr>
                <w:rFonts w:ascii="Calibri" w:hAnsi="Calibri"/>
                <w:b/>
                <w:color w:val="212529"/>
                <w:sz w:val="20"/>
              </w:rPr>
              <w:t xml:space="preserve">2. Article VII, Section 15, 1987 Constitution: </w:t>
            </w:r>
            <w:r>
              <w:rPr>
                <w:rFonts w:ascii="Calibri" w:hAnsi="Calibri"/>
                <w:color w:val="212529"/>
                <w:sz w:val="20"/>
              </w:rPr>
              <w:t>General ban on presidential appointments two months prior to elections and until end of term.</w:t>
            </w:r>
          </w:p>
          <w:p>
            <w:pPr>
              <w:spacing w:before="20" w:after="40" w:line="276" w:lineRule="auto"/>
            </w:pPr>
            <w:r>
              <w:rPr>
                <w:rFonts w:ascii="Calibri" w:hAnsi="Calibri"/>
                <w:b/>
                <w:color w:val="212529"/>
                <w:sz w:val="20"/>
              </w:rPr>
              <w:t xml:space="preserve">3. Generalia Specialibus Non Derogant (general provisions yield to special provisions): </w:t>
            </w:r>
            <w:r>
              <w:rPr>
                <w:rFonts w:ascii="Calibri" w:hAnsi="Calibri"/>
                <w:color w:val="212529"/>
                <w:sz w:val="20"/>
              </w:rPr>
              <w:t>The specific 90-day constitutional deadline for the Judiciary prevails over general executive appointment restrictions.</w:t>
            </w:r>
          </w:p>
          <w:p>
            <w:pPr>
              <w:spacing w:before="20" w:after="40" w:line="276" w:lineRule="auto"/>
            </w:pPr>
            <w:r>
              <w:rPr>
                <w:rFonts w:ascii="Calibri" w:hAnsi="Calibri"/>
                <w:b/>
                <w:color w:val="212529"/>
                <w:sz w:val="20"/>
              </w:rPr>
              <w:t xml:space="preserve">4. Constitutional Placement as an Intrinsic Aid: </w:t>
            </w:r>
            <w:r>
              <w:rPr>
                <w:rFonts w:ascii="Calibri" w:hAnsi="Calibri"/>
                <w:color w:val="212529"/>
                <w:sz w:val="20"/>
              </w:rPr>
              <w:t>The location of Section 15 in Article VII indicates its application to the Executive branch, distinct from Article VIII.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Sec 4(1), Article VII Sec 15, Generalia Specialibus Non Derogant, and Constitutional Placement.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VIII, Section 4(1) in relation to Article VII, Section 15 of the Constitution, governed by Generalia specialibus non derogant and Constitutional Structural Placement."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Structural Placement of Constitutional Provisions: </w:t>
            </w:r>
            <w:r>
              <w:rPr>
                <w:rFonts w:ascii="Calibri" w:hAnsi="Calibri"/>
                <w:color w:val="212529"/>
                <w:sz w:val="20"/>
              </w:rPr>
              <w:t>Section 15 is embedded in Article VII (The Executive Department), addressing executive appointments. Article VIII (The Judicial Department) contains its own comprehensive, self-contained appointment mechanism in Sections 4(1) and 8.</w:t>
            </w:r>
          </w:p>
          <w:p>
            <w:pPr>
              <w:spacing w:before="20" w:after="40" w:line="276" w:lineRule="auto"/>
            </w:pPr>
            <w:r>
              <w:rPr>
                <w:rFonts w:ascii="Calibri" w:hAnsi="Calibri"/>
                <w:b/>
                <w:color w:val="212529"/>
                <w:sz w:val="20"/>
              </w:rPr>
              <w:t xml:space="preserve">2. The Mandatory 90-Day Deadline: </w:t>
            </w:r>
            <w:r>
              <w:rPr>
                <w:rFonts w:ascii="Calibri" w:hAnsi="Calibri"/>
                <w:color w:val="212529"/>
                <w:sz w:val="20"/>
              </w:rPr>
              <w:t>Article VIII uses the imperative 'shall be filled within ninety days'. If the Section 15 ban applied, a vacancy occurring in February would remain vacant for over five months, directly violating the 90-day constitutional mandate.</w:t>
            </w:r>
          </w:p>
          <w:p>
            <w:pPr>
              <w:spacing w:before="20" w:after="40" w:line="276" w:lineRule="auto"/>
            </w:pPr>
            <w:r>
              <w:rPr>
                <w:rFonts w:ascii="Calibri" w:hAnsi="Calibri"/>
                <w:b/>
                <w:color w:val="212529"/>
                <w:sz w:val="20"/>
              </w:rPr>
              <w:t xml:space="preserve">3. Deliberations of the 1986 Constitutional Commission: </w:t>
            </w:r>
            <w:r>
              <w:rPr>
                <w:rFonts w:ascii="Calibri" w:hAnsi="Calibri"/>
                <w:color w:val="212529"/>
                <w:sz w:val="20"/>
              </w:rPr>
              <w:t>The records of the Constitutional Commission show that the framers intentionally separated judicial appointments through the JBC to insulate the courts from executive midnight appointment mischief.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Look at where the rules are written: the ban is inside Article VII (the President's office). But the Supreme Court has its own chapter (Article VIII) which gives a strict 90-day order: 'fill the vacancy'. If the ban stopped the President, the Supreme Court would have an empty Chief Justice seat for almost half a year, which violates Article VIII.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Constitution. Under Constitutional Placement and Generalia Specialibus Non Derogant, Article VIII, Section 4(1) is a specialized, imperative mandate for the judiciary. The Court held that the JBC was duty-bound to submit nominees to President Arroyo."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and DIRECTED the Judicial and Bar Council to resume proceedings and submit the list of nominees for Chief Justice to the President.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JBC was ordered to submit the list of Chief Justice nominees to President Arroyo.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mandamus, ruling that the Midnight Appointments Ban does not apply to Supreme Court appointments under Article VIII, Section 4(1)."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A. Constitutional Construction -&gt; Constitutional Structural Placement &amp; Generalia Specialibus (Midnight Appointments Ban vs SC 90-Day Vacancy Filling)</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general midnight appointment ban in Article VII yields to the specific 90-day judicial mandate in Article VIII.</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Both Article VII, Section 15 and Article VIII, Section 4(1) operate harmoniously within their respective spheres.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imperative command 'shall be filled within ninety days' must be enforced literally.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A. Constitutional Construction -&gt; Constitutional Structural Placement &amp; Generalia Specialibus (Midnight Appointments Ban vs SC 90-Day Vacancy Filling)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90-day Supreme Court appointment mandate in Article VIII prevails over general Article VII midnight ban)</w:t>
              <w:br/>
              <w:br/>
              <w:t>Secondary:</w:t>
              <w:br/>
              <w:t>• Ut res magis valeat quam pereat (harmonious constitutional construction)</w:t>
              <w:br/>
              <w:t>• Verba legis non est recedendum (mandatory 90-day deadline)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JBC subordinated a specific, mandatory judicial appointment directive in Article VIII to a general executive restriction in Article VII.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Structural and Specialized Constitutional Construction: Specific mandatory duties assigned to an independent branch (the Judiciary under Article VIII) are construed as exceptions to general operational restrictions placed upon another branch (the Executive under Article VII).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specific deadline written for the Supreme Court in the Judiciary chapter beats a general appointment ban written in the President's chapter.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De Castro v. JBC is the leading constitutional authority on Generalia specialibus non derogant and structural constitutional placement: the midnight appointments ban does not apply to the Supreme Court."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Arturo M. De Castro v. Judicial and Bar Council (JBC)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191002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Chief Justice Reynato S. Puno was scheduled to retire on May 17, 2010 (seven days after the May 10, 2010 presidential elections). The JBC suspended the submission of nominees to President Gloria Macapagal-Arroyo, citing Article VII, Section 15 of the 1987 Constitution, which prohibits the President from making appointments two months immediately before the next presidential elections and up to the end of her term (The Midnight Appointments Ban). Petitioner De Castro filed for Mandamus, arguing that Article VIII, Section 4(1) of the Constitution mandating that vacancies in the Supreme Court 'shall be filled within ninety days from the occurrence thereof' is a specific, mandatory directive that operates as an EXCEPTION to the general midnight appointments ban.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4(1), 1987 Constitution: Mandates that any vacancy in the Supreme Court shall be filled within ninety days from the occurrence thereof.</w:t>
              <w:br/>
              <w:t>2. Article VII, Section 15, 1987 Constitution: General ban on presidential appointments two months prior to elections and until end of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JBC subordinated a specific, mandatory judicial appointment directive in Article VIII to a general executive restriction in Article VII.</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Midnight Appointments Ban in Article VII, Section 15 applies to appointments to the Supreme Court under Article VIII, Section 4(1)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Arturo M. De Castro v. Judicial and Bar Council (JBC),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4(1), 1987 Constitution: Mandates that any vacancy in the Supreme Court shall be filled within ninety days from the occurrence thereof.</w:t>
              <w:br/>
              <w:t>2. Article VII, Section 15, 1987 Constitution: General ban on presidential appointments two months prior to elections and until end of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JBC subordinated a specific, mandatory judicial appointment directive in Article VIII to a general executive restric...</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and DIRECTED the Judicial and Bar Council to resume proceedings and submit the list of nominees for Chief Justice to the President.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Midnight Appointments Ban under Article VII, Section 15 applies EXCLUSIVELY to Executive department appointments, NOT to the Supreme Court. Under constitutional construction and Generalia Specialibus Non Derogant, the specific 90-day mandate in Article VIII, Section 4(1) governs Supreme Court appointments.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JBC subordinated a specific, mandatory judicial appointment directive in Article VIII to a general executive restriction in Article VII..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Structural and Specialized Constitutional Construction: Specific mandatory duties assigned to an independent branch (the Judiciary under Article VIII) are construed as exceptions to general operational restrictions placed upon another branch (the Executive under Article VII).</w:t>
              <w:br/>
              <w:t xml:space="preserve">   - Result: No. The midnight appointment ban is located inside Article VII (Executive Department) and was made to stop presidents from packing executive departments before leaving. In contrast, Article VIII (Judicial Department) specifically orders the President to fill Supreme Court vacancies within 90 days. The specific judicial rule controls.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(harmonious constitutional construction)</w:t>
              <w:br/>
              <w:t>• Verba legis non est recedendum (mandatory 90-day deadline)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Arturo M. De Castro v. Judicial and Bar Council (JBC) to mean and apply strictly in accordance with Generalia specialibus non derogant, holding that No. The midnight appointment ban is located inside Article VII (Executive Department) and was made to stop presidents from packing executive departments before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Look at where the rules are written: the ban is inside Article VII (the President's office). But the Supreme Court has its own chapter (Article VIII) which gives a strict 90-day order: 'fill the vacancy'. If the ban stopped the President, the Supreme Court would have an empty Chief Justice seat for almost half a year, which violates Article VIII.</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Structural and Specialized Constitutional Construction: Specific mandatory duties assigned to an independent branch (the Judiciary under Article VIII) are construed as exceptions to general operational restrictions placed upon another branch (the Executive under Article VII).</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specific deadline written for the Supreme Court in the Judiciary chapter beats a general appointment ban written in the President's chapter.</w:t>
            </w:r>
          </w:p>
        </w:tc>
      </w:tr>
    </w:tbl>
    <w:p>
      <w:r>
        <w:br w:type="page"/>
      </w:r>
    </w:p>
    <w:p>
      <w:pPr>
        <w:keepNext/>
        <w:spacing w:before="320" w:after="80"/>
      </w:pPr>
      <w:r>
        <w:rPr>
          <w:rFonts w:ascii="Arial" w:hAnsi="Arial"/>
          <w:b/>
          <w:color w:val="0F2043"/>
          <w:sz w:val="26"/>
        </w:rPr>
        <w:t>82. FRANCISCO I. CHAVEZ V. JUDICIAL AND BAR COUNCIL (JBC), SEN. FRANCIS JOSEPH G. ESCUDERO, AND REP. NIEL C. TUPAS, JR.</w:t>
      </w:r>
    </w:p>
    <w:p>
      <w:pPr>
        <w:spacing w:before="40" w:after="80" w:line="276" w:lineRule="auto"/>
      </w:pPr>
      <w:r>
        <w:rPr>
          <w:rFonts w:ascii="Calibri" w:hAnsi="Calibri"/>
          <w:b/>
          <w:color w:val="212529"/>
          <w:sz w:val="21"/>
        </w:rPr>
        <w:t xml:space="preserve">Citation: </w:t>
      </w:r>
      <w:r>
        <w:rPr>
          <w:rFonts w:ascii="Calibri" w:hAnsi="Calibri"/>
          <w:i/>
          <w:color w:val="212529"/>
          <w:sz w:val="21"/>
        </w:rPr>
        <w:t>G.R. No. 202242 | July 17, 2012 | 676 SCRA 579 | En Banc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Francisco I. Chavez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Judicial and Bar Council (JBC), Sen. Francis Joseph G. Escudero, and Rep. Niel C. Tupas, Jr.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Injunction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Prohibition challenging the constitutional composition of the JBC under Article VIII, Section 8(1) of the 1987 Constitution allowing two representatives from Congress (one from Senate and one from House) with one vote each.</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Article VIII, Section 8(1) of the 1987 Constitution provided that the Judicial and Bar Council (JBC) shall be composed of seven members, including 'A REPRESENTATIVE OF THE CONGRESS' as ex-officio member. Over the years, the JBC permitted both a Senator and a House Representative to sit concurrently in the JBC, eventually granting each of them one full vote (giving Congress two votes and making the JBC an eight-member body). Former Solicitor General Francisco Chavez challenged this practice, arguing that under the plain singular text ('a representative'), Congress is entitled to only ONE representative and ONE vote in the JBC.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states that the Judicial and Bar Council (JBC) shall have 7 members, including 'A representative of the Congress'. Over time, both a Senator and a Congressman sat in the council, each casting a full vote, turning the JBC into an 8-member council. A lawyer sued to stop this, pointing out that the Constitution literally says 'A representative' (singular), not two. The Supreme Court agreed, ruling under Verba Legis that Congress is only entitled to ONE representative with ONE half-vote or one alternate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practice of having two representatives from Congress (one from the Senate and one from the House) with one vote each violates Article VIII, Section 8(1)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Congress send two voting members to the JBC when the Constitution explicitly says 'A representative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bicameral presence of two voting members from Congress in the JBC violates Article VIII, Section 8(1) of the Constitution, testing Verba Legis (the words of the law) and the Singular Grammatical Form ('A Representative')."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presence of two voting members from Congress in the JBC is UNCONSTITUTIONAL. Under Verba Legis, the singular term 'A representative of the Congress' unequivocally restricts legislative representation in the JBC to ONE SINGLE MEMBER.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Constitution says 'A representative', using the singular letter 'A'. It created a 7-member council so ties could be broken. Having two voting lawmakers turns it into an 8-member council and unbalances the JBC. Congress gets only 1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(the words of the statute there should be no departure), the indefinite article 'a' indicates a singular object. Article VIII, Section 8(1) explicitly created a 7-member JBC with 'a representative of the Congress'. The concurrent voting membership of both a Senator and a Congressman is unconstitutional because it alters the delicate constitutional balance of the JBC."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8(1), 1987 Constitution: </w:t>
            </w:r>
            <w:r>
              <w:rPr>
                <w:rFonts w:ascii="Calibri" w:hAnsi="Calibri"/>
                <w:color w:val="212529"/>
                <w:sz w:val="20"/>
              </w:rPr>
              <w:t>Explicitly designates the composition of the JBC: Chief Justice, Secretary of Justice, 'a representative of the Congress', a professor of law, a retired Supreme Court Justice, an IBP representative, and a private sector representative (total: 7 members).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singular indefinite article 'a' must be given its literal singular grammatical effect.</w:t>
            </w:r>
          </w:p>
          <w:p>
            <w:pPr>
              <w:spacing w:before="20" w:after="40" w:line="276" w:lineRule="auto"/>
            </w:pPr>
            <w:r>
              <w:rPr>
                <w:rFonts w:ascii="Calibri" w:hAnsi="Calibri"/>
                <w:b/>
                <w:color w:val="212529"/>
                <w:sz w:val="20"/>
              </w:rPr>
              <w:t xml:space="preserve">3. Constitutional Balance in Appointments: </w:t>
            </w:r>
            <w:r>
              <w:rPr>
                <w:rFonts w:ascii="Calibri" w:hAnsi="Calibri"/>
                <w:color w:val="212529"/>
                <w:sz w:val="20"/>
              </w:rPr>
              <w:t>The 7-member JBC was designed with odd-numbered membership to prevent deadlocks and prevent political domination.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Sec 8(1) Constitution, Singular Indefinite Article 'A',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VIII, Section 8(1) of the 1987 Constitution, governed by Verba legis non est recedendum (the words of the Constitution must control)."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Grammatical Meaning of 'A Representative': </w:t>
            </w:r>
            <w:r>
              <w:rPr>
                <w:rFonts w:ascii="Calibri" w:hAnsi="Calibri"/>
                <w:color w:val="212529"/>
                <w:sz w:val="20"/>
              </w:rPr>
              <w:t>The word 'a' denotes the singular number. The framers originally conceived a unicameral legislature. When bicameralism was restored, Section 8(1) was left unchanged, retaining the singular 'a representative of the Congress'.</w:t>
            </w:r>
          </w:p>
          <w:p>
            <w:pPr>
              <w:spacing w:before="20" w:after="40" w:line="276" w:lineRule="auto"/>
            </w:pPr>
            <w:r>
              <w:rPr>
                <w:rFonts w:ascii="Calibri" w:hAnsi="Calibri"/>
                <w:b/>
                <w:color w:val="212529"/>
                <w:sz w:val="20"/>
              </w:rPr>
              <w:t xml:space="preserve">2. Constitutional Disruption of JBC Composition: </w:t>
            </w:r>
            <w:r>
              <w:rPr>
                <w:rFonts w:ascii="Calibri" w:hAnsi="Calibri"/>
                <w:color w:val="212529"/>
                <w:sz w:val="20"/>
              </w:rPr>
              <w:t>Allowing two voting members gives Congress 2 votes out of 8, diluting the representation of the other sectors and altering the 7-member odd-numbered balance established by the sovereign people.</w:t>
            </w:r>
          </w:p>
          <w:p>
            <w:pPr>
              <w:spacing w:before="20" w:after="40" w:line="276" w:lineRule="auto"/>
            </w:pPr>
            <w:r>
              <w:rPr>
                <w:rFonts w:ascii="Calibri" w:hAnsi="Calibri"/>
                <w:b/>
                <w:color w:val="212529"/>
                <w:sz w:val="20"/>
              </w:rPr>
              <w:t xml:space="preserve">3. Accommodation Through Alternate Representation: </w:t>
            </w:r>
            <w:r>
              <w:rPr>
                <w:rFonts w:ascii="Calibri" w:hAnsi="Calibri"/>
                <w:color w:val="212529"/>
                <w:sz w:val="20"/>
              </w:rPr>
              <w:t>Congress may designate one representative to sit, or allow the Senate and House members to sit alternately or share a single 1/2 vote each, but cannot cast two full votes.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grammar, 'a' means one. The Constitution created a 7-person committee so there would never be a tie vote. When the Senate and House each took a full vote, they made it an 8-person committee and gave politicians more power than intended. Congress must share one single vote.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constitutional structural intent. 'A representative' is singular. The Constitution deliberately established a 7-member council. Expanding congressional votes to two violates the literal text and upsets the constitutional balance of the JBC."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the concurrent voting membership of two congressional representatives UNCONSTITUTIONAL, and ENJOINED the JBC from allowing more than ONE representative of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granted and Congress was restricted to one single seat/vote in the JBC.</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declared the dual voting representation of Congress in the JBC unconstitutional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A. Constitutional Construction -&gt; Singular Representation / Verba Legis (1987 Constitution Art. VIII Sec. 8(1) / Single JBC Representative for Congress)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singular word 'a representative' in Article VIII, Section 8(1) must be enforced literally.</w:t>
            </w:r>
          </w:p>
          <w:p>
            <w:pPr>
              <w:spacing w:before="40" w:after="60" w:line="276" w:lineRule="auto"/>
            </w:pPr>
            <w:r>
              <w:rPr>
                <w:rFonts w:ascii="Calibri" w:hAnsi="Calibri"/>
                <w:b/>
                <w:color w:val="8C3200"/>
                <w:sz w:val="20"/>
              </w:rPr>
              <w:t>2.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requires no expositor.</w:t>
              <w:br/>
            </w:r>
            <w:r>
              <w:rPr>
                <w:rFonts w:ascii="Calibri" w:hAnsi="Calibri"/>
                <w:b/>
                <w:color w:val="212529"/>
                <w:sz w:val="19"/>
              </w:rPr>
              <w:t xml:space="preserve">   • Plain Legal Meaning &amp; StatCon Application: </w:t>
            </w:r>
            <w:r>
              <w:rPr>
                <w:rFonts w:ascii="Calibri" w:hAnsi="Calibri"/>
                <w:color w:val="212529"/>
                <w:sz w:val="19"/>
              </w:rPr>
              <w:t>The clear singular text needs no interpretation beyond its literal grammatical meaning.</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the constitutional checks and balances in judicial appointments serves the public interest.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A. Constitutional Construction -&gt; Singular Representation / Verba Legis (1987 Constitution Art. VIII Sec. 8(1) / Single JBC Representative for Congress)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'a representative of the Congress' in Article VIII Section 8(1) means ONE singular member, not two)</w:t>
              <w:br/>
              <w:br/>
              <w:t>Secondary:</w:t>
              <w:br/>
              <w:t>• Absoluta sententia expositore non eget (clear grammatical text controls)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Congress and the JBC created an unconstitutional practice of expanding congressional representation from one member to two voting members in violation of the clear singular constitutional text.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Grammatical and Singular Construction of Constitutional Terms: Where the Constitution uses singular articles and nouns ('a representative'), courts must strictly enforce the singular number under Verba Legis to preserve constitutional balances.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says 'A representative' (singular), Congress cannot send two voting members.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Chavez v. JBC is the premier modern case on Verba Legis in constitutional law: 'a representative' is singular and strictly limits Congress to one vote in the JBC."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Francisco I. Chavez v. Judicial and Bar Council (JBC), Sen. Francis Joseph G. Escudero, and Rep. Niel C. Tupas,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202242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17,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Article VIII, Section 8(1) of the 1987 Constitution provided that the Judicial and Bar Council (JBC) shall be composed of seven members, including 'A REPRESENTATIVE OF THE CONGRESS' as ex-officio member. Over the years, the JBC permitted both a Senator and a House Representative to sit concurrently in the JBC, eventually granting each of them one full vote (giving Congress two votes and making the JBC an eight-member body). Former Solicitor General Francisco Chavez challenged this practice, arguing that under the plain singular text ('a representative'), Congress is entitled to only ONE representative and ONE vote in the JBC.</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8(1), 1987 Constitution: Explicitly designates the composition of the JBC: Chief Justice, Secretary of Justice, 'a representative of the Congress', a professor of law, a retired Supreme Court Justice, an IBP representative, and a private sector representative (total: 7 members).</w:t>
              <w:br/>
              <w:t>2. Verba Legis Non Est Recedendum (from the words of the statute there should be no departure): The singular indefinite article 'a' must be given its literal singular grammatical effect.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Congress and the JBC created an unconstitutional practice of expanding congressional representation from one member to two voting members in violation of the clear singular constitutional text.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practice of having two representatives from Congress (one from the Senate and one from the House) with one vote each violates Article VIII, Section 8(1)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Francisco I. Chavez v. Judicial and Bar Council (JBC), Sen. Francis Joseph G. Escudero, and Rep. Niel C. Tupas, Jr.,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8(1), 1987 Constitution: Explicitly designates the composition of the JBC: Chief Justice, Secretary of Justice, 'a representative of the Congress', a professor of law, a retired Supreme Court Justice, an IBP representative, and a private sector representative (total: 7 members).</w:t>
              <w:br/>
              <w:t>2. Verba Legis Non Est Recedendum (from the words of the statute there should be no departure): The singular indefinite article 'a' must be given its literal singular grammatical effect.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the concurrent voting membership of two congressional representatives UNCONSTITUTIONAL, and ENJOINED the JBC from allowing more than ONE representative of Congress.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presence of two voting members from Congress in the JBC is UNCONSTITUTIONAL. Under Verba Legis, the singular term 'A representative of the Congress' unequivocally restricts legislative representation in the JBC to ONE SINGLE MEMBER.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Grammatical and Singular Construction of Constitutional Terms: Where the Constitution uses singular articles and nouns ('a representative'), courts must strictly enforce the singular number under Verba Legis to preserve constitutional balances.</w:t>
              <w:br/>
              <w:t xml:space="preserve">   - Result: Yes. The Constitution says 'A representative', using the singular letter 'A'. It created a 7-member council so ties could be broken. Having two voting lawmakers turns it into an 8-member council and unbalances the JBC. Congress gets only 1 seat.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eget (clear grammatical text controls)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Francisco I. Chavez v. Judicial and Bar Council (JBC), Sen. Francis Joseph G. Escudero, and Rep. Niel C. Tupas, Jr. to mean and apply strictly in accordance with Verba legis non est recedendum, holding that Yes. The Constitution says 'A representative', using the singular letter 'A'. It created a 7-member council so ties could be broken. Having two voting lawmakers.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grammar, 'a' means one. The Constitution created a 7-person committee so there would never be a tie vote. When the Senate and House each took a full vote, they made it an 8-person committee and gave politicians more power than intended. Congress must share one single vote.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Grammatical and Singular Construction of Constitutional Terms: Where the Constitution uses singular articles and nouns ('a representative'), courts must strictly enforce the singular number under Verba Legis to preserve constitutional balances.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says 'A representative' (singular), Congress cannot send two voting members.</w:t>
            </w:r>
          </w:p>
        </w:tc>
      </w:tr>
    </w:tbl>
    <w:p>
      <w:r>
        <w:br w:type="page"/>
      </w:r>
    </w:p>
    <w:p>
      <w:pPr>
        <w:keepNext/>
        <w:spacing w:before="320" w:after="80"/>
      </w:pPr>
      <w:r>
        <w:rPr>
          <w:rFonts w:ascii="Arial" w:hAnsi="Arial"/>
          <w:b/>
          <w:color w:val="0F2043"/>
          <w:sz w:val="26"/>
        </w:rPr>
        <w:t>83. ULUPINIO SARMIENTO III AND JUANITO ARCILLA V. SALVADOR MISON, COMMISSIONER OF CUSTOMS</w:t>
      </w:r>
    </w:p>
    <w:p>
      <w:pPr>
        <w:spacing w:before="40" w:after="80" w:line="276" w:lineRule="auto"/>
      </w:pPr>
      <w:r>
        <w:rPr>
          <w:rFonts w:ascii="Calibri" w:hAnsi="Calibri"/>
          <w:b/>
          <w:color w:val="212529"/>
          <w:sz w:val="21"/>
        </w:rPr>
        <w:t xml:space="preserve">Citation: </w:t>
      </w:r>
      <w:r>
        <w:rPr>
          <w:rFonts w:ascii="Calibri" w:hAnsi="Calibri"/>
          <w:i/>
          <w:color w:val="212529"/>
          <w:sz w:val="21"/>
        </w:rPr>
        <w:t>G.R. No. 79974 | December 17, 1987 | 156 SCRA 549 | En Banc | Ponente: J. Padilla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Ulupinio Sarmiento III and Juanito Arcilla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Salvador Mison, Commissioner of the Bureau of Customs, and Guillermo Carague, Secretary of Budget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Injunction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Prohibition challenging the appointment of Salvador Mison as Commissioner of Customs by President Corazon Aquino without the confirmation of the Commission on Appointments under Article VII, Section 16 of the 1987 Constitution.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President Corazon Aquino appointed Salvador Mison as Commissioner of the Bureau of Customs without submitting his appointment to the Commission on Appointments (CA) for confirmation. Petitioners, as taxpayers and lawyers, challenged the appointment, arguing that under Article VII, Section 16 of the 1987 Constitution, the CA must confirm all bureau directors and heads of major revenue collection agencies. Respondents countered that under Expressio Unius and the clear text of Section 16, CA confirmation is required ONLY for the first sentence group of officers specifically enumerated: (1) heads of executive departments; (2) ambassadors/ministers; (3) military officers from rank of colonel/naval captain; and (4) other officers whose appointments are vested in the President by the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President appointed the new Commissioner of Customs without sending his name to the Commission on Appointments (CA) for confirmation. Critics challenged the appointment, arguing that the Customs Chief is a vital position that must be confirmed by politicians in the CA. The Supreme Court investigated the 1987 Constitution and its framers' debates: under the 1987 Constitution, Congress deliberately stripped the CA of its old 1935 power to confirm bureau directors. Under Expressio Unius, only the four specific groups listed in the first sentence need CA confirmation. The Customs Commissioner does NOT need CA confirmation.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appointment of the Commissioner of the Bureau of Customs requires the confirmation of the Commission on Appointments under Article VII, Section 16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Bureau of Customs Commissioner need confirmation by the Commission on Appointments under the 1987 Constitution?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Customs Commissioner requires CA confirmation under Article VII, Section 16 of the 1987 Constitution, testing Expressio Unius Est Exclusio Alterius and the Intent of the Constitutional Commission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appointment of the Commissioner of Customs DOES NOT require CA confirmation. Under Expressio Unius and the explicit four-group classification in Article VII, Section 16, CA confirmation is STRICTLY LIMITED to the officers enumerated in the first sentence; bureau directors belong to the second group appointed by the President ALONE.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1987 Constitution deliberately removed bureau directors from CA confirmation to stop politicians from horse-trading and extorting appointees. Only Cabinet Secretaries, Ambassadors, Colonels/Generals, and constitutional officers need CA confirmation. The Customs Chief is appointed by the President alone.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Teodoro Padilla ruled in this foundational landmark decision, Article VII, Section 16 created four distinct groups of presidential appointments. Under Expressio unius est exclusio alterius and the deliberate intent of the 1986 Constitutional Commission (Ratio Legis), CA confirmation is required ONLY for the first group explicitly listed in the first sentence. Bureau directors like the Customs Commissioner are appointed by the President alone without CA confirmation."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 Section 16, 1987 Constitution: </w:t>
            </w:r>
            <w:r>
              <w:rPr>
                <w:rFonts w:ascii="Calibri" w:hAnsi="Calibri"/>
                <w:color w:val="212529"/>
                <w:sz w:val="20"/>
              </w:rPr>
              <w:t>Establishes four groups of presidential appointments, requiring CA confirmation solely for the first group.</w:t>
            </w:r>
          </w:p>
          <w:p>
            <w:pPr>
              <w:spacing w:before="20" w:after="40" w:line="276" w:lineRule="auto"/>
            </w:pPr>
            <w:r>
              <w:rPr>
                <w:rFonts w:ascii="Calibri" w:hAnsi="Calibri"/>
                <w:b/>
                <w:color w:val="212529"/>
                <w:sz w:val="20"/>
              </w:rPr>
              <w:t xml:space="preserve">2. Expressio Unius Est Exclusio Alterius (the express mention of one thing is the exclusion of another): </w:t>
            </w:r>
            <w:r>
              <w:rPr>
                <w:rFonts w:ascii="Calibri" w:hAnsi="Calibri"/>
                <w:color w:val="212529"/>
                <w:sz w:val="20"/>
              </w:rPr>
              <w:t>The explicit enumeration of positions requiring CA confirmation excludes all unlisted bureau heads.</w:t>
            </w:r>
          </w:p>
          <w:p>
            <w:pPr>
              <w:spacing w:before="20" w:after="40" w:line="276" w:lineRule="auto"/>
            </w:pPr>
            <w:r>
              <w:rPr>
                <w:rFonts w:ascii="Calibri" w:hAnsi="Calibri"/>
                <w:b/>
                <w:color w:val="212529"/>
                <w:sz w:val="20"/>
              </w:rPr>
              <w:t xml:space="preserve">3. Ratio Legis and Deliberations of the 1986 Constitutional Commission: </w:t>
            </w:r>
            <w:r>
              <w:rPr>
                <w:rFonts w:ascii="Calibri" w:hAnsi="Calibri"/>
                <w:color w:val="212529"/>
                <w:sz w:val="20"/>
              </w:rPr>
              <w:t>Framers deliberately curtailed the scope of CA confirmation to eliminate the corrupt political 'pork-barrel and horse-trading' system under the 1935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 Sec 16 Constitution, Expressio Unius Est Exclusio Alterius, and Intent of 1986 Constitutional Framers.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 Section 16 of the 1987 Constitution, applied under Expressio unius est exclusio alterius (the express mention of one is the exclusion of another) and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Four Groups of Appointments in Section 16: </w:t>
            </w:r>
            <w:r>
              <w:rPr>
                <w:rFonts w:ascii="Calibri" w:hAnsi="Calibri"/>
                <w:color w:val="212529"/>
                <w:sz w:val="20"/>
              </w:rPr>
              <w:t>First Group: Dept Heads, Ambassadors, Colonels/Captains, and officers vested by the Constitution (REQUIRE CA confirmation). Second Group: All other officers whose appointments are not otherwise provided by law (NO CA confirmation). Third Group: Officers authorized by law to be appointed (NO CA confirmation). Fourth Group: Lower-ranked officers vested by law in courts/heads (NO CA confirmation).</w:t>
            </w:r>
          </w:p>
          <w:p>
            <w:pPr>
              <w:spacing w:before="20" w:after="40" w:line="276" w:lineRule="auto"/>
            </w:pPr>
            <w:r>
              <w:rPr>
                <w:rFonts w:ascii="Calibri" w:hAnsi="Calibri"/>
                <w:b/>
                <w:color w:val="212529"/>
                <w:sz w:val="20"/>
              </w:rPr>
              <w:t xml:space="preserve">2. Deliberate Departure from 1935 Constitution: </w:t>
            </w:r>
            <w:r>
              <w:rPr>
                <w:rFonts w:ascii="Calibri" w:hAnsi="Calibri"/>
                <w:color w:val="212529"/>
                <w:sz w:val="20"/>
              </w:rPr>
              <w:t>Under the 1935 Constitution, all bureau directors required CA confirmation. The 1986 Constitutional Commission deliberately deleted bureau directors from the first sentence to protect executive appointing efficiency.</w:t>
            </w:r>
          </w:p>
          <w:p>
            <w:pPr>
              <w:spacing w:before="20" w:after="40" w:line="276" w:lineRule="auto"/>
            </w:pPr>
            <w:r>
              <w:rPr>
                <w:rFonts w:ascii="Calibri" w:hAnsi="Calibri"/>
                <w:b/>
                <w:color w:val="212529"/>
                <w:sz w:val="20"/>
              </w:rPr>
              <w:t xml:space="preserve">3. Application of Expressio Unius: </w:t>
            </w:r>
            <w:r>
              <w:rPr>
                <w:rFonts w:ascii="Calibri" w:hAnsi="Calibri"/>
                <w:color w:val="212529"/>
                <w:sz w:val="20"/>
              </w:rPr>
              <w:t>The express specification of the first sentence categories operates to exclude bureau directors from the confirmation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Under the old 1935 Constitution, politicians in Congress had to confirm every single bureau director, which led to rampant corruption and extortion of appointees. The 1986 Constitution deliberately stripped the CA of that power, leaving only top Cabinet secretaries and military generals on the confirmation list. Under Expressio Unius, what was left off the list is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and constitutional history. The framers of the 1987 Constitution deliberately restricted CA confirmation to the first group in Section 16 to end political horse-trading. Bureau directors fall under the second group and are appointed by the President alone."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appointment of Salvador Mison as Commissioner of Customs without CA confirmation.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Customs Commissioner's appointment without CA confirmation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Mison's appointment, establishing the definitive four-group classification of presidential appointments under Article VII, Section 16."</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A. Constitutional Construction -&gt; Expressio Unius &amp; Constitutional Intent (1987 Constitution Art. VII Sec. 16 / Commission on Appointments Confirmation Limits)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explicit listing of positions requiring CA confirmation in Section 16 excludes unmentioned bureau heads.</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framers' intent to curtail political horse-trading in confirmations governs.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textual structure of Section 16 divides appointments into four distinct constitutional groups.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A. Constitutional Construction -&gt; Expressio Unius &amp; Constitutional Intent (1987 Constitution Art. VII Sec. 16 / Commission on Appointments Confirmation Limits)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CA confirmation is strictly limited to the first group enumerated in Article VII Section 16)</w:t>
              <w:br/>
              <w:br/>
              <w:t>Secondary:</w:t>
              <w:br/>
              <w:t>• Ratio legis est anima legis (framers' intent to curb CA horse-trading)</w:t>
              <w:br/>
              <w:t>• Verba legis non est recedendum (four-group constitutional structure)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import the discarded 1935 confirmation requirement for bureau directors into the revised text of the 1987 Constitution.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Constitutional Classification of Executive Appointments: Appointments requiring CA confirmation are strictly confined under Expressio Unius to the explicit categories in the first sentence of Article VII, Section 16; all other appointments are vested in the President alone.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Under the 1987 Constitution, only Cabinet Secretaries and Generals need confirmation by Congress; Bureau Directors like the Customs Chief are appointed by the President alone.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Sarmiento v. Mison is the foundational constitutional landmark establishing the four groups of appointments under Article VII, Section 16 through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Ulupinio Sarmiento III and Juanito Arcilla v. Salvador Mison, Commissioner of Customs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79974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17,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President Corazon Aquino appointed Salvador Mison as Commissioner of the Bureau of Customs without submitting his appointment to the Commission on Appointments (CA) for confirmation. Petitioners, as taxpayers and lawyers, challenged the appointment, arguing that under Article VII, Section 16 of the 1987 Constitution, the CA must confirm all bureau directors and heads of major revenue collection agencies. Respondents countered that under Expressio Unius and the clear text of Section 16, CA confirmation is required ONLY for the first sentence group of officers specifically enumerated: (1) heads of executive departments; (2) ambassadors/ministers; (3) military officers from rank of colonel/naval captain; and (4) other officers whose appointments are vested in the President by the Constitution.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 Section 16, 1987 Constitution: Establishes four groups of presidential appointments, requiring CA confirmation solely for the first group.</w:t>
              <w:br/>
              <w:t>2. Expressio Unius Est Exclusio Alterius (the express mention of one thing is the exclusion of another): The explicit enumeration of positions requiring CA confirmation excludes all unlisted bureau heads.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import the discarded 1935 confirmation requirement for bureau directors into the revised text of the 1987 Constitution.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appointment of the Commissioner of the Bureau of Customs requires the confirmation of the Commission on Appointments under Article VII, Section 16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Ulupinio Sarmiento III and Juanito Arcilla v. Salvador Mison, Commissioner of Customs,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 Section 16, 1987 Constitution: Establishes four groups of presidential appointments, requiring CA confirmation solely for the first group.</w:t>
              <w:br/>
              <w:t>2. Expressio Unius Est Exclusio Alterius (the express mention of one thing is the exclusion of another): The explicit enumeration of positions requiring CA confirmation excludes all unlisted bureau heads.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appointment of Salvador Mison as Commissioner of Customs without CA confirmation.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appointment of the Commissioner of Customs DOES NOT require CA confirmation. Under Expressio Unius and the explicit four-group classification in Article VII, Section 16, CA confirmation is STRICTLY LIMITED to the officers enumerated in the first sentence; bureau directors belong to the second group appointed by the President ALONE.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Constitutional Classification of Executive Appointments: Appointments requiring CA confirmation are strictly confined under Expressio Unius to the explicit categories in the first sentence of Article VII, Section 16; all other appointments are vested in the President alone.</w:t>
              <w:br/>
              <w:t xml:space="preserve">   - Result: No. The 1987 Constitution deliberately removed bureau directors from CA confirmation to stop politicians from horse-trading and extorting appointees. Only Cabinet Secretaries, Ambassadors, Colonels/Generals, and constitutional officers need CA confirmation. The Customs Chief is appointed by the President alone.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(framers' intent to curb CA horse-trading)</w:t>
              <w:br/>
              <w:t>• Verba legis non est recedendum (four-group constitutional structure)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Ulupinio Sarmiento III and Juanito Arcilla v. Salvador Mison, Commissioner of Customs to mean and apply strictly in accordance with Expressio unius est exclusio alterius, holding that No. The 1987 Constitution deliberately removed bureau directors from CA confirmation to stop politicians from horse-trading and extorting appointees. Only Cabin.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Under the old 1935 Constitution, politicians in Congress had to confirm every single bureau director, which led to rampant corruption and extortion of appointees. The 1986 Constitution deliberately stripped the CA of that power, leaving only top Cabinet secretaries and military generals on the confirmation list. Under Expressio Unius, what was left off the list is excluded.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Constitutional Classification of Executive Appointments: Appointments requiring CA confirmation are strictly confined under Expressio Unius to the explicit categories in the first sentence of Article VII, Section 16; all other appointments are vested in the President alone.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Under the 1987 Constitution, only Cabinet Secretaries and Generals need confirmation by Congress; Bureau Directors like the Customs Chief are appointed by the President alone.</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VI (Part 2)</w:t>
              <w:br/>
            </w:r>
            <w:r>
              <w:rPr>
                <w:rFonts w:ascii="Arial" w:hAnsi="Arial"/>
                <w:b/>
                <w:color w:val="FFFFFF"/>
                <w:sz w:val="24"/>
              </w:rPr>
              <w:t>CONSTRUCTION OF SPECIFIC STATUTES: STATUTES STRICTLY CONSTRUED</w:t>
              <w:br/>
            </w:r>
            <w:r>
              <w:rPr>
                <w:rFonts w:ascii="Arial" w:hAnsi="Arial"/>
                <w:i/>
                <w:color w:val="D7E6FA"/>
                <w:sz w:val="19"/>
              </w:rPr>
              <w:t>Cases 84 to 87 | Penal Laws, Tax Exemptions/Amnesties (Strictissimi Juris), and Eminent Domain</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Penal Statutes: Strictly construed against the State and liberally in favor of the accused (In dubio pro reo)</w:t>
            </w:r>
          </w:p>
          <w:p>
            <w:pPr>
              <w:spacing w:before="20" w:after="20"/>
            </w:pPr>
            <w:r>
              <w:rPr>
                <w:rFonts w:ascii="Calibri" w:hAnsi="Calibri"/>
                <w:color w:val="F0F5FF"/>
                <w:sz w:val="18"/>
              </w:rPr>
              <w:t>• • Tax Exemptions and Tax Amnesties: Strictly construed against taxpayer (*strictissimi juris*)</w:t>
            </w:r>
          </w:p>
          <w:p>
            <w:pPr>
              <w:spacing w:before="20" w:after="20"/>
            </w:pPr>
            <w:r>
              <w:rPr>
                <w:rFonts w:ascii="Calibri" w:hAnsi="Calibri"/>
                <w:color w:val="F0F5FF"/>
                <w:sz w:val="18"/>
              </w:rPr>
              <w:t>• • Eminent Domain &amp; Expropriation: Strictly construed against expropriating authority; preserving private property rights</w:t>
            </w:r>
          </w:p>
        </w:tc>
      </w:tr>
    </w:tbl>
    <w:p>
      <w:pPr>
        <w:spacing w:before="120"/>
      </w:pPr>
    </w:p>
    <w:p>
      <w:pPr>
        <w:keepNext/>
        <w:spacing w:before="320" w:after="80"/>
      </w:pPr>
      <w:r>
        <w:rPr>
          <w:rFonts w:ascii="Arial" w:hAnsi="Arial"/>
          <w:b/>
          <w:color w:val="0F2043"/>
          <w:sz w:val="26"/>
        </w:rPr>
        <w:t>84. MARTIN CENTENO V. HON. VICTORIA VILLALON-PORNILLOS AND PEOPLE OF THE PHILIPPINES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113092 | September 1, 1994 | 236 SCRA 197 | Second Division | Ponente: J. Regalado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Martin Centeno, Officer of Samahang Katandaan ng Nayon ng Tikay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Victoria Villalon-Pornillos (Judge, RTC Malolos)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Malolos, Bulacan (Branch 10)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criminal conviction under Presidential Decree No. 1564 (The Solicitation Permit Law) for soliciting donations to renovate a Catholic chapel without a DSWD permit.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Martin Centeno and other officers of the Samahang Katandaan in Malolos, Bulacan solicited cash donations from local residents for the renovation and repair of their local Catholic chapel (Visita de Tikay) without securing a prior solicitation permit from the Department of Social Welfare and Development (DSWD). A resident filed a criminal complaint, and Centeno was convicted by the RTC of violating Presidential Decree No. 1564 (The Solicitation Permit Law), which penalizes unauthorized solicitations for 'charitable or public welfare purposes'. Centeno appealed, arguing that 'charitable purpose' in a penal statute does not encompass RELIGIOUS fundraising under the canon of Strictissimi Juris in penal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Catholic elders collected donations from their village neighbors to repair their small Catholic chapel. A disgruntled neighbor filed criminal charges because the elders didn't get a DSWD solicitation permit. The trial judge convicted the elder of a crime under the Solicitation Permit Law (PD 1564), which requires permits for 'charitable or public welfare' solicitations. The Supreme Court reversed the conviction, ruling that penal laws must be strictly interpreted: 'charitable' is completely different from 'religious', and collecting money to fix a church chapel does not require a DSWD permit.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'charitable or public welfare purpose' in P.D. No. 1564 includes solicitations for RELIGIOUS purposes, testing Strictissimi Juris in Penal Statutes and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soliciting donations to repair a Catholic church require a DSWD permit under a penal law punishing unauthorized 'charitable' solicitations?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'charitable or public welfare purpose' in PD 1564 encompasses religious solicitations, testing Strictissimi Juris (strict construction of penal statutes in favor of the accused) and Noscitur a Sociis."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Solicitations for RELIGIOUS purposes are NOT COVERED by P.D. No. 1564. Under the rule of STRICT CONSTRUCTION OF PENAL STATUTES (Strictissimi Juris), criminal laws cannot be extended by implication. 'Charitable' and 'Religious' are distinct legal concepts.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In criminal law, you cannot stretch words to make someone a criminal. 'Charitable' means helping the poor and sick; 'religious' means worship and church buildings. Because the penal law only named 'charitable', it does not cover church solicitations.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Florenz Regalado masterfully ruled, penal statutes are strictly construed against the State and liberally in favor of the accused (Strictissimi Juris). In statutory construction, 'charitable' and 'religious' have distinct, separate meanings. Under Noscitur a sociis and the constitutional separation of Church and State, PD 1564 does not penalize religious solicitations without a DSWD permit."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1564 (The Solicitation Permit Law): </w:t>
            </w:r>
            <w:r>
              <w:rPr>
                <w:rFonts w:ascii="Calibri" w:hAnsi="Calibri"/>
                <w:color w:val="212529"/>
                <w:sz w:val="20"/>
              </w:rPr>
              <w:t>Regulates solicitations for 'charitable or public welfare purposes'.</w:t>
            </w:r>
          </w:p>
          <w:p>
            <w:pPr>
              <w:spacing w:before="20" w:after="40" w:line="276" w:lineRule="auto"/>
            </w:pPr>
            <w:r>
              <w:rPr>
                <w:rFonts w:ascii="Calibri" w:hAnsi="Calibri"/>
                <w:b/>
                <w:color w:val="212529"/>
                <w:sz w:val="20"/>
              </w:rPr>
              <w:t xml:space="preserve">2. Strictissimi Juris (of the strictest interpretation) in Penal Law: </w:t>
            </w:r>
            <w:r>
              <w:rPr>
                <w:rFonts w:ascii="Calibri" w:hAnsi="Calibri"/>
                <w:color w:val="212529"/>
                <w:sz w:val="20"/>
              </w:rPr>
              <w:t>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20"/>
              </w:rPr>
              <w:t xml:space="preserve">3. Noscitur a Sociis (a thing is known by its associates): </w:t>
            </w:r>
            <w:r>
              <w:rPr>
                <w:rFonts w:ascii="Calibri" w:hAnsi="Calibri"/>
                <w:color w:val="212529"/>
                <w:sz w:val="20"/>
              </w:rPr>
              <w:t>The term 'charitable' is associated with 'public welfare' and does not encompass purely religious worship and chapel repair.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1564, Strictissimi Juris in Penal Statutes, and Noscitur a Sociis.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1564, applied under the bedrock canons Strictissimi Juris in penal law (strict construction in favor of the accused) and Noscitur a sociis (a thing is known by its companions)."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Penal Statutes: </w:t>
            </w:r>
            <w:r>
              <w:rPr>
                <w:rFonts w:ascii="Calibri" w:hAnsi="Calibri"/>
                <w:color w:val="212529"/>
                <w:sz w:val="20"/>
              </w:rPr>
              <w:t>Criminal statutes must define offenses with absolute clarity. An act cannot be pronounced criminal unless it falls squarely within the letter and spirit of the penal enactment. Ambiguities must be resolved in favor of innocence.</w:t>
            </w:r>
          </w:p>
          <w:p>
            <w:pPr>
              <w:spacing w:before="20" w:after="40" w:line="276" w:lineRule="auto"/>
            </w:pPr>
            <w:r>
              <w:rPr>
                <w:rFonts w:ascii="Calibri" w:hAnsi="Calibri"/>
                <w:b/>
                <w:color w:val="212529"/>
                <w:sz w:val="20"/>
              </w:rPr>
              <w:t xml:space="preserve">2. Distinction Between 'Charitable' and 'Religious': </w:t>
            </w:r>
            <w:r>
              <w:rPr>
                <w:rFonts w:ascii="Calibri" w:hAnsi="Calibri"/>
                <w:color w:val="212529"/>
                <w:sz w:val="20"/>
              </w:rPr>
              <w:t>In constitutional and statutory law, 'charitable' refers to the relief of poverty, distress, or disease; 'religious' refers to the profession of faith, worship, and church maintenance. Congress deliberately omitted 'religious' from PD 1564.</w:t>
            </w:r>
          </w:p>
          <w:p>
            <w:pPr>
              <w:spacing w:before="20" w:after="40" w:line="276" w:lineRule="auto"/>
            </w:pPr>
            <w:r>
              <w:rPr>
                <w:rFonts w:ascii="Calibri" w:hAnsi="Calibri"/>
                <w:b/>
                <w:color w:val="212529"/>
                <w:sz w:val="20"/>
              </w:rPr>
              <w:t xml:space="preserve">3. Freedom of Religion and Non-Interference: </w:t>
            </w:r>
            <w:r>
              <w:rPr>
                <w:rFonts w:ascii="Calibri" w:hAnsi="Calibri"/>
                <w:color w:val="212529"/>
                <w:sz w:val="20"/>
              </w:rPr>
              <w:t>Requiring a government agency (DSWD) to license and approve church donations to repair chapels would border on unconstitutional state entanglement in religious exercise.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criminal law, you cannot send someone to jail by stretching definitions. 'Charity' means feeding the hungry or building orphanages; 'religion' means praying and building chapels. Because the dictator who wrote PD 1564 only wrote 'charitable', courts cannot add the word 'religious' into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and Noscitur a Sociis. Penal laws cannot be extended by construction. 'Charitable' is distinct from 'religious'. The Court acquitted Centeno, confirming that religious fundraising for chapels does not violate the Solicitation Permit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conviction, ACQUITTED Martin Centeno, and DISMISSED the criminal complaint under P.D. No. 1564.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church elder was completely acquitted and the criminal case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acquitted the accused, ruling that religious solicitations are exempt from PD 1564 under Strictissimi Juris in penal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B. Statutes Strictly Construed -&gt; Penal Statutes Strictly Construed Against State (PD 1564 Solicitation Permit Law / Religious Solicitation Exemption)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Penal statutes are construed strictissimi juris against the State and liberally in favor of the accused.</w:t>
            </w:r>
          </w:p>
          <w:p>
            <w:pPr>
              <w:spacing w:before="40" w:after="60" w:line="276" w:lineRule="auto"/>
            </w:pPr>
            <w:r>
              <w:rPr>
                <w:rFonts w:ascii="Calibri" w:hAnsi="Calibri"/>
                <w:b/>
                <w:color w:val="8C3200"/>
                <w:sz w:val="20"/>
              </w:rPr>
              <w:t>2. Nullum crimen, nulla poena sine lege (there is no crime, there is no penalty without law)</w:t>
              <w:br/>
            </w:r>
            <w:r>
              <w:rPr>
                <w:rFonts w:ascii="Calibri" w:hAnsi="Calibri"/>
                <w:b/>
                <w:color w:val="212529"/>
                <w:sz w:val="19"/>
              </w:rPr>
              <w:t xml:space="preserve">   • Literal English Translation: </w:t>
            </w:r>
            <w:r>
              <w:rPr>
                <w:rFonts w:ascii="Calibri" w:hAnsi="Calibri"/>
                <w:i/>
                <w:color w:val="212529"/>
                <w:sz w:val="19"/>
              </w:rPr>
              <w:t>No crime and no penalty without a law.</w:t>
              <w:br/>
            </w:r>
            <w:r>
              <w:rPr>
                <w:rFonts w:ascii="Calibri" w:hAnsi="Calibri"/>
                <w:b/>
                <w:color w:val="212529"/>
                <w:sz w:val="19"/>
              </w:rPr>
              <w:t xml:space="preserve">   • Plain Legal Meaning &amp; StatCon Application: </w:t>
            </w:r>
            <w:r>
              <w:rPr>
                <w:rFonts w:ascii="Calibri" w:hAnsi="Calibri"/>
                <w:color w:val="212529"/>
                <w:sz w:val="19"/>
              </w:rPr>
              <w:t>An act cannot be punished as a crime unless explicitly made so by the clear letter of the statute.</w:t>
            </w:r>
          </w:p>
          <w:p>
            <w:pPr>
              <w:spacing w:before="40" w:after="60" w:line="276" w:lineRule="auto"/>
            </w:pPr>
            <w:r>
              <w:rPr>
                <w:rFonts w:ascii="Calibri" w:hAnsi="Calibri"/>
                <w:b/>
                <w:color w:val="8C3200"/>
                <w:sz w:val="20"/>
              </w:rPr>
              <w:t>3.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meaning of 'charitable' in PD 1564 is defined and restricted by its companion 'public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B. Statutes Strictly Construed -&gt; Penal Statutes Strictly Construed Against State (PD 1564 Solicitation Permit Law / Religious Solicitation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 / Nullum crimen, nulla poena sine lege</w:t>
              <w:br/>
              <w:t>(of the strictest interpretation / no crime without explicit law; penal statutes are strictly construed in favor of the accused, excluding religious solicitations from PD 1564)</w:t>
              <w:br/>
              <w:br/>
              <w:t>Secondary:</w:t>
              <w:br/>
              <w:t>• Noscitur a sociis ('charitable' restricted by 'public welfare')</w:t>
              <w:br/>
              <w:t>• Separation of Church and State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improperly expanded a penal statute by implication, treating religious chapel fundraising as an unauthorized 'charitable' crime.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Penal Statutes: Penal enactments are construed strictly against the State (Strictissimi Juris); courts cannot broaden penal words to create new offenses not explicitly commanded by the legislature (Nullum crimen sine lege).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Criminal laws are strictly interpreted; if the law does not explicitly say 'church collections are illegal', judges cannot send someone to jail for collecting money to fix a church.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Centeno v. Pornillos is the premier textbook authority on Strictissimi Juris in penal statutory construction: penal laws cannot be extended by implication—Nullum crimen sine lege."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Martin Centeno v. Hon. Victoria Villalon-Pornillos and People of the Philippines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113092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Martin Centeno and other officers of the Samahang Katandaan in Malolos, Bulacan solicited cash donations from local residents for the renovation and repair of their local Catholic chapel (Visita de Tikay) without securing a prior solicitation permit from the Department of Social Welfare and Development (DSWD). A resident filed a criminal complaint, and Centeno was convicted by the RTC of violating Presidential Decree No. 1564 (The Solicitation Permit Law), which penalizes unauthorized solicitations for 'charitable or public welfare purposes'. Centeno appealed, arguing that 'charitable purpose' in a penal statute does not encompass RELIGIOUS fundraising under the canon of Strictissimi Juris in penal law.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1564 (The Solicitation Permit Law): Regulates solicitations for 'charitable or public welfare purposes'.</w:t>
              <w:br/>
              <w:t>2. Strictissimi Juris (of the strictest interpretation) in Penal Law: 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improperly expanded a penal statute by implication, treating religious chapel fundraising as an unauthorized 'charitable' crime.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'charitable or public welfare purpose' in P.D. No. 1564 includes solicitations for RELIGIOUS purposes, testing Strictissimi Juris in Penal Statutes and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Martin Centeno v. Hon. Victoria Villalon-Pornillos and People of the Philippines, under the canon of Strictissimi juris / Nullum crimen, nulla poena sine lege.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1564 (The Solicitation Permit Law): Regulates solicitations for 'charitable or public welfare purposes'.</w:t>
              <w:br/>
              <w:t>2. Strictissimi Juris (of the strictest interpretation) in Penal Law: 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improperly expanded a penal statute by implication, treating religious chapel fundraising as an unauthor...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conviction, ACQUITTED Martin Centeno, and DISMISSED the criminal complaint under P.D. No. 1564.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Solicitations for RELIGIOUS purposes are NOT COVERED by P.D. No. 1564. Under the rule of STRICT CONSTRUCTION OF PENAL STATUTES (Strictissimi Juris), criminal laws cannot be extended by implication. 'Charitable' and 'Religious' are distinct legal concepts.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improperly expanded a penal statute by implication, treating religious chapel fundraising as an unauthorized 'charitable' cr.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 / Nullum crimen, nulla poena sine lege</w:t>
              <w:br/>
              <w:t xml:space="preserve">   - Application: Strict Construction of Penal Statutes: Penal enactments are construed strictly against the State (Strictissimi Juris); courts cannot broaden penal words to create new offenses not explicitly commanded by the legislature (Nullum crimen sine lege).</w:t>
              <w:br/>
              <w:t xml:space="preserve">   - Result: No. In criminal law, you cannot stretch words to make someone a criminal. 'Charitable' means helping the poor and sick; 'religious' means worship and church buildings. Because the penal law only named 'charitable', it does not cover church solicitations.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('charitable' restricted by 'public welfare')</w:t>
              <w:br/>
              <w:t>• Separation of Church and State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Martin Centeno v. Hon. Victoria Villalon-Pornillos and People of the Philippines to mean and apply strictly in accordance with Strictissimi juris / Nullum crimen, nulla poena sine lege, holding that No. In criminal law, you cannot stretch words to make someone a criminal. 'Charitable' means helping the poor and sick; 'religious' means worship and church bui.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criminal law, you cannot send someone to jail by stretching definitions. 'Charity' means feeding the hungry or building orphanages; 'religion' means praying and building chapels. Because the dictator who wrote PD 1564 only wrote 'charitable', courts cannot add the word 'religious' into the penal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 Nullum crimen, nulla poena sine lege,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Penal Statutes: Penal enactments are construed strictly against the State (Strictissimi Juris); courts cannot broaden penal words to create new offenses not explicitly commanded by the legislature (Nullum crimen sine lege).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Criminal laws are strictly interpreted; if the law does not explicitly say 'church collections are illegal', judges cannot send someone to jail for collecting money to fix a church.</w:t>
            </w:r>
          </w:p>
        </w:tc>
      </w:tr>
    </w:tbl>
    <w:p>
      <w:r>
        <w:br w:type="page"/>
      </w:r>
    </w:p>
    <w:p>
      <w:pPr>
        <w:keepNext/>
        <w:spacing w:before="320" w:after="80"/>
      </w:pPr>
      <w:r>
        <w:rPr>
          <w:rFonts w:ascii="Arial" w:hAnsi="Arial"/>
          <w:b/>
          <w:color w:val="0F2043"/>
          <w:sz w:val="26"/>
        </w:rPr>
        <w:t>85. BATAS PAMBANSA BLG. 22 JURISPRUDENCE: JUDY ANNE CABRERA V. JUDY NG</w:t>
      </w:r>
    </w:p>
    <w:p>
      <w:pPr>
        <w:spacing w:before="40" w:after="80" w:line="276" w:lineRule="auto"/>
      </w:pPr>
      <w:r>
        <w:rPr>
          <w:rFonts w:ascii="Calibri" w:hAnsi="Calibri"/>
          <w:b/>
          <w:color w:val="212529"/>
          <w:sz w:val="21"/>
        </w:rPr>
        <w:t xml:space="preserve">Citation: </w:t>
      </w:r>
      <w:r>
        <w:rPr>
          <w:rFonts w:ascii="Calibri" w:hAnsi="Calibri"/>
          <w:i/>
          <w:color w:val="212529"/>
          <w:sz w:val="21"/>
        </w:rPr>
        <w:t>G.R. No. 201601 | March 12, 2014 | 719 SCRA 199 | Third Division | Ponente: J. Peralta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Judy Anne Cabrera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Judy Ng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98)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criminal prosecution for violation of Batas Pambansa Blg. 22 (Bouncing Checks Law) and the mandatory requirement of actual proof of receipt of Notice of Dishonor.</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Judy Anne Cabrera issued several postdated checks to Judy Ng which were dishonored upon presentment for 'Drawn Against Insufficient Funds' (DAIF). Ng's counsel sent a demand letter by registered mail. During the criminal trial for violation of B.P. Blg. 22, the prosecution presented the registry receipt and registry return card, but failed to present the postman or authenticating witness to prove who actually signed and received the registered letter. The trial court convicted Cabrera of BP 22, presuming that the letter was received under the presumption of regularity in postal service. Cabrera appealed, invoking the strict statutory requirement of actual receipt of Notice of Dishonor.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woman issued checks that bounced. The creditor mailed a demand letter by registered mail. In the criminal trial for B.P. 22 (Bouncing Checks Law), the prosecutor submitted the registry postal receipt but never presented the mailman or proof that the woman herself actually received the letter. The trial court convicted her anyway, presuming she got the mail. The Supreme Court reversed the conviction, ruling that under the strict rules of criminal statutory construction, receipt of a written notice of dishonor must be proved beyond reasonable doubt.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presumption of knowledge of insufficiency of funds under Section 2 of B.P. Blg. 22 arises without positive, authentic proof of ACTUAL RECEIPT of the written Notice of Dishonor by the drawer.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person be convicted of B.P. 22 without solid proof that she actually received the written notice of dishonor in her own hands?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proof of receipt of the Notice of Dishonor is indispensable in BP 22 prosecutions, testing Strictissimi Juris in Special Penal Laws and In Dubio Pro Reo."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statutory presumption of guilt CANNOT arise without positive, authentic proof of ACTUAL RECEIPT of the Notice of Dishonor. In statutory construction of B.P. Blg. 22, proof of actual receipt by the drawer is an INDISPENSABLE ELEMENT of the offense.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Bouncing Checks Law, the 5-day period to pay starts ONLY when you actually receive the written notice of dishonor. If the prosecution cannot prove you received the letter, the criminal presumption of guilt collapses and you must be acquitted.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Strictissimi Juris and the statutory structure of Section 2 of BP 22, the presumption of knowledge of insufficient funds arises ONLY after it is proved that the accused actually received a written notice of dishonor. Mere registry receipts without authenticating proof of receipt cannot substitute for proof beyond reasonable doubt, mandating the acquittal of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Batas Pambansa Blg. 22 (Bouncing Checks Law): </w:t>
            </w:r>
            <w:r>
              <w:rPr>
                <w:rFonts w:ascii="Calibri" w:hAnsi="Calibri"/>
                <w:color w:val="212529"/>
                <w:sz w:val="20"/>
              </w:rPr>
              <w:t>Creates prima facie presumption of knowledge of insufficiency of funds upon failure to pay within five banking days from written notice of dishonor.</w:t>
            </w:r>
          </w:p>
          <w:p>
            <w:pPr>
              <w:spacing w:before="20" w:after="40" w:line="276" w:lineRule="auto"/>
            </w:pPr>
            <w:r>
              <w:rPr>
                <w:rFonts w:ascii="Calibri" w:hAnsi="Calibri"/>
                <w:b/>
                <w:color w:val="212529"/>
                <w:sz w:val="20"/>
              </w:rPr>
              <w:t xml:space="preserve">2. Strictissimi Juris (of the strictest interpretation) in Penal Law: </w:t>
            </w:r>
            <w:r>
              <w:rPr>
                <w:rFonts w:ascii="Calibri" w:hAnsi="Calibri"/>
                <w:color w:val="212529"/>
                <w:sz w:val="20"/>
              </w:rPr>
              <w:t>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20"/>
              </w:rPr>
              <w:t xml:space="preserve">3. In Dubio Pro Reo / In Favorem Libertatis (in doubt, rule for the accused): </w:t>
            </w:r>
            <w:r>
              <w:rPr>
                <w:rFonts w:ascii="Calibri" w:hAnsi="Calibri"/>
                <w:color w:val="212529"/>
                <w:sz w:val="20"/>
              </w:rPr>
              <w:t>Failure to prove actual receipt of notice negates criminal liability under BP 22.</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BP 22, Strictissimi Juris in Special Penal Laws, and In Dubio Pro Reo.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BP 22, applied under the strict penal canon Strictissimi Juris and In dubio pro reo (all doubts resolved in favor of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Notice of Dishonor as a Substantive Statutory Condition: </w:t>
            </w:r>
            <w:r>
              <w:rPr>
                <w:rFonts w:ascii="Calibri" w:hAnsi="Calibri"/>
                <w:color w:val="212529"/>
                <w:sz w:val="20"/>
              </w:rPr>
              <w:t>Section 2 of BP 22 grants the check-issuer a statutory grace period of five banking days from notice to pay the check and avoid criminal liability. Without proof of receipt, the grace period never begins.</w:t>
            </w:r>
          </w:p>
          <w:p>
            <w:pPr>
              <w:spacing w:before="20" w:after="40" w:line="276" w:lineRule="auto"/>
            </w:pPr>
            <w:r>
              <w:rPr>
                <w:rFonts w:ascii="Calibri" w:hAnsi="Calibri"/>
                <w:b/>
                <w:color w:val="212529"/>
                <w:sz w:val="20"/>
              </w:rPr>
              <w:t xml:space="preserve">2. Inadequacy of Unauthenticated Postal Cards: </w:t>
            </w:r>
            <w:r>
              <w:rPr>
                <w:rFonts w:ascii="Calibri" w:hAnsi="Calibri"/>
                <w:color w:val="212529"/>
                <w:sz w:val="20"/>
              </w:rPr>
              <w:t>A registry receipt and return card signed by an unknown person do not prove that the accused received the demand letter. The postman or receiving agent must testify.</w:t>
            </w:r>
          </w:p>
          <w:p>
            <w:pPr>
              <w:spacing w:before="20" w:after="40" w:line="276" w:lineRule="auto"/>
            </w:pPr>
            <w:r>
              <w:rPr>
                <w:rFonts w:ascii="Calibri" w:hAnsi="Calibri"/>
                <w:b/>
                <w:color w:val="212529"/>
                <w:sz w:val="20"/>
              </w:rPr>
              <w:t xml:space="preserve">3. Separation of Civil and Criminal Liability: </w:t>
            </w:r>
            <w:r>
              <w:rPr>
                <w:rFonts w:ascii="Calibri" w:hAnsi="Calibri"/>
                <w:color w:val="212529"/>
                <w:sz w:val="20"/>
              </w:rPr>
              <w:t>Acquittal of the criminal charge does not extinguish civil debt. The accused remains civilly liable to pay the face value of the dishonored checks.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gives a check-writer 5 days to pay after getting written notice. How can you count 5 days if you don't even know what day the person got the letter? In criminal court, you cannot guess about mail delivery. Because the mailman never testified, the criminal case fell apart, though the civil debt remains.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in BP 22. The statutory presumption of deceit requires strict proof of actual receipt of the notice of dishonor. Because receipt was not established beyond reasonable doubt, the Court acquitted Cabrera of the criminal charge while maintaining her civil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ACQUITTED Judy Anne Cabrera of violation of B.P. Blg. 22, but ORDERED her to pay the civil value of the dishonored checks with legal interest.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accused was acquitted of the criminal bouncing check charge due to lack of proof of receipt of notice, but ordered to pay the civil debt.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acquitted the accused of BP 22 under Strictissimi Juris, reaffirming that actual receipt of the notice of dishonor must be strictly proved."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B. Statutes Strictly Construed -&gt; Penal Statutes &amp; BP 22 Bouncing Checks Law (Strict Proof of Notice of Dishonor)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Special penal statutes and statutory presumptions are construed strictly against the State.</w:t>
            </w:r>
          </w:p>
          <w:p>
            <w:pPr>
              <w:spacing w:before="40" w:after="60" w:line="276" w:lineRule="auto"/>
            </w:pPr>
            <w:r>
              <w:rPr>
                <w:rFonts w:ascii="Calibri" w:hAnsi="Calibri"/>
                <w:b/>
                <w:color w:val="8C3200"/>
                <w:sz w:val="20"/>
              </w:rPr>
              <w:t>2. In dubio pro reo (in doubt, rule in favor of the accused)</w:t>
              <w:br/>
            </w:r>
            <w:r>
              <w:rPr>
                <w:rFonts w:ascii="Calibri" w:hAnsi="Calibri"/>
                <w:b/>
                <w:color w:val="212529"/>
                <w:sz w:val="19"/>
              </w:rPr>
              <w:t xml:space="preserve">   • Literal English Translation: </w:t>
            </w:r>
            <w:r>
              <w:rPr>
                <w:rFonts w:ascii="Calibri" w:hAnsi="Calibri"/>
                <w:i/>
                <w:color w:val="212529"/>
                <w:sz w:val="19"/>
              </w:rPr>
              <w:t>In doubt, rule for the accused.</w:t>
              <w:br/>
            </w:r>
            <w:r>
              <w:rPr>
                <w:rFonts w:ascii="Calibri" w:hAnsi="Calibri"/>
                <w:b/>
                <w:color w:val="212529"/>
                <w:sz w:val="19"/>
              </w:rPr>
              <w:t xml:space="preserve">   • Plain Legal Meaning &amp; StatCon Application: </w:t>
            </w:r>
            <w:r>
              <w:rPr>
                <w:rFonts w:ascii="Calibri" w:hAnsi="Calibri"/>
                <w:color w:val="212529"/>
                <w:sz w:val="19"/>
              </w:rPr>
              <w:t>Absence of proof of actual receipt of notice creates reasonable doubt requiring acquittal.</w:t>
            </w:r>
          </w:p>
          <w:p>
            <w:pPr>
              <w:spacing w:before="40" w:after="60" w:line="276" w:lineRule="auto"/>
            </w:pPr>
            <w:r>
              <w:rPr>
                <w:rFonts w:ascii="Calibri" w:hAnsi="Calibri"/>
                <w:b/>
                <w:color w:val="8C3200"/>
                <w:sz w:val="20"/>
              </w:rPr>
              <w:t>3. Actori incumbit onus probandi (the burden of proof lies on the plaintiff/prosecution)</w:t>
              <w:br/>
            </w:r>
            <w:r>
              <w:rPr>
                <w:rFonts w:ascii="Calibri" w:hAnsi="Calibri"/>
                <w:b/>
                <w:color w:val="212529"/>
                <w:sz w:val="19"/>
              </w:rPr>
              <w:t xml:space="preserve">   • Literal English Translation: </w:t>
            </w:r>
            <w:r>
              <w:rPr>
                <w:rFonts w:ascii="Calibri" w:hAnsi="Calibri"/>
                <w:i/>
                <w:color w:val="212529"/>
                <w:sz w:val="19"/>
              </w:rPr>
              <w:t>The burden of proof lies on the prosecution.</w:t>
              <w:br/>
            </w:r>
            <w:r>
              <w:rPr>
                <w:rFonts w:ascii="Calibri" w:hAnsi="Calibri"/>
                <w:b/>
                <w:color w:val="212529"/>
                <w:sz w:val="19"/>
              </w:rPr>
              <w:t xml:space="preserve">   • Plain Legal Meaning &amp; StatCon Application: </w:t>
            </w:r>
            <w:r>
              <w:rPr>
                <w:rFonts w:ascii="Calibri" w:hAnsi="Calibri"/>
                <w:color w:val="212529"/>
                <w:sz w:val="19"/>
              </w:rPr>
              <w:t>The State must prove actual receipt of notice beyond reasonable doubt.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B. Statutes Strictly Construed -&gt; Penal Statutes &amp; BP 22 Bouncing Checks Law (Strict Proof of Notice of Dishonor)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 / In dubio pro reo</w:t>
              <w:br/>
              <w:t>(of the strictest interpretation / special penal laws are strictly construed in favor of the accused; notice of dishonor in BP 22 must be strictly proved)</w:t>
              <w:br/>
              <w:br/>
              <w:t>Secondary:</w:t>
              <w:br/>
              <w:t>• Actori incumbit onus probandi (prosecution must prove every element of notice)</w:t>
              <w:br/>
              <w:t>• Separation of civil liability from criminal acquittal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used speculative postal presumptions to establish criminal guilt in direct violation of the strict construction required for special penal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Statutory Presumptions in Penal Law: Where a penal statute creates a presumption of guilt based on written notice (Section 2 BP 22), the prosecution must strictly prove actual receipt by the accused beyond reasonable doubt under Strictissimi Juris.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bouncing check cases, the prosecutor must prove the accused actually held the warning letter in her hands; assumptions are not enough to convict someone.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Cabrera v. Ng confirms that under Strictissimi Juris and In Dubio Pro Reo, actual receipt of the Notice of Dishonor in BP 22 must be strictly proven beyond reasonable doubt."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Batas Pambansa Blg. 22 Jurisprudence: Judy Anne Cabrera v. Judy Ng</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201601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12, 2014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Judy Anne Cabrera issued several postdated checks to Judy Ng which were dishonored upon presentment for 'Drawn Against Insufficient Funds' (DAIF). Ng's counsel sent a demand letter by registered mail. During the criminal trial for violation of B.P. Blg. 22, the prosecution presented the registry receipt and registry return card, but failed to present the postman or authenticating witness to prove who actually signed and received the registered letter. The trial court convicted Cabrera of BP 22, presuming that the letter was received under the presumption of regularity in postal service. Cabrera appealed, invoking the strict statutory requirement of actual receipt of Notice of Dishonor.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Batas Pambansa Blg. 22 (Bouncing Checks Law): Creates prima facie presumption of knowledge of insufficiency of funds upon failure to pay within five banking days from written notice of dishonor.</w:t>
              <w:br/>
              <w:t>2. Strictissimi Juris (of the strictest interpretation) in Penal Law: 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used speculative postal presumptions to establish criminal guilt in direct violation of the strict construction required for special penal statutes.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presumption of knowledge of insufficiency of funds under Section 2 of B.P. Blg. 22 arises without positive, authentic proof of ACTUAL RECEIPT of the written Notice of Dishonor by the drawer.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Batas Pambansa Blg. 22 Jurisprudence: Judy Anne Cabrera v. Judy Ng, under the canon of Strictissimi juris / In dubio pro reo.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Batas Pambansa Blg. 22 (Bouncing Checks Law): Creates prima facie presumption of knowledge of insufficiency of funds upon failure to pay within five banking days from written notice of dishonor.</w:t>
              <w:br/>
              <w:t>2. Strictissimi Juris (of the strictest interpretation) in Penal Law: 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used speculative postal presumptions to establish criminal guilt in direct violation of the strict const...</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ACQUITTED Judy Anne Cabrera of violation of B.P. Blg. 22, but ORDERED her to pay the civil value of the dishonored checks with legal interest.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statutory presumption of guilt CANNOT arise without positive, authentic proof of ACTUAL RECEIPT of the Notice of Dishonor. In statutory construction of B.P. Blg. 22, proof of actual receipt by the drawer is an INDISPENSABLE ELEMENT of the offense.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used speculative postal presumptions to establish criminal guilt in direct violation of the strict construction required for.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 / In dubio pro reo</w:t>
              <w:br/>
              <w:t xml:space="preserve">   - Application: Strict Construction of Statutory Presumptions in Penal Law: Where a penal statute creates a presumption of guilt based on written notice (Section 2 BP 22), the prosecution must strictly prove actual receipt by the accused beyond reasonable doubt under Strictissimi Juris.</w:t>
              <w:br/>
              <w:t xml:space="preserve">   - Result: No. Under the Bouncing Checks Law, the 5-day period to pay starts ONLY when you actually receive the written notice of dishonor. If the prosecution cannot prove you received the letter, the criminal presumption of guilt collapses and you must be acquitted.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Actori incumbit onus probandi (prosecution must prove every element of notice)</w:t>
              <w:br/>
              <w:t>• Separation of civil liability from criminal acquittal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Batas Pambansa Blg. 22 Jurisprudence: Judy Anne Cabrera v. Judy Ng to mean and apply strictly in accordance with Strictissimi juris / In dubio pro reo, holding that No. Under the Bouncing Checks Law, the 5-day period to pay starts ONLY when you actually receive the written notice of dishonor. If the prosecution cannot prove.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gives a check-writer 5 days to pay after getting written notice. How can you count 5 days if you don't even know what day the person got the letter? In criminal court, you cannot guess about mail delivery. Because the mailman never testified, the criminal case fell apart, though the civil debt remains.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 In dubio pro reo,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Statutory Presumptions in Penal Law: Where a penal statute creates a presumption of guilt based on written notice (Section 2 BP 22), the prosecution must strictly prove actual receipt by the accused beyond reasonable doubt under Strictissimi Juris.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bouncing check cases, the prosecutor must prove the accused actually held the warning letter in her hands; assumptions are not enough to convict someone.</w:t>
            </w:r>
          </w:p>
        </w:tc>
      </w:tr>
    </w:tbl>
    <w:p>
      <w:r>
        <w:br w:type="page"/>
      </w:r>
    </w:p>
    <w:p>
      <w:pPr>
        <w:keepNext/>
        <w:spacing w:before="320" w:after="80"/>
      </w:pPr>
      <w:r>
        <w:rPr>
          <w:rFonts w:ascii="Arial" w:hAnsi="Arial"/>
          <w:b/>
          <w:color w:val="0F2043"/>
          <w:sz w:val="26"/>
        </w:rPr>
        <w:t>86. COMMISSIONER OF INTERNAL REVENUE V. LA TONDEÑA DISTILLERY, INC. (NOW GINEBRA SAN MIGUEL,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175188 | July 15, 2015 | 762 SCRA 593 | First Division | Ponente: J. Del Castillo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La Tondeña Distillery, Inc. / Ginebra San Miguel, Inc.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First Division (Petition for Review on Certiorari under Rule 45)</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assailing the Court of Tax Appeals En Banc decision granting respondent's claim for tax amnesty/abatement under the Voluntary Assessment and Abatement Program (VAAP) for deficiency excise taxes.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La Tondeña Distillery, Inc. was assessed deficiency excise taxes on its removal of distilled spirits and ethyl alcohol for taxable years 1992 and 1993. During the pendency of its protest, the BIR issued Revenue Regulations No. 17-2001 implementing the Voluntary Assessment and Abatement Program (VAAP), offering taxpayers the opportunity to settle tax liabilities with an abatement of penalties and surcharges. La Tondeña applied for VAAP and paid the basic deficiency taxes, claiming full tax amnesty. However, the Commissioner of Internal Revenue denied the application, pointing out that Section 2 of RR 17-2001 expressly disqualified taxpayers with pending cases involving tax fraud or cases with existing final assessments under litigation before the CTA. La Tondeña argued that tax amnesty and abatement regulations, as remedial fiscal measures, should be construed liberally in favor of taxpayers to encourage tax compliance.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 Tondeña owed deficiency excise taxes on liquor and tried to avail of the BIR's tax abatement program (VAAP) to erase its penalties and interest. However, BIR rules specifically excluded taxpayers whose cases were already being litigated or had fraud issues. La Tondeña argued that amnesty rules should be interpreted liberally so taxpayers can settle easily. The Supreme Court ruled that tax amnesties and tax exemptions are strictly construed against the taxpayer (*strictissimi juris*). Because La Tondeña had disqualifications specified in the rules, it could not claim the benefits of tax amnesty.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tax amnesty statutes and tax abatement regulations should be construed strictly against the taxpayer; and whether La Tondeña is entitled to the benefits of the Voluntary Assessment and Abatement Program (VAAP).</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tax amnesty laws interpreted strictly against the taxpayer, and was La Tondeña disqualified from the BIR tax forgiveness program?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tax amnesty statutes and administrative tax abatement programs are construed strictissimi juris against the taxpayer claiming relief, testing the Canons on Construction of Tax Laws and Tax Exemptions."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Tax amnesty statutes and abatement programs are STRICTLY CONSTRUED against the taxpayer (*strictissimi juris*). A tax amnesty partakes of the nature of a tax exemption; it is an act of grace by the State. Because La Tondeña failed to strictly comply with all non-disqualification conditions under RR 17-2001, it is NOT entitled to tax abatement.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Tax amnesties and tax exemptions are acts of grace by the government and are construed strictly against the taxpayer. To get tax forgiveness, the taxpayer must strictly prove full compliance with every single legal condition. Because La Tondeña was covered by the explicit disqualifications in the regulation, its claim for amnesty failed.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tax amnesties, like tax exemptions, are construed strictissimi juris against the taxpayer claiming them. As Justice Del Castillo emphasized, tax amnesty is an act of state grace, and one who claims it must justify his claim by the clearest grant of law. La Tondeña's failure to strictly meet the eligibility criteria justified the denial of its amnesty application."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Doctrine of Strict Construction of Tax Exemptions and Amnesties (Strictissimi Juris): </w:t>
            </w:r>
            <w:r>
              <w:rPr>
                <w:rFonts w:ascii="Calibri" w:hAnsi="Calibri"/>
                <w:color w:val="212529"/>
                <w:sz w:val="20"/>
              </w:rPr>
              <w:t>Taxation is the rule, and exemption/amnesty is the exception. Statutes granting tax amnesty are construed strictly against the grantee and liberally in favor of the taxing authority.</w:t>
            </w:r>
          </w:p>
          <w:p>
            <w:pPr>
              <w:spacing w:before="20" w:after="40" w:line="276" w:lineRule="auto"/>
            </w:pPr>
            <w:r>
              <w:rPr>
                <w:rFonts w:ascii="Calibri" w:hAnsi="Calibri"/>
                <w:b/>
                <w:color w:val="212529"/>
                <w:sz w:val="20"/>
              </w:rPr>
              <w:t xml:space="preserve">2. Revenue Regulations No. 17-2001 (VAAP Regulations): </w:t>
            </w:r>
            <w:r>
              <w:rPr>
                <w:rFonts w:ascii="Calibri" w:hAnsi="Calibri"/>
                <w:color w:val="212529"/>
                <w:sz w:val="20"/>
              </w:rPr>
              <w:t>Section 2 explicitly enumerates disqualified taxpayers, including those with pending cases before courts and final assessments under fraud investigation.</w:t>
            </w:r>
          </w:p>
          <w:p>
            <w:pPr>
              <w:spacing w:before="20" w:after="40" w:line="276" w:lineRule="auto"/>
            </w:pPr>
            <w:r>
              <w:rPr>
                <w:rFonts w:ascii="Calibri" w:hAnsi="Calibri"/>
                <w:b/>
                <w:color w:val="212529"/>
                <w:sz w:val="20"/>
              </w:rPr>
              <w:t xml:space="preserve">3. Principles of Statutory Construction of Revenue Laws: </w:t>
            </w:r>
            <w:r>
              <w:rPr>
                <w:rFonts w:ascii="Calibri" w:hAnsi="Calibri"/>
                <w:color w:val="212529"/>
                <w:sz w:val="20"/>
              </w:rPr>
              <w:t>Taxes are the lifeblood of the government; exemptions and amnesties cannot be extended by mere implication, equity, or loose construction.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Strictissimi Juris doctrine on tax exemptions and amnesties, RR 17-2001 disqualification rules, and Lifeblood Theory of Taxation.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well-settled canon that tax amnesty statutes partaking of tax exemptions are construed strictissimi juris against the taxpayer, reinforced by Section 2 of RR 17-2001 and the Lifeblood Theory of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Strictissimi Juris Applied to Tax Amnesties: </w:t>
            </w:r>
            <w:r>
              <w:rPr>
                <w:rFonts w:ascii="Calibri" w:hAnsi="Calibri"/>
                <w:color w:val="212529"/>
                <w:sz w:val="20"/>
              </w:rPr>
              <w:t>A tax amnesty is a general pardon or intentional overlooking by the State of its authority to impose penalties on persons otherwise guilty of evasion or violation of a revenue law. Like tax exemptions, it never presumes. It must be strictly construed against the taxpayer.</w:t>
            </w:r>
          </w:p>
          <w:p>
            <w:pPr>
              <w:spacing w:before="20" w:after="40" w:line="276" w:lineRule="auto"/>
            </w:pPr>
            <w:r>
              <w:rPr>
                <w:rFonts w:ascii="Calibri" w:hAnsi="Calibri"/>
                <w:b/>
                <w:color w:val="212529"/>
                <w:sz w:val="20"/>
              </w:rPr>
              <w:t xml:space="preserve">2. Application to RR 17-2001: </w:t>
            </w:r>
            <w:r>
              <w:rPr>
                <w:rFonts w:ascii="Calibri" w:hAnsi="Calibri"/>
                <w:color w:val="212529"/>
                <w:sz w:val="20"/>
              </w:rPr>
              <w:t>The language of RR 17-2001 leaves no room for expansion. Respondent fell under the categorical exceptions and disqualifications outlined in Section 2. Allowing a taxpayer disqualified by the text of the regulation to enjoy abatement violates both the rule of strict construction and executive rule-making prerogative.</w:t>
            </w:r>
          </w:p>
          <w:p>
            <w:pPr>
              <w:spacing w:before="20" w:after="40" w:line="276" w:lineRule="auto"/>
            </w:pPr>
            <w:r>
              <w:rPr>
                <w:rFonts w:ascii="Calibri" w:hAnsi="Calibri"/>
                <w:b/>
                <w:color w:val="212529"/>
                <w:sz w:val="20"/>
              </w:rPr>
              <w:t xml:space="preserve">3. Lifeblood Theory and Administrative Limits: </w:t>
            </w:r>
            <w:r>
              <w:rPr>
                <w:rFonts w:ascii="Calibri" w:hAnsi="Calibri"/>
                <w:color w:val="212529"/>
                <w:sz w:val="20"/>
              </w:rPr>
              <w:t>To liberally grant tax forgiveness beyond the clear textual parameters would bleed the government of lawful revenues and constitute unauthorized judicial expansion of tax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applied the strictissimi juris rule. Taxes are the lifeblood of the nation, so when the government gives an amnesty or forgiveness, it is an act of grace. The taxpayer must strictly prove it qualifies for every condition. The regulation clearly disqualified companies with pending court cases. The Court cannot use liberal interpretation to give tax relief to someone the law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firmly reiterated that tax amnesties partaking of tax exemptions must be construed strictissimi juris against the taxpayer. The Court held that since RR 17-2001 explicitly disqualified taxpayers with pending litigation, La Tondeña cannot claim liberal construction to bypass clear regulatory disqualifications."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of the Commissioner of Internal Revenue, REVERSED the CTA En Banc decision, and HELD La Tondeña Distillery, Inc. liable for deficiency excise taxes, surcharges, and interest.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CIR won; La Tondeña was denied tax amnesty and ordered to pay its deficiency taxes and surcharges under the rule of strict construction of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CIR's petition, reaffirming that tax exemptions and amnesties are strictly construed against the taxpayer and liberally in favor of the State."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B. Statutes Strictly Construed -&gt; Tax Laws, Tax Exemptions &amp; Tax Amnesties Strictissimi Juris (BIR VAAP Abatement Program)</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right / interpretation)</w:t>
              <w:br/>
            </w:r>
            <w:r>
              <w:rPr>
                <w:rFonts w:ascii="Calibri" w:hAnsi="Calibri"/>
                <w:b/>
                <w:color w:val="212529"/>
                <w:sz w:val="19"/>
              </w:rPr>
              <w:t xml:space="preserve">   • Literal English Translation: </w:t>
            </w:r>
            <w:r>
              <w:rPr>
                <w:rFonts w:ascii="Calibri" w:hAnsi="Calibri"/>
                <w:i/>
                <w:color w:val="212529"/>
                <w:sz w:val="19"/>
              </w:rPr>
              <w:t>Of the strictest right or interpretation.</w:t>
              <w:br/>
            </w:r>
            <w:r>
              <w:rPr>
                <w:rFonts w:ascii="Calibri" w:hAnsi="Calibri"/>
                <w:b/>
                <w:color w:val="212529"/>
                <w:sz w:val="19"/>
              </w:rPr>
              <w:t xml:space="preserve">   • Plain Legal Meaning &amp; StatCon Application: </w:t>
            </w:r>
            <w:r>
              <w:rPr>
                <w:rFonts w:ascii="Calibri" w:hAnsi="Calibri"/>
                <w:color w:val="212529"/>
                <w:sz w:val="19"/>
              </w:rPr>
              <w:t>Tax exemptions and tax amnesty statutes are construed with the highest degree of strictness against the grantee.</w:t>
            </w:r>
          </w:p>
          <w:p>
            <w:pPr>
              <w:spacing w:before="40" w:after="60" w:line="276" w:lineRule="auto"/>
            </w:pPr>
            <w:r>
              <w:rPr>
                <w:rFonts w:ascii="Calibri" w:hAnsi="Calibri"/>
                <w:b/>
                <w:color w:val="8C3200"/>
                <w:sz w:val="20"/>
              </w:rPr>
              <w:t>2. Exceptio firmat regulam in casibus non exceptis (the exception confirms the rule in cases not excepted)</w:t>
              <w:br/>
            </w:r>
            <w:r>
              <w:rPr>
                <w:rFonts w:ascii="Calibri" w:hAnsi="Calibri"/>
                <w:b/>
                <w:color w:val="212529"/>
                <w:sz w:val="19"/>
              </w:rPr>
              <w:t xml:space="preserve">   • Literal English Translation: </w:t>
            </w:r>
            <w:r>
              <w:rPr>
                <w:rFonts w:ascii="Calibri" w:hAnsi="Calibri"/>
                <w:i/>
                <w:color w:val="212529"/>
                <w:sz w:val="19"/>
              </w:rPr>
              <w:t>The exception proves the rule.</w:t>
              <w:br/>
            </w:r>
            <w:r>
              <w:rPr>
                <w:rFonts w:ascii="Calibri" w:hAnsi="Calibri"/>
                <w:b/>
                <w:color w:val="212529"/>
                <w:sz w:val="19"/>
              </w:rPr>
              <w:t xml:space="preserve">   • Plain Legal Meaning &amp; StatCon Application: </w:t>
            </w:r>
            <w:r>
              <w:rPr>
                <w:rFonts w:ascii="Calibri" w:hAnsi="Calibri"/>
                <w:color w:val="212529"/>
                <w:sz w:val="19"/>
              </w:rPr>
              <w:t>Taxation is the general rule; exemptions and amnesties are strictly limited exceptions.</w:t>
            </w:r>
          </w:p>
          <w:p>
            <w:pPr>
              <w:spacing w:before="40" w:after="60" w:line="276" w:lineRule="auto"/>
            </w:pPr>
            <w:r>
              <w:rPr>
                <w:rFonts w:ascii="Calibri" w:hAnsi="Calibri"/>
                <w:b/>
                <w:color w:val="8C3200"/>
                <w:sz w:val="20"/>
              </w:rPr>
              <w:t>3. Ubi lex non distinguit nec nos distinguere debemos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courts must not create distinctions.</w:t>
              <w:br/>
            </w:r>
            <w:r>
              <w:rPr>
                <w:rFonts w:ascii="Calibri" w:hAnsi="Calibri"/>
                <w:b/>
                <w:color w:val="212529"/>
                <w:sz w:val="19"/>
              </w:rPr>
              <w:t xml:space="preserve">   • Plain Legal Meaning &amp; StatCon Application: </w:t>
            </w:r>
            <w:r>
              <w:rPr>
                <w:rFonts w:ascii="Calibri" w:hAnsi="Calibri"/>
                <w:color w:val="212529"/>
                <w:sz w:val="19"/>
              </w:rPr>
              <w:t>Disqualifications laid down by tax regulations must be applied without unauthorized exceptions.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B. Statutes Strictly Construed -&gt; Tax Laws, Tax Exemptions &amp; Tax Amnesties Strictissimi Juris (BIR VAAP Abatement Program)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(statutes granting tax exemptions and tax amnesties are construed with extreme strictness against the taxpayer and in favor of the State)</w:t>
              <w:br/>
              <w:br/>
              <w:t>Secondary:</w:t>
              <w:br/>
              <w:t>• Vectigal non est praesumendum (taxation is the rule, exemption is never presumed)</w:t>
              <w:br/>
              <w:t>• Salus populi suprema lex (tax revenues sustain public governance)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taxpayer attempted to apply liberal construction to an executive tax amnesty regulation to bypass explicit statutory and regulatory disqualifications.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Tax Statutes: In statutory construction: (1) General tax statutes are strictly construed against the government if burdensome; but (2) Tax exemptions, amnesties, and abatements are strictly construed AGAINST the taxpayer (*strictissimi juris*) and liberally in favor of the government.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 exemptions and tax amnesties are never handed out easily; the law is strictly applied against the person asking for tax forgiveness.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La Tondeña Distillery is the benchmark case for the strict construction of tax exemptions and amnesties under the strictissimi juris canon."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La Tondeña Distillery, Inc. (now Ginebra San Miguel,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175188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15, 2015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La Tondeña Distillery, Inc. was assessed deficiency excise taxes on its removal of distilled spirits and ethyl alcohol for taxable years 1992 and 1993. During the pendency of its protest, the BIR issued Revenue Regulations No. 17-2001 implementing the Voluntary Assessment and Abatement Program (VAAP), offering taxpayers the opportunity to settle tax liabilities with an abatement of penalties and surcharges. La Tondeña applied for VAAP and paid the basic deficiency taxes, claiming full tax amnesty. However, the Commissioner of Internal Revenue denied the application, pointing out that Section 2 of RR 17-2001 expressly disqualified taxpayers with pending cases involving tax fraud or cases with existing final assessments under litigation before the CTA. La Tondeña argued that tax amnesty and abatement regulations, as remedial fiscal measures, should be construed liberally in favor of taxpayers to encourage tax compliance.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Doctrine of Strict Construction of Tax Exemptions and Amnesties (Strictissimi Juris): Taxation is the rule, and exemption/amnesty is the exception. Statutes granting tax amnesty are construed strictly against the grantee and liberally in favor of the taxing authority.</w:t>
              <w:br/>
              <w:t>2. Revenue Regulations No. 17-2001 (VAAP Regulations): Section 2 explicitly enumerates disqualified taxpayers, including those with pending cases before courts and final assessments under fraud investigation.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taxpayer attempted to apply liberal construction to an executive tax amnesty regulation to bypass explicit statutory and regulatory disqualifications.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tax amnesty statutes and tax abatement regulations should be construed strictly against the taxpayer; and whether La Tondeña is entitled to the benefits of the Voluntary Assessment and Abatement Program (VAAP).</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La Tondeña Distillery, Inc. (now Ginebra San Miguel, Inc.),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Doctrine of Strict Construction of Tax Exemptions and Amnesties (Strictissimi Juris): Taxation is the rule, and exemption/amnesty is the exception. Statutes granting tax amnesty are construed strictly against the grantee and liberally in favor of the taxing authority.</w:t>
              <w:br/>
              <w:t>2. Revenue Regulations No. 17-2001 (VAAP Regulations): Section 2 explicitly enumerates disqualified taxpayers, including those with pending cases before courts and final assessments under fraud investigation.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taxpayer attempted to apply liberal construction to an executive tax amnesty regulation to bypass explicit statutory...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of the Commissioner of Internal Revenue, REVERSED the CTA En Banc decision, and HELD La Tondeña Distillery, Inc. liable for deficiency excise taxes, surcharges, and interest.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Tax amnesty statutes and abatement programs are STRICTLY CONSTRUED against the taxpayer (*strictissimi juris*). A tax amnesty partakes of the nature of a tax exemption; it is an act of grace by the State. Because La Tondeña failed to strictly comply with all non-disqualification conditions under RR 17-2001, it is NOT entitled to tax abatement.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taxpayer attempted to apply liberal construction to an executive tax amnesty regulation to bypass explicit statutory and regulatory disq.</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Tax Statutes: In statutory construction: (1) General tax statutes are strictly construed against the government if burdensome; but (2) Tax exemptions, amnesties, and abatements are strictly construed AGAINST the taxpayer (*strictissimi juris*) and liberally in favor of the government.</w:t>
              <w:br/>
              <w:t xml:space="preserve">   - Result: Yes. Tax amnesties and tax exemptions are acts of grace by the government and are construed strictly against the taxpayer. To get tax forgiveness, the taxpayer must strictly prove full compliance with every single legal condition. Because La Tondeña was covered by the explicit disqualifications in the regulation, its claim for amnesty failed.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Vectigal non est praesumendum (taxation is the rule, exemption is never presumed)</w:t>
              <w:br/>
              <w:t>• Salus populi suprema lex (tax revenues sustain public governance)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La Tondeña Distillery, Inc. (now Ginebra San Miguel, Inc.) to mean and apply strictly in accordance with Strictissimi juris, holding that Yes. Tax amnesties and tax exemptions are acts of grace by the government and are construed strictly against the taxpayer. To get tax forgiveness, the taxpayer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applied the strictissimi juris rule. Taxes are the lifeblood of the nation, so when the government gives an amnesty or forgiveness, it is an act of grace. The taxpayer must strictly prove it qualifies for every condition. The regulation clearly disqualified companies with pending court cases. The Court cannot use liberal interpretation to give tax relief to someone the law excluded.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Tax Statutes: In statutory construction: (1) General tax statutes are strictly construed against the government if burdensome; but (2) Tax exemptions, amnesties, and abatements are strictly construed AGAINST the taxpayer (*strictissimi juris*) and liberally in favor of the government.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 exemptions and tax amnesties are never handed out easily; the law is strictly applied against the person asking for tax forgiveness.</w:t>
            </w:r>
          </w:p>
        </w:tc>
      </w:tr>
    </w:tbl>
    <w:p>
      <w:r>
        <w:br w:type="page"/>
      </w:r>
    </w:p>
    <w:p>
      <w:pPr>
        <w:keepNext/>
        <w:spacing w:before="320" w:after="80"/>
      </w:pPr>
      <w:r>
        <w:rPr>
          <w:rFonts w:ascii="Arial" w:hAnsi="Arial"/>
          <w:b/>
          <w:color w:val="0F2043"/>
          <w:sz w:val="26"/>
        </w:rPr>
        <w:t>87. CITY OF MANILA V. CHINESE COMMUNITY OF MANILA</w:t>
      </w:r>
    </w:p>
    <w:p>
      <w:pPr>
        <w:spacing w:before="40" w:after="80" w:line="276" w:lineRule="auto"/>
      </w:pPr>
      <w:r>
        <w:rPr>
          <w:rFonts w:ascii="Calibri" w:hAnsi="Calibri"/>
          <w:b/>
          <w:color w:val="212529"/>
          <w:sz w:val="21"/>
        </w:rPr>
        <w:t xml:space="preserve">Citation: </w:t>
      </w:r>
      <w:r>
        <w:rPr>
          <w:rFonts w:ascii="Calibri" w:hAnsi="Calibri"/>
          <w:i/>
          <w:color w:val="212529"/>
          <w:sz w:val="21"/>
        </w:rPr>
        <w:t>G.R. No. 14355 | October 31, 1919 | 40 Phil. 349 | En Banc | Ponente: J. Johnson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City of Manila (Plaintiff-Appellant)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Chinese Community of Manila, et al. (Defendants-Appellees)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dismissing an expropriation complaint filed by the City of Manila to condemn a portion of the historical Chinese Cemetery for the extension of a public street.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City of Manila filed an expropriation complaint to condemn a section of the historical Chinese Cemetery in Manila to extend Rizal Avenue. The Chinese Community of Manila opposed the expropriation, demonstrating that the cemetery was a sacred burial ground containing thousands of ancestral graves, monuments, and a mausoleum, and proved that the road extension could easily be routed through adjacent vacant public lands without disturbing the cemetery. The City of Manila argued that under its charter (Act No. 183), the City had absolute statutory power of eminent domain, and claimed that the necessity of expropriation was a political question that courts had no power to review.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of Manila wanted to extend a public street straight through the middle of the historical Chinese Cemetery, digging up ancient graves and family tombs. The Chinese Community proved that the city could easily bend the road through empty vacant lots right next door. The City argued that its power of eminent domain is absolute and courts cannot stop the government. The Supreme Court ruled in favor of the Chinese Community: expropriation statutes granting power to local governments must be STRICTLY CONSTRUED against the city and in favor of property owners, and courts have full power to stop unnecessary expropriation.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power of eminent domain delegated to a municipal corporation is subject to judicial review regarding necessity, and whether expropriation statutes are strictly construed against the State.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City of Manila bulldoze an ancient cemetery to build a road when the road can easily be built on vacant land next door?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municipal expropriation is subject to judicial inquiry on necessity, testing the Canon of Strictissimi Juris in Eminent Domain Statutes and Judicial Review of Delegated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City CANNOT expropriate the cemetery. Statutes delegating the power of eminent domain to municipal corporations are STRICTLY CONSTRUED against the municipality and in favor of property owners. Courts have full judicial power to inquire into the ACTUAL NECESSITY of the taking.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city cannot destroy the cemetery. Taking private land is a severe power. When Congress delegates eminent domain to a city, the law is interpreted very strictly against the city. If there is no real necessity because empty land is available next door, courts will block the taking.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In this monumental classic penned by Justice Johnson, the Supreme Court held that the power of eminent domain is strictly construed against the expropriating authority (Strictissimi Juris). Where eminent domain is exercised by a delegated municipal entity, the necessity of the taking is a justiciable judicial question. The proposed destruction of the cemetery was unnecessary and arbitrary, rendering the expropriation invalid."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Act No. 183 (Charter of the City of Manila): </w:t>
            </w:r>
            <w:r>
              <w:rPr>
                <w:rFonts w:ascii="Calibri" w:hAnsi="Calibri"/>
                <w:color w:val="212529"/>
                <w:sz w:val="20"/>
              </w:rPr>
              <w:t>Delegates power of eminent domain to the City of Manila for public improvements.</w:t>
            </w:r>
          </w:p>
          <w:p>
            <w:pPr>
              <w:spacing w:before="20" w:after="40" w:line="276" w:lineRule="auto"/>
            </w:pPr>
            <w:r>
              <w:rPr>
                <w:rFonts w:ascii="Calibri" w:hAnsi="Calibri"/>
                <w:b/>
                <w:color w:val="212529"/>
                <w:sz w:val="20"/>
              </w:rPr>
              <w:t xml:space="preserve">2. Strictissimi Juris (of the strictest interpretation) in Expropriation: </w:t>
            </w:r>
            <w:r>
              <w:rPr>
                <w:rFonts w:ascii="Calibri" w:hAnsi="Calibri"/>
                <w:color w:val="212529"/>
                <w:sz w:val="20"/>
              </w:rPr>
              <w:t>Statutes granting the power of eminent domain are strictly construed in derogation of private property rights.</w:t>
            </w:r>
          </w:p>
          <w:p>
            <w:pPr>
              <w:spacing w:before="20" w:after="40" w:line="276" w:lineRule="auto"/>
            </w:pPr>
            <w:r>
              <w:rPr>
                <w:rFonts w:ascii="Calibri" w:hAnsi="Calibri"/>
                <w:b/>
                <w:color w:val="212529"/>
                <w:sz w:val="20"/>
              </w:rPr>
              <w:t xml:space="preserve">3. Judicial Determination of Necessity: </w:t>
            </w:r>
            <w:r>
              <w:rPr>
                <w:rFonts w:ascii="Calibri" w:hAnsi="Calibri"/>
                <w:color w:val="212529"/>
                <w:sz w:val="20"/>
              </w:rPr>
              <w:t>The necessity of expropriation by local government units is subject to judicial review to prevent arbitrary abuse.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Act No. 183, Strictissimi Juris in Eminent Domain, and Judicial Inquiry on Necessity.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Act No. 183, governed by Strictissimi Juris in eminent domain and the fundamental principle that delegated expropriation powers are strictly construed in favor of private property owners."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Delegated Eminent Domain: </w:t>
            </w:r>
            <w:r>
              <w:rPr>
                <w:rFonts w:ascii="Calibri" w:hAnsi="Calibri"/>
                <w:color w:val="212529"/>
                <w:sz w:val="20"/>
              </w:rPr>
              <w:t>Eminent domain is in derogation of private property rights. When delegated to a municipality, the grant of power must be strictly construed against the city. Any reasonable doubt is resolved against the right to take.</w:t>
            </w:r>
          </w:p>
          <w:p>
            <w:pPr>
              <w:spacing w:before="20" w:after="40" w:line="276" w:lineRule="auto"/>
            </w:pPr>
            <w:r>
              <w:rPr>
                <w:rFonts w:ascii="Calibri" w:hAnsi="Calibri"/>
                <w:b/>
                <w:color w:val="212529"/>
                <w:sz w:val="20"/>
              </w:rPr>
              <w:t xml:space="preserve">2. Judicial Inquest into Necessity: </w:t>
            </w:r>
            <w:r>
              <w:rPr>
                <w:rFonts w:ascii="Calibri" w:hAnsi="Calibri"/>
                <w:color w:val="212529"/>
                <w:sz w:val="20"/>
              </w:rPr>
              <w:t>Unlike direct legislative expropriation by Congress, municipal expropriation requires proof of genuine, unavoidable public necessity. Where an alternate route on vacant land is available, the taking of an ancient cemetery is arbitrary.</w:t>
            </w:r>
          </w:p>
          <w:p>
            <w:pPr>
              <w:spacing w:before="20" w:after="40" w:line="276" w:lineRule="auto"/>
            </w:pPr>
            <w:r>
              <w:rPr>
                <w:rFonts w:ascii="Calibri" w:hAnsi="Calibri"/>
                <w:b/>
                <w:color w:val="212529"/>
                <w:sz w:val="20"/>
              </w:rPr>
              <w:t xml:space="preserve">3. Sanctity of Burial Grounds: </w:t>
            </w:r>
            <w:r>
              <w:rPr>
                <w:rFonts w:ascii="Calibri" w:hAnsi="Calibri"/>
                <w:color w:val="212529"/>
                <w:sz w:val="20"/>
              </w:rPr>
              <w:t>Cemeteries and resting places of the dead are protected by public policy and will not be destroyed where public necessity can be satisfied through alternative means.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Eminent domain takes away someone's land against their will. Because it is such a drastic power, the law must be interpreted as strictly as possible. When a city can build its road on empty dirt right next door, digging up ancestral graves is pure bullying. The Court stopped the city.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the classic doctrine on eminent domain. Statutes conferring expropriation powers on municipalities are strictly construed under Strictissimi Juris. Because the City failed to prove unavoidable necessity, the expropriation of the cemetery was denied."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dismissal of the expropriation complaint, PROTECTING the Chinese Cemetery from condemnation.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Chinese Community won and the city was barred from bulldozing the cemetery.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expropriation, holding that delegated eminent domain statutes are strictly construed against the municipality under Strictissimi Juris."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B. Statutes Strictly Construed -&gt; Eminent Domain Statutes Strictly Construed Against Expropriator (Expropriation of Chinese Cemetery)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Statutes authorizing the taking of private property under eminent domain are construed strictly against the expropriating power.</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authority is strictly confined.</w:t>
              <w:br/>
            </w:r>
            <w:r>
              <w:rPr>
                <w:rFonts w:ascii="Calibri" w:hAnsi="Calibri"/>
                <w:b/>
                <w:color w:val="212529"/>
                <w:sz w:val="19"/>
              </w:rPr>
              <w:t xml:space="preserve">   • Plain Legal Meaning &amp; StatCon Application: </w:t>
            </w:r>
            <w:r>
              <w:rPr>
                <w:rFonts w:ascii="Calibri" w:hAnsi="Calibri"/>
                <w:color w:val="212529"/>
                <w:sz w:val="19"/>
              </w:rPr>
              <w:t>Municipalities exercising delegated eminent domain must prove strict necessity.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Respecting sacred resting places of the dead is part of public order and morality.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B. Statutes Strictly Construed -&gt; Eminent Domain Statutes Strictly Construed Against Expropriator (Expropriation of Chinese Cemetery)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statutes granting eminent domain powers to municipal corporations are strictly construed in favor of private property rights)</w:t>
              <w:br/>
              <w:br/>
              <w:t>Secondary:</w:t>
              <w:br/>
              <w:t>• Potestas delegata (delegated powers strictly confined)</w:t>
              <w:br/>
              <w:t>• Judicial review of necessity in municipal expropriation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municipal corporation attempted to claim absolute, unreviewable eminent domain powers in violation of the strict construction required for delegated expropriation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Eminent Domain Statutes: Statutes granting the power of expropriation to local governments are construed strictissimi juris against the municipality; courts will enjoin the taking if actual, unavoidable public necessity is not established.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that let the government seize private land are interpreted very strictly against the government; a city cannot take land if there is an easy alternative.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City of Manila v. Chinese Community is the immortal classic ruling on Strictissimi Juris in Eminent Domain: municipal expropriation statutes are strictly construed against the State."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City of Manila v. Chinese Community of Manila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14355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31, 1919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City of Manila filed an expropriation complaint to condemn a section of the historical Chinese Cemetery in Manila to extend Rizal Avenue. The Chinese Community of Manila opposed the expropriation, demonstrating that the cemetery was a sacred burial ground containing thousands of ancestral graves, monuments, and a mausoleum, and proved that the road extension could easily be routed through adjacent vacant public lands without disturbing the cemetery. The City of Manila argued that under its charter (Act No. 183), the City had absolute statutory power of eminent domain, and claimed that the necessity of expropriation was a political question that courts had no power to review.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Act No. 183 (Charter of the City of Manila): Delegates power of eminent domain to the City of Manila for public improvements.</w:t>
              <w:br/>
              <w:t>2. Strictissimi Juris (of the strictest interpretation) in Expropriation: Statutes granting the power of eminent domain are strictly construed in derogation of private property rights.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municipal corporation attempted to claim absolute, unreviewable eminent domain powers in violation of the strict construction required for delegated expropriation statutes.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power of eminent domain delegated to a municipal corporation is subject to judicial review regarding necessity, and whether expropriation statutes are strictly construed against the State.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City of Manila v. Chinese Community of Manila,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Act No. 183 (Charter of the City of Manila): Delegates power of eminent domain to the City of Manila for public improvements.</w:t>
              <w:br/>
              <w:t>2. Strictissimi Juris (of the strictest interpretation) in Expropriation: Statutes granting the power of eminent domain are strictly construed in derogation of private property rights.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municipal corporation attempted to claim absolute, unreviewable eminent domain powers in violation of the strict con...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dismissal of the expropriation complaint, PROTECTING the Chinese Cemetery from condemnation.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City CANNOT expropriate the cemetery. Statutes delegating the power of eminent domain to municipal corporations are STRICTLY CONSTRUED against the municipality and in favor of property owners. Courts have full judicial power to inquire into the ACTUAL NECESSITY of the taking.</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municipal corporation attempted to claim absolute, unreviewable eminent domain powers in violation of the strict construction required f.</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Eminent Domain Statutes: Statutes granting the power of expropriation to local governments are construed strictissimi juris against the municipality; courts will enjoin the taking if actual, unavoidable public necessity is not established.</w:t>
              <w:br/>
              <w:t xml:space="preserve">   - Result: No. The city cannot destroy the cemetery. Taking private land is a severe power. When Congress delegates eminent domain to a city, the law is interpreted very strictly against the city. If there is no real necessity because empty land is available next door, courts will block the taking.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Potestas delegata (delegated powers strictly confined)</w:t>
              <w:br/>
              <w:t>• Judicial review of necessity in municipal expropriation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City of Manila v. Chinese Community of Manila to mean and apply strictly in accordance with Strictissimi juris, holding that No. The city cannot destroy the cemetery. Taking private land is a severe power. When Congress delegates eminent domain to a city, the law is interpreted very 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Eminent domain takes away someone's land against their will. Because it is such a drastic power, the law must be interpreted as strictly as possible. When a city can build its road on empty dirt right next door, digging up ancestral graves is pure bullying. The Court stopped the city.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Eminent Domain Statutes: Statutes granting the power of expropriation to local governments are construed strictissimi juris against the municipality; courts will enjoin the taking if actual, unavoidable public necessity is not established.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that let the government seize private land are interpreted very strictly against the government; a city cannot take land if there is an easy alternative.</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VI (Part 3)</w:t>
              <w:br/>
            </w:r>
            <w:r>
              <w:rPr>
                <w:rFonts w:ascii="Arial" w:hAnsi="Arial"/>
                <w:b/>
                <w:color w:val="FFFFFF"/>
                <w:sz w:val="24"/>
              </w:rPr>
              <w:t>CONSTRUCTION OF SPECIFIC STATUTES: STATUTES LIBERALLY CONSTRUED</w:t>
              <w:br/>
            </w:r>
            <w:r>
              <w:rPr>
                <w:rFonts w:ascii="Arial" w:hAnsi="Arial"/>
                <w:i/>
                <w:color w:val="D7E6FA"/>
                <w:sz w:val="19"/>
              </w:rPr>
              <w:t>Cases 88 to 91 | Labor Laws, Agrarian Reform Social Justice, Retirement Laws &amp; Election Laws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Labor Legislation: Liberally construed in favor of the safety and welfare of workers</w:t>
            </w:r>
          </w:p>
          <w:p>
            <w:pPr>
              <w:spacing w:before="20" w:after="20"/>
            </w:pPr>
            <w:r>
              <w:rPr>
                <w:rFonts w:ascii="Calibri" w:hAnsi="Calibri"/>
                <w:color w:val="F0F5FF"/>
                <w:sz w:val="18"/>
              </w:rPr>
              <w:t>• • Agrarian Reform &amp; Social Justice: Liberally construed for beneficiaries, bounded by Verba Legis and just compensation</w:t>
            </w:r>
          </w:p>
          <w:p>
            <w:pPr>
              <w:spacing w:before="20" w:after="20"/>
            </w:pPr>
            <w:r>
              <w:rPr>
                <w:rFonts w:ascii="Calibri" w:hAnsi="Calibri"/>
                <w:color w:val="F0F5FF"/>
                <w:sz w:val="18"/>
              </w:rPr>
              <w:t>• • Retirement and Pension Laws: Liberally construed to extend social security benefits to retirees</w:t>
            </w:r>
          </w:p>
          <w:p>
            <w:pPr>
              <w:spacing w:before="20" w:after="20"/>
            </w:pPr>
            <w:r>
              <w:rPr>
                <w:rFonts w:ascii="Calibri" w:hAnsi="Calibri"/>
                <w:color w:val="F0F5FF"/>
                <w:sz w:val="18"/>
              </w:rPr>
              <w:t>• • Election Laws: Liberally construed to give full effect to the sovereign will of the electorate</w:t>
            </w:r>
          </w:p>
        </w:tc>
      </w:tr>
    </w:tbl>
    <w:p>
      <w:pPr>
        <w:spacing w:before="120"/>
      </w:pPr>
    </w:p>
    <w:p>
      <w:pPr>
        <w:keepNext/>
        <w:spacing w:before="320" w:after="80"/>
      </w:pPr>
      <w:r>
        <w:rPr>
          <w:rFonts w:ascii="Arial" w:hAnsi="Arial"/>
          <w:b/>
          <w:color w:val="0F2043"/>
          <w:sz w:val="26"/>
        </w:rPr>
        <w:t>88. CENTRO PROJECT MANPOWER SERVICES CORPORATION V. VIVIAN NALUIS AND COURT OF APPEALS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160123 | June 17, 2015 | 759 SCRA 1 | Third Division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Centro Project Manpower Services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Vivian Naluis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Labor Relations Commission (NLRC)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illegal dismissal of an Overseas Filipino Worker (OFW) under Republic Act No. 8042 (Migrant Workers and Overseas Filipinos Act) and Article 4 of the Labor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Vivian Naluis was recruited by Centro Project Manpower as a domestic worker in Northern Mariana Islands for a fixed employment contract of 12 months. After only nine months, her foreign employer terminated her contract without just cause and repatriated her to the Philippines. Naluis filed an illegal dismissal complaint claiming full salaries for the unexpired portion of her contract. The recruitment agency resisted, claiming that under the foreign employment agreement and local agency rules, contracts of overseas domestic workers are terminable at will upon notice, and arguing that the employer had statutory discretion under international contract rules.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Filipina overseas worker was hired for a 1-year contract in Saipan but was fired after 9 months without any valid reason. When she sued the recruitment agency for her remaining 3 months of unpaid salary under the Migrant Workers Act, the agency claimed foreign contracts can be ended at any time. The Supreme Court ruled in favor of the OFW: under Philippine labor law and In Dubio Pro Operario, all doubts in overseas employment contracts are resolved in favor of the worker, and OFWs cannot be dismissed without valid legal cause.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Overseas Filipino Worker (OFW) with a fixed-term contract may be dismissed without just cause, testing In Dubio Pro Operario and the Protective Construction of the Migrant Workers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agency fire an overseas Filipino worker before her contract ends without proving a valid legal reason?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an OFW is entitled to full salaries for the unexpired portion of a fixed-term contract upon illegal dismissal, testing the canon In Dubio Pro Operario (all doubts resolved in favor of labor) and Section 10 of RA 8042."</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An OFW CANNOT be dismissed without just or authorized cause. Under Article 4 of the Labor Code, Section 10 of R.A. No. 8042, and the bedrock canon In Dubio Pro Operario, overseas employment contracts are strictly construed in favor of worker protection and security of tenure.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OFWs are protected by Philippine law. An employer cannot fire an OFW before the contract ends unless there is solid proof of serious misconduct. If fired illegally, the worker is entitled to full payment of the remaining months.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Article 4 of the Labor Code and In dubio pro operario (all doubts resolved in favor of labor), foreign employment contracts are governed by Philippine constitutional standards of security of tenure. Under Section 10 of RA 8042, an illegally dismissed OFW is entitled to full reimbursement of salaries for the unexpired contract term."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 Republic Act No. 8042 (Migrant Workers Act of 1995): </w:t>
            </w:r>
            <w:r>
              <w:rPr>
                <w:rFonts w:ascii="Calibri" w:hAnsi="Calibri"/>
                <w:color w:val="212529"/>
                <w:sz w:val="20"/>
              </w:rPr>
              <w:t>Mandates joint and solidary liability of recruitment agencies for money claims arising from illegal dismissal of OFWs.</w:t>
            </w:r>
          </w:p>
          <w:p>
            <w:pPr>
              <w:spacing w:before="20" w:after="40" w:line="276" w:lineRule="auto"/>
            </w:pPr>
            <w:r>
              <w:rPr>
                <w:rFonts w:ascii="Calibri" w:hAnsi="Calibri"/>
                <w:b/>
                <w:color w:val="212529"/>
                <w:sz w:val="20"/>
              </w:rPr>
              <w:t xml:space="preserve">2. Article 4, Labor Code of the Philippines: </w:t>
            </w:r>
            <w:r>
              <w:rPr>
                <w:rFonts w:ascii="Calibri" w:hAnsi="Calibri"/>
                <w:color w:val="212529"/>
                <w:sz w:val="20"/>
              </w:rPr>
              <w:t>All doubts in the implementation and interpretation of labor laws and contracts shall be resolved in favor of labor.</w:t>
            </w:r>
          </w:p>
          <w:p>
            <w:pPr>
              <w:spacing w:before="20" w:after="40" w:line="276" w:lineRule="auto"/>
            </w:pPr>
            <w:r>
              <w:rPr>
                <w:rFonts w:ascii="Calibri" w:hAnsi="Calibri"/>
                <w:b/>
                <w:color w:val="212529"/>
                <w:sz w:val="20"/>
              </w:rPr>
              <w:t xml:space="preserve">3. In Dubio Pro Operario (in doubt, rule in favor of the worker): </w:t>
            </w:r>
            <w:r>
              <w:rPr>
                <w:rFonts w:ascii="Calibri" w:hAnsi="Calibri"/>
                <w:color w:val="212529"/>
                <w:sz w:val="20"/>
              </w:rPr>
              <w:t>Constitutional and statutory principle of social justice in labor relations.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10 RA 8042, Article 4 Labor Code, and In Dubio Pro Operario.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10 of RA 8042 in relation to Article 4 of the Labor Code, applied under the cardinal canon In dubio pro operario (in doubt, rule in favor of the worker)."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Primacy of Security of Tenure: </w:t>
            </w:r>
            <w:r>
              <w:rPr>
                <w:rFonts w:ascii="Calibri" w:hAnsi="Calibri"/>
                <w:color w:val="212529"/>
                <w:sz w:val="20"/>
              </w:rPr>
              <w:t>The constitutional guarantee of security of tenure extends to Overseas Filipino Workers. A fixed-term overseas contract creates a binding obligation that cannot be terminated prematurely without due process and lawful cause.</w:t>
            </w:r>
          </w:p>
          <w:p>
            <w:pPr>
              <w:spacing w:before="20" w:after="40" w:line="276" w:lineRule="auto"/>
            </w:pPr>
            <w:r>
              <w:rPr>
                <w:rFonts w:ascii="Calibri" w:hAnsi="Calibri"/>
                <w:b/>
                <w:color w:val="212529"/>
                <w:sz w:val="20"/>
              </w:rPr>
              <w:t xml:space="preserve">2. Joint and Solidary Liability of Recruitment Agencies: </w:t>
            </w:r>
            <w:r>
              <w:rPr>
                <w:rFonts w:ascii="Calibri" w:hAnsi="Calibri"/>
                <w:color w:val="212529"/>
                <w:sz w:val="20"/>
              </w:rPr>
              <w:t>RA 8042 was enacted specifically to protect vulnerable OFWs by making local recruitment agencies solidarily liable with foreign principals for contractual breaches.</w:t>
            </w:r>
          </w:p>
          <w:p>
            <w:pPr>
              <w:spacing w:before="20" w:after="40" w:line="276" w:lineRule="auto"/>
            </w:pPr>
            <w:r>
              <w:rPr>
                <w:rFonts w:ascii="Calibri" w:hAnsi="Calibri"/>
                <w:b/>
                <w:color w:val="212529"/>
                <w:sz w:val="20"/>
              </w:rPr>
              <w:t xml:space="preserve">3. Application of In Dubio Pro Operario: </w:t>
            </w:r>
            <w:r>
              <w:rPr>
                <w:rFonts w:ascii="Calibri" w:hAnsi="Calibri"/>
                <w:color w:val="212529"/>
                <w:sz w:val="20"/>
              </w:rPr>
              <w:t>Any ambiguity in the foreign employment terms must be interpreted strictly against the agency and liberally in favor of the workingwoman.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OFWs sacrifice everything to work abroad. Philippine law protects them by making the local placement agency solidarily responsible for their wages. If the foreign boss fires the worker for no reason, the placement agency must pay the worker's remaining salaries. All doubts in labor contracts favor the worker.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In Dubio Pro Operario and social justice construction. RA 8042 establishes solidary liability to protect migrant workers. The Court held that the worker was illegally dismissed and awarded full payment for the unexpired contract term."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ORDERING the recruitment agency to pay Vivian Naluis her full salaries for the unexpired portion of her contract.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OFW won and was awarded her complete unpaid salaries for the remaining 3 months.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award of unexpired salaries to the OFW under In Dubio Pro Operario and RA 8042."</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C. Statutes Liberally Construed -&gt; Labor Legislation Liberally Construed in Favor of Labor (OFW Illegal Dismissal &amp; Unexpired Term Compensation)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All doubts in overseas labor agreements are resolved in favor of the employee.</w:t>
            </w:r>
          </w:p>
          <w:p>
            <w:pPr>
              <w:spacing w:before="40" w:after="60" w:line="276" w:lineRule="auto"/>
            </w:pPr>
            <w:r>
              <w:rPr>
                <w:rFonts w:ascii="Calibri" w:hAnsi="Calibri"/>
                <w:b/>
                <w:color w:val="8C3200"/>
                <w:sz w:val="20"/>
              </w:rPr>
              <w:t>2.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extended, matters of penalty or forfeiture are restrained.</w:t>
              <w:br/>
            </w:r>
            <w:r>
              <w:rPr>
                <w:rFonts w:ascii="Calibri" w:hAnsi="Calibri"/>
                <w:b/>
                <w:color w:val="212529"/>
                <w:sz w:val="19"/>
              </w:rPr>
              <w:t xml:space="preserve">   • Plain Legal Meaning &amp; StatCon Application: </w:t>
            </w:r>
            <w:r>
              <w:rPr>
                <w:rFonts w:ascii="Calibri" w:hAnsi="Calibri"/>
                <w:color w:val="212529"/>
                <w:sz w:val="19"/>
              </w:rPr>
              <w:t>Rights protective of workers are expanded, while forfeitures of employment are strictly restricted.</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12-month fixed term of the OFW contract must be fulfilled by the employer.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C. Statutes Liberally Construed -&gt; Labor Legislation Liberally Construed in Favor of Labor (OFW Illegal Dismissal &amp; Unexpired Term Compensation)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pro operario</w:t>
              <w:br/>
              <w:t>(in doubt, rule in favor of the worker / overseas employment contracts are construed liberally in favor of OFW security of tenure under RA 8042)</w:t>
              <w:br/>
              <w:br/>
              <w:t>Secondary:</w:t>
              <w:br/>
              <w:t>• Favorabilia sunt amplianda (expanding worker protections)</w:t>
              <w:br/>
              <w:t>• Pacta sunt servanda (fulfillment of fixed-term employment contracts)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recruitment agency attempted to evade statutory solidary liability by invoking foreign terminable-at-will clauses in violation of Philippine labor standards.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Labor and Social Statutes: Statutes and contracts governing Overseas Filipino Workers are construed strictissimi juris against employers and agencies, and liberally in favor of the worker under In Dubio Pro Operario.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Labor laws and overseas worker contracts are always interpreted in favor of the worker; an agency cannot cheat an OFW out of her contract.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Centro Project Manpower v. Naluis illustrates In dubio pro operario applied to migrant labor law under Section 10 of RA 8042."</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Centro Project Manpower Services Corporation v. Vivian Naluis and Court of Appeals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160123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17, 2015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Vivian Naluis was recruited by Centro Project Manpower as a domestic worker in Northern Mariana Islands for a fixed employment contract of 12 months. After only nine months, her foreign employer terminated her contract without just cause and repatriated her to the Philippines. Naluis filed an illegal dismissal complaint claiming full salaries for the unexpired portion of her contract. The recruitment agency resisted, claiming that under the foreign employment agreement and local agency rules, contracts of overseas domestic workers are terminable at will upon notice, and arguing that the employer had statutory discretion under international contract rules.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 Republic Act No. 8042 (Migrant Workers Act of 1995): Mandates joint and solidary liability of recruitment agencies for money claims arising from illegal dismissal of OFWs.</w:t>
              <w:br/>
              <w:t>2. Article 4, Labor Code of the Philippines: All doubts in the implementation and interpretation of labor laws and contracts shall be resolved in favor of labor.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recruitment agency attempted to evade statutory solidary liability by invoking foreign terminable-at-will clauses in violation of Philippine labor standards.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Overseas Filipino Worker (OFW) with a fixed-term contract may be dismissed without just cause, testing In Dubio Pro Operario and the Protective Construction of the Migrant Workers Act.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Centro Project Manpower Services Corporation v. Vivian Naluis and Court of Appeals, under the canon of In dubio pro operario.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 Republic Act No. 8042 (Migrant Workers Act of 1995): Mandates joint and solidary liability of recruitment agencies for money claims arising from illegal dismissal of OFWs.</w:t>
              <w:br/>
              <w:t>2. Article 4, Labor Code of the Philippines: All doubts in the implementation and interpretation of labor laws and contracts shall be resolved in favor of labor.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recruitment agency attempted to evade statutory solidary liability by invoking foreign terminable-at-will clauses 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ORDERING the recruitment agency to pay Vivian Naluis her full salaries for the unexpired portion of her contract.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An OFW CANNOT be dismissed without just or authorized cause. Under Article 4 of the Labor Code, Section 10 of R.A. No. 8042, and the bedrock canon In Dubio Pro Operario, overseas employment contracts are strictly construed in favor of worker protection and security of tenure.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recruitment agency attempted to evade statutory solidary liability by invoking foreign terminable-at-will clauses in violation of Philip.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pro operario</w:t>
              <w:br/>
              <w:t xml:space="preserve">   - Application: Protective Construction of Labor and Social Statutes: Statutes and contracts governing Overseas Filipino Workers are construed strictissimi juris against employers and agencies, and liberally in favor of the worker under In Dubio Pro Operario.</w:t>
              <w:br/>
              <w:t xml:space="preserve">   - Result: No. OFWs are protected by Philippine law. An employer cannot fire an OFW before the contract ends unless there is solid proof of serious misconduct. If fired illegally, the worker is entitled to full payment of the remaining months.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(expanding worker protections)</w:t>
              <w:br/>
              <w:t>• Pacta sunt servanda (fulfillment of fixed-term employment contracts)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Centro Project Manpower Services Corporation v. Vivian Naluis and Court of Appeals to mean and apply strictly in accordance with In dubio pro operario, holding that No. OFWs are protected by Philippine law. An employer cannot fire an OFW before the contract ends unless there is solid proof of serious misconduct. If fired il.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OFWs sacrifice everything to work abroad. Philippine law protects them by making the local placement agency solidarily responsible for their wages. If the foreign boss fires the worker for no reason, the placement agency must pay the worker's remaining salaries. All doubts in labor contracts favor the worker.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pro operario,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Labor and Social Statutes: Statutes and contracts governing Overseas Filipino Workers are construed strictissimi juris against employers and agencies, and liberally in favor of the worker under In Dubio Pro Operario.</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Labor laws and overseas worker contracts are always interpreted in favor of the worker; an agency cannot cheat an OFW out of her contract.</w:t>
            </w:r>
          </w:p>
        </w:tc>
      </w:tr>
    </w:tbl>
    <w:p>
      <w:r>
        <w:br w:type="page"/>
      </w:r>
    </w:p>
    <w:p>
      <w:pPr>
        <w:keepNext/>
        <w:spacing w:before="320" w:after="80"/>
      </w:pPr>
      <w:r>
        <w:rPr>
          <w:rFonts w:ascii="Arial" w:hAnsi="Arial"/>
          <w:b/>
          <w:color w:val="0F2043"/>
          <w:sz w:val="26"/>
        </w:rPr>
        <w:t>89. LAND BANK OF THE PHILIPPINES V. COURT OF APPEALS, DEPARTMENT OF AGRARIAN REFORM, AND PEDRO L. YAP,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Nos. 118712 &amp; 118745 | October 6, 1995 | 249 SCRA 149 | First Division | Ponente: J. Francisco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Land Bank of the Philippines and Department of Agrarian Reform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Pedro L. Yap, Heirs of Emiliano Santiago, and Agricultural Management &amp; Development Corp.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First Division (Petitions for Review on Certiorari under Rule 45)</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Petitions for Review on Certiorari challenging the Court of Appeals decision nullifying DAR Administrative Order No. 9, Series of 1990 (which allowed DAR to open trust accounts instead of cash/bond bank deposits for just compensation under RA 6657).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Private respondents Pedro L. Yap, the Heirs of Emiliano Santiago, and AMADCOR were owners of vast agricultural lands expropriated by the Department of Agrarian Reform (DAR) pursuant to Republic Act No. 6657 (Comprehensive Agrarian Reform Law of 1988). The landowners rejected the initial valuation offered by DAR and Land Bank. To immediately take physical possession of the lands and distribute Certificate of Land Ownership Awards (CLOAs) to agrarian reform beneficiaries, DAR issued DAR Administrative Order No. 9, Series of 1990, providing that just compensation would be deposited in 'trust accounts' with Land Bank rather than accessible cash or bond bank accounts. Section 16(e) of RA 6657 explicitly requires DAR to 'deposit the amount in cash or in LBP bonds in an accessible bank.' DAR argued that under the doctrine of liberal construction of social justice and agrarian reform statutes, opening trust accounts was substantial compliance enabling swift land distribution.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government took private farmland under the Comprehensive Agrarian Reform Law (RA 6657) to distribute to farmers. The landowners rejected the cheap price offered. Instead of depositing actual cash or government bonds in a bank account that the landowners could withdraw from, DAR opened temporary 'trust accounts' under DAR Administrative Order No. 9 so it could immediately take the land. DAR argued that agrarian reform laws are social justice laws that must be interpreted liberally to help poor farmers. The Supreme Court held that while social justice laws are liberally construed for beneficiaries, liberal interpretation cannot override the plain words of the statute (Verba Legis) or destroy the constitutional right of landowners to just compensation.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DAR Administrative Order No. 9 opening 'trust accounts' complies with Section 16(e) of RA 6657 requiring deposit in 'cash or LBP bonds'; and how the canon of liberal construction in social legislation interacts with the constitutional guarantee of just compensation.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DAR open 'trust accounts' instead of depositing real cash or bonds before taking private land, under the excuse of liberal construction of agrarian reform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DAR AO No. 9's 'trust account' mechanism satisfies Section 16(e) of RA 6657, testing the limits of Liberal Construction of Social Legislation versus Verba Legis and Constitutional Just Compensation."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DAR Administrative Order No. 9 is NULL AND VOID. Section 16(e) of RA 6657 is clear, explicit, and unambiguous: just compensation must be deposited in 'CASH OR LBP BONDS'. A 'trust account' is not cash or bond. While agrarian reform laws are liberally construed in favor of landless farmers, liberal construction CANNOT be invoked to validate an administrative regulation that contradicts explicit statutory text and deprives landowners of just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clearly says the government must deposit 'cash or LBP bonds' in an accessible bank before taking the land. A trust account is a mere booking entry and not actual cash. Liberal interpretation of social laws cannot be used to rewrite the law or violate constitutional rights to just compensation.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Justice Francisco held that Section 16(e) of RA 6657 is plain and unambiguous under Verba Legis: deposit must be in cash or LBP bonds. A trust account is neither. The Court emphasized that while agrarian reform is a social justice program liberally construed for farmer beneficiaries, liberal construction can never be stretched to subvert explicit statutory mandates or bypass constitutional just compensation."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16(e), Republic Act No. 6657 (CARL of 1988): </w:t>
            </w:r>
            <w:r>
              <w:rPr>
                <w:rFonts w:ascii="Calibri" w:hAnsi="Calibri"/>
                <w:color w:val="212529"/>
                <w:sz w:val="20"/>
              </w:rPr>
              <w:t>Mandates that upon rejection of offer, DAR shall 'deposit the amount in cash or in LBP bonds with an accessible bank' before taking possession of land.</w:t>
            </w:r>
          </w:p>
          <w:p>
            <w:pPr>
              <w:spacing w:before="20" w:after="40" w:line="276" w:lineRule="auto"/>
            </w:pPr>
            <w:r>
              <w:rPr>
                <w:rFonts w:ascii="Calibri" w:hAnsi="Calibri"/>
                <w:b/>
                <w:color w:val="212529"/>
                <w:sz w:val="20"/>
              </w:rPr>
              <w:t xml:space="preserve">2. Article III, Section 9, 1987 Constitution (Eminent Domain / Just Compensation): </w:t>
            </w:r>
            <w:r>
              <w:rPr>
                <w:rFonts w:ascii="Calibri" w:hAnsi="Calibri"/>
                <w:color w:val="212529"/>
                <w:sz w:val="20"/>
              </w:rPr>
              <w:t>Private property shall not be taken for public use without just compensation.</w:t>
            </w:r>
          </w:p>
          <w:p>
            <w:pPr>
              <w:spacing w:before="20" w:after="40" w:line="276" w:lineRule="auto"/>
            </w:pPr>
            <w:r>
              <w:rPr>
                <w:rFonts w:ascii="Calibri" w:hAnsi="Calibri"/>
                <w:b/>
                <w:color w:val="212529"/>
                <w:sz w:val="20"/>
              </w:rPr>
              <w:t xml:space="preserve">3. Verba Legis Non Est Recedendum (Plain Meaning Rule): </w:t>
            </w:r>
            <w:r>
              <w:rPr>
                <w:rFonts w:ascii="Calibri" w:hAnsi="Calibri"/>
                <w:color w:val="212529"/>
                <w:sz w:val="20"/>
              </w:rPr>
              <w:t>When the law is clear and free from doubt, it must be applied as written without administrative alteration.</w:t>
            </w:r>
          </w:p>
          <w:p>
            <w:pPr>
              <w:spacing w:before="20" w:after="40" w:line="276" w:lineRule="auto"/>
            </w:pPr>
            <w:r>
              <w:rPr>
                <w:rFonts w:ascii="Calibri" w:hAnsi="Calibri"/>
                <w:b/>
                <w:color w:val="212529"/>
                <w:sz w:val="20"/>
              </w:rPr>
              <w:t xml:space="preserve">4. Boundaries of Liberal Construction in Social Legislation: </w:t>
            </w:r>
            <w:r>
              <w:rPr>
                <w:rFonts w:ascii="Calibri" w:hAnsi="Calibri"/>
                <w:color w:val="212529"/>
                <w:sz w:val="20"/>
              </w:rPr>
              <w:t>Liberal construction of social justice statutes operates only to resolve ambiguities, never to override express statutory commands or constitutional limitations.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16(e) of RA 6657, Article III Sec 9 of the Constitution, Verba Legis rule, and limits of liberal construction in social legislation.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16(e) of RA 6657 in relation to Article III, Section 9 of the Constitution, governed by Verba Legis and the fundamental doctrinal limits of Liberal Construction."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Meaning and Verba Legis: </w:t>
            </w:r>
            <w:r>
              <w:rPr>
                <w:rFonts w:ascii="Calibri" w:hAnsi="Calibri"/>
                <w:color w:val="212529"/>
                <w:sz w:val="20"/>
              </w:rPr>
              <w:t>Section 16(e) uses explicit terminology: 'deposit... in cash or in LBP bonds'. The DAR has no administrative authority to substitute 'trust accounts' for cash or bonds. An administrative order cannot alter, expand, or restrict statutory text.</w:t>
            </w:r>
          </w:p>
          <w:p>
            <w:pPr>
              <w:spacing w:before="20" w:after="40" w:line="276" w:lineRule="auto"/>
            </w:pPr>
            <w:r>
              <w:rPr>
                <w:rFonts w:ascii="Calibri" w:hAnsi="Calibri"/>
                <w:b/>
                <w:color w:val="212529"/>
                <w:sz w:val="20"/>
              </w:rPr>
              <w:t xml:space="preserve">2. The Nature of Just Compensation: </w:t>
            </w:r>
            <w:r>
              <w:rPr>
                <w:rFonts w:ascii="Calibri" w:hAnsi="Calibri"/>
                <w:color w:val="212529"/>
                <w:sz w:val="20"/>
              </w:rPr>
              <w:t>Just compensation means the full and fair equivalent of the property taken. Trust accounts are mere conditional bookkeeping reservations that landowners cannot readily withdraw or utilize, thereby violating the constitutional concept of payment.</w:t>
            </w:r>
          </w:p>
          <w:p>
            <w:pPr>
              <w:spacing w:before="20" w:after="40" w:line="276" w:lineRule="auto"/>
            </w:pPr>
            <w:r>
              <w:rPr>
                <w:rFonts w:ascii="Calibri" w:hAnsi="Calibri"/>
                <w:b/>
                <w:color w:val="212529"/>
                <w:sz w:val="20"/>
              </w:rPr>
              <w:t xml:space="preserve">3. Proper Limits of Liberal Construction in Agrarian Laws: </w:t>
            </w:r>
            <w:r>
              <w:rPr>
                <w:rFonts w:ascii="Calibri" w:hAnsi="Calibri"/>
                <w:color w:val="212529"/>
                <w:sz w:val="20"/>
              </w:rPr>
              <w:t>While social justice statutes are construed liberally in favor of agrarian reform beneficiaries, such canon cannot be stretched to commit injustice against landowners or nullify unambiguous procedural safeguards enacted by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'cash or bonds' means real money or bonds deposited in an accessible bank where the landowner can get it. Opening a trust account is just an internal DAR paperwork trick. Even though agrarian reform is social legislation that is construed liberally for farmers, liberal interpretation cannot be used by agencies to disobey direct statutory commands or violate property rights.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administrative agencies cannot rewrite statutes under the pretext of liberal construction. RA 6657 Section 16(e) explicitly mandates cash or bond deposits. Since trust accounts fail to provide accessible compensation, DAR AO No. 9 was declared ultra vires and void."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DECLARED DAR Administrative Order No. 9 NULL AND VOID, and ORDERED DAR and Land Bank to deposit the compensation in cash and LBP bonds in accessible banks.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landowners won; DAR's trust account scheme was declared illegal and void, and the government was ordered to deposit actual cash or bonds as required by RA 6657.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declared DAR AO No. 9 void, affirming that liberal construction of social legislation cannot override explicit statutory commands or constitutional safeguards."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C. Statutes Liberally Construed -&gt; Social Legislation &amp; Agrarian Reform (CARL RA 6657 Sec. 16(e) / Boundaries of Liberal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law there must be no departure.</w:t>
              <w:br/>
            </w:r>
            <w:r>
              <w:rPr>
                <w:rFonts w:ascii="Calibri" w:hAnsi="Calibri"/>
                <w:b/>
                <w:color w:val="212529"/>
                <w:sz w:val="19"/>
              </w:rPr>
              <w:t xml:space="preserve">   • Plain Legal Meaning &amp; StatCon Application: </w:t>
            </w:r>
            <w:r>
              <w:rPr>
                <w:rFonts w:ascii="Calibri" w:hAnsi="Calibri"/>
                <w:color w:val="212529"/>
                <w:sz w:val="19"/>
              </w:rPr>
              <w:t>Section 16(e) of RA 6657 explicitly requires cash or bonds; agencies cannot supply trust accounts.</w:t>
            </w:r>
          </w:p>
          <w:p>
            <w:pPr>
              <w:spacing w:before="40" w:after="60" w:line="276" w:lineRule="auto"/>
            </w:pPr>
            <w:r>
              <w:rPr>
                <w:rFonts w:ascii="Calibri" w:hAnsi="Calibri"/>
                <w:b/>
                <w:color w:val="8C3200"/>
                <w:sz w:val="20"/>
              </w:rPr>
              <w:t>2. Potestas delegata non potest delegari (delegated power cannot be further delegated / exceeded)</w:t>
              <w:br/>
            </w:r>
            <w:r>
              <w:rPr>
                <w:rFonts w:ascii="Calibri" w:hAnsi="Calibri"/>
                <w:b/>
                <w:color w:val="212529"/>
                <w:sz w:val="19"/>
              </w:rPr>
              <w:t xml:space="preserve">   • Literal English Translation: </w:t>
            </w:r>
            <w:r>
              <w:rPr>
                <w:rFonts w:ascii="Calibri" w:hAnsi="Calibri"/>
                <w:i/>
                <w:color w:val="212529"/>
                <w:sz w:val="19"/>
              </w:rPr>
              <w:t>Delegated authority cannot exceed its source.</w:t>
              <w:br/>
            </w:r>
            <w:r>
              <w:rPr>
                <w:rFonts w:ascii="Calibri" w:hAnsi="Calibri"/>
                <w:b/>
                <w:color w:val="212529"/>
                <w:sz w:val="19"/>
              </w:rPr>
              <w:t xml:space="preserve">   • Plain Legal Meaning &amp; StatCon Application: </w:t>
            </w:r>
            <w:r>
              <w:rPr>
                <w:rFonts w:ascii="Calibri" w:hAnsi="Calibri"/>
                <w:color w:val="212529"/>
                <w:sz w:val="19"/>
              </w:rPr>
              <w:t>DAR's quasi-legislative power cannot contravene the statute it seeks to implement.</w:t>
            </w:r>
          </w:p>
          <w:p>
            <w:pPr>
              <w:spacing w:before="40" w:after="60" w:line="276" w:lineRule="auto"/>
            </w:pPr>
            <w:r>
              <w:rPr>
                <w:rFonts w:ascii="Calibri" w:hAnsi="Calibri"/>
                <w:b/>
                <w:color w:val="8C3200"/>
                <w:sz w:val="20"/>
              </w:rPr>
              <w:t>3. Jura naturae sunt immutabilia (the rights of nature are immutable)</w:t>
              <w:br/>
            </w:r>
            <w:r>
              <w:rPr>
                <w:rFonts w:ascii="Calibri" w:hAnsi="Calibri"/>
                <w:b/>
                <w:color w:val="212529"/>
                <w:sz w:val="19"/>
              </w:rPr>
              <w:t xml:space="preserve">   • Literal English Translation: </w:t>
            </w:r>
            <w:r>
              <w:rPr>
                <w:rFonts w:ascii="Calibri" w:hAnsi="Calibri"/>
                <w:i/>
                <w:color w:val="212529"/>
                <w:sz w:val="19"/>
              </w:rPr>
              <w:t>Principles of natural justice are immutable.</w:t>
              <w:br/>
            </w:r>
            <w:r>
              <w:rPr>
                <w:rFonts w:ascii="Calibri" w:hAnsi="Calibri"/>
                <w:b/>
                <w:color w:val="212529"/>
                <w:sz w:val="19"/>
              </w:rPr>
              <w:t xml:space="preserve">   • Plain Legal Meaning &amp; StatCon Application: </w:t>
            </w:r>
            <w:r>
              <w:rPr>
                <w:rFonts w:ascii="Calibri" w:hAnsi="Calibri"/>
                <w:color w:val="212529"/>
                <w:sz w:val="19"/>
              </w:rPr>
              <w:t>Constitutional rights to just compensation cannot be set aside under the banner of social legislation.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C. Statutes Liberally Construed -&gt; Social Legislation &amp; Agrarian Reform (CARL RA 6657 Sec. 16(e) / Boundaries of Liberal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 Proper Limits of Liberal Construction in Social Legislation</w:t>
              <w:br/>
              <w:t>(social legislation is liberally construed for beneficiaries but cannot override express statutory terms or constitutional rights)</w:t>
              <w:br/>
              <w:br/>
              <w:t>Secondary:</w:t>
              <w:br/>
              <w:t>• Administratio non potest mutare legem (administrative rules cannot alter statutes)</w:t>
              <w:br/>
              <w:t>• Salus populi est suprema lex cum justitia (social justice must harmonize with constitutional due process)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DAR attempted to use administrative rule-making to substitute 'trust accounts' for the mandatory statutory requirement of 'cash or LBP bonds'.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Boundaries: In statutory construction: (1) Social justice and agrarian reform statutes are liberally construed in favor of beneficiaries; BUT (2) Liberal construction cannot be used to justify administrative deviations from plain statutory terms (*Verba Legis*) or destroy constitutional property protections.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Social justice laws are construed kindly for the poor, but government agencies cannot break the plain words of the law or steal land without paying real money.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Land Bank v. Court of Appeals defines the definitive boundary of liberal construction: social legislation can never be used as a license to disregard unambiguous statutory text or due process."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Land Bank of the Philippines v. Court of Appeals, Department of Agrarian Reform, and Pedro L. Yap,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Nos. 118712 &amp; 118745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6,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Private respondents Pedro L. Yap, the Heirs of Emiliano Santiago, and AMADCOR were owners of vast agricultural lands expropriated by the Department of Agrarian Reform (DAR) pursuant to Republic Act No. 6657 (Comprehensive Agrarian Reform Law of 1988). The landowners rejected the initial valuation offered by DAR and Land Bank. To immediately take physical possession of the lands and distribute Certificate of Land Ownership Awards (CLOAs) to agrarian reform beneficiaries, DAR issued DAR Administrative Order No. 9, Series of 1990, providing that just compensation would be deposited in 'trust accounts' with Land Bank rather than accessible cash or bond bank accounts. Section 16(e) of RA 6657 explicitly requires DAR to 'deposit the amount in cash or in LBP bonds in an accessible bank.' DAR argued that under the doctrine of liberal construction of social justice and agrarian reform statutes, opening trust accounts was substantial compliance enabling swift land distribution.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16(e), Republic Act No. 6657 (CARL of 1988): Mandates that upon rejection of offer, DAR shall 'deposit the amount in cash or in LBP bonds with an accessible bank' before taking possession of land.</w:t>
              <w:br/>
              <w:t>2. Article III, Section 9, 1987 Constitution (Eminent Domain / Just Compensation): Private property shall not be taken for public use without just compensation.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DAR attempted to use administrative rule-making to substitute 'trust accounts' for the mandatory statutory requirement of 'cash or LBP bonds'.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DAR Administrative Order No. 9 opening 'trust accounts' complies with Section 16(e) of RA 6657 requiring deposit in 'cash or LBP bonds'; and how the canon of liberal construction in social legislation interacts with the constitutional guarantee of just compensation.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Land Bank of the Philippines v. Court of Appeals, Department of Agrarian Reform, and Pedro L. Yap, et al., under the canon of Verba legis non est recedendum / Proper Limits of Liberal Construction in Social Legislation.</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16(e), Republic Act No. 6657 (CARL of 1988): Mandates that upon rejection of offer, DAR shall 'deposit the amount in cash or in LBP bonds with an accessible bank' before taking possession of land.</w:t>
              <w:br/>
              <w:t>2. Article III, Section 9, 1987 Constitution (Eminent Domain / Just Compensation): Private property shall not be taken for public use without just compensation.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DECLARED DAR Administrative Order No. 9 NULL AND VOID, and ORDERED DAR and Land Bank to deposit the compensation in cash and LBP bonds in accessible banks.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DAR Administrative Order No. 9 is NULL AND VOID. Section 16(e) of RA 6657 is clear, explicit, and unambiguous: just compensation must be deposited in 'CASH OR LBP BONDS'. A 'trust account' is not cash or bond. While agrarian reform laws are liberally construed in favor of landless farmers, liberal construction CANNOT be invoked to validate an administrative regulation that contradicts explicit statutory text and deprives landowners of just compensation.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 Proper Limits of Liberal Construction in Social Legislation</w:t>
              <w:br/>
              <w:t xml:space="preserve">   - Application: Liberal Construction Boundaries: In statutory construction: (1) Social justice and agrarian reform statutes are liberally construed in favor of beneficiaries; BUT (2) Liberal construction cannot be used to justify administrative deviations from plain statutory terms (*Verba Legis*) or destroy constitutional property protections.</w:t>
              <w:br/>
              <w:t xml:space="preserve">   - Result: No. The law clearly says the government must deposit 'cash or LBP bonds' in an accessible bank before taking the land. A trust account is a mere booking entry and not actual cash. Liberal interpretation of social laws cannot be used to rewrite the law or violate constitutional rights to just compensation.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Administratio non potest mutare legem (administrative rules cannot alter statutes)</w:t>
              <w:br/>
              <w:t>• Salus populi est suprema lex cum justitia (social justice must harmonize with constitutional due process)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Land Bank of the Philippines v. Court of Appeals, Department of Agrarian Reform, and Pedro L. Yap, et al. to mean and apply strictly in accordance with Verba legis non est recedendum / Proper Limits of Liberal Construction in Social Legislation, holding that No. The law clearly says the government must deposit 'cash or LBP bonds' in an accessible bank before taking the land. A trust account is a mere booking entry 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'cash or bonds' means real money or bonds deposited in an accessible bank where the landowner can get it. Opening a trust account is just an internal DAR paperwork trick. Even though agrarian reform is social legislation that is construed liberally for farmers, liberal interpretation cannot be used by agencies to disobey direct statutory commands or violate property rights.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 Proper Limits of Liberal Construction in Social Legislation,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Boundaries: In statutory construction: (1) Social justice and agrarian reform statutes are liberally construed in favor of beneficiaries; BUT (2) Liberal construction cannot be used to justify administrative deviations from plain statutory terms (*Verba Legis*) or destroy constitutional property protections.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Social justice laws are construed kindly for the poor, but government agencies cannot break the plain words of the law or steal land without paying real money.</w:t>
            </w:r>
          </w:p>
        </w:tc>
      </w:tr>
    </w:tbl>
    <w:p>
      <w:r>
        <w:br w:type="page"/>
      </w:r>
    </w:p>
    <w:p>
      <w:pPr>
        <w:keepNext/>
        <w:spacing w:before="320" w:after="80"/>
      </w:pPr>
      <w:r>
        <w:rPr>
          <w:rFonts w:ascii="Arial" w:hAnsi="Arial"/>
          <w:b/>
          <w:color w:val="0F2043"/>
          <w:sz w:val="26"/>
        </w:rPr>
        <w:t>90. GOVERNMENT SERVICE INSURANCE SYSTEM (GSIS) V. COURT OF APPEALS AND DR. FELONILA ALEGRE</w:t>
      </w:r>
    </w:p>
    <w:p>
      <w:pPr>
        <w:spacing w:before="40" w:after="80" w:line="276" w:lineRule="auto"/>
      </w:pPr>
      <w:r>
        <w:rPr>
          <w:rFonts w:ascii="Calibri" w:hAnsi="Calibri"/>
          <w:b/>
          <w:color w:val="212529"/>
          <w:sz w:val="21"/>
        </w:rPr>
        <w:t xml:space="preserve">Citation: </w:t>
      </w:r>
      <w:r>
        <w:rPr>
          <w:rFonts w:ascii="Calibri" w:hAnsi="Calibri"/>
          <w:i/>
          <w:color w:val="212529"/>
          <w:sz w:val="21"/>
        </w:rPr>
        <w:t>G.R. No. 128523 | September 25, 1998 | 296 SCRA 414 | First Division | Ponente: J. Bellosillo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Government Service Insurance System (GSIS)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Dr. Felonila Alegre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Employees' Compensation Commission (ECC)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death benefits under Presidential Decree No. 626 (Employees' Compensation Law) for a government physician who died of a heart attack while on 24-hour hospital duty.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Dr. Felonila Alegre, a dedicated government municipal health physician, suffered a fatal myocardial infarction (heart attack) while performing emergency medical duties during a typhonic storm. Her surviving spouse filed a claim for death compensation benefits under Presidential Decree No. 626 (Employees' Compensation Act). The GSIS and Employees' Compensation Commission (ECC) denied the claim, contending that under the strict wording of PD 626 and its amended rules, heart diseases are not listed as occupational diseases per se, and arguing that the claimant failed to establish by direct medical proof that the working conditions increased the risk of the fatal heart attack.</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doctor died of a heart attack while working long, stressful emergency hours during a typhoon at a public hospital. The GSIS refused to pay death benefits to her widower, claiming that heart attacks are not listed on the official chart of occupational diseases and that the widower failed to present strict scientific proof linking her job to the heart attack. The Supreme Court reversed the GSIS, ruling that retirement, pension, and workers' compensation laws are social legislations that must be LIBERALLY CONSTRUED in favor of government workers and their surviving families.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retirement, pension, and employees' compensation statutes (P.D. No. 626) must be liberally construed in favor of beneficiaries, testing the Canon of Liberal Construction of Social Welfare Legislation.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Must government pension and compensation laws (PD 626) be interpreted generously in favor of the families of deceased government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PD 626 is liberally construed in favor of compensation claimants, testing the canon of Liberal Construction of Social Welfare and Retirement Statutes (Favorabilia Sunt Amplianda / In Dubio Pro Operario)."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Retirement, pension, and employees' compensation statutes MUST BE LIBERALLY CONSTRUED in favor of the workingman and his beneficiaries. Under the doctrine of liberal interpretation of social legislation, all doubts are resolved to grant compensation to those who serve the public.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Pension and workers' compensation laws are passed to protect hardworking public servants. When a dedicated doctor dies while serving the public during an emergency, the law must be interpreted generously, not with cold bureaucratic heartlessness.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Josue Bellosillo held, retirement, social security, and employees' compensation laws are social legislation enacted pursuant to the constitutional mandate of social justice. Under Favorabilia sunt amplianda, odiosa restringenda and In dubio pro operario, all doubts in the interpretation of PD 626 are resolved in favor of the worker and her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626 (Employees' Compensation and State Insurance Fund): </w:t>
            </w:r>
            <w:r>
              <w:rPr>
                <w:rFonts w:ascii="Calibri" w:hAnsi="Calibri"/>
                <w:color w:val="212529"/>
                <w:sz w:val="20"/>
              </w:rPr>
              <w:t>Provides compensation benefits for work-connected death, sickness, or disability of government employees.</w:t>
            </w:r>
          </w:p>
          <w:p>
            <w:pPr>
              <w:spacing w:before="20" w:after="40" w:line="276" w:lineRule="auto"/>
            </w:pPr>
            <w:r>
              <w:rPr>
                <w:rFonts w:ascii="Calibri" w:hAnsi="Calibri"/>
                <w:b/>
                <w:color w:val="212529"/>
                <w:sz w:val="20"/>
              </w:rPr>
              <w:t xml:space="preserve">2. Liberal Construction of Social Welfare Legislation: </w:t>
            </w:r>
            <w:r>
              <w:rPr>
                <w:rFonts w:ascii="Calibri" w:hAnsi="Calibri"/>
                <w:color w:val="212529"/>
                <w:sz w:val="20"/>
              </w:rPr>
              <w:t>Social security, retirement, and compensation laws are interpreted broadly and benevolently to achieve their humanitarian purpose.</w:t>
            </w:r>
          </w:p>
          <w:p>
            <w:pPr>
              <w:spacing w:before="20" w:after="40" w:line="276" w:lineRule="auto"/>
            </w:pPr>
            <w:r>
              <w:rPr>
                <w:rFonts w:ascii="Calibri" w:hAnsi="Calibri"/>
                <w:b/>
                <w:color w:val="212529"/>
                <w:sz w:val="20"/>
              </w:rPr>
              <w:t xml:space="preserve">3. Favorabilia Sunt Amplianda, Odiosa Restringenda (favorable things should be enlarged, hateful things restricted): </w:t>
            </w:r>
            <w:r>
              <w:rPr>
                <w:rFonts w:ascii="Calibri" w:hAnsi="Calibri"/>
                <w:color w:val="212529"/>
                <w:sz w:val="20"/>
              </w:rPr>
              <w:t>Beneficial provisions for workers are expanded.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626, Liberal Construction of Social Legislation, and Favorabilia Sunt Amplianda.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626, applied under the cardinal canon of Liberal Construction of Social Welfare Statutes and Favorabilia sunt amplianda, odiosa restringenda."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Humanitarian Purpose of PD 626: </w:t>
            </w:r>
            <w:r>
              <w:rPr>
                <w:rFonts w:ascii="Calibri" w:hAnsi="Calibri"/>
                <w:color w:val="212529"/>
                <w:sz w:val="20"/>
              </w:rPr>
              <w:t>The Employees' Compensation law was enacted to provide meaningful financial relief to workers and their families in times of tragedy. It is a remedial social measure that must not be strangled by rigid technicalities.</w:t>
            </w:r>
          </w:p>
          <w:p>
            <w:pPr>
              <w:spacing w:before="20" w:after="40" w:line="276" w:lineRule="auto"/>
            </w:pPr>
            <w:r>
              <w:rPr>
                <w:rFonts w:ascii="Calibri" w:hAnsi="Calibri"/>
                <w:b/>
                <w:color w:val="212529"/>
                <w:sz w:val="20"/>
              </w:rPr>
              <w:t xml:space="preserve">2. Proof of Increased Risk: </w:t>
            </w:r>
            <w:r>
              <w:rPr>
                <w:rFonts w:ascii="Calibri" w:hAnsi="Calibri"/>
                <w:color w:val="212529"/>
                <w:sz w:val="20"/>
              </w:rPr>
              <w:t>The heavy physical stress, long emergency hours, and emergency medical duty during a natural calamity clearly increased the risk of acute myocardial infarction.</w:t>
            </w:r>
          </w:p>
          <w:p>
            <w:pPr>
              <w:spacing w:before="20" w:after="40" w:line="276" w:lineRule="auto"/>
            </w:pPr>
            <w:r>
              <w:rPr>
                <w:rFonts w:ascii="Calibri" w:hAnsi="Calibri"/>
                <w:b/>
                <w:color w:val="212529"/>
                <w:sz w:val="20"/>
              </w:rPr>
              <w:t xml:space="preserve">3. Duty of GSIS as a Trust Institution: </w:t>
            </w:r>
            <w:r>
              <w:rPr>
                <w:rFonts w:ascii="Calibri" w:hAnsi="Calibri"/>
                <w:color w:val="212529"/>
                <w:sz w:val="20"/>
              </w:rPr>
              <w:t>The GSIS was created to serve government workers, not to act as a cold commercial insurance firm seeking technicalities to deny lawful claims.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doctors work grueling hours saving lives during typhoons. When a doctor collapses and dies on duty, the GSIS cannot demand impossible laboratory proofs to deny the family a pension. Social welfare laws exist to help families; judges must interpret them with compassion.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construction of social legislation. The purpose of PD 626 is worker protection. Under Favorabilia Sunt Amplianda, the grueling working conditions established the work-connection, and the Court awarded full death benefits to the surviving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GSIS petition, AFFIRMED the Court of Appeals, and ORDERED GSIS to pay full death benefits to Dr. Alegre's surviving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widower won and GSIS was ordered to pay full death compensation benefits.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payment of death benefits, reaffirming the liberal construction of employees' compensation laws in favor of public servants."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C. Statutes Liberally Construed -&gt; Social Justice &amp; Retirement Laws Liberally Construed for Retirees (PD 1146 GSIS Disability Retirement)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extended, hateful things restrained.</w:t>
              <w:br/>
            </w:r>
            <w:r>
              <w:rPr>
                <w:rFonts w:ascii="Calibri" w:hAnsi="Calibri"/>
                <w:b/>
                <w:color w:val="212529"/>
                <w:sz w:val="19"/>
              </w:rPr>
              <w:t xml:space="preserve">   • Plain Legal Meaning &amp; StatCon Application: </w:t>
            </w:r>
            <w:r>
              <w:rPr>
                <w:rFonts w:ascii="Calibri" w:hAnsi="Calibri"/>
                <w:color w:val="212529"/>
                <w:sz w:val="19"/>
              </w:rPr>
              <w:t>Beneficial provisions of pension and compensation statutes are given the most expansive, humane interpretation.</w:t>
            </w:r>
          </w:p>
          <w:p>
            <w:pPr>
              <w:spacing w:before="40" w:after="60" w:line="276" w:lineRule="auto"/>
            </w:pPr>
            <w:r>
              <w:rPr>
                <w:rFonts w:ascii="Calibri" w:hAnsi="Calibri"/>
                <w:b/>
                <w:color w:val="8C3200"/>
                <w:sz w:val="20"/>
              </w:rPr>
              <w:t>2.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All doubts in compensation claims under PD 626 are resolved in favor of the claimant.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the families of public servants who die in the line of duty fulfills social justice.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C. Statutes Liberally Construed -&gt; Social Justice &amp; Retirement Laws Liberally Construed for Retirees (PD 1146 GSIS Disability Retirement)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retirement, pension, and employees' compensation statutes are liberally construed in favor of beneficiaries)</w:t>
              <w:br/>
              <w:br/>
              <w:t>Secondary:</w:t>
              <w:br/>
              <w:t>• In dubio pro operario (doubts resolved in favor of compensation)</w:t>
              <w:br/>
              <w:t>• Salus populi est suprema lex (social justice in public service)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GSIS applied a rigid, restrictive interpretation to defeat the humanitarian and protective purpose of the Employees' Compensation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Social and Pension Statutes: Social security, retirement, and employees' compensation statutes are construed liberally and benevolently in favor of workingmen and their surviving families to effectuate social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Retirement and compensation laws are interpreted with heart and fairness; the government must help the families of public servants who die on the job.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GSIS v. CA is the premier authority on the liberal construction of social welfare and pension legislation: Favorabilia sunt amplianda, odiosa restringenda."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Government Service Insurance System (GSIS) v. Court of Appeals and Dr. Felonila Alegre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128523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25,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Dr. Felonila Alegre, a dedicated government municipal health physician, suffered a fatal myocardial infarction (heart attack) while performing emergency medical duties during a typhonic storm. Her surviving spouse filed a claim for death compensation benefits under Presidential Decree No. 626 (Employees' Compensation Act). The GSIS and Employees' Compensation Commission (ECC) denied the claim, contending that under the strict wording of PD 626 and its amended rules, heart diseases are not listed as occupational diseases per se, and arguing that the claimant failed to establish by direct medical proof that the working conditions increased the risk of the fatal heart attack.</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626 (Employees' Compensation and State Insurance Fund): Provides compensation benefits for work-connected death, sickness, or disability of government employees.</w:t>
              <w:br/>
              <w:t>2. Liberal Construction of Social Welfare Legislation: Social security, retirement, and compensation laws are interpreted broadly and benevolently to achieve their humanitarian purpose.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GSIS applied a rigid, restrictive interpretation to defeat the humanitarian and protective purpose of the Employees' Compensation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retirement, pension, and employees' compensation statutes (P.D. No. 626) must be liberally construed in favor of beneficiaries, testing the Canon of Liberal Construction of Social Welfare Legislation.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Government Service Insurance System (GSIS) v. Court of Appeals and Dr. Felonila Alegre,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626 (Employees' Compensation and State Insurance Fund): Provides compensation benefits for work-connected death, sickness, or disability of government employees.</w:t>
              <w:br/>
              <w:t>2. Liberal Construction of Social Welfare Legislation: Social security, retirement, and compensation laws are interpreted broadly and benevolently to achieve their humanitarian purpose.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GSIS applied a rigid, restrictive interpretation to defeat the humanitarian and protective purpose of the Employees'...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GSIS petition, AFFIRMED the Court of Appeals, and ORDERED GSIS to pay full death benefits to Dr. Alegre's surviving family.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Retirement, pension, and employees' compensation statutes MUST BE LIBERALLY CONSTRUED in favor of the workingman and his beneficiaries. Under the doctrine of liberal interpretation of social legislation, all doubts are resolved to grant compensation to those who serve the public.</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GSIS applied a rigid, restrictive interpretation to defeat the humanitarian and protective purpose of the Employees' Compensation Law..</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Liberal Construction of Social and Pension Statutes: Social security, retirement, and employees' compensation statutes are construed liberally and benevolently in favor of workingmen and their surviving families to effectuate social justice.</w:t>
              <w:br/>
              <w:t xml:space="preserve">   - Result: Yes. Pension and workers' compensation laws are passed to protect hardworking public servants. When a dedicated doctor dies while serving the public during an emergency, the law must be interpreted generously, not with cold bureaucratic heartlessness.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dubio pro operario (doubts resolved in favor of compensation)</w:t>
              <w:br/>
              <w:t>• Salus populi est suprema lex (social justice in public service)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Government Service Insurance System (GSIS) v. Court of Appeals and Dr. Felonila Alegre to mean and apply strictly in accordance with Favorabilia sunt amplianda, odiosa restringenda, holding that Yes. Pension and workers' compensation laws are passed to protect hardworking public servants. When a dedicated doctor dies while serving the public during an 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Government doctors work grueling hours saving lives during typhoons. When a doctor collapses and dies on duty, the GSIS cannot demand impossible laboratory proofs to deny the family a pension. Social welfare laws exist to help families; judges must interpret them with compassion.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Social and Pension Statutes: Social security, retirement, and employees' compensation statutes are construed liberally and benevolently in favor of workingmen and their surviving families to effectuate social 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Retirement and compensation laws are interpreted with heart and fairness; the government must help the families of public servants who die on the job.</w:t>
            </w:r>
          </w:p>
        </w:tc>
      </w:tr>
    </w:tbl>
    <w:p>
      <w:r>
        <w:br w:type="page"/>
      </w:r>
    </w:p>
    <w:p>
      <w:pPr>
        <w:keepNext/>
        <w:spacing w:before="320" w:after="80"/>
      </w:pPr>
      <w:r>
        <w:rPr>
          <w:rFonts w:ascii="Arial" w:hAnsi="Arial"/>
          <w:b/>
          <w:color w:val="0F2043"/>
          <w:sz w:val="26"/>
        </w:rPr>
        <w:t>91. MA. VICTORIA G. ENGLE V. COMMISSION ON ELECTIONS (COMELEC) AND WINSTON B. VERZOSA</w:t>
      </w:r>
    </w:p>
    <w:p>
      <w:pPr>
        <w:spacing w:before="40" w:after="80" w:line="276" w:lineRule="auto"/>
      </w:pPr>
      <w:r>
        <w:rPr>
          <w:rFonts w:ascii="Calibri" w:hAnsi="Calibri"/>
          <w:b/>
          <w:color w:val="212529"/>
          <w:sz w:val="21"/>
        </w:rPr>
        <w:t xml:space="preserve">Citation: </w:t>
      </w:r>
      <w:r>
        <w:rPr>
          <w:rFonts w:ascii="Calibri" w:hAnsi="Calibri"/>
          <w:i/>
          <w:color w:val="212529"/>
          <w:sz w:val="21"/>
        </w:rPr>
        <w:t>G.R. No. 215995 | January 19, 2016 | 778 SCRA 648 | En Banc | Ponente: J. Leonen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 Victoria G. Engle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(COMELEC En Banc) and Winston B. Verzosa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64 challenging COMELEC resolution cancelling the substitution and certificate of candidacy of a widow running for Mayor in place of her deceased husband under Section 77 of the Omnibus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James Engle filed his Certificate of Candidacy (COC) for Mayor of Babatngon, Leyte under the political party Lakas-CMD, but inadvertently left blank the line specifying the political party on the front box of the printed form while attaching his official Party Certificate of Nomination and Acceptance (CONA). James Engle died prior to election day. His widow, Ma. Victoria Engle, filed her COC as substitute candidate under Section 77 of the Omnibus Election Code, which permits party substitution upon the death of an official candidate. Winston Verzosa (the rival candidate) moved to deny the substitution, arguing that because James failed to write 'Lakas-CMD' on the front box, he was technically an 'independent' candidate, and independent candidates cannot be substituted under Section 77. COMELEC cancelled Victoria's COC, but her name remained on the ballot and she won the election by a landslide.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candidate for mayor filed his party nomination papers but accidentally left one blank line on his form, then died before the election. His widow substituted for him as the party candidate under the Omnibus Election Code. The rival candidate argued that because of the blank line, the deceased was technically an 'independent' candidate who could not be substituted by a widow. The widow ran anyway and won the election by a landslide. The Supreme Court reversed COMELEC, ruling that election laws must be LIBERALLY CONSTRUED to give effect to the sovereign will of the voters: a minor clerical typo cannot disenfranchise an entire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substitution of a deceased candidate by his widow under Section 77 of the Omnibus Election Code is valid, testing the Canon of Liberal Construction of Election Laws in Favor of the Will of the Electorate.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widow validly substitute for her deceased husband in an election, despite a clerical mistake on his original party form, after winning by a landslide?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election laws on candidate substitution are liberally construed to give effect to the will of the electorate, testing Liberal Construction of Election Statutes and Vox Populi, Vox Dei."</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substitution was VALID and Ma. Victoria Engle is the duly elected Mayor. Election laws MUST BE LIBERALLY CONSTRUED to give effect to the will of the voters. A clerical omission on a form cannot defeat the democratic voice of the people (Vox Populi, Vox Dei).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widow was the valid candidate and the rightful Mayor. The deceased candidate attached his official party nomination, so he was obviously a party candidate. The people of the town overwhelmingly voted for the widow. Election rules must be interpreted to protect the people's vote, not to award victories on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Marvic Leonen held, election laws are construed liberally to effectuate the sovereign will of the electorate. Under Vox populi, vox Dei and Ut res magis valeat quam pereat, a minor clerical omission in a certificate of candidacy cannot override official party nomination documents or disenfranchise the voters who overwhelmingly elected the substitute candidate."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77, Batas Pambansa Blg. 881 (Omnibus Election Code): </w:t>
            </w:r>
            <w:r>
              <w:rPr>
                <w:rFonts w:ascii="Calibri" w:hAnsi="Calibri"/>
                <w:color w:val="212529"/>
                <w:sz w:val="20"/>
              </w:rPr>
              <w:t>Authorizes substitution of an official candidate who dies or is disqualified after the last day for filing COCs by a candidate belonging to the same political party.</w:t>
            </w:r>
          </w:p>
          <w:p>
            <w:pPr>
              <w:spacing w:before="20" w:after="40" w:line="276" w:lineRule="auto"/>
            </w:pPr>
            <w:r>
              <w:rPr>
                <w:rFonts w:ascii="Calibri" w:hAnsi="Calibri"/>
                <w:b/>
                <w:color w:val="212529"/>
                <w:sz w:val="20"/>
              </w:rPr>
              <w:t xml:space="preserve">2. Liberal Construction of Election Laws: </w:t>
            </w:r>
            <w:r>
              <w:rPr>
                <w:rFonts w:ascii="Calibri" w:hAnsi="Calibri"/>
                <w:color w:val="212529"/>
                <w:sz w:val="20"/>
              </w:rPr>
              <w:t>Election statutes are interpreted liberally to ensure that the true will of the electorate is discovered and upheld.</w:t>
            </w:r>
          </w:p>
          <w:p>
            <w:pPr>
              <w:spacing w:before="20" w:after="40" w:line="276" w:lineRule="auto"/>
            </w:pPr>
            <w:r>
              <w:rPr>
                <w:rFonts w:ascii="Calibri" w:hAnsi="Calibri"/>
                <w:b/>
                <w:color w:val="212529"/>
                <w:sz w:val="20"/>
              </w:rPr>
              <w:t xml:space="preserve">3. Vox Populi, Vox Dei (the voice of the people is the voice of God): </w:t>
            </w:r>
            <w:r>
              <w:rPr>
                <w:rFonts w:ascii="Calibri" w:hAnsi="Calibri"/>
                <w:color w:val="212529"/>
                <w:sz w:val="20"/>
              </w:rPr>
              <w:t>Technical formal defects must yield to the sovereign mandate expressed through the ballot.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77 Omnibus Election Code, Liberal Construction of Election Laws, and Vox Populi, Vox Dei.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77 of the Omnibus Election Code, applied under the canon of Liberal Construction of Election Statutes and the supreme democratic principle Vox populi, vox Dei."</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Candidate Substitution: </w:t>
            </w:r>
            <w:r>
              <w:rPr>
                <w:rFonts w:ascii="Calibri" w:hAnsi="Calibri"/>
                <w:color w:val="212529"/>
                <w:sz w:val="20"/>
              </w:rPr>
              <w:t>Section 77 was enacted to ensure that a political party is not deprived of representation and voters are not denied a choice when a candidate suddenly dies before election day.</w:t>
            </w:r>
          </w:p>
          <w:p>
            <w:pPr>
              <w:spacing w:before="20" w:after="40" w:line="276" w:lineRule="auto"/>
            </w:pPr>
            <w:r>
              <w:rPr>
                <w:rFonts w:ascii="Calibri" w:hAnsi="Calibri"/>
                <w:b/>
                <w:color w:val="212529"/>
                <w:sz w:val="20"/>
              </w:rPr>
              <w:t xml:space="preserve">2. Substantial Compliance with Party Nomination: </w:t>
            </w:r>
            <w:r>
              <w:rPr>
                <w:rFonts w:ascii="Calibri" w:hAnsi="Calibri"/>
                <w:color w:val="212529"/>
                <w:sz w:val="20"/>
              </w:rPr>
              <w:t>The deceased candidate attached an authentic Certificate of Nomination and Acceptance (CONA) from Lakas-CMD. Looking at the filing as a whole, he was undisputedly an official party candidate.</w:t>
            </w:r>
          </w:p>
          <w:p>
            <w:pPr>
              <w:spacing w:before="20" w:after="40" w:line="276" w:lineRule="auto"/>
            </w:pPr>
            <w:r>
              <w:rPr>
                <w:rFonts w:ascii="Calibri" w:hAnsi="Calibri"/>
                <w:b/>
                <w:color w:val="212529"/>
                <w:sz w:val="20"/>
              </w:rPr>
              <w:t xml:space="preserve">3. Primacy of the Sovereign Ballot: </w:t>
            </w:r>
            <w:r>
              <w:rPr>
                <w:rFonts w:ascii="Calibri" w:hAnsi="Calibri"/>
                <w:color w:val="212529"/>
                <w:sz w:val="20"/>
              </w:rPr>
              <w:t>Once an election has been held and the people have voted by a decisive majority, technical defects in pre-election candidacies are cured to respect the democratic will of the sovereign people.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Elections belong to the people, not to technical paperwork. The deceased candidate proved he was a party candidate by submitting his official party certificate. When he died, his widow stepped in, and the people of the town voted for her in a landslide. Tossing out the people's vote over a blank line on a form would destroy democracy.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election statutory construction. Election laws are tools to ascertain the popular will, not traps to disenfranchise voters. Under Vox Populi, Vox Dei and Section 77 of the Election Code, the widow was a valid substitute and was confirmed as Mayor."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COMELEC resolutions, and DECLARED Ma. Victoria G. Engle the duly elected Mayor of Babatngon, Leyte.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widow won and was declared the rightful and lawful Mayor of the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widow's election as Mayor, affirming the liberal construction of election laws under Vox Populi, Vox Dei."</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VI. Construction of Constitution and Specific Kinds of Statutes -&gt; C. Statutes Liberally Construed -&gt; Election Laws Liberally Construed to Effectuate Sovereign Will (Omnibus Election Code Sec. 77 / Substitution of Deceased Candidate)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Vox populi, vox Dei (the voice of the people is the voice of God)</w:t>
              <w:br/>
            </w:r>
            <w:r>
              <w:rPr>
                <w:rFonts w:ascii="Calibri" w:hAnsi="Calibri"/>
                <w:b/>
                <w:color w:val="212529"/>
                <w:sz w:val="19"/>
              </w:rPr>
              <w:t xml:space="preserve">   • Literal English Translation: </w:t>
            </w:r>
            <w:r>
              <w:rPr>
                <w:rFonts w:ascii="Calibri" w:hAnsi="Calibri"/>
                <w:i/>
                <w:color w:val="212529"/>
                <w:sz w:val="19"/>
              </w:rPr>
              <w:t>The voice of the people is the voice of God.</w:t>
              <w:br/>
            </w:r>
            <w:r>
              <w:rPr>
                <w:rFonts w:ascii="Calibri" w:hAnsi="Calibri"/>
                <w:b/>
                <w:color w:val="212529"/>
                <w:sz w:val="19"/>
              </w:rPr>
              <w:t xml:space="preserve">   • Plain Legal Meaning &amp; StatCon Application: </w:t>
            </w:r>
            <w:r>
              <w:rPr>
                <w:rFonts w:ascii="Calibri" w:hAnsi="Calibri"/>
                <w:color w:val="212529"/>
                <w:sz w:val="19"/>
              </w:rPr>
              <w:t>The sovereign vote of the electorate overrides minor procedural defects in candidacy forms.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Election laws must be construed to save the election and give effect to ballots cast.</w:t>
            </w:r>
          </w:p>
          <w:p>
            <w:pPr>
              <w:spacing w:before="40" w:after="60" w:line="276" w:lineRule="auto"/>
            </w:pPr>
            <w:r>
              <w:rPr>
                <w:rFonts w:ascii="Calibri" w:hAnsi="Calibri"/>
                <w:b/>
                <w:color w:val="8C3200"/>
                <w:sz w:val="20"/>
              </w:rPr>
              <w:t>3.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Authentic party nomination in substance overrides an empty box on a printed form.</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VI. Construction of Constitution and Specific Kinds of Statutes -&gt; C. Statutes Liberally Construed -&gt; Election Laws Liberally Construed to Effectuate Sovereign Will (Omnibus Election Code Sec. 77 / Substitution of Deceased Candidate)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Vox populi, vox Dei</w:t>
              <w:br/>
              <w:t>(the voice of the people is the voice of God / election laws and substitution rules are liberally construed to uphold the sovereign mandate of the electorate)</w:t>
              <w:br/>
              <w:br/>
              <w:t>Secondary:</w:t>
              <w:br/>
              <w:t>• Ut res magis valeat quam pereat (construction to preserve the validity of elections)</w:t>
              <w:br/>
              <w:t>• Substantia praevalet formae (substance of party nomination over form)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COMELEC applied a rigid, hyper-technical interpretation of candidacy forms to nullify a valid candidate substitution and disenfranchise an entire town.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Election Statutes: Election laws are construed liberally before elections and even more liberally after elections to ensure that the genuine will of the sovereign people as expressed through the ballot is given full effect under Vox Populi, Vox Dei.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Election laws are interpreted to protect the vote of the people; judges will not let a minor clerical typo cancel a landslide election victory.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Engle v. COMELEC is the leading modern landmark decision on the liberal construction of election laws: technical defects must yield to the sovereign will of the people—Vox populi, vox Dei."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 Victoria G. Engle v. Commission on Elections (COMELEC) and Winston B. Verzosa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215995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19, 2016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James Engle filed his Certificate of Candidacy (COC) for Mayor of Babatngon, Leyte under the political party Lakas-CMD, but inadvertently left blank the line specifying the political party on the front box of the printed form while attaching his official Party Certificate of Nomination and Acceptance (CONA). James Engle died prior to election day. His widow, Ma. Victoria Engle, filed her COC as substitute candidate under Section 77 of the Omnibus Election Code, which permits party substitution upon the death of an official candidate. Winston Verzosa (the rival candidate) moved to deny the substitution, arguing that because James failed to write 'Lakas-CMD' on the front box, he was technically an 'independent' candidate, and independent candidates cannot be substituted under Section 77. COMELEC cancelled Victoria's COC, but her name remained on the ballot and she won the election by a landslide.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77, Batas Pambansa Blg. 881 (Omnibus Election Code): Authorizes substitution of an official candidate who dies or is disqualified after the last day for filing COCs by a candidate belonging to the same political party.</w:t>
              <w:br/>
              <w:t>2. Liberal Construction of Election Laws: Election statutes are interpreted liberally to ensure that the true will of the electorate is discovered and upheld.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COMELEC applied a rigid, hyper-technical interpretation of candidacy forms to nullify a valid candidate substitution and disenfranchise an entire town.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substitution of a deceased candidate by his widow under Section 77 of the Omnibus Election Code is valid, testing the Canon of Liberal Construction of Election Laws in Favor of the Will of the Electorate.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 Victoria G. Engle v. Commission on Elections (COMELEC) and Winston B. Verzosa, under the canon of Vox populi, vox Dei.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77, Batas Pambansa Blg. 881 (Omnibus Election Code): Authorizes substitution of an official candidate who dies or is disqualified after the last day for filing COCs by a candidate belonging to the same political party.</w:t>
              <w:br/>
              <w:t>2. Liberal Construction of Election Laws: Election statutes are interpreted liberally to ensure that the true will of the electorate is discovered and upheld.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COMELEC applied a rigid, hyper-technical interpretation of candidacy forms to nullify a valid candidate substitution...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COMELEC resolutions, and DECLARED Ma. Victoria G. Engle the duly elected Mayor of Babatngon, Leyte.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substitution was VALID and Ma. Victoria Engle is the duly elected Mayor. Election laws MUST BE LIBERALLY CONSTRUED to give effect to the will of the voters. A clerical omission on a form cannot defeat the democratic voice of the people (Vox Populi, Vox Dei).</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COMELEC applied a rigid, hyper-technical interpretation of candidacy forms to nullify a valid candidate substitution and disenfranchise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Vox populi, vox Dei</w:t>
              <w:br/>
              <w:t xml:space="preserve">   - Application: Liberal Construction of Election Statutes: Election laws are construed liberally before elections and even more liberally after elections to ensure that the genuine will of the sovereign people as expressed through the ballot is given full effect under Vox Populi, Vox Dei.</w:t>
              <w:br/>
              <w:t xml:space="preserve">   - Result: Yes. The widow was the valid candidate and the rightful Mayor. The deceased candidate attached his official party nomination, so he was obviously a party candidate. The people of the town overwhelmingly voted for the widow. Election rules must be interpreted to protect the people's vote, not to award victories on technicalities.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the validity of elections)</w:t>
              <w:br/>
              <w:t>• Substantia praevalet formae (substance of party nomination over form)</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 Victoria G. Engle v. Commission on Elections (COMELEC) and Winston B. Verzosa to mean and apply strictly in accordance with Vox populi, vox Dei, holding that Yes. The widow was the valid candidate and the rightful Mayor. The deceased candidate attached his official party nomination, so he was obviously a party candid.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Elections belong to the people, not to technical paperwork. The deceased candidate proved he was a party candidate by submitting his official party certificate. When he died, his widow stepped in, and the people of the town voted for her in a landslide. Tossing out the people's vote over a blank line on a form would destroy democracy.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Vox populi, vox Dei,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Election Statutes: Election laws are construed liberally before elections and even more liberally after elections to ensure that the genuine will of the sovereign people as expressed through the ballot is given full effect under Vox Populi, Vox Dei.</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Election laws are interpreted to protect the vote of the people; judges will not let a minor clerical typo cancel a landslide election victory.</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