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F4E79"/>
          <w:sz w:val="26"/>
        </w:rPr>
        <w:t>MANILA LAW COLLEGE</w:t>
        <w:br/>
      </w:r>
      <w:r>
        <w:rPr>
          <w:rFonts w:ascii="Segoe UI" w:hAnsi="Segoe UI"/>
          <w:b/>
          <w:color w:val="1F4E79"/>
          <w:sz w:val="36"/>
        </w:rPr>
        <w:t>CRIMINAL LAW 1 MASTER SYLLABUS COMPENDIUM</w:t>
        <w:br/>
      </w:r>
      <w:r>
        <w:rPr>
          <w:rFonts w:ascii="Segoe UI" w:hAnsi="Segoe UI"/>
          <w:b/>
          <w:color w:val="2E75B6"/>
          <w:sz w:val="22"/>
        </w:rPr>
        <w:t>The Revised Penal Code (Book I, Articles 1–113) Annotated with Justice Luis B. Reyes</w:t>
        <w:br/>
      </w:r>
      <w:r>
        <w:rPr>
          <w:rFonts w:ascii="Segoe UI" w:hAnsi="Segoe UI"/>
          <w:i/>
          <w:color w:val="595959"/>
          <w:sz w:val="19"/>
        </w:rPr>
        <w:t>Course Outline: Atty. Shander A. Matienzo | First Semester, Academic Year 2026–2027</w:t>
        <w:br/>
        <w:t>Juris Doctor Program | Complete Doctrinal Matrix, Statutory Elements &amp; Landmark Jurisprudence</w:t>
      </w:r>
    </w:p>
    <w:p>
      <w:pPr>
        <w:spacing w:before="80" w:after="320"/>
        <w:jc w:val="center"/>
      </w:pPr>
      <w:r>
        <w:rPr>
          <w:rFonts w:ascii="Calibri" w:hAnsi="Calibri"/>
          <w:color w:val="1F4E79"/>
        </w:rPr>
        <w:t>――――――――――――――――――――――――――――――――――――――――――――――――――――――――――</w:t>
      </w:r>
    </w:p>
    <w:p>
      <w:pPr>
        <w:keepNext/>
        <w:spacing w:before="360" w:after="120"/>
      </w:pPr>
      <w:r>
        <w:rPr>
          <w:rFonts w:ascii="Segoe UI" w:hAnsi="Segoe UI"/>
          <w:b/>
          <w:color w:val="1F4E79"/>
          <w:sz w:val="30"/>
        </w:rPr>
        <w:t>MANILA LAW COLLEGE — CRIMINAL LAW 1 MASTER COMPENDIUM</w:t>
      </w:r>
    </w:p>
    <w:p>
      <w:pPr>
        <w:spacing w:before="0" w:after="160"/>
      </w:pPr>
      <w:r>
        <w:rPr>
          <w:rFonts w:ascii="Segoe UI" w:hAnsi="Segoe UI"/>
          <w:color w:val="2E75B6"/>
          <w:sz w:val="20"/>
        </w:rPr>
        <w:t>━━━━━━━━━━━━━━━━━━━━━━━━━━━━━━━━━━━━━━━━━━━━━━━━</w:t>
      </w:r>
    </w:p>
    <w:p>
      <w:pPr>
        <w:keepNext/>
        <w:spacing w:before="280" w:after="80"/>
      </w:pPr>
      <w:r>
        <w:rPr>
          <w:rFonts w:ascii="Segoe UI" w:hAnsi="Segoe UI"/>
          <w:b/>
          <w:color w:val="2E75B6"/>
          <w:sz w:val="25"/>
        </w:rPr>
        <w:t>Complete Syllabus Topic Extraction &amp; Luis B. Reyes Annotated Treatise (Book I, Articles 1–113 RPC)</w:t>
      </w:r>
    </w:p>
    <w:p>
      <w:pPr>
        <w:spacing w:before="40" w:after="80" w:line="276" w:lineRule="auto"/>
      </w:pPr>
      <w:r>
        <w:rPr>
          <w:rFonts w:ascii="Calibri" w:hAnsi="Calibri"/>
          <w:b/>
          <w:i w:val="0"/>
          <w:color w:val="262626"/>
          <w:sz w:val="21"/>
        </w:rPr>
        <w:t>Course:</w:t>
      </w:r>
      <w:r>
        <w:rPr>
          <w:rFonts w:ascii="Calibri" w:hAnsi="Calibri"/>
          <w:i w:val="0"/>
          <w:color w:val="262626"/>
          <w:sz w:val="21"/>
        </w:rPr>
        <w:t xml:space="preserve"> Criminal Law 1 (3 Units) | First Semester, AY 2026–2027</w:t>
      </w:r>
    </w:p>
    <w:p>
      <w:pPr>
        <w:spacing w:before="40" w:after="80" w:line="276" w:lineRule="auto"/>
      </w:pPr>
      <w:r>
        <w:rPr>
          <w:rFonts w:ascii="Calibri" w:hAnsi="Calibri"/>
          <w:b/>
          <w:i w:val="0"/>
          <w:color w:val="262626"/>
          <w:sz w:val="21"/>
        </w:rPr>
        <w:t>Professor:</w:t>
      </w:r>
      <w:r>
        <w:rPr>
          <w:rFonts w:ascii="Calibri" w:hAnsi="Calibri"/>
          <w:i w:val="0"/>
          <w:color w:val="262626"/>
          <w:sz w:val="21"/>
        </w:rPr>
        <w:t xml:space="preserve"> Atty. Shander A. Matienzo</w:t>
      </w:r>
    </w:p>
    <w:p>
      <w:pPr>
        <w:spacing w:before="40" w:after="80" w:line="276" w:lineRule="auto"/>
      </w:pPr>
      <w:r>
        <w:rPr>
          <w:rFonts w:ascii="Calibri" w:hAnsi="Calibri"/>
          <w:b/>
          <w:i w:val="0"/>
          <w:color w:val="262626"/>
          <w:sz w:val="21"/>
        </w:rPr>
        <w:t>Primary Reference:</w:t>
      </w:r>
      <w:r>
        <w:rPr>
          <w:rFonts w:ascii="Calibri" w:hAnsi="Calibri"/>
          <w:i w:val="0"/>
          <w:color w:val="262626"/>
          <w:sz w:val="21"/>
        </w:rPr>
        <w:t xml:space="preserve"> </w:t>
      </w:r>
      <w:r>
        <w:rPr>
          <w:rFonts w:ascii="Calibri" w:hAnsi="Calibri"/>
          <w:i/>
          <w:color w:val="262626"/>
          <w:sz w:val="21"/>
        </w:rPr>
        <w:t>The Revised Penal Code: Criminal Law (Book One, Articles 1–113)</w:t>
      </w:r>
      <w:r>
        <w:rPr>
          <w:rFonts w:ascii="Calibri" w:hAnsi="Calibri"/>
          <w:i w:val="0"/>
          <w:color w:val="262626"/>
          <w:sz w:val="21"/>
        </w:rPr>
        <w:t xml:space="preserve"> by Justice Luis B. Reyes (Annotated)</w:t>
      </w:r>
    </w:p>
    <w:p>
      <w:pPr>
        <w:spacing w:before="40" w:after="80" w:line="276" w:lineRule="auto"/>
      </w:pPr>
      <w:r>
        <w:rPr>
          <w:rFonts w:ascii="Calibri" w:hAnsi="Calibri"/>
          <w:b/>
          <w:i w:val="0"/>
          <w:color w:val="262626"/>
          <w:sz w:val="21"/>
        </w:rPr>
        <w:t>Syllabus Document:</w:t>
      </w:r>
      <w:r>
        <w:rPr>
          <w:rFonts w:ascii="Calibri" w:hAnsi="Calibri"/>
          <w:i w:val="0"/>
          <w:color w:val="262626"/>
          <w:sz w:val="21"/>
        </w:rPr>
        <w:t xml:space="preserve"> </w:t>
      </w:r>
      <w:r>
        <w:rPr>
          <w:rFonts w:ascii="Calibri" w:hAnsi="Calibri"/>
          <w:i w:val="0"/>
          <w:color w:val="2E75B6"/>
          <w:sz w:val="21"/>
          <w:u w:val="single"/>
        </w:rPr>
        <w:t>`C:\Users\JR\Downloads\CRIM-1-Course-Outline.pdf`</w:t>
      </w:r>
    </w:p>
    <w:p>
      <w:pPr>
        <w:spacing w:before="40" w:after="80" w:line="276" w:lineRule="auto"/>
      </w:pPr>
      <w:r>
        <w:rPr>
          <w:rFonts w:ascii="Calibri" w:hAnsi="Calibri"/>
          <w:b/>
          <w:i w:val="0"/>
          <w:color w:val="262626"/>
          <w:sz w:val="21"/>
        </w:rPr>
        <w:t>Companion Interactive Matrix:</w:t>
      </w:r>
      <w:r>
        <w:rPr>
          <w:rFonts w:ascii="Calibri" w:hAnsi="Calibri"/>
          <w:i w:val="0"/>
          <w:color w:val="262626"/>
          <w:sz w:val="21"/>
        </w:rPr>
        <w:t xml:space="preserve"> </w:t>
      </w:r>
      <w:r>
        <w:rPr>
          <w:rFonts w:ascii="Calibri" w:hAnsi="Calibri"/>
          <w:i w:val="0"/>
          <w:color w:val="2E75B6"/>
          <w:sz w:val="21"/>
          <w:u w:val="single"/>
        </w:rPr>
        <w:t>`Criminal_Law_RPC_Reyes_Topic_Helper1.xlsx`</w:t>
      </w:r>
      <w:r>
        <w:rPr>
          <w:rFonts w:ascii="Calibri" w:hAnsi="Calibri"/>
          <w:i w:val="0"/>
          <w:color w:val="262626"/>
          <w:sz w:val="21"/>
        </w:rPr>
        <w:t xml:space="preserve"> | </w:t>
      </w:r>
      <w:r>
        <w:rPr>
          <w:rFonts w:ascii="Calibri" w:hAnsi="Calibri"/>
          <w:i w:val="0"/>
          <w:color w:val="2E75B6"/>
          <w:sz w:val="21"/>
          <w:u w:val="single"/>
        </w:rPr>
        <w:t>`Criminal_Law_1_Reyes_Annotated_Syllabus_Topic_Matrix.xlsx`</w:t>
      </w:r>
    </w:p>
    <w:p>
      <w:pPr>
        <w:keepNext/>
        <w:spacing w:before="280" w:after="80"/>
      </w:pPr>
      <w:r>
        <w:rPr>
          <w:rFonts w:ascii="Segoe UI" w:hAnsi="Segoe UI"/>
          <w:b/>
          <w:color w:val="2E75B6"/>
          <w:sz w:val="25"/>
        </w:rPr>
        <w:t>Table of Contents</w:t>
      </w:r>
    </w:p>
    <w:p>
      <w:pPr>
        <w:pStyle w:val="ListNumber"/>
        <w:spacing w:before="40" w:after="40" w:line="276" w:lineRule="auto"/>
      </w:pPr>
      <w:r>
        <w:rPr>
          <w:rFonts w:ascii="Calibri" w:hAnsi="Calibri"/>
          <w:i w:val="0"/>
          <w:color w:val="2E75B6"/>
          <w:sz w:val="20"/>
          <w:u w:val="single"/>
        </w:rPr>
        <w:t>Part I: General Principles of Criminal Law (Arts. 1, 2, 5, 21, 22)</w:t>
      </w:r>
    </w:p>
    <w:p>
      <w:pPr>
        <w:pStyle w:val="ListNumber"/>
        <w:spacing w:before="40" w:after="40" w:line="276" w:lineRule="auto"/>
      </w:pPr>
      <w:r>
        <w:rPr>
          <w:rFonts w:ascii="Calibri" w:hAnsi="Calibri"/>
          <w:i w:val="0"/>
          <w:color w:val="2E75B6"/>
          <w:sz w:val="20"/>
          <w:u w:val="single"/>
        </w:rPr>
        <w:t>Part II: Felonies and Criminal Liability (Arts. 3–10)</w:t>
      </w:r>
    </w:p>
    <w:p>
      <w:pPr>
        <w:pStyle w:val="ListNumber"/>
        <w:spacing w:before="40" w:after="40" w:line="276" w:lineRule="auto"/>
      </w:pPr>
      <w:r>
        <w:rPr>
          <w:rFonts w:ascii="Calibri" w:hAnsi="Calibri"/>
          <w:i w:val="0"/>
          <w:color w:val="2E75B6"/>
          <w:sz w:val="20"/>
          <w:u w:val="single"/>
        </w:rPr>
        <w:t>Part III: Circumstances Which Affect Criminal Liability (Arts. 11–15)</w:t>
      </w:r>
    </w:p>
    <w:p>
      <w:pPr>
        <w:pStyle w:val="ListNumber"/>
        <w:spacing w:before="40" w:after="40" w:line="276" w:lineRule="auto"/>
      </w:pPr>
      <w:r>
        <w:rPr>
          <w:rFonts w:ascii="Calibri" w:hAnsi="Calibri"/>
          <w:i w:val="0"/>
          <w:color w:val="2E75B6"/>
          <w:sz w:val="20"/>
          <w:u w:val="single"/>
        </w:rPr>
        <w:t>Part IV: Persons Criminally Liable (Arts. 16–20)</w:t>
      </w:r>
    </w:p>
    <w:p>
      <w:pPr>
        <w:pStyle w:val="ListNumber"/>
        <w:spacing w:before="40" w:after="40" w:line="276" w:lineRule="auto"/>
      </w:pPr>
      <w:r>
        <w:rPr>
          <w:rFonts w:ascii="Calibri" w:hAnsi="Calibri"/>
          <w:i w:val="0"/>
          <w:color w:val="2E75B6"/>
          <w:sz w:val="20"/>
          <w:u w:val="single"/>
        </w:rPr>
        <w:t>Part V: Penalties (Arts. 21–88)</w:t>
      </w:r>
    </w:p>
    <w:p>
      <w:pPr>
        <w:pStyle w:val="ListNumber"/>
        <w:spacing w:before="40" w:after="40" w:line="276" w:lineRule="auto"/>
      </w:pPr>
      <w:r>
        <w:rPr>
          <w:rFonts w:ascii="Calibri" w:hAnsi="Calibri"/>
          <w:i w:val="0"/>
          <w:color w:val="2E75B6"/>
          <w:sz w:val="20"/>
          <w:u w:val="single"/>
        </w:rPr>
        <w:t>Part VI: Extinction of Criminal Liability (Arts. 89–99)</w:t>
      </w:r>
    </w:p>
    <w:p>
      <w:pPr>
        <w:pStyle w:val="ListNumber"/>
        <w:spacing w:before="40" w:after="40" w:line="276" w:lineRule="auto"/>
      </w:pPr>
      <w:r>
        <w:rPr>
          <w:rFonts w:ascii="Calibri" w:hAnsi="Calibri"/>
          <w:i w:val="0"/>
          <w:color w:val="2E75B6"/>
          <w:sz w:val="20"/>
          <w:u w:val="single"/>
        </w:rPr>
        <w:t>Part VII: Civil Liability Ex Delicto (Arts. 100–113)</w:t>
      </w:r>
    </w:p>
    <w:p>
      <w:pPr>
        <w:keepNext/>
        <w:spacing w:before="360" w:after="120"/>
      </w:pPr>
      <w:r>
        <w:rPr>
          <w:rFonts w:ascii="Segoe UI" w:hAnsi="Segoe UI"/>
          <w:b/>
          <w:color w:val="1F4E79"/>
          <w:sz w:val="30"/>
        </w:rPr>
        <w:t>Part I: General Principles of Criminal Law</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1–5; Codal Articles 1, 2, 5, 21, 22 RPC; Civil Code Articles 2, 4, 14; 1987 Constitution Art. I, Art. II, Art. III, Art. VI)</w:t>
      </w:r>
    </w:p>
    <w:p>
      <w:pPr>
        <w:keepNext/>
        <w:spacing w:before="200" w:after="60"/>
      </w:pPr>
      <w:r>
        <w:rPr>
          <w:rFonts w:ascii="Segoe UI" w:hAnsi="Segoe UI"/>
          <w:b/>
          <w:color w:val="1F4E79"/>
          <w:sz w:val="23"/>
        </w:rPr>
        <w:t>1. Definition and Nature of Criminal Law</w:t>
      </w:r>
    </w:p>
    <w:p>
      <w:pPr>
        <w:pStyle w:val="ListBullet"/>
        <w:spacing w:before="20" w:after="40" w:line="276" w:lineRule="auto"/>
      </w:pPr>
      <w:r>
        <w:rPr>
          <w:rFonts w:ascii="Calibri" w:hAnsi="Calibri"/>
          <w:b/>
          <w:i w:val="0"/>
          <w:color w:val="262626"/>
          <w:sz w:val="20"/>
        </w:rPr>
        <w:t>Luis B. Reyes Definition (citing 12 Cyc. 129):</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4" w:color="1F4E79"/>
              <w:top w:val="none"/>
              <w:right w:val="none"/>
              <w:bottom w:val="none"/>
            </w:tcBorders>
            <w:tcMar>
              <w:top w:w="100" w:type="dxa"/>
              <w:bottom w:w="100" w:type="dxa"/>
              <w:left w:w="200" w:type="dxa"/>
              <w:right w:w="150" w:type="dxa"/>
            </w:tcMar>
          </w:tcPr>
          <w:p>
            <w:pPr>
              <w:spacing w:before="40" w:after="40"/>
            </w:pPr>
            <w:r>
              <w:rPr>
                <w:rFonts w:ascii="Georgia" w:hAnsi="Georgia"/>
                <w:i/>
                <w:color w:val="1F4E79"/>
                <w:sz w:val="20"/>
              </w:rPr>
              <w:t>"Criminal law is that branch or division of law which defines crimes, treats of their nature, and provides for their punishment."</w:t>
            </w:r>
          </w:p>
        </w:tc>
      </w:tr>
    </w:tbl>
    <w:p>
      <w:pPr>
        <w:pStyle w:val="ListBullet"/>
        <w:spacing w:before="20" w:after="40" w:line="276" w:lineRule="auto"/>
      </w:pPr>
      <w:r>
        <w:rPr>
          <w:rFonts w:ascii="Calibri" w:hAnsi="Calibri"/>
          <w:b/>
          <w:i w:val="0"/>
          <w:color w:val="262626"/>
          <w:sz w:val="20"/>
        </w:rPr>
        <w:t>Nature:</w:t>
      </w:r>
    </w:p>
    <w:p>
      <w:pPr>
        <w:pStyle w:val="ListNumber"/>
        <w:spacing w:before="40" w:after="40" w:line="276" w:lineRule="auto"/>
      </w:pPr>
      <w:r>
        <w:rPr>
          <w:rFonts w:ascii="Calibri" w:hAnsi="Calibri"/>
          <w:b/>
          <w:i w:val="0"/>
          <w:color w:val="262626"/>
          <w:sz w:val="20"/>
        </w:rPr>
        <w:t>Substantive Law:</w:t>
      </w:r>
      <w:r>
        <w:rPr>
          <w:rFonts w:ascii="Calibri" w:hAnsi="Calibri"/>
          <w:i w:val="0"/>
          <w:color w:val="262626"/>
          <w:sz w:val="20"/>
        </w:rPr>
        <w:t xml:space="preserve"> Defines offenses, creates criminal liabilities, and prescribes corresponding penalties. It defines the State’s right to inflict punishment (</w:t>
      </w:r>
      <w:r>
        <w:rPr>
          <w:rFonts w:ascii="Calibri" w:hAnsi="Calibri"/>
          <w:i/>
          <w:color w:val="262626"/>
          <w:sz w:val="20"/>
        </w:rPr>
        <w:t>jus puniendi</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Public Law:</w:t>
      </w:r>
      <w:r>
        <w:rPr>
          <w:rFonts w:ascii="Calibri" w:hAnsi="Calibri"/>
          <w:i w:val="0"/>
          <w:color w:val="262626"/>
          <w:sz w:val="20"/>
        </w:rPr>
        <w:t xml:space="preserve"> Treats of the relations between the individual and the sovereign State. A crime is considered an assault against the peace, tranquility, and dignity of the entire community, which is why prosecutions are brought in the name of the </w:t>
      </w:r>
      <w:r>
        <w:rPr>
          <w:rFonts w:ascii="Calibri" w:hAnsi="Calibri"/>
          <w:i/>
          <w:color w:val="262626"/>
          <w:sz w:val="20"/>
        </w:rPr>
        <w:t>People of the Philippines</w:t>
      </w:r>
      <w:r>
        <w:rPr>
          <w:rFonts w:ascii="Calibri" w:hAnsi="Calibri"/>
          <w:i w:val="0"/>
          <w:color w:val="262626"/>
          <w:sz w:val="20"/>
        </w:rPr>
        <w:t xml:space="preserve"> (</w:t>
      </w:r>
      <w:r>
        <w:rPr>
          <w:rFonts w:ascii="Calibri" w:hAnsi="Calibri"/>
          <w:i w:val="0"/>
          <w:color w:val="2E75B6"/>
          <w:sz w:val="20"/>
          <w:u w:val="single"/>
        </w:rPr>
        <w:t>People v. Santiago</w:t>
      </w:r>
      <w:r>
        <w:rPr>
          <w:rFonts w:ascii="Calibri" w:hAnsi="Calibri"/>
          <w:i w:val="0"/>
          <w:color w:val="262626"/>
          <w:sz w:val="20"/>
        </w:rPr>
        <w:t>, 43 Phil. 120).</w:t>
      </w:r>
    </w:p>
    <w:p>
      <w:pPr>
        <w:pStyle w:val="ListBullet"/>
        <w:spacing w:before="20" w:after="40" w:line="276" w:lineRule="auto"/>
      </w:pPr>
      <w:r>
        <w:rPr>
          <w:rFonts w:ascii="Calibri" w:hAnsi="Calibri"/>
          <w:b/>
          <w:i w:val="0"/>
          <w:color w:val="262626"/>
          <w:sz w:val="20"/>
        </w:rPr>
        <w:t>Statutory Exclusivity:</w:t>
      </w:r>
      <w:r>
        <w:rPr>
          <w:rFonts w:ascii="Calibri" w:hAnsi="Calibri"/>
          <w:i w:val="0"/>
          <w:color w:val="262626"/>
          <w:sz w:val="20"/>
        </w:rPr>
        <w:t xml:space="preserve"> There are </w:t>
      </w:r>
      <w:r>
        <w:rPr>
          <w:rFonts w:ascii="Calibri" w:hAnsi="Calibri"/>
          <w:b/>
          <w:i w:val="0"/>
          <w:color w:val="262626"/>
          <w:sz w:val="20"/>
        </w:rPr>
        <w:t>NO common-law crimes</w:t>
      </w:r>
      <w:r>
        <w:rPr>
          <w:rFonts w:ascii="Calibri" w:hAnsi="Calibri"/>
          <w:i w:val="0"/>
          <w:color w:val="262626"/>
          <w:sz w:val="20"/>
        </w:rPr>
        <w:t xml:space="preserve"> in the Philippines. An act or omission is not a crime unless a valid written penal statute explicitly defines and punishes it (</w:t>
      </w:r>
      <w:r>
        <w:rPr>
          <w:rFonts w:ascii="Calibri" w:hAnsi="Calibri"/>
          <w:i/>
          <w:color w:val="262626"/>
          <w:sz w:val="20"/>
        </w:rPr>
        <w:t>Nullum crimen, nulla poena sine lege</w:t>
      </w:r>
      <w:r>
        <w:rPr>
          <w:rFonts w:ascii="Calibri" w:hAnsi="Calibri"/>
          <w:i w:val="0"/>
          <w:color w:val="262626"/>
          <w:sz w:val="20"/>
        </w:rPr>
        <w:t>).</w:t>
      </w:r>
    </w:p>
    <w:p>
      <w:pPr>
        <w:keepNext/>
        <w:spacing w:before="200" w:after="60"/>
      </w:pPr>
      <w:r>
        <w:rPr>
          <w:rFonts w:ascii="Segoe UI" w:hAnsi="Segoe UI"/>
          <w:b/>
          <w:color w:val="1F4E79"/>
          <w:sz w:val="23"/>
        </w:rPr>
        <w:t>2. Theories and Philosophies of Criminal Law</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2340"/>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Philosophical Theory</w:t>
            </w:r>
          </w:p>
        </w:tc>
        <w:tc>
          <w:tcPr>
            <w:tcW w:type="dxa" w:w="2340"/>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Basis of Criminal Liability</w:t>
            </w:r>
          </w:p>
        </w:tc>
        <w:tc>
          <w:tcPr>
            <w:tcW w:type="dxa" w:w="2340"/>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Purpose of Penalty</w:t>
            </w:r>
          </w:p>
        </w:tc>
        <w:tc>
          <w:tcPr>
            <w:tcW w:type="dxa" w:w="2340"/>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Manifestation in Philippine Law</w:t>
            </w:r>
          </w:p>
        </w:tc>
      </w:tr>
      <w:tr>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Classical (Juridical) Theory</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Human Free Will</w:t>
            </w:r>
            <w:r>
              <w:rPr>
                <w:rFonts w:ascii="Calibri" w:hAnsi="Calibri"/>
                <w:i w:val="0"/>
                <w:color w:val="262626"/>
                <w:sz w:val="19"/>
              </w:rPr>
              <w:t>: Man is an intelligent moral actor with absolute free will to choose between good and evil.</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Retribution &amp; Justice</w:t>
            </w:r>
            <w:r>
              <w:rPr>
                <w:rFonts w:ascii="Calibri" w:hAnsi="Calibri"/>
                <w:i w:val="0"/>
                <w:color w:val="262626"/>
                <w:sz w:val="19"/>
              </w:rPr>
              <w:t>: Proportional penal suffering (</w:t>
            </w:r>
            <w:r>
              <w:rPr>
                <w:rFonts w:ascii="Calibri" w:hAnsi="Calibri"/>
                <w:i/>
                <w:color w:val="262626"/>
                <w:sz w:val="19"/>
              </w:rPr>
              <w:t>punitur quia peccatum est</w:t>
            </w:r>
            <w:r>
              <w:rPr>
                <w:rFonts w:ascii="Calibri" w:hAnsi="Calibri"/>
                <w:i w:val="0"/>
                <w:color w:val="262626"/>
                <w:sz w:val="19"/>
              </w:rPr>
              <w:t xml:space="preserve"> / "an eye for an eye").</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Revised Penal Code (Predominant)</w:t>
            </w:r>
            <w:r>
              <w:rPr>
                <w:rFonts w:ascii="Calibri" w:hAnsi="Calibri"/>
                <w:i w:val="0"/>
                <w:color w:val="262626"/>
                <w:sz w:val="19"/>
              </w:rPr>
              <w:t>: Fixed, graduated, mathematically calibrated penalties based on the objective gravity of the crime.</w:t>
            </w:r>
          </w:p>
        </w:tc>
      </w:tr>
      <w:tr>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Positivist (Realistic) Theory</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Determinism / Social Factors</w:t>
            </w:r>
            <w:r>
              <w:rPr>
                <w:rFonts w:ascii="Calibri" w:hAnsi="Calibri"/>
                <w:i w:val="0"/>
                <w:color w:val="262626"/>
                <w:sz w:val="19"/>
              </w:rPr>
              <w:t>: Man is subdued by social, economic, biological, and psychological phenomena compelling him to act.</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Prevention &amp; Reformation</w:t>
            </w:r>
            <w:r>
              <w:rPr>
                <w:rFonts w:ascii="Calibri" w:hAnsi="Calibri"/>
                <w:i w:val="0"/>
                <w:color w:val="262626"/>
                <w:sz w:val="19"/>
              </w:rPr>
              <w:t>: Treatment of the offender as a socially ill person (</w:t>
            </w:r>
            <w:r>
              <w:rPr>
                <w:rFonts w:ascii="Calibri" w:hAnsi="Calibri"/>
                <w:i/>
                <w:color w:val="262626"/>
                <w:sz w:val="19"/>
              </w:rPr>
              <w:t>punitur ne peccetur</w:t>
            </w:r>
            <w:r>
              <w:rPr>
                <w:rFonts w:ascii="Calibri" w:hAnsi="Calibri"/>
                <w:i w:val="0"/>
                <w:color w:val="262626"/>
                <w:sz w:val="19"/>
              </w:rPr>
              <w:t>).</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Special Penal Statutes</w:t>
            </w:r>
            <w:r>
              <w:rPr>
                <w:rFonts w:ascii="Calibri" w:hAnsi="Calibri"/>
                <w:i w:val="0"/>
                <w:color w:val="262626"/>
                <w:sz w:val="19"/>
              </w:rPr>
              <w:t>: Juvenile Justice Act (</w:t>
            </w:r>
            <w:r>
              <w:rPr>
                <w:rFonts w:ascii="Calibri" w:hAnsi="Calibri"/>
                <w:i w:val="0"/>
                <w:color w:val="2E75B6"/>
                <w:sz w:val="19"/>
                <w:u w:val="single"/>
              </w:rPr>
              <w:t>R.A. 9344</w:t>
            </w:r>
            <w:r>
              <w:rPr>
                <w:rFonts w:ascii="Calibri" w:hAnsi="Calibri"/>
                <w:i w:val="0"/>
                <w:color w:val="262626"/>
                <w:sz w:val="19"/>
              </w:rPr>
              <w:t>), Probation Law (P.D. 968), Indeterminate Sentence Law (Act 4103).</w:t>
            </w:r>
          </w:p>
        </w:tc>
      </w:tr>
      <w:tr>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Eclectic / Mixed Theory</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Dual Approach</w:t>
            </w:r>
            <w:r>
              <w:rPr>
                <w:rFonts w:ascii="Calibri" w:hAnsi="Calibri"/>
                <w:i w:val="0"/>
                <w:color w:val="262626"/>
                <w:sz w:val="19"/>
              </w:rPr>
              <w:t>: Retribution for grave felonies; rehabilitation for minor offenses and youthful offenders.</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Balanced Deterrence &amp; Correction</w:t>
            </w:r>
            <w:r>
              <w:rPr>
                <w:rFonts w:ascii="Calibri" w:hAnsi="Calibri"/>
                <w:i w:val="0"/>
                <w:color w:val="262626"/>
                <w:sz w:val="19"/>
              </w:rPr>
              <w:t>: Retributive baseline tempered by social defense and restorative mechanisms.</w:t>
            </w:r>
          </w:p>
        </w:tc>
        <w:tc>
          <w:tcPr>
            <w:tcW w:type="dxa" w:w="2340"/>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Modern Framework</w:t>
            </w:r>
            <w:r>
              <w:rPr>
                <w:rFonts w:ascii="Calibri" w:hAnsi="Calibri"/>
                <w:i w:val="0"/>
                <w:color w:val="262626"/>
                <w:sz w:val="19"/>
              </w:rPr>
              <w:t>: The RPC remains predominantly classical, but incorporates positivist mitigating circumstances (e.g., incomplete defense, minority, illness, lack of education).</w:t>
            </w:r>
          </w:p>
        </w:tc>
      </w:tr>
      <w:tr>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Utilitarian / Protective Theory</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Protection of Society</w:t>
            </w:r>
            <w:r>
              <w:rPr>
                <w:rFonts w:ascii="Calibri" w:hAnsi="Calibri"/>
                <w:i w:val="0"/>
                <w:color w:val="262626"/>
                <w:sz w:val="19"/>
              </w:rPr>
              <w:t>: Maximizing social welfare and deterring future infractions through general deterrence.</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Deterrence &amp; Quarantine</w:t>
            </w:r>
            <w:r>
              <w:rPr>
                <w:rFonts w:ascii="Calibri" w:hAnsi="Calibri"/>
                <w:i w:val="0"/>
                <w:color w:val="262626"/>
                <w:sz w:val="19"/>
              </w:rPr>
              <w:t>: Preventing recidivism by incapacitating dangerous individuals.</w:t>
            </w:r>
          </w:p>
        </w:tc>
        <w:tc>
          <w:tcPr>
            <w:tcW w:type="dxa" w:w="2340"/>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Special regulatory laws, anti-terror statutes, and protective preventive measures.</w:t>
            </w:r>
          </w:p>
        </w:tc>
      </w:tr>
    </w:tbl>
    <w:p>
      <w:pPr>
        <w:spacing w:before="0" w:after="120"/>
      </w:pPr>
    </w:p>
    <w:p>
      <w:pPr>
        <w:pStyle w:val="ListBullet"/>
        <w:spacing w:before="20" w:after="40" w:line="276" w:lineRule="auto"/>
      </w:pPr>
      <w:r>
        <w:rPr>
          <w:rFonts w:ascii="Calibri" w:hAnsi="Calibri"/>
          <w:b/>
          <w:i w:val="0"/>
          <w:color w:val="262626"/>
          <w:sz w:val="20"/>
        </w:rPr>
        <w:t>Landmark Case Applications in Syllabus:</w:t>
      </w:r>
    </w:p>
    <w:p>
      <w:pPr>
        <w:pStyle w:val="ListBullet"/>
        <w:spacing w:before="20" w:after="40" w:line="276" w:lineRule="auto"/>
      </w:pPr>
      <w:r>
        <w:rPr>
          <w:rFonts w:ascii="Calibri" w:hAnsi="Calibri"/>
          <w:i w:val="0"/>
          <w:color w:val="2E75B6"/>
          <w:sz w:val="20"/>
          <w:u w:val="single"/>
        </w:rPr>
        <w:t>People v. Marivic Genosa</w:t>
      </w:r>
      <w:r>
        <w:rPr>
          <w:rFonts w:ascii="Calibri" w:hAnsi="Calibri"/>
          <w:i w:val="0"/>
          <w:color w:val="262626"/>
          <w:sz w:val="20"/>
        </w:rPr>
        <w:t xml:space="preserve"> (G.R. No. 135981, Sept. 29, 2000 &amp; Jan. 15, 2004): Introduces Battered Woman Syndrome into Philippine law, demonstrating how repeated domestic trauma creates psychological conditioning modifying classical free-will doctrines.</w:t>
      </w:r>
    </w:p>
    <w:p>
      <w:pPr>
        <w:pStyle w:val="ListBullet"/>
        <w:spacing w:before="20" w:after="40" w:line="276" w:lineRule="auto"/>
      </w:pPr>
      <w:r>
        <w:rPr>
          <w:rFonts w:ascii="Calibri" w:hAnsi="Calibri"/>
          <w:i w:val="0"/>
          <w:color w:val="2E75B6"/>
          <w:sz w:val="20"/>
          <w:u w:val="single"/>
        </w:rPr>
        <w:t>Norma de Joya v. Jail Warden</w:t>
      </w:r>
      <w:r>
        <w:rPr>
          <w:rFonts w:ascii="Calibri" w:hAnsi="Calibri"/>
          <w:i w:val="0"/>
          <w:color w:val="262626"/>
          <w:sz w:val="20"/>
        </w:rPr>
        <w:t xml:space="preserve"> (G.R. Nos. 15948-19, Dec. 10, 2003): Humane custodial treatment and constitutional protection of detention prisoners.</w:t>
      </w:r>
    </w:p>
    <w:p>
      <w:pPr>
        <w:keepNext/>
        <w:spacing w:before="200" w:after="60"/>
      </w:pPr>
      <w:r>
        <w:rPr>
          <w:rFonts w:ascii="Segoe UI" w:hAnsi="Segoe UI"/>
          <w:b/>
          <w:color w:val="1F4E79"/>
          <w:sz w:val="23"/>
        </w:rPr>
        <w:t>3. Concept of Crime and Statutory Terminology</w:t>
      </w:r>
    </w:p>
    <w:p>
      <w:pPr>
        <w:pStyle w:val="ListBullet"/>
        <w:spacing w:before="20" w:after="40" w:line="276" w:lineRule="auto"/>
      </w:pPr>
      <w:r>
        <w:rPr>
          <w:rFonts w:ascii="Calibri" w:hAnsi="Calibri"/>
          <w:b/>
          <w:i w:val="0"/>
          <w:color w:val="262626"/>
          <w:sz w:val="20"/>
        </w:rPr>
        <w:t>Definition of Crime (Reyes, citing 1 Bouvier’s Law Dictionary, Rawle’s 3rd Rev. 729):</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4" w:color="1F4E79"/>
              <w:top w:val="none"/>
              <w:right w:val="none"/>
              <w:bottom w:val="none"/>
            </w:tcBorders>
            <w:tcMar>
              <w:top w:w="100" w:type="dxa"/>
              <w:bottom w:w="100" w:type="dxa"/>
              <w:left w:w="200" w:type="dxa"/>
              <w:right w:w="150" w:type="dxa"/>
            </w:tcMar>
          </w:tcPr>
          <w:p>
            <w:pPr>
              <w:spacing w:before="40" w:after="40"/>
            </w:pPr>
            <w:r>
              <w:rPr>
                <w:rFonts w:ascii="Georgia" w:hAnsi="Georgia"/>
                <w:i/>
                <w:color w:val="1F4E79"/>
                <w:sz w:val="20"/>
              </w:rPr>
              <w:t>"Crime is an act committed or omitted in violation of a public law forbidding or commanding it."</w:t>
            </w:r>
          </w:p>
        </w:tc>
      </w:tr>
    </w:tbl>
    <w:p>
      <w:pPr>
        <w:pStyle w:val="ListBullet"/>
        <w:spacing w:before="20" w:after="40" w:line="276" w:lineRule="auto"/>
      </w:pPr>
      <w:r>
        <w:rPr>
          <w:rFonts w:ascii="Calibri" w:hAnsi="Calibri"/>
          <w:b/>
          <w:i w:val="0"/>
          <w:color w:val="262626"/>
          <w:sz w:val="20"/>
        </w:rPr>
        <w:t>Hierarchy of Terms:</w:t>
      </w:r>
    </w:p>
    <w:p>
      <w:pPr>
        <w:pStyle w:val="ListBullet"/>
        <w:spacing w:before="20" w:after="40" w:line="276" w:lineRule="auto"/>
      </w:pPr>
      <w:r>
        <w:rPr>
          <w:rFonts w:ascii="Calibri" w:hAnsi="Calibri"/>
          <w:b/>
          <w:i w:val="0"/>
          <w:color w:val="262626"/>
          <w:sz w:val="20"/>
        </w:rPr>
        <w:t>Crime:</w:t>
      </w:r>
      <w:r>
        <w:rPr>
          <w:rFonts w:ascii="Calibri" w:hAnsi="Calibri"/>
          <w:i w:val="0"/>
          <w:color w:val="262626"/>
          <w:sz w:val="20"/>
        </w:rPr>
        <w:t xml:space="preserve"> The broad generic term encompassing all punishable statutory violations.</w:t>
      </w:r>
    </w:p>
    <w:p>
      <w:pPr>
        <w:pStyle w:val="ListBullet"/>
        <w:spacing w:before="20" w:after="40" w:line="276" w:lineRule="auto"/>
      </w:pPr>
      <w:r>
        <w:rPr>
          <w:rFonts w:ascii="Calibri" w:hAnsi="Calibri"/>
          <w:b/>
          <w:i w:val="0"/>
          <w:color w:val="262626"/>
          <w:sz w:val="20"/>
        </w:rPr>
        <w:t>Felony (*Delito*):</w:t>
      </w:r>
      <w:r>
        <w:rPr>
          <w:rFonts w:ascii="Calibri" w:hAnsi="Calibri"/>
          <w:i w:val="0"/>
          <w:color w:val="262626"/>
          <w:sz w:val="20"/>
        </w:rPr>
        <w:t xml:space="preserve"> An act or omission punishable specifically by the </w:t>
      </w:r>
      <w:r>
        <w:rPr>
          <w:rFonts w:ascii="Calibri" w:hAnsi="Calibri"/>
          <w:b/>
          <w:i w:val="0"/>
          <w:color w:val="262626"/>
          <w:sz w:val="20"/>
        </w:rPr>
        <w:t>Revised Penal Code</w:t>
      </w:r>
      <w:r>
        <w:rPr>
          <w:rFonts w:ascii="Calibri" w:hAnsi="Calibri"/>
          <w:i w:val="0"/>
          <w:color w:val="262626"/>
          <w:sz w:val="20"/>
        </w:rPr>
        <w:t xml:space="preserve"> (Art. 3, RPC).</w:t>
      </w:r>
    </w:p>
    <w:p>
      <w:pPr>
        <w:pStyle w:val="ListBullet"/>
        <w:spacing w:before="20" w:after="40" w:line="276" w:lineRule="auto"/>
      </w:pPr>
      <w:r>
        <w:rPr>
          <w:rFonts w:ascii="Calibri" w:hAnsi="Calibri"/>
          <w:b/>
          <w:i w:val="0"/>
          <w:color w:val="262626"/>
          <w:sz w:val="20"/>
        </w:rPr>
        <w:t>Offense:</w:t>
      </w:r>
      <w:r>
        <w:rPr>
          <w:rFonts w:ascii="Calibri" w:hAnsi="Calibri"/>
          <w:i w:val="0"/>
          <w:color w:val="262626"/>
          <w:sz w:val="20"/>
        </w:rPr>
        <w:t xml:space="preserve"> An act or omission punishable by </w:t>
      </w:r>
      <w:r>
        <w:rPr>
          <w:rFonts w:ascii="Calibri" w:hAnsi="Calibri"/>
          <w:b/>
          <w:i w:val="0"/>
          <w:color w:val="262626"/>
          <w:sz w:val="20"/>
        </w:rPr>
        <w:t>Special Penal Laws</w:t>
      </w:r>
      <w:r>
        <w:rPr>
          <w:rFonts w:ascii="Calibri" w:hAnsi="Calibri"/>
          <w:i w:val="0"/>
          <w:color w:val="262626"/>
          <w:sz w:val="20"/>
        </w:rPr>
        <w:t xml:space="preserve"> (Acts, R.A.s, P.D.s, B.P.s).</w:t>
      </w:r>
    </w:p>
    <w:p>
      <w:pPr>
        <w:pStyle w:val="ListBullet"/>
        <w:spacing w:before="20" w:after="40" w:line="276" w:lineRule="auto"/>
      </w:pPr>
      <w:r>
        <w:rPr>
          <w:rFonts w:ascii="Calibri" w:hAnsi="Calibri"/>
          <w:b/>
          <w:i w:val="0"/>
          <w:color w:val="262626"/>
          <w:sz w:val="20"/>
        </w:rPr>
        <w:t>Infraction or Misdemeanor:</w:t>
      </w:r>
      <w:r>
        <w:rPr>
          <w:rFonts w:ascii="Calibri" w:hAnsi="Calibri"/>
          <w:i w:val="0"/>
          <w:color w:val="262626"/>
          <w:sz w:val="20"/>
        </w:rPr>
        <w:t xml:space="preserve"> A violation of a local or municipal ordinance.</w:t>
      </w:r>
    </w:p>
    <w:p>
      <w:pPr>
        <w:pStyle w:val="ListBullet"/>
        <w:spacing w:before="20" w:after="40" w:line="276" w:lineRule="auto"/>
      </w:pPr>
      <w:r>
        <w:rPr>
          <w:rFonts w:ascii="Calibri" w:hAnsi="Calibri"/>
          <w:b/>
          <w:i w:val="0"/>
          <w:color w:val="262626"/>
          <w:sz w:val="20"/>
        </w:rPr>
        <w:t>Private Offenses:</w:t>
      </w:r>
      <w:r>
        <w:rPr>
          <w:rFonts w:ascii="Calibri" w:hAnsi="Calibri"/>
          <w:i w:val="0"/>
          <w:color w:val="262626"/>
          <w:sz w:val="20"/>
        </w:rPr>
        <w:t xml:space="preserve"> Crimes against chastity or honor (concubinage, adultery, seduction, abduction, acts of lasciviousness, defamation imputing private crime) which cannot be prosecuted </w:t>
      </w:r>
      <w:r>
        <w:rPr>
          <w:rFonts w:ascii="Calibri" w:hAnsi="Calibri"/>
          <w:i/>
          <w:color w:val="262626"/>
          <w:sz w:val="20"/>
        </w:rPr>
        <w:t>de oficio</w:t>
      </w:r>
      <w:r>
        <w:rPr>
          <w:rFonts w:ascii="Calibri" w:hAnsi="Calibri"/>
          <w:i w:val="0"/>
          <w:color w:val="262626"/>
          <w:sz w:val="20"/>
        </w:rPr>
        <w:t xml:space="preserve"> without a verified complaint filed by the offended party (Rule 110, Sec. 5).</w:t>
      </w:r>
    </w:p>
    <w:p>
      <w:pPr>
        <w:pStyle w:val="ListBullet"/>
        <w:spacing w:before="20" w:after="40" w:line="276" w:lineRule="auto"/>
      </w:pPr>
      <w:r>
        <w:rPr>
          <w:rFonts w:ascii="Calibri" w:hAnsi="Calibri"/>
          <w:b/>
          <w:i w:val="0"/>
          <w:color w:val="262626"/>
          <w:sz w:val="20"/>
        </w:rPr>
        <w:t>Victimless Crimes:</w:t>
      </w:r>
      <w:r>
        <w:rPr>
          <w:rFonts w:ascii="Calibri" w:hAnsi="Calibri"/>
          <w:i w:val="0"/>
          <w:color w:val="262626"/>
          <w:sz w:val="20"/>
        </w:rPr>
        <w:t xml:space="preserve"> Acts penalized where there is no direct individual complaining victim, intended to safeguard morals and public order (e.g., gambling, public nuisance).</w:t>
      </w:r>
    </w:p>
    <w:p>
      <w:pPr>
        <w:pStyle w:val="ListBullet"/>
        <w:spacing w:before="20" w:after="40" w:line="276" w:lineRule="auto"/>
      </w:pPr>
      <w:r>
        <w:rPr>
          <w:rFonts w:ascii="Calibri" w:hAnsi="Calibri"/>
          <w:b/>
          <w:i w:val="0"/>
          <w:color w:val="262626"/>
          <w:sz w:val="20"/>
        </w:rPr>
        <w:t>Status Offenses:</w:t>
      </w:r>
      <w:r>
        <w:rPr>
          <w:rFonts w:ascii="Calibri" w:hAnsi="Calibri"/>
          <w:i w:val="0"/>
          <w:color w:val="262626"/>
          <w:sz w:val="20"/>
        </w:rPr>
        <w:t xml:space="preserve"> Offenses predicated upon an individual's personal condition rather than a specific overt felonious act.</w:t>
      </w:r>
    </w:p>
    <w:p>
      <w:pPr>
        <w:keepNext/>
        <w:spacing w:before="200" w:after="60"/>
      </w:pPr>
      <w:r>
        <w:rPr>
          <w:rFonts w:ascii="Segoe UI" w:hAnsi="Segoe UI"/>
          <w:b/>
          <w:color w:val="1F4E79"/>
          <w:sz w:val="23"/>
        </w:rPr>
        <w:t>4. State Authority to Punish (*Jus Puniendi*) &amp; Constitutional Limitations</w:t>
      </w:r>
    </w:p>
    <w:p>
      <w:pPr>
        <w:pStyle w:val="ListBullet"/>
        <w:spacing w:before="20" w:after="40" w:line="276" w:lineRule="auto"/>
      </w:pPr>
      <w:r>
        <w:rPr>
          <w:rFonts w:ascii="Calibri" w:hAnsi="Calibri"/>
          <w:b/>
          <w:i w:val="0"/>
          <w:color w:val="262626"/>
          <w:sz w:val="20"/>
        </w:rPr>
        <w:t>Source of Authority:</w:t>
      </w:r>
      <w:r>
        <w:rPr>
          <w:rFonts w:ascii="Calibri" w:hAnsi="Calibri"/>
          <w:i w:val="0"/>
          <w:color w:val="262626"/>
          <w:sz w:val="20"/>
        </w:rPr>
        <w:t xml:space="preserve"> Inherent attribute of state sovereignty rooted in </w:t>
      </w:r>
      <w:r>
        <w:rPr>
          <w:rFonts w:ascii="Calibri" w:hAnsi="Calibri"/>
          <w:b/>
          <w:i w:val="0"/>
          <w:color w:val="262626"/>
          <w:sz w:val="20"/>
        </w:rPr>
        <w:t>Police Power</w:t>
      </w:r>
      <w:r>
        <w:rPr>
          <w:rFonts w:ascii="Calibri" w:hAnsi="Calibri"/>
          <w:i w:val="0"/>
          <w:color w:val="262626"/>
          <w:sz w:val="20"/>
        </w:rPr>
        <w:t xml:space="preserve"> (Const. Art. II, Sec. 5; Art. VI, Sec. 1).</w:t>
      </w:r>
    </w:p>
    <w:p>
      <w:pPr>
        <w:pStyle w:val="ListBullet"/>
        <w:spacing w:before="20" w:after="40" w:line="276" w:lineRule="auto"/>
      </w:pPr>
      <w:r>
        <w:rPr>
          <w:rFonts w:ascii="Calibri" w:hAnsi="Calibri"/>
          <w:b/>
          <w:i w:val="0"/>
          <w:color w:val="262626"/>
          <w:sz w:val="20"/>
        </w:rPr>
        <w:t>Substantive Constitutional Limitations:</w:t>
      </w:r>
    </w:p>
    <w:p>
      <w:pPr>
        <w:pStyle w:val="ListNumber"/>
        <w:spacing w:before="40" w:after="40" w:line="276" w:lineRule="auto"/>
      </w:pPr>
      <w:r>
        <w:rPr>
          <w:rFonts w:ascii="Calibri" w:hAnsi="Calibri"/>
          <w:b/>
          <w:i w:val="0"/>
          <w:color w:val="262626"/>
          <w:sz w:val="20"/>
        </w:rPr>
        <w:t>Ex Post Facto Law Prohibition (Art. III, Sec. 22; Art. 21 RPC):</w:t>
      </w:r>
      <w:r>
        <w:rPr>
          <w:rFonts w:ascii="Calibri" w:hAnsi="Calibri"/>
          <w:i w:val="0"/>
          <w:color w:val="262626"/>
          <w:sz w:val="20"/>
        </w:rPr>
        <w:t xml:space="preserve"> A law is ex post facto when it:</w:t>
      </w:r>
    </w:p>
    <w:p>
      <w:pPr>
        <w:pStyle w:val="ListBullet"/>
        <w:spacing w:before="20" w:after="40" w:line="276" w:lineRule="auto"/>
      </w:pPr>
      <w:r>
        <w:rPr>
          <w:rFonts w:ascii="Calibri" w:hAnsi="Calibri"/>
          <w:i w:val="0"/>
          <w:color w:val="262626"/>
          <w:sz w:val="20"/>
        </w:rPr>
        <w:t>Makes criminal an act innocent when done;</w:t>
      </w:r>
    </w:p>
    <w:p>
      <w:pPr>
        <w:pStyle w:val="ListBullet"/>
        <w:spacing w:before="20" w:after="40" w:line="276" w:lineRule="auto"/>
      </w:pPr>
      <w:r>
        <w:rPr>
          <w:rFonts w:ascii="Calibri" w:hAnsi="Calibri"/>
          <w:i w:val="0"/>
          <w:color w:val="262626"/>
          <w:sz w:val="20"/>
        </w:rPr>
        <w:t>Aggravates a crime or makes it greater than when committed;</w:t>
      </w:r>
    </w:p>
    <w:p>
      <w:pPr>
        <w:pStyle w:val="ListBullet"/>
        <w:spacing w:before="20" w:after="40" w:line="276" w:lineRule="auto"/>
      </w:pPr>
      <w:r>
        <w:rPr>
          <w:rFonts w:ascii="Calibri" w:hAnsi="Calibri"/>
          <w:i w:val="0"/>
          <w:color w:val="262626"/>
          <w:sz w:val="20"/>
        </w:rPr>
        <w:t>Inflicts a greater punishment than the law annexed at the time of commission;</w:t>
      </w:r>
    </w:p>
    <w:p>
      <w:pPr>
        <w:pStyle w:val="ListBullet"/>
        <w:spacing w:before="20" w:after="40" w:line="276" w:lineRule="auto"/>
      </w:pPr>
      <w:r>
        <w:rPr>
          <w:rFonts w:ascii="Calibri" w:hAnsi="Calibri"/>
          <w:i w:val="0"/>
          <w:color w:val="262626"/>
          <w:sz w:val="20"/>
        </w:rPr>
        <w:t>Alters the legal rules of evidence to require less or different testimony to convict;</w:t>
      </w:r>
    </w:p>
    <w:p>
      <w:pPr>
        <w:pStyle w:val="ListBullet"/>
        <w:spacing w:before="20" w:after="40" w:line="276" w:lineRule="auto"/>
      </w:pPr>
      <w:r>
        <w:rPr>
          <w:rFonts w:ascii="Calibri" w:hAnsi="Calibri"/>
          <w:i w:val="0"/>
          <w:color w:val="262626"/>
          <w:sz w:val="20"/>
        </w:rPr>
        <w:t>Deprives an accused of a lawful defense available at the time of the act; or</w:t>
      </w:r>
    </w:p>
    <w:p>
      <w:pPr>
        <w:pStyle w:val="ListBullet"/>
        <w:spacing w:before="20" w:after="40" w:line="276" w:lineRule="auto"/>
      </w:pPr>
      <w:r>
        <w:rPr>
          <w:rFonts w:ascii="Calibri" w:hAnsi="Calibri"/>
          <w:i w:val="0"/>
          <w:color w:val="262626"/>
          <w:sz w:val="20"/>
        </w:rPr>
        <w:t>Regulates civil rights with retrospective punitive burdens.</w:t>
      </w:r>
    </w:p>
    <w:p>
      <w:pPr>
        <w:pStyle w:val="ListBullet"/>
        <w:spacing w:before="20" w:after="40" w:line="276" w:lineRule="auto"/>
      </w:pPr>
      <w:r>
        <w:rPr>
          <w:rFonts w:ascii="Calibri" w:hAnsi="Calibri"/>
          <w:i/>
          <w:color w:val="262626"/>
          <w:sz w:val="20"/>
        </w:rPr>
        <w:t>Cases:</w:t>
      </w:r>
      <w:r>
        <w:rPr>
          <w:rFonts w:ascii="Calibri" w:hAnsi="Calibri"/>
          <w:i w:val="0"/>
          <w:color w:val="262626"/>
          <w:sz w:val="20"/>
        </w:rPr>
        <w:t xml:space="preserve"> </w:t>
      </w:r>
      <w:r>
        <w:rPr>
          <w:rFonts w:ascii="Calibri" w:hAnsi="Calibri"/>
          <w:i w:val="0"/>
          <w:color w:val="2E75B6"/>
          <w:sz w:val="20"/>
          <w:u w:val="single"/>
        </w:rPr>
        <w:t>In re Kay Villegas Kami, Inc.</w:t>
      </w:r>
      <w:r>
        <w:rPr>
          <w:rFonts w:ascii="Calibri" w:hAnsi="Calibri"/>
          <w:i w:val="0"/>
          <w:color w:val="262626"/>
          <w:sz w:val="20"/>
        </w:rPr>
        <w:t xml:space="preserve"> (35 SCRA 429); </w:t>
      </w:r>
      <w:r>
        <w:rPr>
          <w:rFonts w:ascii="Calibri" w:hAnsi="Calibri"/>
          <w:i w:val="0"/>
          <w:color w:val="2E75B6"/>
          <w:sz w:val="20"/>
          <w:u w:val="single"/>
        </w:rPr>
        <w:t>People v. Villaraza</w:t>
      </w:r>
      <w:r>
        <w:rPr>
          <w:rFonts w:ascii="Calibri" w:hAnsi="Calibri"/>
          <w:i w:val="0"/>
          <w:color w:val="262626"/>
          <w:sz w:val="20"/>
        </w:rPr>
        <w:t xml:space="preserve"> (81 SCRA 95); </w:t>
      </w:r>
      <w:r>
        <w:rPr>
          <w:rFonts w:ascii="Calibri" w:hAnsi="Calibri"/>
          <w:i w:val="0"/>
          <w:color w:val="2E75B6"/>
          <w:sz w:val="20"/>
          <w:u w:val="single"/>
        </w:rPr>
        <w:t>U.S. v. Diaz-Conde</w:t>
      </w:r>
      <w:r>
        <w:rPr>
          <w:rFonts w:ascii="Calibri" w:hAnsi="Calibri"/>
          <w:i w:val="0"/>
          <w:color w:val="262626"/>
          <w:sz w:val="20"/>
        </w:rPr>
        <w:t xml:space="preserve"> (42 Phil. 766); </w:t>
      </w:r>
      <w:r>
        <w:rPr>
          <w:rFonts w:ascii="Calibri" w:hAnsi="Calibri"/>
          <w:i w:val="0"/>
          <w:color w:val="2E75B6"/>
          <w:sz w:val="20"/>
          <w:u w:val="single"/>
        </w:rPr>
        <w:t>People v. Derilo</w:t>
      </w:r>
      <w:r>
        <w:rPr>
          <w:rFonts w:ascii="Calibri" w:hAnsi="Calibri"/>
          <w:i w:val="0"/>
          <w:color w:val="262626"/>
          <w:sz w:val="20"/>
        </w:rPr>
        <w:t xml:space="preserve"> (G.R. No. 117818, April 18, 1997).</w:t>
      </w:r>
    </w:p>
    <w:p>
      <w:pPr>
        <w:pStyle w:val="ListNumber"/>
        <w:spacing w:before="40" w:after="40" w:line="276" w:lineRule="auto"/>
      </w:pPr>
      <w:r>
        <w:rPr>
          <w:rFonts w:ascii="Calibri" w:hAnsi="Calibri"/>
          <w:b/>
          <w:i w:val="0"/>
          <w:color w:val="262626"/>
          <w:sz w:val="20"/>
        </w:rPr>
        <w:t>Bill of Attainder Prohibition (Art. III, Sec. 22):</w:t>
      </w:r>
      <w:r>
        <w:rPr>
          <w:rFonts w:ascii="Calibri" w:hAnsi="Calibri"/>
          <w:i w:val="0"/>
          <w:color w:val="262626"/>
          <w:sz w:val="20"/>
        </w:rPr>
        <w:t xml:space="preserve"> A legislative act which inflicts punishment without a judicial trial.</w:t>
      </w:r>
    </w:p>
    <w:p>
      <w:pPr>
        <w:pStyle w:val="ListBullet"/>
        <w:spacing w:before="20" w:after="40" w:line="276" w:lineRule="auto"/>
      </w:pPr>
      <w:r>
        <w:rPr>
          <w:rFonts w:ascii="Calibri" w:hAnsi="Calibri"/>
          <w:i/>
          <w:color w:val="262626"/>
          <w:sz w:val="20"/>
        </w:rPr>
        <w:t>Case:</w:t>
      </w:r>
      <w:r>
        <w:rPr>
          <w:rFonts w:ascii="Calibri" w:hAnsi="Calibri"/>
          <w:i w:val="0"/>
          <w:color w:val="262626"/>
          <w:sz w:val="20"/>
        </w:rPr>
        <w:t xml:space="preserve"> </w:t>
      </w:r>
      <w:r>
        <w:rPr>
          <w:rFonts w:ascii="Calibri" w:hAnsi="Calibri"/>
          <w:i w:val="0"/>
          <w:color w:val="2E75B6"/>
          <w:sz w:val="20"/>
          <w:u w:val="single"/>
        </w:rPr>
        <w:t>People v. Ferrer</w:t>
      </w:r>
      <w:r>
        <w:rPr>
          <w:rFonts w:ascii="Calibri" w:hAnsi="Calibri"/>
          <w:i w:val="0"/>
          <w:color w:val="262626"/>
          <w:sz w:val="20"/>
        </w:rPr>
        <w:t xml:space="preserve"> (48 SCRA 382) — Anti-Subversion Act (R.A. 1700) upheld because it did not automatically punish designated individuals, but required the prosecution to prove active membership and overt acts in court.</w:t>
      </w:r>
    </w:p>
    <w:p>
      <w:pPr>
        <w:pStyle w:val="ListNumber"/>
        <w:spacing w:before="40" w:after="40" w:line="276" w:lineRule="auto"/>
      </w:pPr>
      <w:r>
        <w:rPr>
          <w:rFonts w:ascii="Calibri" w:hAnsi="Calibri"/>
          <w:b/>
          <w:i w:val="0"/>
          <w:color w:val="262626"/>
          <w:sz w:val="20"/>
        </w:rPr>
        <w:t>Due Process &amp; Void-for-Vagueness Doctrine (Art. III, Sec. 1 &amp; 14):</w:t>
      </w:r>
      <w:r>
        <w:rPr>
          <w:rFonts w:ascii="Calibri" w:hAnsi="Calibri"/>
          <w:i w:val="0"/>
          <w:color w:val="262626"/>
          <w:sz w:val="20"/>
        </w:rPr>
        <w:t xml:space="preserve"> A penal statute must be sufficiently clear to give fair notice to men of common intelligence.</w:t>
      </w:r>
    </w:p>
    <w:p>
      <w:pPr>
        <w:pStyle w:val="ListBullet"/>
        <w:spacing w:before="20" w:after="40" w:line="276" w:lineRule="auto"/>
      </w:pPr>
      <w:r>
        <w:rPr>
          <w:rFonts w:ascii="Calibri" w:hAnsi="Calibri"/>
          <w:i/>
          <w:color w:val="262626"/>
          <w:sz w:val="20"/>
        </w:rPr>
        <w:t>Cases:</w:t>
      </w:r>
      <w:r>
        <w:rPr>
          <w:rFonts w:ascii="Calibri" w:hAnsi="Calibri"/>
          <w:i w:val="0"/>
          <w:color w:val="262626"/>
          <w:sz w:val="20"/>
        </w:rPr>
        <w:t xml:space="preserve"> </w:t>
      </w:r>
      <w:r>
        <w:rPr>
          <w:rFonts w:ascii="Calibri" w:hAnsi="Calibri"/>
          <w:i w:val="0"/>
          <w:color w:val="2E75B6"/>
          <w:sz w:val="20"/>
          <w:u w:val="single"/>
        </w:rPr>
        <w:t>Alfredo Romualdez v. Sandiganbayan</w:t>
      </w:r>
      <w:r>
        <w:rPr>
          <w:rFonts w:ascii="Calibri" w:hAnsi="Calibri"/>
          <w:i w:val="0"/>
          <w:color w:val="262626"/>
          <w:sz w:val="20"/>
        </w:rPr>
        <w:t xml:space="preserve"> (G.R. No. 152259, July 29, 2004); </w:t>
      </w:r>
      <w:r>
        <w:rPr>
          <w:rFonts w:ascii="Calibri" w:hAnsi="Calibri"/>
          <w:i w:val="0"/>
          <w:color w:val="2E75B6"/>
          <w:sz w:val="20"/>
          <w:u w:val="single"/>
        </w:rPr>
        <w:t>SPARK v. Quezon City</w:t>
      </w:r>
      <w:r>
        <w:rPr>
          <w:rFonts w:ascii="Calibri" w:hAnsi="Calibri"/>
          <w:i w:val="0"/>
          <w:color w:val="262626"/>
          <w:sz w:val="20"/>
        </w:rPr>
        <w:t xml:space="preserve"> (G.R. No. 225442, Aug. 8, 2017).</w:t>
      </w:r>
    </w:p>
    <w:p>
      <w:pPr>
        <w:pStyle w:val="ListNumber"/>
        <w:spacing w:before="40" w:after="40" w:line="276" w:lineRule="auto"/>
      </w:pPr>
      <w:r>
        <w:rPr>
          <w:rFonts w:ascii="Calibri" w:hAnsi="Calibri"/>
          <w:b/>
          <w:i w:val="0"/>
          <w:color w:val="262626"/>
          <w:sz w:val="20"/>
        </w:rPr>
        <w:t>Publication Requirement (Civil Code Art. 2):</w:t>
      </w:r>
      <w:r>
        <w:rPr>
          <w:rFonts w:ascii="Calibri" w:hAnsi="Calibri"/>
          <w:i w:val="0"/>
          <w:color w:val="262626"/>
          <w:sz w:val="20"/>
        </w:rPr>
        <w:t xml:space="preserve"> All penal statutes and circulars carrying penal sanctions must be published in full in the Official Gazette or a newspaper of general circulation as an indispensable condition of due process (</w:t>
      </w:r>
      <w:r>
        <w:rPr>
          <w:rFonts w:ascii="Calibri" w:hAnsi="Calibri"/>
          <w:i w:val="0"/>
          <w:color w:val="2E75B6"/>
          <w:sz w:val="20"/>
          <w:u w:val="single"/>
        </w:rPr>
        <w:t>Tañada v. Tuvera</w:t>
      </w:r>
      <w:r>
        <w:rPr>
          <w:rFonts w:ascii="Calibri" w:hAnsi="Calibri"/>
          <w:i w:val="0"/>
          <w:color w:val="262626"/>
          <w:sz w:val="20"/>
        </w:rPr>
        <w:t xml:space="preserve">, 136 SCRA 27; </w:t>
      </w:r>
      <w:r>
        <w:rPr>
          <w:rFonts w:ascii="Calibri" w:hAnsi="Calibri"/>
          <w:i w:val="0"/>
          <w:color w:val="2E75B6"/>
          <w:sz w:val="20"/>
          <w:u w:val="single"/>
        </w:rPr>
        <w:t>Pesigan v. Angeles</w:t>
      </w:r>
      <w:r>
        <w:rPr>
          <w:rFonts w:ascii="Calibri" w:hAnsi="Calibri"/>
          <w:i w:val="0"/>
          <w:color w:val="262626"/>
          <w:sz w:val="20"/>
        </w:rPr>
        <w:t>, 129 SCRA 174).</w:t>
      </w:r>
    </w:p>
    <w:p>
      <w:pPr>
        <w:keepNext/>
        <w:spacing w:before="200" w:after="60"/>
      </w:pPr>
      <w:r>
        <w:rPr>
          <w:rFonts w:ascii="Segoe UI" w:hAnsi="Segoe UI"/>
          <w:b/>
          <w:color w:val="1F4E79"/>
          <w:sz w:val="23"/>
        </w:rPr>
        <w:t>5. The Three Fundamental Characteristics of Criminal Law (G-T-P)</w:t>
      </w:r>
    </w:p>
    <w:p>
      <w:pPr>
        <w:keepNext/>
        <w:spacing w:before="160" w:after="40"/>
      </w:pPr>
      <w:r>
        <w:rPr>
          <w:rFonts w:ascii="Segoe UI" w:hAnsi="Segoe UI"/>
          <w:b/>
          <w:color w:val="262626"/>
          <w:sz w:val="21"/>
        </w:rPr>
        <w:t>A. Generality (Civil Code Art. 14)</w:t>
      </w:r>
    </w:p>
    <w:p>
      <w:pPr>
        <w:pStyle w:val="ListBullet"/>
        <w:spacing w:before="20" w:after="40" w:line="276" w:lineRule="auto"/>
      </w:pPr>
      <w:r>
        <w:rPr>
          <w:rFonts w:ascii="Calibri" w:hAnsi="Calibri"/>
          <w:b/>
          <w:i w:val="0"/>
          <w:color w:val="262626"/>
          <w:sz w:val="20"/>
        </w:rPr>
        <w:t>Principle:</w:t>
      </w:r>
      <w:r>
        <w:rPr>
          <w:rFonts w:ascii="Calibri" w:hAnsi="Calibri"/>
          <w:i w:val="0"/>
          <w:color w:val="262626"/>
          <w:sz w:val="20"/>
        </w:rPr>
        <w:t xml:space="preserve"> Penal laws are obligatory upon all persons who reside or sojourn in Philippine territory, regardless of citizenship, nationality, race, or sex.</w:t>
      </w:r>
    </w:p>
    <w:p>
      <w:pPr>
        <w:pStyle w:val="ListBullet"/>
        <w:spacing w:before="20" w:after="40" w:line="276" w:lineRule="auto"/>
      </w:pPr>
      <w:r>
        <w:rPr>
          <w:rFonts w:ascii="Calibri" w:hAnsi="Calibri"/>
          <w:b/>
          <w:i w:val="0"/>
          <w:color w:val="262626"/>
          <w:sz w:val="20"/>
        </w:rPr>
        <w:t>Exceptions to Generality:</w:t>
      </w:r>
    </w:p>
    <w:p>
      <w:pPr>
        <w:pStyle w:val="ListNumber"/>
        <w:spacing w:before="40" w:after="40" w:line="276" w:lineRule="auto"/>
      </w:pPr>
      <w:r>
        <w:rPr>
          <w:rFonts w:ascii="Calibri" w:hAnsi="Calibri"/>
          <w:b/>
          <w:i w:val="0"/>
          <w:color w:val="262626"/>
          <w:sz w:val="20"/>
        </w:rPr>
        <w:t>Treaty Stipulations:</w:t>
      </w:r>
      <w:r>
        <w:rPr>
          <w:rFonts w:ascii="Calibri" w:hAnsi="Calibri"/>
          <w:i w:val="0"/>
          <w:color w:val="262626"/>
          <w:sz w:val="20"/>
        </w:rPr>
        <w:t xml:space="preserve"> Visiting Forces Agreement (VFA), Enhanced Defense Cooperation Agreement (EDCA).</w:t>
      </w:r>
    </w:p>
    <w:p>
      <w:pPr>
        <w:pStyle w:val="ListNumber"/>
        <w:spacing w:before="40" w:after="40" w:line="276" w:lineRule="auto"/>
      </w:pPr>
      <w:r>
        <w:rPr>
          <w:rFonts w:ascii="Calibri" w:hAnsi="Calibri"/>
          <w:b/>
          <w:i w:val="0"/>
          <w:color w:val="262626"/>
          <w:sz w:val="20"/>
        </w:rPr>
        <w:t>Principles of Public International Law:</w:t>
      </w:r>
      <w:r>
        <w:rPr>
          <w:rFonts w:ascii="Calibri" w:hAnsi="Calibri"/>
          <w:i w:val="0"/>
          <w:color w:val="262626"/>
          <w:sz w:val="20"/>
        </w:rPr>
        <w:t xml:space="preserve"> Sovereigns, Heads of State, Ambassadors, and Ministers Plenipotentiary are absolutely immune from local criminal prosecution.</w:t>
      </w:r>
    </w:p>
    <w:p>
      <w:pPr>
        <w:pStyle w:val="ListNumber"/>
        <w:spacing w:before="40" w:after="40" w:line="276" w:lineRule="auto"/>
      </w:pPr>
      <w:r>
        <w:rPr>
          <w:rFonts w:ascii="Calibri" w:hAnsi="Calibri"/>
          <w:b/>
          <w:i w:val="0"/>
          <w:color w:val="262626"/>
          <w:sz w:val="20"/>
        </w:rPr>
        <w:t>Laws of Preferential Application:</w:t>
      </w:r>
      <w:r>
        <w:rPr>
          <w:rFonts w:ascii="Calibri" w:hAnsi="Calibri"/>
          <w:i w:val="0"/>
          <w:color w:val="262626"/>
          <w:sz w:val="20"/>
        </w:rPr>
        <w:t xml:space="preserve"> Congressional Parliamentary Speech Immunity (1987 Const. Art. VI, Sec. 11: no member of Congress shall be questioned nor held liable in any other place for any speech or debate in Congress or in any committee thereof).</w:t>
      </w:r>
    </w:p>
    <w:p>
      <w:pPr>
        <w:pStyle w:val="ListBullet"/>
        <w:spacing w:before="20" w:after="40" w:line="276" w:lineRule="auto"/>
      </w:pPr>
      <w:r>
        <w:rPr>
          <w:rFonts w:ascii="Calibri" w:hAnsi="Calibri"/>
          <w:b/>
          <w:i w:val="0"/>
          <w:color w:val="262626"/>
          <w:sz w:val="20"/>
        </w:rPr>
        <w:t>Reyes Critical Distinction — Diplomatic vs. Consular Agents:</w:t>
      </w:r>
    </w:p>
    <w:p>
      <w:pPr>
        <w:pStyle w:val="ListBullet"/>
        <w:spacing w:before="20" w:after="40" w:line="276" w:lineRule="auto"/>
      </w:pPr>
      <w:r>
        <w:rPr>
          <w:rFonts w:ascii="Calibri" w:hAnsi="Calibri"/>
          <w:b/>
          <w:i w:val="0"/>
          <w:color w:val="262626"/>
          <w:sz w:val="20"/>
        </w:rPr>
        <w:t>Ambassadors &amp; Diplomatic Ministers:</w:t>
      </w:r>
      <w:r>
        <w:rPr>
          <w:rFonts w:ascii="Calibri" w:hAnsi="Calibri"/>
          <w:i w:val="0"/>
          <w:color w:val="262626"/>
          <w:sz w:val="20"/>
        </w:rPr>
        <w:t xml:space="preserve"> Enjoy complete immunity from local penal jurisdiction.</w:t>
      </w:r>
    </w:p>
    <w:p>
      <w:pPr>
        <w:pStyle w:val="ListBullet"/>
        <w:spacing w:before="20" w:after="40" w:line="276" w:lineRule="auto"/>
      </w:pPr>
      <w:r>
        <w:rPr>
          <w:rFonts w:ascii="Calibri" w:hAnsi="Calibri"/>
          <w:b/>
          <w:i w:val="0"/>
          <w:color w:val="262626"/>
          <w:sz w:val="20"/>
        </w:rPr>
        <w:t>Consuls &amp; Vice-Consuls:</w:t>
      </w:r>
      <w:r>
        <w:rPr>
          <w:rFonts w:ascii="Calibri" w:hAnsi="Calibri"/>
          <w:i w:val="0"/>
          <w:color w:val="262626"/>
          <w:sz w:val="20"/>
        </w:rPr>
        <w:t xml:space="preserve"> Commercial representatives, NOT diplomatic agents. Consuls do NOT enjoy immunity from criminal arrest and prosecution under Philippine law, unless an express bilateral treaty grants it (</w:t>
      </w:r>
      <w:r>
        <w:rPr>
          <w:rFonts w:ascii="Calibri" w:hAnsi="Calibri"/>
          <w:i w:val="0"/>
          <w:color w:val="2E75B6"/>
          <w:sz w:val="20"/>
          <w:u w:val="single"/>
        </w:rPr>
        <w:t>Schneckenburger v. Moran</w:t>
      </w:r>
      <w:r>
        <w:rPr>
          <w:rFonts w:ascii="Calibri" w:hAnsi="Calibri"/>
          <w:i w:val="0"/>
          <w:color w:val="262626"/>
          <w:sz w:val="20"/>
        </w:rPr>
        <w:t xml:space="preserve">, 63 Phil. 249; </w:t>
      </w:r>
      <w:r>
        <w:rPr>
          <w:rFonts w:ascii="Calibri" w:hAnsi="Calibri"/>
          <w:i w:val="0"/>
          <w:color w:val="2E75B6"/>
          <w:sz w:val="20"/>
          <w:u w:val="single"/>
        </w:rPr>
        <w:t>Liang v. People</w:t>
      </w:r>
      <w:r>
        <w:rPr>
          <w:rFonts w:ascii="Calibri" w:hAnsi="Calibri"/>
          <w:i w:val="0"/>
          <w:color w:val="262626"/>
          <w:sz w:val="20"/>
        </w:rPr>
        <w:t>, 323 SCRA 692).</w:t>
      </w:r>
    </w:p>
    <w:p>
      <w:pPr>
        <w:keepNext/>
        <w:spacing w:before="160" w:after="40"/>
      </w:pPr>
      <w:r>
        <w:rPr>
          <w:rFonts w:ascii="Segoe UI" w:hAnsi="Segoe UI"/>
          <w:b/>
          <w:color w:val="262626"/>
          <w:sz w:val="21"/>
        </w:rPr>
        <w:t>B. Territoriality (RPC Art. 2; Const. Art. I)</w:t>
      </w:r>
    </w:p>
    <w:p>
      <w:pPr>
        <w:pStyle w:val="ListBullet"/>
        <w:spacing w:before="20" w:after="40" w:line="276" w:lineRule="auto"/>
      </w:pPr>
      <w:r>
        <w:rPr>
          <w:rFonts w:ascii="Calibri" w:hAnsi="Calibri"/>
          <w:b/>
          <w:i w:val="0"/>
          <w:color w:val="262626"/>
          <w:sz w:val="20"/>
        </w:rPr>
        <w:t>Principle:</w:t>
      </w:r>
      <w:r>
        <w:rPr>
          <w:rFonts w:ascii="Calibri" w:hAnsi="Calibri"/>
          <w:i w:val="0"/>
          <w:color w:val="262626"/>
          <w:sz w:val="20"/>
        </w:rPr>
        <w:t xml:space="preserve"> Penal laws are enforceable only within the terrestrial, fluvial, and aerial domains, territorial sea, and maritime boundaries of the Philippine archipelago.</w:t>
      </w:r>
    </w:p>
    <w:p>
      <w:pPr>
        <w:pStyle w:val="ListBullet"/>
        <w:spacing w:before="20" w:after="40" w:line="276" w:lineRule="auto"/>
      </w:pPr>
      <w:r>
        <w:rPr>
          <w:rFonts w:ascii="Calibri" w:hAnsi="Calibri"/>
          <w:b/>
          <w:i w:val="0"/>
          <w:color w:val="262626"/>
          <w:sz w:val="20"/>
        </w:rPr>
        <w:t>Extraterritorial Exceptions under Article 2 RPC (Triable in PH courts even if committed abroad):</w:t>
      </w:r>
    </w:p>
    <w:p>
      <w:pPr>
        <w:pStyle w:val="ListNumber"/>
        <w:spacing w:before="40" w:after="40" w:line="276" w:lineRule="auto"/>
      </w:pPr>
      <w:r>
        <w:rPr>
          <w:rFonts w:ascii="Calibri" w:hAnsi="Calibri"/>
          <w:i w:val="0"/>
          <w:color w:val="262626"/>
          <w:sz w:val="20"/>
        </w:rPr>
        <w:t xml:space="preserve">Offenses committed on a </w:t>
      </w:r>
      <w:r>
        <w:rPr>
          <w:rFonts w:ascii="Calibri" w:hAnsi="Calibri"/>
          <w:b/>
          <w:i w:val="0"/>
          <w:color w:val="262626"/>
          <w:sz w:val="20"/>
        </w:rPr>
        <w:t>Philippine ship or airship</w:t>
      </w:r>
      <w:r>
        <w:rPr>
          <w:rFonts w:ascii="Calibri" w:hAnsi="Calibri"/>
          <w:i w:val="0"/>
          <w:color w:val="262626"/>
          <w:sz w:val="20"/>
        </w:rPr>
        <w:t xml:space="preserve"> registered with Philippine authorities.</w:t>
      </w:r>
    </w:p>
    <w:p>
      <w:pPr>
        <w:pStyle w:val="ListNumber"/>
        <w:spacing w:before="40" w:after="40" w:line="276" w:lineRule="auto"/>
      </w:pPr>
      <w:r>
        <w:rPr>
          <w:rFonts w:ascii="Calibri" w:hAnsi="Calibri"/>
          <w:b/>
          <w:i w:val="0"/>
          <w:color w:val="262626"/>
          <w:sz w:val="20"/>
        </w:rPr>
        <w:t>Forging or counterfeiting</w:t>
      </w:r>
      <w:r>
        <w:rPr>
          <w:rFonts w:ascii="Calibri" w:hAnsi="Calibri"/>
          <w:i w:val="0"/>
          <w:color w:val="262626"/>
          <w:sz w:val="20"/>
        </w:rPr>
        <w:t xml:space="preserve"> Philippine coins, currency notes, or government bonds/securities.</w:t>
      </w:r>
    </w:p>
    <w:p>
      <w:pPr>
        <w:pStyle w:val="ListNumber"/>
        <w:spacing w:before="40" w:after="40" w:line="276" w:lineRule="auto"/>
      </w:pPr>
      <w:r>
        <w:rPr>
          <w:rFonts w:ascii="Calibri" w:hAnsi="Calibri"/>
          <w:b/>
          <w:i w:val="0"/>
          <w:color w:val="262626"/>
          <w:sz w:val="20"/>
        </w:rPr>
        <w:t>Introduction</w:t>
      </w:r>
      <w:r>
        <w:rPr>
          <w:rFonts w:ascii="Calibri" w:hAnsi="Calibri"/>
          <w:i w:val="0"/>
          <w:color w:val="262626"/>
          <w:sz w:val="20"/>
        </w:rPr>
        <w:t xml:space="preserve"> into the Philippines of such forged or counterfeit obligations.</w:t>
      </w:r>
    </w:p>
    <w:p>
      <w:pPr>
        <w:pStyle w:val="ListNumber"/>
        <w:spacing w:before="40" w:after="40" w:line="276" w:lineRule="auto"/>
      </w:pPr>
      <w:r>
        <w:rPr>
          <w:rFonts w:ascii="Calibri" w:hAnsi="Calibri"/>
          <w:i w:val="0"/>
          <w:color w:val="262626"/>
          <w:sz w:val="20"/>
        </w:rPr>
        <w:t xml:space="preserve">Offenses committed by </w:t>
      </w:r>
      <w:r>
        <w:rPr>
          <w:rFonts w:ascii="Calibri" w:hAnsi="Calibri"/>
          <w:b/>
          <w:i w:val="0"/>
          <w:color w:val="262626"/>
          <w:sz w:val="20"/>
        </w:rPr>
        <w:t>public officers or employees in the exercise of their official functions</w:t>
      </w:r>
      <w:r>
        <w:rPr>
          <w:rFonts w:ascii="Calibri" w:hAnsi="Calibri"/>
          <w:i w:val="0"/>
          <w:color w:val="262626"/>
          <w:sz w:val="20"/>
        </w:rPr>
        <w:t xml:space="preserve"> abroad (e.g., bribery, malversation, direct assault).</w:t>
      </w:r>
    </w:p>
    <w:p>
      <w:pPr>
        <w:pStyle w:val="ListNumber"/>
        <w:spacing w:before="40" w:after="40" w:line="276" w:lineRule="auto"/>
      </w:pPr>
      <w:r>
        <w:rPr>
          <w:rFonts w:ascii="Calibri" w:hAnsi="Calibri"/>
          <w:i w:val="0"/>
          <w:color w:val="262626"/>
          <w:sz w:val="20"/>
        </w:rPr>
        <w:t xml:space="preserve">Crimes against </w:t>
      </w:r>
      <w:r>
        <w:rPr>
          <w:rFonts w:ascii="Calibri" w:hAnsi="Calibri"/>
          <w:b/>
          <w:i w:val="0"/>
          <w:color w:val="262626"/>
          <w:sz w:val="20"/>
        </w:rPr>
        <w:t>national security</w:t>
      </w:r>
      <w:r>
        <w:rPr>
          <w:rFonts w:ascii="Calibri" w:hAnsi="Calibri"/>
          <w:i w:val="0"/>
          <w:color w:val="262626"/>
          <w:sz w:val="20"/>
        </w:rPr>
        <w:t xml:space="preserve"> (Treason Art. 114, Espionage Art. 117) and the </w:t>
      </w:r>
      <w:r>
        <w:rPr>
          <w:rFonts w:ascii="Calibri" w:hAnsi="Calibri"/>
          <w:b/>
          <w:i w:val="0"/>
          <w:color w:val="262626"/>
          <w:sz w:val="20"/>
        </w:rPr>
        <w:t>law of nations</w:t>
      </w:r>
      <w:r>
        <w:rPr>
          <w:rFonts w:ascii="Calibri" w:hAnsi="Calibri"/>
          <w:i w:val="0"/>
          <w:color w:val="262626"/>
          <w:sz w:val="20"/>
        </w:rPr>
        <w:t xml:space="preserve"> (Piracy and Mutiny Art. 122).</w:t>
      </w:r>
    </w:p>
    <w:p>
      <w:pPr>
        <w:pStyle w:val="ListBullet"/>
        <w:spacing w:before="20" w:after="40" w:line="276" w:lineRule="auto"/>
      </w:pPr>
      <w:r>
        <w:rPr>
          <w:rFonts w:ascii="Calibri" w:hAnsi="Calibri"/>
          <w:b/>
          <w:i w:val="0"/>
          <w:color w:val="262626"/>
          <w:sz w:val="20"/>
        </w:rPr>
        <w:t>Merchant Vessels in Territorial Waters (French vs. English Rule):</w:t>
      </w:r>
    </w:p>
    <w:p>
      <w:pPr>
        <w:pStyle w:val="ListBullet"/>
        <w:spacing w:before="20" w:after="40" w:line="276" w:lineRule="auto"/>
      </w:pPr>
      <w:r>
        <w:rPr>
          <w:rFonts w:ascii="Calibri" w:hAnsi="Calibri"/>
          <w:b/>
          <w:i w:val="0"/>
          <w:color w:val="262626"/>
          <w:sz w:val="20"/>
        </w:rPr>
        <w:t>French Rule:</w:t>
      </w:r>
      <w:r>
        <w:rPr>
          <w:rFonts w:ascii="Calibri" w:hAnsi="Calibri"/>
          <w:i w:val="0"/>
          <w:color w:val="262626"/>
          <w:sz w:val="20"/>
        </w:rPr>
        <w:t xml:space="preserve"> Flag state retains exclusive jurisdiction; host state intervenes </w:t>
      </w:r>
      <w:r>
        <w:rPr>
          <w:rFonts w:ascii="Calibri" w:hAnsi="Calibri"/>
          <w:i/>
          <w:color w:val="262626"/>
          <w:sz w:val="20"/>
        </w:rPr>
        <w:t>only</w:t>
      </w:r>
      <w:r>
        <w:rPr>
          <w:rFonts w:ascii="Calibri" w:hAnsi="Calibri"/>
          <w:i w:val="0"/>
          <w:color w:val="262626"/>
          <w:sz w:val="20"/>
        </w:rPr>
        <w:t xml:space="preserve"> if the crime affects the peace and order of the port.</w:t>
      </w:r>
    </w:p>
    <w:p>
      <w:pPr>
        <w:pStyle w:val="ListBullet"/>
        <w:spacing w:before="20" w:after="40" w:line="276" w:lineRule="auto"/>
      </w:pPr>
      <w:r>
        <w:rPr>
          <w:rFonts w:ascii="Calibri" w:hAnsi="Calibri"/>
          <w:b/>
          <w:i w:val="0"/>
          <w:color w:val="262626"/>
          <w:sz w:val="20"/>
        </w:rPr>
        <w:t>English Rule (FOLLOWED IN THE PHILIPPINES):</w:t>
      </w:r>
      <w:r>
        <w:rPr>
          <w:rFonts w:ascii="Calibri" w:hAnsi="Calibri"/>
          <w:i w:val="0"/>
          <w:color w:val="262626"/>
          <w:sz w:val="20"/>
        </w:rPr>
        <w:t xml:space="preserve"> Coastal state has jurisdiction over all offenses committed aboard foreign merchant vessels in its territorial waters, </w:t>
      </w:r>
      <w:r>
        <w:rPr>
          <w:rFonts w:ascii="Calibri" w:hAnsi="Calibri"/>
          <w:i/>
          <w:color w:val="262626"/>
          <w:sz w:val="20"/>
        </w:rPr>
        <w:t>unless</w:t>
      </w:r>
      <w:r>
        <w:rPr>
          <w:rFonts w:ascii="Calibri" w:hAnsi="Calibri"/>
          <w:i w:val="0"/>
          <w:color w:val="262626"/>
          <w:sz w:val="20"/>
        </w:rPr>
        <w:t xml:space="preserve"> the crime affects purely the internal management and discipline of the vessel.</w:t>
      </w:r>
    </w:p>
    <w:p>
      <w:pPr>
        <w:pStyle w:val="ListBullet"/>
        <w:spacing w:before="20" w:after="40" w:line="276" w:lineRule="auto"/>
      </w:pPr>
      <w:r>
        <w:rPr>
          <w:rFonts w:ascii="Calibri" w:hAnsi="Calibri"/>
          <w:i/>
          <w:color w:val="262626"/>
          <w:sz w:val="20"/>
        </w:rPr>
        <w:t>Cases:</w:t>
      </w:r>
      <w:r>
        <w:rPr>
          <w:rFonts w:ascii="Calibri" w:hAnsi="Calibri"/>
          <w:i w:val="0"/>
          <w:color w:val="262626"/>
          <w:sz w:val="20"/>
        </w:rPr>
        <w:t xml:space="preserve"> </w:t>
      </w:r>
      <w:r>
        <w:rPr>
          <w:rFonts w:ascii="Calibri" w:hAnsi="Calibri"/>
          <w:i w:val="0"/>
          <w:color w:val="2E75B6"/>
          <w:sz w:val="20"/>
          <w:u w:val="single"/>
        </w:rPr>
        <w:t>U.S. v. Look Chaw</w:t>
      </w:r>
      <w:r>
        <w:rPr>
          <w:rFonts w:ascii="Calibri" w:hAnsi="Calibri"/>
          <w:i w:val="0"/>
          <w:color w:val="262626"/>
          <w:sz w:val="20"/>
        </w:rPr>
        <w:t xml:space="preserve"> (18 Phil. 573 — possession of opium in transit not triable; unloading/landing is triable); </w:t>
      </w:r>
      <w:r>
        <w:rPr>
          <w:rFonts w:ascii="Calibri" w:hAnsi="Calibri"/>
          <w:i w:val="0"/>
          <w:color w:val="2E75B6"/>
          <w:sz w:val="20"/>
          <w:u w:val="single"/>
        </w:rPr>
        <w:t>People v. Wong Cheng</w:t>
      </w:r>
      <w:r>
        <w:rPr>
          <w:rFonts w:ascii="Calibri" w:hAnsi="Calibri"/>
          <w:i w:val="0"/>
          <w:color w:val="262626"/>
          <w:sz w:val="20"/>
        </w:rPr>
        <w:t xml:space="preserve"> (46 Phil. 729 — smoking opium aboard merchant vessel anchored in Manila Bay compromises public order; triable locally); </w:t>
      </w:r>
      <w:r>
        <w:rPr>
          <w:rFonts w:ascii="Calibri" w:hAnsi="Calibri"/>
          <w:i w:val="0"/>
          <w:color w:val="2E75B6"/>
          <w:sz w:val="20"/>
          <w:u w:val="single"/>
        </w:rPr>
        <w:t>U.S. v. Ah Sing</w:t>
      </w:r>
      <w:r>
        <w:rPr>
          <w:rFonts w:ascii="Calibri" w:hAnsi="Calibri"/>
          <w:i w:val="0"/>
          <w:color w:val="262626"/>
          <w:sz w:val="20"/>
        </w:rPr>
        <w:t xml:space="preserve"> (36 Phil. 978); </w:t>
      </w:r>
      <w:r>
        <w:rPr>
          <w:rFonts w:ascii="Calibri" w:hAnsi="Calibri"/>
          <w:i w:val="0"/>
          <w:color w:val="2E75B6"/>
          <w:sz w:val="20"/>
          <w:u w:val="single"/>
        </w:rPr>
        <w:t>People v. Lo-lo &amp; Saraw</w:t>
      </w:r>
      <w:r>
        <w:rPr>
          <w:rFonts w:ascii="Calibri" w:hAnsi="Calibri"/>
          <w:i w:val="0"/>
          <w:color w:val="262626"/>
          <w:sz w:val="20"/>
        </w:rPr>
        <w:t xml:space="preserve"> (43 Phil. 19 — Piracy is </w:t>
      </w:r>
      <w:r>
        <w:rPr>
          <w:rFonts w:ascii="Calibri" w:hAnsi="Calibri"/>
          <w:i/>
          <w:color w:val="262626"/>
          <w:sz w:val="20"/>
        </w:rPr>
        <w:t>hostis humani generis</w:t>
      </w:r>
      <w:r>
        <w:rPr>
          <w:rFonts w:ascii="Calibri" w:hAnsi="Calibri"/>
          <w:i w:val="0"/>
          <w:color w:val="262626"/>
          <w:sz w:val="20"/>
        </w:rPr>
        <w:t>; universal jurisdiction).</w:t>
      </w:r>
    </w:p>
    <w:p>
      <w:pPr>
        <w:keepNext/>
        <w:spacing w:before="160" w:after="40"/>
      </w:pPr>
      <w:r>
        <w:rPr>
          <w:rFonts w:ascii="Segoe UI" w:hAnsi="Segoe UI"/>
          <w:b/>
          <w:color w:val="262626"/>
          <w:sz w:val="21"/>
        </w:rPr>
        <w:t>C. Prospectivity (RPC Arts. 1, 21, 22; Civil Code Art. 4)</w:t>
      </w:r>
    </w:p>
    <w:p>
      <w:pPr>
        <w:pStyle w:val="ListBullet"/>
        <w:spacing w:before="20" w:after="40" w:line="276" w:lineRule="auto"/>
      </w:pPr>
      <w:r>
        <w:rPr>
          <w:rFonts w:ascii="Calibri" w:hAnsi="Calibri"/>
          <w:b/>
          <w:i w:val="0"/>
          <w:color w:val="262626"/>
          <w:sz w:val="20"/>
        </w:rPr>
        <w:t>Principle:</w:t>
      </w:r>
      <w:r>
        <w:rPr>
          <w:rFonts w:ascii="Calibri" w:hAnsi="Calibri"/>
          <w:i w:val="0"/>
          <w:color w:val="262626"/>
          <w:sz w:val="20"/>
        </w:rPr>
        <w:t xml:space="preserve"> Penal laws look to the future (</w:t>
      </w:r>
      <w:r>
        <w:rPr>
          <w:rFonts w:ascii="Calibri" w:hAnsi="Calibri"/>
          <w:i/>
          <w:color w:val="262626"/>
          <w:sz w:val="20"/>
        </w:rPr>
        <w:t>Lex prospicit, non respicit</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Exception (Article 22 RPC — Favorable Retroactivity):</w:t>
      </w:r>
      <w:r>
        <w:rPr>
          <w:rFonts w:ascii="Calibri" w:hAnsi="Calibri"/>
          <w:i w:val="0"/>
          <w:color w:val="262626"/>
          <w:sz w:val="20"/>
        </w:rPr>
        <w:t xml:space="preserve"> Penal laws have retroactive effect in so far as they favor the accused, </w:t>
      </w:r>
      <w:r>
        <w:rPr>
          <w:rFonts w:ascii="Calibri" w:hAnsi="Calibri"/>
          <w:b/>
          <w:i w:val="0"/>
          <w:color w:val="262626"/>
          <w:sz w:val="20"/>
        </w:rPr>
        <w:t>PROVIDED</w:t>
      </w:r>
      <w:r>
        <w:rPr>
          <w:rFonts w:ascii="Calibri" w:hAnsi="Calibri"/>
          <w:i w:val="0"/>
          <w:color w:val="262626"/>
          <w:sz w:val="20"/>
        </w:rPr>
        <w:t xml:space="preserve"> that the accused is </w:t>
      </w:r>
      <w:r>
        <w:rPr>
          <w:rFonts w:ascii="Calibri" w:hAnsi="Calibri"/>
          <w:b/>
          <w:i w:val="0"/>
          <w:color w:val="262626"/>
          <w:sz w:val="20"/>
        </w:rPr>
        <w:t>NOT a habitual delinquent</w:t>
      </w:r>
      <w:r>
        <w:rPr>
          <w:rFonts w:ascii="Calibri" w:hAnsi="Calibri"/>
          <w:i w:val="0"/>
          <w:color w:val="262626"/>
          <w:sz w:val="20"/>
        </w:rPr>
        <w:t xml:space="preserve"> under Article 62(5) RPC.</w:t>
      </w:r>
    </w:p>
    <w:p>
      <w:pPr>
        <w:pStyle w:val="ListBullet"/>
        <w:spacing w:before="20" w:after="40" w:line="276" w:lineRule="auto"/>
      </w:pPr>
      <w:r>
        <w:rPr>
          <w:rFonts w:ascii="Calibri" w:hAnsi="Calibri"/>
          <w:i w:val="0"/>
          <w:color w:val="262626"/>
          <w:sz w:val="20"/>
        </w:rPr>
        <w:t>Applies even if the accused is already serving sentence under final judgment.</w:t>
      </w:r>
    </w:p>
    <w:p>
      <w:pPr>
        <w:pStyle w:val="ListBullet"/>
        <w:spacing w:before="20" w:after="40" w:line="276" w:lineRule="auto"/>
      </w:pPr>
      <w:r>
        <w:rPr>
          <w:rFonts w:ascii="Calibri" w:hAnsi="Calibri"/>
          <w:i/>
          <w:color w:val="262626"/>
          <w:sz w:val="20"/>
        </w:rPr>
        <w:t>Cases:</w:t>
      </w:r>
      <w:r>
        <w:rPr>
          <w:rFonts w:ascii="Calibri" w:hAnsi="Calibri"/>
          <w:i w:val="0"/>
          <w:color w:val="262626"/>
          <w:sz w:val="20"/>
        </w:rPr>
        <w:t xml:space="preserve"> </w:t>
      </w:r>
      <w:r>
        <w:rPr>
          <w:rFonts w:ascii="Calibri" w:hAnsi="Calibri"/>
          <w:i w:val="0"/>
          <w:color w:val="2E75B6"/>
          <w:sz w:val="20"/>
          <w:u w:val="single"/>
        </w:rPr>
        <w:t>Gumabon v. Director of Prisons</w:t>
      </w:r>
      <w:r>
        <w:rPr>
          <w:rFonts w:ascii="Calibri" w:hAnsi="Calibri"/>
          <w:i w:val="0"/>
          <w:color w:val="262626"/>
          <w:sz w:val="20"/>
        </w:rPr>
        <w:t xml:space="preserve"> (37 SCRA 420); </w:t>
      </w:r>
      <w:r>
        <w:rPr>
          <w:rFonts w:ascii="Calibri" w:hAnsi="Calibri"/>
          <w:i w:val="0"/>
          <w:color w:val="2E75B6"/>
          <w:sz w:val="20"/>
          <w:u w:val="single"/>
        </w:rPr>
        <w:t>People v. Narvaez</w:t>
      </w:r>
      <w:r>
        <w:rPr>
          <w:rFonts w:ascii="Calibri" w:hAnsi="Calibri"/>
          <w:i w:val="0"/>
          <w:color w:val="262626"/>
          <w:sz w:val="20"/>
        </w:rPr>
        <w:t xml:space="preserve"> (121 SCRA 389); </w:t>
      </w:r>
      <w:r>
        <w:rPr>
          <w:rFonts w:ascii="Calibri" w:hAnsi="Calibri"/>
          <w:i w:val="0"/>
          <w:color w:val="2E75B6"/>
          <w:sz w:val="20"/>
          <w:u w:val="single"/>
        </w:rPr>
        <w:t>People v. Lacson</w:t>
      </w:r>
      <w:r>
        <w:rPr>
          <w:rFonts w:ascii="Calibri" w:hAnsi="Calibri"/>
          <w:i w:val="0"/>
          <w:color w:val="262626"/>
          <w:sz w:val="20"/>
        </w:rPr>
        <w:t xml:space="preserve"> (382 SCRA 365).</w:t>
      </w:r>
    </w:p>
    <w:p>
      <w:pPr>
        <w:keepNext/>
        <w:spacing w:before="200" w:after="60"/>
      </w:pPr>
      <w:r>
        <w:rPr>
          <w:rFonts w:ascii="Segoe UI" w:hAnsi="Segoe UI"/>
          <w:b/>
          <w:color w:val="1F4E79"/>
          <w:sz w:val="23"/>
        </w:rPr>
        <w:t>6. Construction and Interpretation of Penal Laws</w:t>
      </w:r>
    </w:p>
    <w:p>
      <w:pPr>
        <w:pStyle w:val="ListNumber"/>
        <w:spacing w:before="40" w:after="40" w:line="276" w:lineRule="auto"/>
      </w:pPr>
      <w:r>
        <w:rPr>
          <w:rFonts w:ascii="Calibri" w:hAnsi="Calibri"/>
          <w:b/>
          <w:i w:val="0"/>
          <w:color w:val="262626"/>
          <w:sz w:val="20"/>
        </w:rPr>
        <w:t>Rule of Lenity / In Dubio Pro Reo:</w:t>
      </w:r>
      <w:r>
        <w:rPr>
          <w:rFonts w:ascii="Calibri" w:hAnsi="Calibri"/>
          <w:i w:val="0"/>
          <w:color w:val="262626"/>
          <w:sz w:val="20"/>
        </w:rPr>
        <w:t xml:space="preserve"> Penal laws are strictly construed against the State and liberally in favor of the accused (</w:t>
      </w:r>
      <w:r>
        <w:rPr>
          <w:rFonts w:ascii="Calibri" w:hAnsi="Calibri"/>
          <w:i w:val="0"/>
          <w:color w:val="2E75B6"/>
          <w:sz w:val="20"/>
          <w:u w:val="single"/>
        </w:rPr>
        <w:t>Centeno v. Villalon-Pornillos</w:t>
      </w:r>
      <w:r>
        <w:rPr>
          <w:rFonts w:ascii="Calibri" w:hAnsi="Calibri"/>
          <w:i w:val="0"/>
          <w:color w:val="262626"/>
          <w:sz w:val="20"/>
        </w:rPr>
        <w:t xml:space="preserve">, 1994; </w:t>
      </w:r>
      <w:r>
        <w:rPr>
          <w:rFonts w:ascii="Calibri" w:hAnsi="Calibri"/>
          <w:i w:val="0"/>
          <w:color w:val="2E75B6"/>
          <w:sz w:val="20"/>
          <w:u w:val="single"/>
        </w:rPr>
        <w:t>People v. Temporado</w:t>
      </w:r>
      <w:r>
        <w:rPr>
          <w:rFonts w:ascii="Calibri" w:hAnsi="Calibri"/>
          <w:i w:val="0"/>
          <w:color w:val="262626"/>
          <w:sz w:val="20"/>
        </w:rPr>
        <w:t>, 2008).</w:t>
      </w:r>
    </w:p>
    <w:p>
      <w:pPr>
        <w:pStyle w:val="ListNumber"/>
        <w:spacing w:before="40" w:after="40" w:line="276" w:lineRule="auto"/>
      </w:pPr>
      <w:r>
        <w:rPr>
          <w:rFonts w:ascii="Calibri" w:hAnsi="Calibri"/>
          <w:b/>
          <w:i w:val="0"/>
          <w:color w:val="262626"/>
          <w:sz w:val="20"/>
        </w:rPr>
        <w:t>Harmonization:</w:t>
      </w:r>
      <w:r>
        <w:rPr>
          <w:rFonts w:ascii="Calibri" w:hAnsi="Calibri"/>
          <w:i w:val="0"/>
          <w:color w:val="262626"/>
          <w:sz w:val="20"/>
        </w:rPr>
        <w:t xml:space="preserve"> All provisions must be read together (</w:t>
      </w:r>
      <w:r>
        <w:rPr>
          <w:rFonts w:ascii="Calibri" w:hAnsi="Calibri"/>
          <w:i w:val="0"/>
          <w:color w:val="2E75B6"/>
          <w:sz w:val="20"/>
          <w:u w:val="single"/>
        </w:rPr>
        <w:t>People v. Garcia</w:t>
      </w:r>
      <w:r>
        <w:rPr>
          <w:rFonts w:ascii="Calibri" w:hAnsi="Calibri"/>
          <w:i w:val="0"/>
          <w:color w:val="262626"/>
          <w:sz w:val="20"/>
        </w:rPr>
        <w:t>, 1950).</w:t>
      </w:r>
    </w:p>
    <w:p>
      <w:pPr>
        <w:pStyle w:val="ListNumber"/>
        <w:spacing w:before="40" w:after="40" w:line="276" w:lineRule="auto"/>
      </w:pPr>
      <w:r>
        <w:rPr>
          <w:rFonts w:ascii="Calibri" w:hAnsi="Calibri"/>
          <w:b/>
          <w:i w:val="0"/>
          <w:color w:val="262626"/>
          <w:sz w:val="20"/>
        </w:rPr>
        <w:t>Spanish Text Dominance:</w:t>
      </w:r>
      <w:r>
        <w:rPr>
          <w:rFonts w:ascii="Calibri" w:hAnsi="Calibri"/>
          <w:i w:val="0"/>
          <w:color w:val="262626"/>
          <w:sz w:val="20"/>
        </w:rPr>
        <w:t xml:space="preserve"> The Spanish text of the Revised Penal Code prevails over its English translation because the RPC was enacted in Spanish by the Philippine Legislature (</w:t>
      </w:r>
      <w:r>
        <w:rPr>
          <w:rFonts w:ascii="Calibri" w:hAnsi="Calibri"/>
          <w:i w:val="0"/>
          <w:color w:val="2E75B6"/>
          <w:sz w:val="20"/>
          <w:u w:val="single"/>
        </w:rPr>
        <w:t>People v. Mesias</w:t>
      </w:r>
      <w:r>
        <w:rPr>
          <w:rFonts w:ascii="Calibri" w:hAnsi="Calibri"/>
          <w:i w:val="0"/>
          <w:color w:val="262626"/>
          <w:sz w:val="20"/>
        </w:rPr>
        <w:t>, 65 Phil. 267).</w:t>
      </w:r>
    </w:p>
    <w:p>
      <w:pPr>
        <w:pStyle w:val="ListNumber"/>
        <w:spacing w:before="40" w:after="40" w:line="276" w:lineRule="auto"/>
      </w:pPr>
      <w:r>
        <w:rPr>
          <w:rFonts w:ascii="Calibri" w:hAnsi="Calibri"/>
          <w:b/>
          <w:i w:val="0"/>
          <w:color w:val="262626"/>
          <w:sz w:val="20"/>
        </w:rPr>
        <w:t>Duty of Court under Article 5 RPC:</w:t>
      </w:r>
    </w:p>
    <w:p>
      <w:pPr>
        <w:pStyle w:val="ListBullet"/>
        <w:spacing w:before="20" w:after="40" w:line="276" w:lineRule="auto"/>
      </w:pPr>
      <w:r>
        <w:rPr>
          <w:rFonts w:ascii="Calibri" w:hAnsi="Calibri"/>
          <w:i/>
          <w:color w:val="262626"/>
          <w:sz w:val="20"/>
        </w:rPr>
        <w:t>Par. 1:</w:t>
      </w:r>
      <w:r>
        <w:rPr>
          <w:rFonts w:ascii="Calibri" w:hAnsi="Calibri"/>
          <w:i w:val="0"/>
          <w:color w:val="262626"/>
          <w:sz w:val="20"/>
        </w:rPr>
        <w:t xml:space="preserve"> If act is not covered by law -&gt; Acquit accused, report to President.</w:t>
      </w:r>
    </w:p>
    <w:p>
      <w:pPr>
        <w:pStyle w:val="ListBullet"/>
        <w:spacing w:before="20" w:after="40" w:line="276" w:lineRule="auto"/>
      </w:pPr>
      <w:r>
        <w:rPr>
          <w:rFonts w:ascii="Calibri" w:hAnsi="Calibri"/>
          <w:i/>
          <w:color w:val="262626"/>
          <w:sz w:val="20"/>
        </w:rPr>
        <w:t>Par. 2:</w:t>
      </w:r>
      <w:r>
        <w:rPr>
          <w:rFonts w:ascii="Calibri" w:hAnsi="Calibri"/>
          <w:i w:val="0"/>
          <w:color w:val="262626"/>
          <w:sz w:val="20"/>
        </w:rPr>
        <w:t xml:space="preserve"> If penalty is excessively severe -&gt; Convict, impose penalty, recommend executive clemency.</w:t>
      </w:r>
    </w:p>
    <w:p>
      <w:pPr>
        <w:keepNext/>
        <w:spacing w:before="360" w:after="120"/>
      </w:pPr>
      <w:r>
        <w:rPr>
          <w:rFonts w:ascii="Segoe UI" w:hAnsi="Segoe UI"/>
          <w:b/>
          <w:color w:val="1F4E79"/>
          <w:sz w:val="30"/>
        </w:rPr>
        <w:t>Part II: Felonies and Criminal Liability</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5–8; Codal Articles 3 to 10 RPC)</w:t>
      </w:r>
    </w:p>
    <w:p>
      <w:pPr>
        <w:keepNext/>
        <w:spacing w:before="200" w:after="60"/>
      </w:pPr>
      <w:r>
        <w:rPr>
          <w:rFonts w:ascii="Segoe UI" w:hAnsi="Segoe UI"/>
          <w:b/>
          <w:color w:val="1F4E79"/>
          <w:sz w:val="23"/>
        </w:rPr>
        <w:t>1. Classification of Crimes: Mala In Se vs. Mala Prohibita</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40" w:after="40" w:line="252" w:lineRule="auto"/>
            </w:pPr>
            <w:r>
              <w:rPr>
                <w:rFonts w:ascii="Consolas" w:hAnsi="Consolas"/>
                <w:color w:val="1F4E79"/>
                <w:sz w:val="17"/>
              </w:rPr>
              <w:t xml:space="preserve">                          ┌───────────────────────────┐</w:t>
              <w:br/>
              <w:t xml:space="preserve">                          │   CRIMINAL OFFENSES       │</w:t>
              <w:br/>
              <w:t xml:space="preserve">                          └─────────────┬─────────────┘</w:t>
              <w:br/>
              <w:t xml:space="preserve">                                        │</w:t>
              <w:br/>
              <w:t xml:space="preserve">           ┌────────────────────────────┴───────────────────────────┐</w:t>
              <w:br/>
              <w:t xml:space="preserve">           ▼                                                        ▼</w:t>
              <w:br/>
              <w:t>┌──────────────────────────────────────┐  ┌──────────────────────────────────────┐</w:t>
              <w:br/>
              <w:t>│          MALA IN SE                  │  │          MALA PROHIBITA              │</w:t>
              <w:br/>
              <w:t>├──────────────────────────────────────┤  ├──────────────────────────────────────┤</w:t>
              <w:br/>
              <w:t>│ • Inherently immoral &amp; evil          │  │ • Wrong because prohibited by law    │</w:t>
              <w:br/>
              <w:t>│ • Governed by Revised Penal Code     │  │ • Governed by Special Penal Laws     │</w:t>
              <w:br/>
              <w:t>│ • Dolo (Criminal Intent) required    │  │ • Mere voluntary commission suffices │</w:t>
              <w:br/>
              <w:t>│ • Good faith is a valid defense      │  │ • Good faith is NOT a defense        │</w:t>
              <w:br/>
              <w:t>│ • Modifying circumstances apply      │  │ • Modifying circumstances inapplicable│</w:t>
              <w:br/>
              <w:t>│ • Stages of execution apply          │  │ • Generally consummated only         │</w:t>
              <w:br/>
              <w:t>│ • Persons liable: P, A, Ac           │  │ • Generally only direct perpetrators │</w:t>
              <w:br/>
              <w:t>└──────────────────────────────────────┘  └──────────────────────────────────────┘</w:t>
            </w:r>
          </w:p>
        </w:tc>
      </w:tr>
    </w:tbl>
    <w:p>
      <w:pPr>
        <w:spacing w:before="0" w:after="120"/>
      </w:pPr>
    </w:p>
    <w:p>
      <w:pPr>
        <w:pStyle w:val="ListBullet"/>
        <w:spacing w:before="20" w:after="40" w:line="276" w:lineRule="auto"/>
      </w:pPr>
      <w:r>
        <w:rPr>
          <w:rFonts w:ascii="Calibri" w:hAnsi="Calibri"/>
          <w:b/>
          <w:i w:val="0"/>
          <w:color w:val="262626"/>
          <w:sz w:val="20"/>
        </w:rPr>
        <w:t>Reyes Caveat (Important Exception):</w:t>
      </w:r>
      <w:r>
        <w:rPr>
          <w:rFonts w:ascii="Calibri" w:hAnsi="Calibri"/>
          <w:i w:val="0"/>
          <w:color w:val="262626"/>
          <w:sz w:val="20"/>
        </w:rPr>
        <w:t xml:space="preserve"> Not all crimes under Special Penal Laws are </w:t>
      </w:r>
      <w:r>
        <w:rPr>
          <w:rFonts w:ascii="Calibri" w:hAnsi="Calibri"/>
          <w:i/>
          <w:color w:val="262626"/>
          <w:sz w:val="20"/>
        </w:rPr>
        <w:t>mala prohibita</w:t>
      </w:r>
      <w:r>
        <w:rPr>
          <w:rFonts w:ascii="Calibri" w:hAnsi="Calibri"/>
          <w:i w:val="0"/>
          <w:color w:val="262626"/>
          <w:sz w:val="20"/>
        </w:rPr>
        <w:t xml:space="preserve">. When a special statute penalizes an act that is inherently wrongful and immoral (e.g., Plunder under R.A. 7080, Anti-Child Abuse under R.A. 7610), the offense is </w:t>
      </w:r>
      <w:r>
        <w:rPr>
          <w:rFonts w:ascii="Calibri" w:hAnsi="Calibri"/>
          <w:b/>
          <w:i w:val="0"/>
          <w:color w:val="262626"/>
          <w:sz w:val="20"/>
        </w:rPr>
        <w:t>MALA IN SE</w:t>
      </w:r>
      <w:r>
        <w:rPr>
          <w:rFonts w:ascii="Calibri" w:hAnsi="Calibri"/>
          <w:i w:val="0"/>
          <w:color w:val="262626"/>
          <w:sz w:val="20"/>
        </w:rPr>
        <w:t xml:space="preserve"> and criminal intent (</w:t>
      </w:r>
      <w:r>
        <w:rPr>
          <w:rFonts w:ascii="Calibri" w:hAnsi="Calibri"/>
          <w:i/>
          <w:color w:val="262626"/>
          <w:sz w:val="20"/>
        </w:rPr>
        <w:t>mens rea</w:t>
      </w:r>
      <w:r>
        <w:rPr>
          <w:rFonts w:ascii="Calibri" w:hAnsi="Calibri"/>
          <w:i w:val="0"/>
          <w:color w:val="262626"/>
          <w:sz w:val="20"/>
        </w:rPr>
        <w:t>) is an indispensable element (</w:t>
      </w:r>
      <w:r>
        <w:rPr>
          <w:rFonts w:ascii="Calibri" w:hAnsi="Calibri"/>
          <w:i w:val="0"/>
          <w:color w:val="2E75B6"/>
          <w:sz w:val="20"/>
          <w:u w:val="single"/>
        </w:rPr>
        <w:t>Estrada v. Sandiganbayan</w:t>
      </w:r>
      <w:r>
        <w:rPr>
          <w:rFonts w:ascii="Calibri" w:hAnsi="Calibri"/>
          <w:i w:val="0"/>
          <w:color w:val="262626"/>
          <w:sz w:val="20"/>
        </w:rPr>
        <w:t>, 369 SCRA 394).</w:t>
      </w:r>
    </w:p>
    <w:p>
      <w:pPr>
        <w:pStyle w:val="ListBullet"/>
        <w:spacing w:before="20" w:after="40" w:line="276" w:lineRule="auto"/>
      </w:pPr>
      <w:r>
        <w:rPr>
          <w:rFonts w:ascii="Calibri" w:hAnsi="Calibri"/>
          <w:b/>
          <w:i w:val="0"/>
          <w:color w:val="262626"/>
          <w:sz w:val="20"/>
        </w:rPr>
        <w:t>Crimes Involving Moral Turpitude:</w:t>
      </w:r>
      <w:r>
        <w:rPr>
          <w:rFonts w:ascii="Calibri" w:hAnsi="Calibri"/>
          <w:i w:val="0"/>
          <w:color w:val="262626"/>
          <w:sz w:val="20"/>
        </w:rPr>
        <w:t xml:space="preserve"> Inherently contrary to justice, honesty, modesty, or good morals (</w:t>
      </w:r>
      <w:r>
        <w:rPr>
          <w:rFonts w:ascii="Calibri" w:hAnsi="Calibri"/>
          <w:i w:val="0"/>
          <w:color w:val="2E75B6"/>
          <w:sz w:val="20"/>
          <w:u w:val="single"/>
        </w:rPr>
        <w:t>Teves v. COMELEC</w:t>
      </w:r>
      <w:r>
        <w:rPr>
          <w:rFonts w:ascii="Calibri" w:hAnsi="Calibri"/>
          <w:i w:val="0"/>
          <w:color w:val="262626"/>
          <w:sz w:val="20"/>
        </w:rPr>
        <w:t>, G.R. No. 180363, 2009).</w:t>
      </w:r>
    </w:p>
    <w:p>
      <w:pPr>
        <w:pStyle w:val="ListBullet"/>
        <w:spacing w:before="20" w:after="40" w:line="276" w:lineRule="auto"/>
      </w:pPr>
      <w:r>
        <w:rPr>
          <w:rFonts w:ascii="Calibri" w:hAnsi="Calibri"/>
          <w:b/>
          <w:i w:val="0"/>
          <w:color w:val="262626"/>
          <w:sz w:val="20"/>
        </w:rPr>
        <w:t>Relation of RPC to Special Laws (Article 10 RPC):</w:t>
      </w:r>
      <w:r>
        <w:rPr>
          <w:rFonts w:ascii="Calibri" w:hAnsi="Calibri"/>
          <w:i w:val="0"/>
          <w:color w:val="262626"/>
          <w:sz w:val="20"/>
        </w:rPr>
        <w:t xml:space="preserve"> The RPC is supplementary to special penal laws unless the special law explicitly provides otherwise (</w:t>
      </w:r>
      <w:r>
        <w:rPr>
          <w:rFonts w:ascii="Calibri" w:hAnsi="Calibri"/>
          <w:i w:val="0"/>
          <w:color w:val="2E75B6"/>
          <w:sz w:val="20"/>
          <w:u w:val="single"/>
        </w:rPr>
        <w:t>Ladonga v. People</w:t>
      </w:r>
      <w:r>
        <w:rPr>
          <w:rFonts w:ascii="Calibri" w:hAnsi="Calibri"/>
          <w:i w:val="0"/>
          <w:color w:val="262626"/>
          <w:sz w:val="20"/>
        </w:rPr>
        <w:t>, 2005).</w:t>
      </w:r>
    </w:p>
    <w:p>
      <w:pPr>
        <w:keepNext/>
        <w:spacing w:before="200" w:after="60"/>
      </w:pPr>
      <w:r>
        <w:rPr>
          <w:rFonts w:ascii="Segoe UI" w:hAnsi="Segoe UI"/>
          <w:b/>
          <w:color w:val="1F4E79"/>
          <w:sz w:val="23"/>
        </w:rPr>
        <w:t>2. Definition &amp; Elements of Felonies (Article 3 RPC)</w:t>
      </w:r>
    </w:p>
    <w:p>
      <w:pPr>
        <w:pStyle w:val="ListBullet"/>
        <w:spacing w:before="20" w:after="40" w:line="276" w:lineRule="auto"/>
      </w:pPr>
      <w:r>
        <w:rPr>
          <w:rFonts w:ascii="Calibri" w:hAnsi="Calibri"/>
          <w:b/>
          <w:i w:val="0"/>
          <w:color w:val="262626"/>
          <w:sz w:val="20"/>
        </w:rPr>
        <w:t>Statutory Text:</w:t>
      </w:r>
      <w:r>
        <w:rPr>
          <w:rFonts w:ascii="Calibri" w:hAnsi="Calibri"/>
          <w:i w:val="0"/>
          <w:color w:val="262626"/>
          <w:sz w:val="20"/>
        </w:rPr>
        <w:t xml:space="preserve"> Felonies are acts or omissions punishable by law committed by means of deceit (</w:t>
      </w:r>
      <w:r>
        <w:rPr>
          <w:rFonts w:ascii="Calibri" w:hAnsi="Calibri"/>
          <w:i/>
          <w:color w:val="262626"/>
          <w:sz w:val="20"/>
        </w:rPr>
        <w:t>dolo</w:t>
      </w:r>
      <w:r>
        <w:rPr>
          <w:rFonts w:ascii="Calibri" w:hAnsi="Calibri"/>
          <w:i w:val="0"/>
          <w:color w:val="262626"/>
          <w:sz w:val="20"/>
        </w:rPr>
        <w:t>) or fault (</w:t>
      </w:r>
      <w:r>
        <w:rPr>
          <w:rFonts w:ascii="Calibri" w:hAnsi="Calibri"/>
          <w:i/>
          <w:color w:val="262626"/>
          <w:sz w:val="20"/>
        </w:rPr>
        <w:t>culpa</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Elements of a Felony:</w:t>
      </w:r>
    </w:p>
    <w:p>
      <w:pPr>
        <w:pStyle w:val="ListNumber"/>
        <w:spacing w:before="40" w:after="40" w:line="276" w:lineRule="auto"/>
      </w:pPr>
      <w:r>
        <w:rPr>
          <w:rFonts w:ascii="Calibri" w:hAnsi="Calibri"/>
          <w:i w:val="0"/>
          <w:color w:val="262626"/>
          <w:sz w:val="20"/>
        </w:rPr>
        <w:t>An external physical act or a statutory omission.</w:t>
      </w:r>
    </w:p>
    <w:p>
      <w:pPr>
        <w:pStyle w:val="ListNumber"/>
        <w:spacing w:before="40" w:after="40" w:line="276" w:lineRule="auto"/>
      </w:pPr>
      <w:r>
        <w:rPr>
          <w:rFonts w:ascii="Calibri" w:hAnsi="Calibri"/>
          <w:i w:val="0"/>
          <w:color w:val="262626"/>
          <w:sz w:val="20"/>
        </w:rPr>
        <w:t>The act or omission is punishable by the Revised Penal Code.</w:t>
      </w:r>
    </w:p>
    <w:p>
      <w:pPr>
        <w:pStyle w:val="ListNumber"/>
        <w:spacing w:before="40" w:after="40" w:line="276" w:lineRule="auto"/>
      </w:pPr>
      <w:r>
        <w:rPr>
          <w:rFonts w:ascii="Calibri" w:hAnsi="Calibri"/>
          <w:i w:val="0"/>
          <w:color w:val="262626"/>
          <w:sz w:val="20"/>
        </w:rPr>
        <w:t xml:space="preserve">The act is committed by means of </w:t>
      </w:r>
      <w:r>
        <w:rPr>
          <w:rFonts w:ascii="Calibri" w:hAnsi="Calibri"/>
          <w:b/>
          <w:i w:val="0"/>
          <w:color w:val="262626"/>
          <w:sz w:val="20"/>
        </w:rPr>
        <w:t>Dolo</w:t>
      </w:r>
      <w:r>
        <w:rPr>
          <w:rFonts w:ascii="Calibri" w:hAnsi="Calibri"/>
          <w:i w:val="0"/>
          <w:color w:val="262626"/>
          <w:sz w:val="20"/>
        </w:rPr>
        <w:t xml:space="preserve"> (deceit/intent) or </w:t>
      </w:r>
      <w:r>
        <w:rPr>
          <w:rFonts w:ascii="Calibri" w:hAnsi="Calibri"/>
          <w:b/>
          <w:i w:val="0"/>
          <w:color w:val="262626"/>
          <w:sz w:val="20"/>
        </w:rPr>
        <w:t>Culpa</w:t>
      </w:r>
      <w:r>
        <w:rPr>
          <w:rFonts w:ascii="Calibri" w:hAnsi="Calibri"/>
          <w:i w:val="0"/>
          <w:color w:val="262626"/>
          <w:sz w:val="20"/>
        </w:rPr>
        <w:t xml:space="preserve"> (fault/negligence).</w:t>
      </w:r>
    </w:p>
    <w:p>
      <w:pPr>
        <w:keepNext/>
        <w:spacing w:before="160" w:after="40"/>
      </w:pPr>
      <w:r>
        <w:rPr>
          <w:rFonts w:ascii="Segoe UI" w:hAnsi="Segoe UI"/>
          <w:b/>
          <w:color w:val="262626"/>
          <w:sz w:val="21"/>
        </w:rPr>
        <w:t>A. Intentional Felonies (Dolo)</w:t>
      </w:r>
    </w:p>
    <w:p>
      <w:pPr>
        <w:pStyle w:val="ListBullet"/>
        <w:spacing w:before="20" w:after="40" w:line="276" w:lineRule="auto"/>
      </w:pPr>
      <w:r>
        <w:rPr>
          <w:rFonts w:ascii="Calibri" w:hAnsi="Calibri"/>
          <w:b/>
          <w:i w:val="0"/>
          <w:color w:val="262626"/>
          <w:sz w:val="20"/>
        </w:rPr>
        <w:t>Three Requisites of Dolo:</w:t>
      </w:r>
    </w:p>
    <w:p>
      <w:pPr>
        <w:pStyle w:val="ListNumber"/>
        <w:spacing w:before="40" w:after="40" w:line="276" w:lineRule="auto"/>
      </w:pPr>
      <w:r>
        <w:rPr>
          <w:rFonts w:ascii="Calibri" w:hAnsi="Calibri"/>
          <w:b/>
          <w:i w:val="0"/>
          <w:color w:val="262626"/>
          <w:sz w:val="20"/>
        </w:rPr>
        <w:t>Freedom:</w:t>
      </w:r>
      <w:r>
        <w:rPr>
          <w:rFonts w:ascii="Calibri" w:hAnsi="Calibri"/>
          <w:i w:val="0"/>
          <w:color w:val="262626"/>
          <w:sz w:val="20"/>
        </w:rPr>
        <w:t xml:space="preserve"> Volition of the person acting without physical or moral compulsion.</w:t>
      </w:r>
    </w:p>
    <w:p>
      <w:pPr>
        <w:pStyle w:val="ListNumber"/>
        <w:spacing w:before="40" w:after="40" w:line="276" w:lineRule="auto"/>
      </w:pPr>
      <w:r>
        <w:rPr>
          <w:rFonts w:ascii="Calibri" w:hAnsi="Calibri"/>
          <w:b/>
          <w:i w:val="0"/>
          <w:color w:val="262626"/>
          <w:sz w:val="20"/>
        </w:rPr>
        <w:t>Intelligence:</w:t>
      </w:r>
      <w:r>
        <w:rPr>
          <w:rFonts w:ascii="Calibri" w:hAnsi="Calibri"/>
          <w:i w:val="0"/>
          <w:color w:val="262626"/>
          <w:sz w:val="20"/>
        </w:rPr>
        <w:t xml:space="preserve"> Mental capacity to understand the nature and consequences of the act.</w:t>
      </w:r>
    </w:p>
    <w:p>
      <w:pPr>
        <w:pStyle w:val="ListNumber"/>
        <w:spacing w:before="40" w:after="40" w:line="276" w:lineRule="auto"/>
      </w:pPr>
      <w:r>
        <w:rPr>
          <w:rFonts w:ascii="Calibri" w:hAnsi="Calibri"/>
          <w:b/>
          <w:i w:val="0"/>
          <w:color w:val="262626"/>
          <w:sz w:val="20"/>
        </w:rPr>
        <w:t>Intent:</w:t>
      </w:r>
      <w:r>
        <w:rPr>
          <w:rFonts w:ascii="Calibri" w:hAnsi="Calibri"/>
          <w:i w:val="0"/>
          <w:color w:val="262626"/>
          <w:sz w:val="20"/>
        </w:rPr>
        <w:t xml:space="preserve"> Conscious purpose to produce an unlawful result.</w:t>
      </w:r>
    </w:p>
    <w:p>
      <w:pPr>
        <w:pStyle w:val="ListBullet"/>
        <w:spacing w:before="20" w:after="40" w:line="276" w:lineRule="auto"/>
      </w:pPr>
      <w:r>
        <w:rPr>
          <w:rFonts w:ascii="Calibri" w:hAnsi="Calibri"/>
          <w:b/>
          <w:i w:val="0"/>
          <w:color w:val="262626"/>
          <w:sz w:val="20"/>
        </w:rPr>
        <w:t>Mistake of Fact (*Ignorantia Facti Excusat*):</w:t>
      </w:r>
      <w:r>
        <w:rPr>
          <w:rFonts w:ascii="Calibri" w:hAnsi="Calibri"/>
          <w:i w:val="0"/>
          <w:color w:val="262626"/>
          <w:sz w:val="20"/>
        </w:rPr>
        <w:t xml:space="preserve"> An honest misapprehension of fact negates criminal intent.</w:t>
      </w:r>
    </w:p>
    <w:p>
      <w:pPr>
        <w:pStyle w:val="ListBullet"/>
        <w:spacing w:before="20" w:after="40" w:line="276" w:lineRule="auto"/>
      </w:pPr>
      <w:r>
        <w:rPr>
          <w:rFonts w:ascii="Calibri" w:hAnsi="Calibri"/>
          <w:b/>
          <w:i w:val="0"/>
          <w:color w:val="262626"/>
          <w:sz w:val="20"/>
        </w:rPr>
        <w:t>Requisites (The Ah Chong Rule, 15 Phil. 488):</w:t>
      </w:r>
    </w:p>
    <w:p>
      <w:pPr>
        <w:pStyle w:val="ListNumber"/>
        <w:spacing w:before="40" w:after="40" w:line="276" w:lineRule="auto"/>
      </w:pPr>
      <w:r>
        <w:rPr>
          <w:rFonts w:ascii="Calibri" w:hAnsi="Calibri"/>
          <w:i w:val="0"/>
          <w:color w:val="262626"/>
          <w:sz w:val="20"/>
        </w:rPr>
        <w:t>Act would have been completely lawful had the facts been as believed.</w:t>
      </w:r>
    </w:p>
    <w:p>
      <w:pPr>
        <w:pStyle w:val="ListNumber"/>
        <w:spacing w:before="40" w:after="40" w:line="276" w:lineRule="auto"/>
      </w:pPr>
      <w:r>
        <w:rPr>
          <w:rFonts w:ascii="Calibri" w:hAnsi="Calibri"/>
          <w:i w:val="0"/>
          <w:color w:val="262626"/>
          <w:sz w:val="20"/>
        </w:rPr>
        <w:t>Intention was completely lawful.</w:t>
      </w:r>
    </w:p>
    <w:p>
      <w:pPr>
        <w:pStyle w:val="ListNumber"/>
        <w:spacing w:before="40" w:after="40" w:line="276" w:lineRule="auto"/>
      </w:pPr>
      <w:r>
        <w:rPr>
          <w:rFonts w:ascii="Calibri" w:hAnsi="Calibri"/>
          <w:i w:val="0"/>
          <w:color w:val="262626"/>
          <w:sz w:val="20"/>
        </w:rPr>
        <w:t>Mistake was honest and without fault or negligence.</w:t>
      </w:r>
    </w:p>
    <w:p>
      <w:pPr>
        <w:pStyle w:val="ListBullet"/>
        <w:spacing w:before="20" w:after="40" w:line="276" w:lineRule="auto"/>
      </w:pPr>
      <w:r>
        <w:rPr>
          <w:rFonts w:ascii="Calibri" w:hAnsi="Calibri"/>
          <w:i/>
          <w:color w:val="262626"/>
          <w:sz w:val="20"/>
        </w:rPr>
        <w:t>Contrast:</w:t>
      </w:r>
      <w:r>
        <w:rPr>
          <w:rFonts w:ascii="Calibri" w:hAnsi="Calibri"/>
          <w:i w:val="0"/>
          <w:color w:val="262626"/>
          <w:sz w:val="20"/>
        </w:rPr>
        <w:t xml:space="preserve"> In </w:t>
      </w:r>
      <w:r>
        <w:rPr>
          <w:rFonts w:ascii="Calibri" w:hAnsi="Calibri"/>
          <w:i w:val="0"/>
          <w:color w:val="2E75B6"/>
          <w:sz w:val="20"/>
          <w:u w:val="single"/>
        </w:rPr>
        <w:t>People v. Oanis</w:t>
      </w:r>
      <w:r>
        <w:rPr>
          <w:rFonts w:ascii="Calibri" w:hAnsi="Calibri"/>
          <w:i w:val="0"/>
          <w:color w:val="262626"/>
          <w:sz w:val="20"/>
        </w:rPr>
        <w:t xml:space="preserve"> (74 Phil. 257), police officers shot a sleeping man without verifying his identity; mistake of fact was rejected because of gross negligence.</w:t>
      </w:r>
    </w:p>
    <w:p>
      <w:pPr>
        <w:keepNext/>
        <w:spacing w:before="160" w:after="40"/>
      </w:pPr>
      <w:r>
        <w:rPr>
          <w:rFonts w:ascii="Segoe UI" w:hAnsi="Segoe UI"/>
          <w:b/>
          <w:color w:val="262626"/>
          <w:sz w:val="21"/>
        </w:rPr>
        <w:t>B. Culpable Felonies (Culpa, Arts. 3 &amp; 365)</w:t>
      </w:r>
    </w:p>
    <w:p>
      <w:pPr>
        <w:pStyle w:val="ListBullet"/>
        <w:spacing w:before="20" w:after="40" w:line="276" w:lineRule="auto"/>
      </w:pPr>
      <w:r>
        <w:rPr>
          <w:rFonts w:ascii="Calibri" w:hAnsi="Calibri"/>
          <w:b/>
          <w:i w:val="0"/>
          <w:color w:val="262626"/>
          <w:sz w:val="20"/>
        </w:rPr>
        <w:t>Three Requisites of Culpa:</w:t>
      </w:r>
    </w:p>
    <w:p>
      <w:pPr>
        <w:pStyle w:val="ListNumber"/>
        <w:spacing w:before="40" w:after="40" w:line="276" w:lineRule="auto"/>
      </w:pPr>
      <w:r>
        <w:rPr>
          <w:rFonts w:ascii="Calibri" w:hAnsi="Calibri"/>
          <w:i w:val="0"/>
          <w:color w:val="262626"/>
          <w:sz w:val="20"/>
        </w:rPr>
        <w:t>Freedom</w:t>
      </w:r>
    </w:p>
    <w:p>
      <w:pPr>
        <w:pStyle w:val="ListNumber"/>
        <w:spacing w:before="40" w:after="40" w:line="276" w:lineRule="auto"/>
      </w:pPr>
      <w:r>
        <w:rPr>
          <w:rFonts w:ascii="Calibri" w:hAnsi="Calibri"/>
          <w:i w:val="0"/>
          <w:color w:val="262626"/>
          <w:sz w:val="20"/>
        </w:rPr>
        <w:t>Intelligence</w:t>
      </w:r>
    </w:p>
    <w:p>
      <w:pPr>
        <w:pStyle w:val="ListNumber"/>
        <w:spacing w:before="40" w:after="40" w:line="276" w:lineRule="auto"/>
      </w:pPr>
      <w:r>
        <w:rPr>
          <w:rFonts w:ascii="Calibri" w:hAnsi="Calibri"/>
          <w:b/>
          <w:i w:val="0"/>
          <w:color w:val="262626"/>
          <w:sz w:val="20"/>
        </w:rPr>
        <w:t>Imprudence or Negligence:</w:t>
      </w:r>
    </w:p>
    <w:p>
      <w:pPr>
        <w:pStyle w:val="ListBullet"/>
        <w:spacing w:before="20" w:after="40" w:line="276" w:lineRule="auto"/>
      </w:pPr>
      <w:r>
        <w:rPr>
          <w:rFonts w:ascii="Calibri" w:hAnsi="Calibri"/>
          <w:i/>
          <w:color w:val="262626"/>
          <w:sz w:val="20"/>
        </w:rPr>
        <w:t>Imprudence (Deficiency of Action):</w:t>
      </w:r>
      <w:r>
        <w:rPr>
          <w:rFonts w:ascii="Calibri" w:hAnsi="Calibri"/>
          <w:i w:val="0"/>
          <w:color w:val="262626"/>
          <w:sz w:val="20"/>
        </w:rPr>
        <w:t xml:space="preserve"> Doing what ought not to be done; failure to take necessary precautions.</w:t>
      </w:r>
    </w:p>
    <w:p>
      <w:pPr>
        <w:pStyle w:val="ListBullet"/>
        <w:spacing w:before="20" w:after="40" w:line="276" w:lineRule="auto"/>
      </w:pPr>
      <w:r>
        <w:rPr>
          <w:rFonts w:ascii="Calibri" w:hAnsi="Calibri"/>
          <w:i/>
          <w:color w:val="262626"/>
          <w:sz w:val="20"/>
        </w:rPr>
        <w:t>Negligence (Deficiency of Perception):</w:t>
      </w:r>
      <w:r>
        <w:rPr>
          <w:rFonts w:ascii="Calibri" w:hAnsi="Calibri"/>
          <w:i w:val="0"/>
          <w:color w:val="262626"/>
          <w:sz w:val="20"/>
        </w:rPr>
        <w:t xml:space="preserve"> Failing to do what ought to be done; lack of foresight or care.</w:t>
      </w:r>
    </w:p>
    <w:p>
      <w:pPr>
        <w:pStyle w:val="ListBullet"/>
        <w:spacing w:before="20" w:after="40" w:line="276" w:lineRule="auto"/>
      </w:pPr>
      <w:r>
        <w:rPr>
          <w:rFonts w:ascii="Calibri" w:hAnsi="Calibri"/>
          <w:b/>
          <w:i w:val="0"/>
          <w:color w:val="262626"/>
          <w:sz w:val="20"/>
        </w:rPr>
        <w:t>Ivler Doctrine:</w:t>
      </w:r>
      <w:r>
        <w:rPr>
          <w:rFonts w:ascii="Calibri" w:hAnsi="Calibri"/>
          <w:i w:val="0"/>
          <w:color w:val="262626"/>
          <w:sz w:val="20"/>
        </w:rPr>
        <w:t xml:space="preserve"> Under Philippine law, reckless imprudence under Article 365 is a single, distinct crime; it cannot be complexed with its resulting physical injuries or homicide under Article 48.</w:t>
      </w:r>
    </w:p>
    <w:p>
      <w:pPr>
        <w:keepNext/>
        <w:spacing w:before="200" w:after="60"/>
      </w:pPr>
      <w:r>
        <w:rPr>
          <w:rFonts w:ascii="Segoe UI" w:hAnsi="Segoe UI"/>
          <w:b/>
          <w:color w:val="1F4E79"/>
          <w:sz w:val="23"/>
        </w:rPr>
        <w:t>3. How Criminal Liability is Incurred (Article 4 RPC)</w:t>
      </w:r>
    </w:p>
    <w:p>
      <w:pPr>
        <w:keepNext/>
        <w:spacing w:before="160" w:after="40"/>
      </w:pPr>
      <w:r>
        <w:rPr>
          <w:rFonts w:ascii="Segoe UI" w:hAnsi="Segoe UI"/>
          <w:b/>
          <w:color w:val="262626"/>
          <w:sz w:val="21"/>
        </w:rPr>
        <w:t>A. Article 4, Paragraph 1 — Proximate Cause Doctrine</w:t>
      </w:r>
    </w:p>
    <w:p>
      <w:pPr>
        <w:pStyle w:val="ListBullet"/>
        <w:spacing w:before="20" w:after="40" w:line="276" w:lineRule="auto"/>
      </w:pPr>
      <w:r>
        <w:rPr>
          <w:rFonts w:ascii="Calibri" w:hAnsi="Calibri"/>
          <w:b/>
          <w:i w:val="0"/>
          <w:color w:val="262626"/>
          <w:sz w:val="20"/>
        </w:rPr>
        <w:t>Principle:</w:t>
      </w:r>
      <w:r>
        <w:rPr>
          <w:rFonts w:ascii="Calibri" w:hAnsi="Calibri"/>
          <w:i w:val="0"/>
          <w:color w:val="262626"/>
          <w:sz w:val="20"/>
        </w:rPr>
        <w:t xml:space="preserve"> Any person committing a felony (</w:t>
      </w:r>
      <w:r>
        <w:rPr>
          <w:rFonts w:ascii="Calibri" w:hAnsi="Calibri"/>
          <w:i/>
          <w:color w:val="262626"/>
          <w:sz w:val="20"/>
        </w:rPr>
        <w:t>delito</w:t>
      </w:r>
      <w:r>
        <w:rPr>
          <w:rFonts w:ascii="Calibri" w:hAnsi="Calibri"/>
          <w:i w:val="0"/>
          <w:color w:val="262626"/>
          <w:sz w:val="20"/>
        </w:rPr>
        <w:t>) incurs criminal liability although the wrongful act done be different from that which he intended (</w:t>
      </w:r>
      <w:r>
        <w:rPr>
          <w:rFonts w:ascii="Calibri" w:hAnsi="Calibri"/>
          <w:i/>
          <w:color w:val="262626"/>
          <w:sz w:val="20"/>
        </w:rPr>
        <w:t>el que es causa de la causa es causa del mal causado</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Requisites:</w:t>
      </w:r>
    </w:p>
    <w:p>
      <w:pPr>
        <w:pStyle w:val="ListNumber"/>
        <w:spacing w:before="40" w:after="40" w:line="276" w:lineRule="auto"/>
      </w:pPr>
      <w:r>
        <w:rPr>
          <w:rFonts w:ascii="Calibri" w:hAnsi="Calibri"/>
          <w:i w:val="0"/>
          <w:color w:val="262626"/>
          <w:sz w:val="20"/>
        </w:rPr>
        <w:t>That an intentional felony was committed.</w:t>
      </w:r>
    </w:p>
    <w:p>
      <w:pPr>
        <w:pStyle w:val="ListNumber"/>
        <w:spacing w:before="40" w:after="40" w:line="276" w:lineRule="auto"/>
      </w:pPr>
      <w:r>
        <w:rPr>
          <w:rFonts w:ascii="Calibri" w:hAnsi="Calibri"/>
          <w:i w:val="0"/>
          <w:color w:val="262626"/>
          <w:sz w:val="20"/>
        </w:rPr>
        <w:t>That the wrong done is the direct, natural, and logical consequence (proximate cause).</w:t>
      </w:r>
    </w:p>
    <w:p>
      <w:pPr>
        <w:pStyle w:val="ListBullet"/>
        <w:spacing w:before="20" w:after="40" w:line="276" w:lineRule="auto"/>
      </w:pPr>
      <w:r>
        <w:rPr>
          <w:rFonts w:ascii="Calibri" w:hAnsi="Calibri"/>
          <w:b/>
          <w:i w:val="0"/>
          <w:color w:val="262626"/>
          <w:sz w:val="20"/>
        </w:rPr>
        <w:t>Three Classic Causes of Divergence:</w:t>
      </w:r>
    </w:p>
    <w:p>
      <w:pPr>
        <w:pStyle w:val="ListNumber"/>
        <w:spacing w:before="40" w:after="40" w:line="276" w:lineRule="auto"/>
      </w:pPr>
      <w:r>
        <w:rPr>
          <w:rFonts w:ascii="Calibri" w:hAnsi="Calibri"/>
          <w:b/>
          <w:i w:val="0"/>
          <w:color w:val="262626"/>
          <w:sz w:val="20"/>
        </w:rPr>
        <w:t>Praeter Intentionem (Art. 13[3]):</w:t>
      </w:r>
      <w:r>
        <w:rPr>
          <w:rFonts w:ascii="Calibri" w:hAnsi="Calibri"/>
          <w:i w:val="0"/>
          <w:color w:val="262626"/>
          <w:sz w:val="20"/>
        </w:rPr>
        <w:t xml:space="preserve"> Injurious result is graver than intended -&gt; Ordinary mitigating circumstance (</w:t>
      </w:r>
      <w:r>
        <w:rPr>
          <w:rFonts w:ascii="Calibri" w:hAnsi="Calibri"/>
          <w:i w:val="0"/>
          <w:color w:val="2E75B6"/>
          <w:sz w:val="20"/>
          <w:u w:val="single"/>
        </w:rPr>
        <w:t>U.S. v. Brobst</w:t>
      </w:r>
      <w:r>
        <w:rPr>
          <w:rFonts w:ascii="Calibri" w:hAnsi="Calibri"/>
          <w:i w:val="0"/>
          <w:color w:val="262626"/>
          <w:sz w:val="20"/>
        </w:rPr>
        <w:t xml:space="preserve">, 14 Phil. 310; </w:t>
      </w:r>
      <w:r>
        <w:rPr>
          <w:rFonts w:ascii="Calibri" w:hAnsi="Calibri"/>
          <w:i w:val="0"/>
          <w:color w:val="2E75B6"/>
          <w:sz w:val="20"/>
          <w:u w:val="single"/>
        </w:rPr>
        <w:t>People v. Albuquerque</w:t>
      </w:r>
      <w:r>
        <w:rPr>
          <w:rFonts w:ascii="Calibri" w:hAnsi="Calibri"/>
          <w:i w:val="0"/>
          <w:color w:val="262626"/>
          <w:sz w:val="20"/>
        </w:rPr>
        <w:t>, 59 Phil. 150).</w:t>
      </w:r>
    </w:p>
    <w:p>
      <w:pPr>
        <w:pStyle w:val="ListNumber"/>
        <w:spacing w:before="40" w:after="40" w:line="276" w:lineRule="auto"/>
      </w:pPr>
      <w:r>
        <w:rPr>
          <w:rFonts w:ascii="Calibri" w:hAnsi="Calibri"/>
          <w:b/>
          <w:i w:val="0"/>
          <w:color w:val="262626"/>
          <w:sz w:val="20"/>
        </w:rPr>
        <w:t>Aberratio Ictus (Mistake in the Blow):</w:t>
      </w:r>
      <w:r>
        <w:rPr>
          <w:rFonts w:ascii="Calibri" w:hAnsi="Calibri"/>
          <w:i w:val="0"/>
          <w:color w:val="262626"/>
          <w:sz w:val="20"/>
        </w:rPr>
        <w:t xml:space="preserve"> Offender aims at A, but strikes B due to bad aim -&gt; Complex crime under Article 48 (</w:t>
      </w:r>
      <w:r>
        <w:rPr>
          <w:rFonts w:ascii="Calibri" w:hAnsi="Calibri"/>
          <w:i w:val="0"/>
          <w:color w:val="2E75B6"/>
          <w:sz w:val="20"/>
          <w:u w:val="single"/>
        </w:rPr>
        <w:t>People v. Adriano</w:t>
      </w:r>
      <w:r>
        <w:rPr>
          <w:rFonts w:ascii="Calibri" w:hAnsi="Calibri"/>
          <w:i w:val="0"/>
          <w:color w:val="262626"/>
          <w:sz w:val="20"/>
        </w:rPr>
        <w:t xml:space="preserve">, 2015; </w:t>
      </w:r>
      <w:r>
        <w:rPr>
          <w:rFonts w:ascii="Calibri" w:hAnsi="Calibri"/>
          <w:i w:val="0"/>
          <w:color w:val="2E75B6"/>
          <w:sz w:val="20"/>
          <w:u w:val="single"/>
        </w:rPr>
        <w:t>People v. Guillen</w:t>
      </w:r>
      <w:r>
        <w:rPr>
          <w:rFonts w:ascii="Calibri" w:hAnsi="Calibri"/>
          <w:i w:val="0"/>
          <w:color w:val="262626"/>
          <w:sz w:val="20"/>
        </w:rPr>
        <w:t>, 85 Phil. 307).</w:t>
      </w:r>
    </w:p>
    <w:p>
      <w:pPr>
        <w:pStyle w:val="ListNumber"/>
        <w:spacing w:before="40" w:after="40" w:line="276" w:lineRule="auto"/>
      </w:pPr>
      <w:r>
        <w:rPr>
          <w:rFonts w:ascii="Calibri" w:hAnsi="Calibri"/>
          <w:b/>
          <w:i w:val="0"/>
          <w:color w:val="262626"/>
          <w:sz w:val="20"/>
        </w:rPr>
        <w:t>Error in Personae (Mistake in Identity):</w:t>
      </w:r>
      <w:r>
        <w:rPr>
          <w:rFonts w:ascii="Calibri" w:hAnsi="Calibri"/>
          <w:i w:val="0"/>
          <w:color w:val="262626"/>
          <w:sz w:val="20"/>
        </w:rPr>
        <w:t xml:space="preserve"> Offender aims at B believing him to be A -&gt; Governed by Article 49; penalty for the lesser crime in its maximum period (</w:t>
      </w:r>
      <w:r>
        <w:rPr>
          <w:rFonts w:ascii="Calibri" w:hAnsi="Calibri"/>
          <w:i w:val="0"/>
          <w:color w:val="2E75B6"/>
          <w:sz w:val="20"/>
          <w:u w:val="single"/>
        </w:rPr>
        <w:t>People v. Sabalones</w:t>
      </w:r>
      <w:r>
        <w:rPr>
          <w:rFonts w:ascii="Calibri" w:hAnsi="Calibri"/>
          <w:i w:val="0"/>
          <w:color w:val="262626"/>
          <w:sz w:val="20"/>
        </w:rPr>
        <w:t xml:space="preserve">, 1998; </w:t>
      </w:r>
      <w:r>
        <w:rPr>
          <w:rFonts w:ascii="Calibri" w:hAnsi="Calibri"/>
          <w:i w:val="0"/>
          <w:color w:val="2E75B6"/>
          <w:sz w:val="20"/>
          <w:u w:val="single"/>
        </w:rPr>
        <w:t>People v. Hilario</w:t>
      </w:r>
      <w:r>
        <w:rPr>
          <w:rFonts w:ascii="Calibri" w:hAnsi="Calibri"/>
          <w:i w:val="0"/>
          <w:color w:val="262626"/>
          <w:sz w:val="20"/>
        </w:rPr>
        <w:t>, 2001).</w:t>
      </w:r>
    </w:p>
    <w:p>
      <w:pPr>
        <w:keepNext/>
        <w:spacing w:before="160" w:after="40"/>
      </w:pPr>
      <w:r>
        <w:rPr>
          <w:rFonts w:ascii="Segoe UI" w:hAnsi="Segoe UI"/>
          <w:b/>
          <w:color w:val="262626"/>
          <w:sz w:val="21"/>
        </w:rPr>
        <w:t>B. Article 4, Paragraph 2 — Impossible Crimes</w:t>
      </w:r>
    </w:p>
    <w:p>
      <w:pPr>
        <w:pStyle w:val="ListBullet"/>
        <w:spacing w:before="20" w:after="40" w:line="276" w:lineRule="auto"/>
      </w:pPr>
      <w:r>
        <w:rPr>
          <w:rFonts w:ascii="Calibri" w:hAnsi="Calibri"/>
          <w:b/>
          <w:i w:val="0"/>
          <w:color w:val="262626"/>
          <w:sz w:val="20"/>
        </w:rPr>
        <w:t>Requisites:</w:t>
      </w:r>
    </w:p>
    <w:p>
      <w:pPr>
        <w:pStyle w:val="ListNumber"/>
        <w:spacing w:before="40" w:after="40" w:line="276" w:lineRule="auto"/>
      </w:pPr>
      <w:r>
        <w:rPr>
          <w:rFonts w:ascii="Calibri" w:hAnsi="Calibri"/>
          <w:i w:val="0"/>
          <w:color w:val="262626"/>
          <w:sz w:val="20"/>
        </w:rPr>
        <w:t xml:space="preserve">The act performed would be an offense against </w:t>
      </w:r>
      <w:r>
        <w:rPr>
          <w:rFonts w:ascii="Calibri" w:hAnsi="Calibri"/>
          <w:b/>
          <w:i w:val="0"/>
          <w:color w:val="262626"/>
          <w:sz w:val="20"/>
        </w:rPr>
        <w:t>PERSONS</w:t>
      </w:r>
      <w:r>
        <w:rPr>
          <w:rFonts w:ascii="Calibri" w:hAnsi="Calibri"/>
          <w:i w:val="0"/>
          <w:color w:val="262626"/>
          <w:sz w:val="20"/>
        </w:rPr>
        <w:t xml:space="preserve"> or </w:t>
      </w:r>
      <w:r>
        <w:rPr>
          <w:rFonts w:ascii="Calibri" w:hAnsi="Calibri"/>
          <w:b/>
          <w:i w:val="0"/>
          <w:color w:val="262626"/>
          <w:sz w:val="20"/>
        </w:rPr>
        <w:t>PROPERTY</w:t>
      </w:r>
      <w:r>
        <w:rPr>
          <w:rFonts w:ascii="Calibri" w:hAnsi="Calibri"/>
          <w:i w:val="0"/>
          <w:color w:val="262626"/>
          <w:sz w:val="20"/>
        </w:rPr>
        <w:t>.</w:t>
      </w:r>
    </w:p>
    <w:p>
      <w:pPr>
        <w:pStyle w:val="ListNumber"/>
        <w:spacing w:before="40" w:after="40" w:line="276" w:lineRule="auto"/>
      </w:pPr>
      <w:r>
        <w:rPr>
          <w:rFonts w:ascii="Calibri" w:hAnsi="Calibri"/>
          <w:i w:val="0"/>
          <w:color w:val="262626"/>
          <w:sz w:val="20"/>
        </w:rPr>
        <w:t xml:space="preserve">Performed with </w:t>
      </w:r>
      <w:r>
        <w:rPr>
          <w:rFonts w:ascii="Calibri" w:hAnsi="Calibri"/>
          <w:b/>
          <w:i w:val="0"/>
          <w:color w:val="262626"/>
          <w:sz w:val="20"/>
        </w:rPr>
        <w:t>EVIL INTENT</w:t>
      </w:r>
      <w:r>
        <w:rPr>
          <w:rFonts w:ascii="Calibri" w:hAnsi="Calibri"/>
          <w:i w:val="0"/>
          <w:color w:val="262626"/>
          <w:sz w:val="20"/>
        </w:rPr>
        <w:t>.</w:t>
      </w:r>
    </w:p>
    <w:p>
      <w:pPr>
        <w:pStyle w:val="ListNumber"/>
        <w:spacing w:before="40" w:after="40" w:line="276" w:lineRule="auto"/>
      </w:pPr>
      <w:r>
        <w:rPr>
          <w:rFonts w:ascii="Calibri" w:hAnsi="Calibri"/>
          <w:i w:val="0"/>
          <w:color w:val="262626"/>
          <w:sz w:val="20"/>
        </w:rPr>
        <w:t xml:space="preserve">Accomplishment is </w:t>
      </w:r>
      <w:r>
        <w:rPr>
          <w:rFonts w:ascii="Calibri" w:hAnsi="Calibri"/>
          <w:b/>
          <w:i w:val="0"/>
          <w:color w:val="262626"/>
          <w:sz w:val="20"/>
        </w:rPr>
        <w:t>INHERENTLY IMPOSSIBLE</w:t>
      </w:r>
      <w:r>
        <w:rPr>
          <w:rFonts w:ascii="Calibri" w:hAnsi="Calibri"/>
          <w:i w:val="0"/>
          <w:color w:val="262626"/>
          <w:sz w:val="20"/>
        </w:rPr>
        <w:t xml:space="preserve"> (physically or legally), or the means employed are </w:t>
      </w:r>
      <w:r>
        <w:rPr>
          <w:rFonts w:ascii="Calibri" w:hAnsi="Calibri"/>
          <w:b/>
          <w:i w:val="0"/>
          <w:color w:val="262626"/>
          <w:sz w:val="20"/>
        </w:rPr>
        <w:t>INADEQUATE</w:t>
      </w:r>
      <w:r>
        <w:rPr>
          <w:rFonts w:ascii="Calibri" w:hAnsi="Calibri"/>
          <w:i w:val="0"/>
          <w:color w:val="262626"/>
          <w:sz w:val="20"/>
        </w:rPr>
        <w:t xml:space="preserve"> or </w:t>
      </w:r>
      <w:r>
        <w:rPr>
          <w:rFonts w:ascii="Calibri" w:hAnsi="Calibri"/>
          <w:b/>
          <w:i w:val="0"/>
          <w:color w:val="262626"/>
          <w:sz w:val="20"/>
        </w:rPr>
        <w:t>INEFFECTUAL</w:t>
      </w:r>
      <w:r>
        <w:rPr>
          <w:rFonts w:ascii="Calibri" w:hAnsi="Calibri"/>
          <w:i w:val="0"/>
          <w:color w:val="262626"/>
          <w:sz w:val="20"/>
        </w:rPr>
        <w:t>.</w:t>
      </w:r>
    </w:p>
    <w:p>
      <w:pPr>
        <w:pStyle w:val="ListNumber"/>
        <w:spacing w:before="40" w:after="40" w:line="276" w:lineRule="auto"/>
      </w:pPr>
      <w:r>
        <w:rPr>
          <w:rFonts w:ascii="Calibri" w:hAnsi="Calibri"/>
          <w:i w:val="0"/>
          <w:color w:val="262626"/>
          <w:sz w:val="20"/>
        </w:rPr>
        <w:t>The act performed does not constitute another violation of the RPC.</w:t>
      </w:r>
    </w:p>
    <w:p>
      <w:pPr>
        <w:pStyle w:val="ListBullet"/>
        <w:spacing w:before="20" w:after="40" w:line="276" w:lineRule="auto"/>
      </w:pPr>
      <w:r>
        <w:rPr>
          <w:rFonts w:ascii="Calibri" w:hAnsi="Calibri"/>
          <w:b/>
          <w:i w:val="0"/>
          <w:color w:val="262626"/>
          <w:sz w:val="20"/>
        </w:rPr>
        <w:t>Penalty (Article 59 RPC):</w:t>
      </w:r>
      <w:r>
        <w:rPr>
          <w:rFonts w:ascii="Calibri" w:hAnsi="Calibri"/>
          <w:i w:val="0"/>
          <w:color w:val="262626"/>
          <w:sz w:val="20"/>
        </w:rPr>
        <w:t xml:space="preserve"> </w:t>
      </w:r>
      <w:r>
        <w:rPr>
          <w:rFonts w:ascii="Calibri" w:hAnsi="Calibri"/>
          <w:i/>
          <w:color w:val="262626"/>
          <w:sz w:val="20"/>
        </w:rPr>
        <w:t>Arresto mayor</w:t>
      </w:r>
      <w:r>
        <w:rPr>
          <w:rFonts w:ascii="Calibri" w:hAnsi="Calibri"/>
          <w:i w:val="0"/>
          <w:color w:val="262626"/>
          <w:sz w:val="20"/>
        </w:rPr>
        <w:t xml:space="preserve"> or fine from ₱40,000 to ₱200,000.</w:t>
      </w:r>
    </w:p>
    <w:p>
      <w:pPr>
        <w:pStyle w:val="ListBullet"/>
        <w:spacing w:before="20" w:after="40" w:line="276" w:lineRule="auto"/>
      </w:pPr>
      <w:r>
        <w:rPr>
          <w:rFonts w:ascii="Calibri" w:hAnsi="Calibri"/>
          <w:i/>
          <w:color w:val="262626"/>
          <w:sz w:val="20"/>
        </w:rPr>
        <w:t>Cases:</w:t>
      </w:r>
      <w:r>
        <w:rPr>
          <w:rFonts w:ascii="Calibri" w:hAnsi="Calibri"/>
          <w:i w:val="0"/>
          <w:color w:val="262626"/>
          <w:sz w:val="20"/>
        </w:rPr>
        <w:t xml:space="preserve"> </w:t>
      </w:r>
      <w:r>
        <w:rPr>
          <w:rFonts w:ascii="Calibri" w:hAnsi="Calibri"/>
          <w:i w:val="0"/>
          <w:color w:val="2E75B6"/>
          <w:sz w:val="20"/>
          <w:u w:val="single"/>
        </w:rPr>
        <w:t>Intod v. CA</w:t>
      </w:r>
      <w:r>
        <w:rPr>
          <w:rFonts w:ascii="Calibri" w:hAnsi="Calibri"/>
          <w:i w:val="0"/>
          <w:color w:val="262626"/>
          <w:sz w:val="20"/>
        </w:rPr>
        <w:t xml:space="preserve"> (215 SCRA 52 — firing into an empty bedroom; factual/physical impossibility); </w:t>
      </w:r>
      <w:r>
        <w:rPr>
          <w:rFonts w:ascii="Calibri" w:hAnsi="Calibri"/>
          <w:i w:val="0"/>
          <w:color w:val="2E75B6"/>
          <w:sz w:val="20"/>
          <w:u w:val="single"/>
        </w:rPr>
        <w:t>Jacinto v. People</w:t>
      </w:r>
      <w:r>
        <w:rPr>
          <w:rFonts w:ascii="Calibri" w:hAnsi="Calibri"/>
          <w:i w:val="0"/>
          <w:color w:val="262626"/>
          <w:sz w:val="20"/>
        </w:rPr>
        <w:t xml:space="preserve"> (2009 — stealing a worthless post-dated check; impossible crime of theft).</w:t>
      </w:r>
    </w:p>
    <w:p>
      <w:pPr>
        <w:keepNext/>
        <w:spacing w:before="200" w:after="60"/>
      </w:pPr>
      <w:r>
        <w:rPr>
          <w:rFonts w:ascii="Segoe UI" w:hAnsi="Segoe UI"/>
          <w:b/>
          <w:color w:val="1F4E79"/>
          <w:sz w:val="23"/>
        </w:rPr>
        <w:t>4. Stages of Execution (Articles 6 &amp; 7 RPC)</w:t>
      </w:r>
    </w:p>
    <w:p>
      <w:pPr>
        <w:pStyle w:val="ListBullet"/>
        <w:spacing w:before="20" w:after="40" w:line="276" w:lineRule="auto"/>
      </w:pPr>
      <w:r>
        <w:rPr>
          <w:rFonts w:ascii="Calibri" w:hAnsi="Calibri"/>
          <w:b/>
          <w:i w:val="0"/>
          <w:color w:val="262626"/>
          <w:sz w:val="20"/>
        </w:rPr>
        <w:t>Consummated:</w:t>
      </w:r>
      <w:r>
        <w:rPr>
          <w:rFonts w:ascii="Calibri" w:hAnsi="Calibri"/>
          <w:i w:val="0"/>
          <w:color w:val="262626"/>
          <w:sz w:val="20"/>
        </w:rPr>
        <w:t xml:space="preserve"> All elements necessary for execution and accomplishment are present.</w:t>
      </w:r>
    </w:p>
    <w:p>
      <w:pPr>
        <w:pStyle w:val="ListBullet"/>
        <w:spacing w:before="20" w:after="40" w:line="276" w:lineRule="auto"/>
      </w:pPr>
      <w:r>
        <w:rPr>
          <w:rFonts w:ascii="Calibri" w:hAnsi="Calibri"/>
          <w:b/>
          <w:i w:val="0"/>
          <w:color w:val="262626"/>
          <w:sz w:val="20"/>
        </w:rPr>
        <w:t>Frustrated:</w:t>
      </w:r>
      <w:r>
        <w:rPr>
          <w:rFonts w:ascii="Calibri" w:hAnsi="Calibri"/>
          <w:i w:val="0"/>
          <w:color w:val="262626"/>
          <w:sz w:val="20"/>
        </w:rPr>
        <w:t xml:space="preserve"> Offender performs all acts of execution which should produce the felony as a consequence, but which nevertheless do not produce it by reason of causes independent of the will of the perpetrator (subjective phase completely passed).</w:t>
      </w:r>
    </w:p>
    <w:p>
      <w:pPr>
        <w:pStyle w:val="ListBullet"/>
        <w:spacing w:before="20" w:after="40" w:line="276" w:lineRule="auto"/>
      </w:pPr>
      <w:r>
        <w:rPr>
          <w:rFonts w:ascii="Calibri" w:hAnsi="Calibri"/>
          <w:b/>
          <w:i w:val="0"/>
          <w:color w:val="262626"/>
          <w:sz w:val="20"/>
        </w:rPr>
        <w:t>Attempted:</w:t>
      </w:r>
      <w:r>
        <w:rPr>
          <w:rFonts w:ascii="Calibri" w:hAnsi="Calibri"/>
          <w:i w:val="0"/>
          <w:color w:val="262626"/>
          <w:sz w:val="20"/>
        </w:rPr>
        <w:t xml:space="preserve"> Offender commences commission directly by overt acts, but does not perform all acts of execution by reason of some cause or accident other than his own spontaneous desistance (still in subjective phase).</w:t>
      </w:r>
    </w:p>
    <w:p>
      <w:pPr>
        <w:pStyle w:val="ListBullet"/>
        <w:spacing w:before="20" w:after="40" w:line="276" w:lineRule="auto"/>
      </w:pPr>
      <w:r>
        <w:rPr>
          <w:rFonts w:ascii="Calibri" w:hAnsi="Calibri"/>
          <w:b/>
          <w:i w:val="0"/>
          <w:color w:val="262626"/>
          <w:sz w:val="20"/>
        </w:rPr>
        <w:t>Spontaneous Desistance (Art. 6 par. 3):</w:t>
      </w:r>
      <w:r>
        <w:rPr>
          <w:rFonts w:ascii="Calibri" w:hAnsi="Calibri"/>
          <w:i w:val="0"/>
          <w:color w:val="262626"/>
          <w:sz w:val="20"/>
        </w:rPr>
        <w:t xml:space="preserve"> An absolutory cause exempting from liability for the attempted stage if the actor desists voluntarily before performing all acts of execution.</w:t>
      </w:r>
    </w:p>
    <w:p>
      <w:pPr>
        <w:pStyle w:val="ListBullet"/>
        <w:spacing w:before="20" w:after="40" w:line="276" w:lineRule="auto"/>
      </w:pPr>
      <w:r>
        <w:rPr>
          <w:rFonts w:ascii="Calibri" w:hAnsi="Calibri"/>
          <w:b/>
          <w:i w:val="0"/>
          <w:color w:val="262626"/>
          <w:sz w:val="20"/>
        </w:rPr>
        <w:t>Specific Crime Stage Doctrines in Syllabus:</w:t>
      </w:r>
    </w:p>
    <w:p>
      <w:pPr>
        <w:pStyle w:val="ListBullet"/>
        <w:spacing w:before="20" w:after="40" w:line="276" w:lineRule="auto"/>
      </w:pPr>
      <w:r>
        <w:rPr>
          <w:rFonts w:ascii="Calibri" w:hAnsi="Calibri"/>
          <w:b/>
          <w:i w:val="0"/>
          <w:color w:val="262626"/>
          <w:sz w:val="20"/>
        </w:rPr>
        <w:t>Theft:</w:t>
      </w:r>
      <w:r>
        <w:rPr>
          <w:rFonts w:ascii="Calibri" w:hAnsi="Calibri"/>
          <w:i w:val="0"/>
          <w:color w:val="262626"/>
          <w:sz w:val="20"/>
        </w:rPr>
        <w:t xml:space="preserve"> Consummated upon unlawful taking into physical/constructive possession. Under Philippine law, </w:t>
      </w:r>
      <w:r>
        <w:rPr>
          <w:rFonts w:ascii="Calibri" w:hAnsi="Calibri"/>
          <w:b/>
          <w:i w:val="0"/>
          <w:color w:val="262626"/>
          <w:sz w:val="20"/>
        </w:rPr>
        <w:t>THERE IS NO FRUSTRATED THEFT</w:t>
      </w:r>
      <w:r>
        <w:rPr>
          <w:rFonts w:ascii="Calibri" w:hAnsi="Calibri"/>
          <w:i w:val="0"/>
          <w:color w:val="262626"/>
          <w:sz w:val="20"/>
        </w:rPr>
        <w:t xml:space="preserve"> (</w:t>
      </w:r>
      <w:r>
        <w:rPr>
          <w:rFonts w:ascii="Calibri" w:hAnsi="Calibri"/>
          <w:i w:val="0"/>
          <w:color w:val="2E75B6"/>
          <w:sz w:val="20"/>
          <w:u w:val="single"/>
        </w:rPr>
        <w:t>Aristotel Valenzuela v. People</w:t>
      </w:r>
      <w:r>
        <w:rPr>
          <w:rFonts w:ascii="Calibri" w:hAnsi="Calibri"/>
          <w:i w:val="0"/>
          <w:color w:val="262626"/>
          <w:sz w:val="20"/>
        </w:rPr>
        <w:t>, G.R. No. 160188, 2007).</w:t>
      </w:r>
    </w:p>
    <w:p>
      <w:pPr>
        <w:pStyle w:val="ListBullet"/>
        <w:spacing w:before="20" w:after="40" w:line="276" w:lineRule="auto"/>
      </w:pPr>
      <w:r>
        <w:rPr>
          <w:rFonts w:ascii="Calibri" w:hAnsi="Calibri"/>
          <w:b/>
          <w:i w:val="0"/>
          <w:color w:val="262626"/>
          <w:sz w:val="20"/>
        </w:rPr>
        <w:t>Rape:</w:t>
      </w:r>
      <w:r>
        <w:rPr>
          <w:rFonts w:ascii="Calibri" w:hAnsi="Calibri"/>
          <w:i w:val="0"/>
          <w:color w:val="262626"/>
          <w:sz w:val="20"/>
        </w:rPr>
        <w:t xml:space="preserve"> Consummated by the </w:t>
      </w:r>
      <w:r>
        <w:rPr>
          <w:rFonts w:ascii="Calibri" w:hAnsi="Calibri"/>
          <w:b/>
          <w:i w:val="0"/>
          <w:color w:val="262626"/>
          <w:sz w:val="20"/>
        </w:rPr>
        <w:t>slightest labial penetration</w:t>
      </w:r>
      <w:r>
        <w:rPr>
          <w:rFonts w:ascii="Calibri" w:hAnsi="Calibri"/>
          <w:i w:val="0"/>
          <w:color w:val="262626"/>
          <w:sz w:val="20"/>
        </w:rPr>
        <w:t xml:space="preserve"> of the female organ by the male organ; emission or hymen rupture is not required (</w:t>
      </w:r>
      <w:r>
        <w:rPr>
          <w:rFonts w:ascii="Calibri" w:hAnsi="Calibri"/>
          <w:i w:val="0"/>
          <w:color w:val="2E75B6"/>
          <w:sz w:val="20"/>
          <w:u w:val="single"/>
        </w:rPr>
        <w:t>People v. Erinia</w:t>
      </w:r>
      <w:r>
        <w:rPr>
          <w:rFonts w:ascii="Calibri" w:hAnsi="Calibri"/>
          <w:i w:val="0"/>
          <w:color w:val="262626"/>
          <w:sz w:val="20"/>
        </w:rPr>
        <w:t xml:space="preserve">, 50 Phil. 998; </w:t>
      </w:r>
      <w:r>
        <w:rPr>
          <w:rFonts w:ascii="Calibri" w:hAnsi="Calibri"/>
          <w:i w:val="0"/>
          <w:color w:val="2E75B6"/>
          <w:sz w:val="20"/>
          <w:u w:val="single"/>
        </w:rPr>
        <w:t>People v. Campuhan</w:t>
      </w:r>
      <w:r>
        <w:rPr>
          <w:rFonts w:ascii="Calibri" w:hAnsi="Calibri"/>
          <w:i w:val="0"/>
          <w:color w:val="262626"/>
          <w:sz w:val="20"/>
        </w:rPr>
        <w:t xml:space="preserve">, 329 SCRA 270; </w:t>
      </w:r>
      <w:r>
        <w:rPr>
          <w:rFonts w:ascii="Calibri" w:hAnsi="Calibri"/>
          <w:i w:val="0"/>
          <w:color w:val="2E75B6"/>
          <w:sz w:val="20"/>
          <w:u w:val="single"/>
        </w:rPr>
        <w:t>People v. Agao</w:t>
      </w:r>
      <w:r>
        <w:rPr>
          <w:rFonts w:ascii="Calibri" w:hAnsi="Calibri"/>
          <w:i w:val="0"/>
          <w:color w:val="262626"/>
          <w:sz w:val="20"/>
        </w:rPr>
        <w:t>, 2022).</w:t>
      </w:r>
    </w:p>
    <w:p>
      <w:pPr>
        <w:pStyle w:val="ListBullet"/>
        <w:spacing w:before="20" w:after="40" w:line="276" w:lineRule="auto"/>
      </w:pPr>
      <w:r>
        <w:rPr>
          <w:rFonts w:ascii="Calibri" w:hAnsi="Calibri"/>
          <w:b/>
          <w:i w:val="0"/>
          <w:color w:val="262626"/>
          <w:sz w:val="20"/>
        </w:rPr>
        <w:t>Robbery:</w:t>
      </w:r>
      <w:r>
        <w:rPr>
          <w:rFonts w:ascii="Calibri" w:hAnsi="Calibri"/>
          <w:i w:val="0"/>
          <w:color w:val="262626"/>
          <w:sz w:val="20"/>
        </w:rPr>
        <w:t xml:space="preserve"> Commences upon overt acts of violence or intimidation (</w:t>
      </w:r>
      <w:r>
        <w:rPr>
          <w:rFonts w:ascii="Calibri" w:hAnsi="Calibri"/>
          <w:i w:val="0"/>
          <w:color w:val="2E75B6"/>
          <w:sz w:val="20"/>
          <w:u w:val="single"/>
        </w:rPr>
        <w:t>People v. Lamahang</w:t>
      </w:r>
      <w:r>
        <w:rPr>
          <w:rFonts w:ascii="Calibri" w:hAnsi="Calibri"/>
          <w:i w:val="0"/>
          <w:color w:val="262626"/>
          <w:sz w:val="20"/>
        </w:rPr>
        <w:t xml:space="preserve">, 61 Phil. 703; </w:t>
      </w:r>
      <w:r>
        <w:rPr>
          <w:rFonts w:ascii="Calibri" w:hAnsi="Calibri"/>
          <w:i w:val="0"/>
          <w:color w:val="2E75B6"/>
          <w:sz w:val="20"/>
          <w:u w:val="single"/>
        </w:rPr>
        <w:t>People v. Salvilla</w:t>
      </w:r>
      <w:r>
        <w:rPr>
          <w:rFonts w:ascii="Calibri" w:hAnsi="Calibri"/>
          <w:i w:val="0"/>
          <w:color w:val="262626"/>
          <w:sz w:val="20"/>
        </w:rPr>
        <w:t>, 184 SCRA 671).</w:t>
      </w:r>
    </w:p>
    <w:p>
      <w:pPr>
        <w:pStyle w:val="ListBullet"/>
        <w:spacing w:before="20" w:after="40" w:line="276" w:lineRule="auto"/>
      </w:pPr>
      <w:r>
        <w:rPr>
          <w:rFonts w:ascii="Calibri" w:hAnsi="Calibri"/>
          <w:b/>
          <w:i w:val="0"/>
          <w:color w:val="262626"/>
          <w:sz w:val="20"/>
        </w:rPr>
        <w:t>Homicide / Murder (The Mortal Wound Test):</w:t>
      </w:r>
      <w:r>
        <w:rPr>
          <w:rFonts w:ascii="Calibri" w:hAnsi="Calibri"/>
          <w:i w:val="0"/>
          <w:color w:val="262626"/>
          <w:sz w:val="20"/>
        </w:rPr>
        <w:t xml:space="preserve"> Mortal wound inflicted + victim survives through prompt medical surgery = </w:t>
      </w:r>
      <w:r>
        <w:rPr>
          <w:rFonts w:ascii="Calibri" w:hAnsi="Calibri"/>
          <w:b/>
          <w:i w:val="0"/>
          <w:color w:val="262626"/>
          <w:sz w:val="20"/>
        </w:rPr>
        <w:t>FRUSTRATED</w:t>
      </w:r>
      <w:r>
        <w:rPr>
          <w:rFonts w:ascii="Calibri" w:hAnsi="Calibri"/>
          <w:i w:val="0"/>
          <w:color w:val="262626"/>
          <w:sz w:val="20"/>
        </w:rPr>
        <w:t xml:space="preserve">; non-mortal wound inflicted = </w:t>
      </w:r>
      <w:r>
        <w:rPr>
          <w:rFonts w:ascii="Calibri" w:hAnsi="Calibri"/>
          <w:b/>
          <w:i w:val="0"/>
          <w:color w:val="262626"/>
          <w:sz w:val="20"/>
        </w:rPr>
        <w:t>ATTEMPTED</w:t>
      </w:r>
      <w:r>
        <w:rPr>
          <w:rFonts w:ascii="Calibri" w:hAnsi="Calibri"/>
          <w:i w:val="0"/>
          <w:color w:val="262626"/>
          <w:sz w:val="20"/>
        </w:rPr>
        <w:t xml:space="preserve"> (</w:t>
      </w:r>
      <w:r>
        <w:rPr>
          <w:rFonts w:ascii="Calibri" w:hAnsi="Calibri"/>
          <w:i w:val="0"/>
          <w:color w:val="2E75B6"/>
          <w:sz w:val="20"/>
          <w:u w:val="single"/>
        </w:rPr>
        <w:t>People v. Borinaga</w:t>
      </w:r>
      <w:r>
        <w:rPr>
          <w:rFonts w:ascii="Calibri" w:hAnsi="Calibri"/>
          <w:i w:val="0"/>
          <w:color w:val="262626"/>
          <w:sz w:val="20"/>
        </w:rPr>
        <w:t xml:space="preserve">; </w:t>
      </w:r>
      <w:r>
        <w:rPr>
          <w:rFonts w:ascii="Calibri" w:hAnsi="Calibri"/>
          <w:i w:val="0"/>
          <w:color w:val="2E75B6"/>
          <w:sz w:val="20"/>
          <w:u w:val="single"/>
        </w:rPr>
        <w:t>People v. Sy Pio</w:t>
      </w:r>
      <w:r>
        <w:rPr>
          <w:rFonts w:ascii="Calibri" w:hAnsi="Calibri"/>
          <w:i w:val="0"/>
          <w:color w:val="262626"/>
          <w:sz w:val="20"/>
        </w:rPr>
        <w:t xml:space="preserve">; </w:t>
      </w:r>
      <w:r>
        <w:rPr>
          <w:rFonts w:ascii="Calibri" w:hAnsi="Calibri"/>
          <w:i w:val="0"/>
          <w:color w:val="2E75B6"/>
          <w:sz w:val="20"/>
          <w:u w:val="single"/>
        </w:rPr>
        <w:t>Etino v. People</w:t>
      </w:r>
      <w:r>
        <w:rPr>
          <w:rFonts w:ascii="Calibri" w:hAnsi="Calibri"/>
          <w:i w:val="0"/>
          <w:color w:val="262626"/>
          <w:sz w:val="20"/>
        </w:rPr>
        <w:t>, 2018).</w:t>
      </w:r>
    </w:p>
    <w:p>
      <w:pPr>
        <w:keepNext/>
        <w:spacing w:before="200" w:after="60"/>
      </w:pPr>
      <w:r>
        <w:rPr>
          <w:rFonts w:ascii="Segoe UI" w:hAnsi="Segoe UI"/>
          <w:b/>
          <w:color w:val="1F4E79"/>
          <w:sz w:val="23"/>
        </w:rPr>
        <w:t>5. Conspiracy and Proposal (Article 8 RPC)</w:t>
      </w:r>
    </w:p>
    <w:p>
      <w:pPr>
        <w:pStyle w:val="ListBullet"/>
        <w:spacing w:before="20" w:after="40" w:line="276" w:lineRule="auto"/>
      </w:pPr>
      <w:r>
        <w:rPr>
          <w:rFonts w:ascii="Calibri" w:hAnsi="Calibri"/>
          <w:b/>
          <w:i w:val="0"/>
          <w:color w:val="262626"/>
          <w:sz w:val="20"/>
        </w:rPr>
        <w:t>Conspiracy:</w:t>
      </w:r>
      <w:r>
        <w:rPr>
          <w:rFonts w:ascii="Calibri" w:hAnsi="Calibri"/>
          <w:i w:val="0"/>
          <w:color w:val="262626"/>
          <w:sz w:val="20"/>
        </w:rPr>
        <w:t xml:space="preserve"> Two or more persons come to an agreement concerning the commission of a felony and decide to commit it.</w:t>
      </w:r>
    </w:p>
    <w:p>
      <w:pPr>
        <w:pStyle w:val="ListBullet"/>
        <w:spacing w:before="20" w:after="40" w:line="276" w:lineRule="auto"/>
      </w:pPr>
      <w:r>
        <w:rPr>
          <w:rFonts w:ascii="Calibri" w:hAnsi="Calibri"/>
          <w:b/>
          <w:i w:val="0"/>
          <w:color w:val="262626"/>
          <w:sz w:val="20"/>
        </w:rPr>
        <w:t>Two Roles of Conspiracy:</w:t>
      </w:r>
    </w:p>
    <w:p>
      <w:pPr>
        <w:pStyle w:val="ListNumber"/>
        <w:spacing w:before="40" w:after="40" w:line="276" w:lineRule="auto"/>
      </w:pPr>
      <w:r>
        <w:rPr>
          <w:rFonts w:ascii="Calibri" w:hAnsi="Calibri"/>
          <w:i/>
          <w:color w:val="262626"/>
          <w:sz w:val="20"/>
        </w:rPr>
        <w:t>As a Substantive Crime:</w:t>
      </w:r>
      <w:r>
        <w:rPr>
          <w:rFonts w:ascii="Calibri" w:hAnsi="Calibri"/>
          <w:i w:val="0"/>
          <w:color w:val="262626"/>
          <w:sz w:val="20"/>
        </w:rPr>
        <w:t xml:space="preserve"> Punishable ONLY when specifically provided by law (Treason Art. 115, Rebellion Art. 136, Sedition Art. 141, Monopolies Art. 186, Coup d'etat).</w:t>
      </w:r>
    </w:p>
    <w:p>
      <w:pPr>
        <w:pStyle w:val="ListNumber"/>
        <w:spacing w:before="40" w:after="40" w:line="276" w:lineRule="auto"/>
      </w:pPr>
      <w:r>
        <w:rPr>
          <w:rFonts w:ascii="Calibri" w:hAnsi="Calibri"/>
          <w:i/>
          <w:color w:val="262626"/>
          <w:sz w:val="20"/>
        </w:rPr>
        <w:t>As a Rule of Collective Liability:</w:t>
      </w:r>
      <w:r>
        <w:rPr>
          <w:rFonts w:ascii="Calibri" w:hAnsi="Calibri"/>
          <w:i w:val="0"/>
          <w:color w:val="262626"/>
          <w:sz w:val="20"/>
        </w:rPr>
        <w:t xml:space="preserve"> "The act of one is the act of all" (</w:t>
      </w:r>
      <w:r>
        <w:rPr>
          <w:rFonts w:ascii="Calibri" w:hAnsi="Calibri"/>
          <w:i w:val="0"/>
          <w:color w:val="2E75B6"/>
          <w:sz w:val="20"/>
          <w:u w:val="single"/>
        </w:rPr>
        <w:t>People v. Peralta</w:t>
      </w:r>
      <w:r>
        <w:rPr>
          <w:rFonts w:ascii="Calibri" w:hAnsi="Calibri"/>
          <w:i w:val="0"/>
          <w:color w:val="262626"/>
          <w:sz w:val="20"/>
        </w:rPr>
        <w:t xml:space="preserve">, 25 SCRA 759; </w:t>
      </w:r>
      <w:r>
        <w:rPr>
          <w:rFonts w:ascii="Calibri" w:hAnsi="Calibri"/>
          <w:i w:val="0"/>
          <w:color w:val="2E75B6"/>
          <w:sz w:val="20"/>
          <w:u w:val="single"/>
        </w:rPr>
        <w:t>Quidet v. People</w:t>
      </w:r>
      <w:r>
        <w:rPr>
          <w:rFonts w:ascii="Calibri" w:hAnsi="Calibri"/>
          <w:i w:val="0"/>
          <w:color w:val="262626"/>
          <w:sz w:val="20"/>
        </w:rPr>
        <w:t>, 2010).</w:t>
      </w:r>
    </w:p>
    <w:p>
      <w:pPr>
        <w:keepNext/>
        <w:spacing w:before="200" w:after="60"/>
      </w:pPr>
      <w:r>
        <w:rPr>
          <w:rFonts w:ascii="Segoe UI" w:hAnsi="Segoe UI"/>
          <w:b/>
          <w:color w:val="1F4E79"/>
          <w:sz w:val="23"/>
        </w:rPr>
        <w:t>6. Multiple Offenders: The 4 Classes Compared</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c>
          <w:tcPr>
            <w:tcW w:type="dxa" w:w="1872"/>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Characteristic</w:t>
            </w:r>
          </w:p>
        </w:tc>
        <w:tc>
          <w:tcPr>
            <w:tcW w:type="dxa" w:w="1872"/>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Recidivism (Art. 14[9])</w:t>
            </w:r>
          </w:p>
        </w:tc>
        <w:tc>
          <w:tcPr>
            <w:tcW w:type="dxa" w:w="1872"/>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Reiteracion (Art. 14[10])</w:t>
            </w:r>
          </w:p>
        </w:tc>
        <w:tc>
          <w:tcPr>
            <w:tcW w:type="dxa" w:w="1872"/>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Habitual Delinquency (Art. 62[5])</w:t>
            </w:r>
          </w:p>
        </w:tc>
        <w:tc>
          <w:tcPr>
            <w:tcW w:type="dxa" w:w="1872"/>
            <w:tcMar>
              <w:top w:w="120" w:type="dxa"/>
              <w:bottom w:w="120" w:type="dxa"/>
              <w:left w:w="150" w:type="dxa"/>
              <w:right w:w="150" w:type="dxa"/>
            </w:tcMar>
            <w:shd w:val="clear" w:color="auto" w:fill="1F4E79"/>
          </w:tcPr>
          <w:p>
            <w:pPr>
              <w:spacing w:before="40" w:after="40" w:line="276" w:lineRule="auto"/>
            </w:pPr>
            <w:r>
              <w:rPr>
                <w:rFonts w:ascii="Calibri" w:hAnsi="Calibri"/>
                <w:b/>
                <w:i w:val="0"/>
                <w:color w:val="FFFFFF"/>
                <w:sz w:val="20"/>
              </w:rPr>
              <w:t>Quasi-Recidivism (Art. 160)</w:t>
            </w:r>
          </w:p>
        </w:tc>
      </w:tr>
      <w:tr>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Number of Convictions</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At least 2</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At least 2</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At least 3 convictions for specific crimes</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At least 2 (commits felony while serving sentence)</w:t>
            </w:r>
          </w:p>
        </w:tc>
      </w:tr>
      <w:tr>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Nature of Crimes</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 xml:space="preserve">Embraced in </w:t>
            </w:r>
            <w:r>
              <w:rPr>
                <w:rFonts w:ascii="Calibri" w:hAnsi="Calibri"/>
                <w:b/>
                <w:i w:val="0"/>
                <w:color w:val="262626"/>
                <w:sz w:val="19"/>
              </w:rPr>
              <w:t>SAME TITLE</w:t>
            </w:r>
            <w:r>
              <w:rPr>
                <w:rFonts w:ascii="Calibri" w:hAnsi="Calibri"/>
                <w:i w:val="0"/>
                <w:color w:val="262626"/>
                <w:sz w:val="19"/>
              </w:rPr>
              <w:t xml:space="preserve"> of the RPC</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 xml:space="preserve">Embraced in </w:t>
            </w:r>
            <w:r>
              <w:rPr>
                <w:rFonts w:ascii="Calibri" w:hAnsi="Calibri"/>
                <w:b/>
                <w:i w:val="0"/>
                <w:color w:val="262626"/>
                <w:sz w:val="19"/>
              </w:rPr>
              <w:t>DIFFERENT TITLES</w:t>
            </w:r>
            <w:r>
              <w:rPr>
                <w:rFonts w:ascii="Calibri" w:hAnsi="Calibri"/>
                <w:i w:val="0"/>
                <w:color w:val="262626"/>
                <w:sz w:val="19"/>
              </w:rPr>
              <w:t xml:space="preserve"> of the RPC</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 xml:space="preserve">Limited to </w:t>
            </w:r>
            <w:r>
              <w:rPr>
                <w:rFonts w:ascii="Calibri" w:hAnsi="Calibri"/>
                <w:b/>
                <w:i w:val="0"/>
                <w:color w:val="262626"/>
                <w:sz w:val="19"/>
              </w:rPr>
              <w:t>F-R-E-E-T-S</w:t>
            </w:r>
            <w:r>
              <w:rPr>
                <w:rFonts w:ascii="Calibri" w:hAnsi="Calibri"/>
                <w:i w:val="0"/>
                <w:color w:val="262626"/>
                <w:sz w:val="19"/>
              </w:rPr>
              <w:t xml:space="preserve"> (Falsification, Robbery, Estafa, Embezzlement, Theft, Serious/Less Serious Physical Injuries)</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ANY FELONY</w:t>
            </w:r>
            <w:r>
              <w:rPr>
                <w:rFonts w:ascii="Calibri" w:hAnsi="Calibri"/>
                <w:i w:val="0"/>
                <w:color w:val="262626"/>
                <w:sz w:val="19"/>
              </w:rPr>
              <w:t xml:space="preserve"> under the RPC</w:t>
            </w:r>
          </w:p>
        </w:tc>
      </w:tr>
      <w:tr>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b/>
                <w:i w:val="0"/>
                <w:color w:val="262626"/>
                <w:sz w:val="19"/>
              </w:rPr>
              <w:t>Time Interval</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At time of trial for second crime</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 xml:space="preserve">Previous sentence must have been </w:t>
            </w:r>
            <w:r>
              <w:rPr>
                <w:rFonts w:ascii="Calibri" w:hAnsi="Calibri"/>
                <w:b/>
                <w:i w:val="0"/>
                <w:color w:val="262626"/>
                <w:sz w:val="19"/>
              </w:rPr>
              <w:t>SERVED</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 xml:space="preserve">Within </w:t>
            </w:r>
            <w:r>
              <w:rPr>
                <w:rFonts w:ascii="Calibri" w:hAnsi="Calibri"/>
                <w:b/>
                <w:i w:val="0"/>
                <w:color w:val="262626"/>
                <w:sz w:val="19"/>
              </w:rPr>
              <w:t>10 YEARS</w:t>
            </w:r>
            <w:r>
              <w:rPr>
                <w:rFonts w:ascii="Calibri" w:hAnsi="Calibri"/>
                <w:i w:val="0"/>
                <w:color w:val="262626"/>
                <w:sz w:val="19"/>
              </w:rPr>
              <w:t xml:space="preserve"> from release or last conviction</w:t>
            </w:r>
          </w:p>
        </w:tc>
        <w:tc>
          <w:tcPr>
            <w:tcW w:type="dxa" w:w="1872"/>
            <w:tcMar>
              <w:top w:w="120" w:type="dxa"/>
              <w:bottom w:w="120" w:type="dxa"/>
              <w:left w:w="150" w:type="dxa"/>
              <w:right w:w="150" w:type="dxa"/>
            </w:tcMar>
            <w:shd w:val="clear" w:color="auto" w:fill="F9FAFB"/>
          </w:tcPr>
          <w:p>
            <w:pPr>
              <w:spacing w:before="40" w:after="40" w:line="276" w:lineRule="auto"/>
            </w:pPr>
            <w:r>
              <w:rPr>
                <w:rFonts w:ascii="Calibri" w:hAnsi="Calibri"/>
                <w:i w:val="0"/>
                <w:color w:val="262626"/>
                <w:sz w:val="19"/>
              </w:rPr>
              <w:t xml:space="preserve">Before serving or </w:t>
            </w:r>
            <w:r>
              <w:rPr>
                <w:rFonts w:ascii="Calibri" w:hAnsi="Calibri"/>
                <w:b/>
                <w:i w:val="0"/>
                <w:color w:val="262626"/>
                <w:sz w:val="19"/>
              </w:rPr>
              <w:t>WHILE SERVING SENTENCE</w:t>
            </w:r>
          </w:p>
        </w:tc>
      </w:tr>
      <w:tr>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b/>
                <w:i w:val="0"/>
                <w:color w:val="262626"/>
                <w:sz w:val="19"/>
              </w:rPr>
              <w:t>Penal Effect</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Generic aggravating circumstance</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Generic aggravating circumstance</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 xml:space="preserve">Imposes </w:t>
            </w:r>
            <w:r>
              <w:rPr>
                <w:rFonts w:ascii="Calibri" w:hAnsi="Calibri"/>
                <w:b/>
                <w:i w:val="0"/>
                <w:color w:val="262626"/>
                <w:sz w:val="19"/>
              </w:rPr>
              <w:t>MANDATORY ADDITIONAL PENALTY</w:t>
            </w:r>
            <w:r>
              <w:rPr>
                <w:rFonts w:ascii="Calibri" w:hAnsi="Calibri"/>
                <w:i w:val="0"/>
                <w:color w:val="262626"/>
                <w:sz w:val="19"/>
              </w:rPr>
              <w:t xml:space="preserve"> on top of principal penalty</w:t>
            </w:r>
          </w:p>
        </w:tc>
        <w:tc>
          <w:tcPr>
            <w:tcW w:type="dxa" w:w="1872"/>
            <w:tcMar>
              <w:top w:w="120" w:type="dxa"/>
              <w:bottom w:w="120" w:type="dxa"/>
              <w:left w:w="150" w:type="dxa"/>
              <w:right w:w="150" w:type="dxa"/>
            </w:tcMar>
            <w:shd w:val="clear" w:color="auto" w:fill="FFFFFF"/>
          </w:tcPr>
          <w:p>
            <w:pPr>
              <w:spacing w:before="40" w:after="40" w:line="276" w:lineRule="auto"/>
            </w:pPr>
            <w:r>
              <w:rPr>
                <w:rFonts w:ascii="Calibri" w:hAnsi="Calibri"/>
                <w:i w:val="0"/>
                <w:color w:val="262626"/>
                <w:sz w:val="19"/>
              </w:rPr>
              <w:t xml:space="preserve">Special aggravating: </w:t>
            </w:r>
            <w:r>
              <w:rPr>
                <w:rFonts w:ascii="Calibri" w:hAnsi="Calibri"/>
                <w:b/>
                <w:i w:val="0"/>
                <w:color w:val="262626"/>
                <w:sz w:val="19"/>
              </w:rPr>
              <w:t>MAXIMUM PERIOD</w:t>
            </w:r>
            <w:r>
              <w:rPr>
                <w:rFonts w:ascii="Calibri" w:hAnsi="Calibri"/>
                <w:i w:val="0"/>
                <w:color w:val="262626"/>
                <w:sz w:val="19"/>
              </w:rPr>
              <w:t xml:space="preserve"> of new penalty; CANNOT be offset by mitigating</w:t>
            </w:r>
          </w:p>
        </w:tc>
      </w:tr>
    </w:tbl>
    <w:p>
      <w:pPr>
        <w:spacing w:before="0" w:after="120"/>
      </w:pPr>
    </w:p>
    <w:p>
      <w:pPr>
        <w:keepNext/>
        <w:spacing w:before="360" w:after="120"/>
      </w:pPr>
      <w:r>
        <w:rPr>
          <w:rFonts w:ascii="Segoe UI" w:hAnsi="Segoe UI"/>
          <w:b/>
          <w:color w:val="1F4E79"/>
          <w:sz w:val="30"/>
        </w:rPr>
        <w:t>Part III: Circumstances Which Affect Criminal Liability</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8–14; Codal Articles 11 to 15 RPC; R.A. 9262; R.A. 9344; R.A. 10630)</w:t>
      </w:r>
    </w:p>
    <w:p>
      <w:pPr>
        <w:keepNext/>
        <w:spacing w:before="200" w:after="60"/>
      </w:pPr>
      <w:r>
        <w:rPr>
          <w:rFonts w:ascii="Segoe UI" w:hAnsi="Segoe UI"/>
          <w:b/>
          <w:color w:val="1F4E79"/>
          <w:sz w:val="23"/>
        </w:rPr>
        <w:t>1. Justifying Circumstances (Article 11 RPC)</w:t>
      </w:r>
    </w:p>
    <w:p>
      <w:pPr>
        <w:pStyle w:val="ListBullet"/>
        <w:spacing w:before="20" w:after="40" w:line="276" w:lineRule="auto"/>
      </w:pPr>
      <w:r>
        <w:rPr>
          <w:rFonts w:ascii="Calibri" w:hAnsi="Calibri"/>
          <w:b/>
          <w:i w:val="0"/>
          <w:color w:val="262626"/>
          <w:sz w:val="20"/>
        </w:rPr>
        <w:t>Nature:</w:t>
      </w:r>
      <w:r>
        <w:rPr>
          <w:rFonts w:ascii="Calibri" w:hAnsi="Calibri"/>
          <w:i w:val="0"/>
          <w:color w:val="262626"/>
          <w:sz w:val="20"/>
        </w:rPr>
        <w:t xml:space="preserve"> Act is completely lawful and justified. </w:t>
      </w:r>
      <w:r>
        <w:rPr>
          <w:rFonts w:ascii="Calibri" w:hAnsi="Calibri"/>
          <w:b/>
          <w:i w:val="0"/>
          <w:color w:val="262626"/>
          <w:sz w:val="20"/>
        </w:rPr>
        <w:t>No crime, no criminal, no criminal liability, and NO civil liability ex delicto</w:t>
      </w:r>
      <w:r>
        <w:rPr>
          <w:rFonts w:ascii="Calibri" w:hAnsi="Calibri"/>
          <w:i w:val="0"/>
          <w:color w:val="262626"/>
          <w:sz w:val="20"/>
        </w:rPr>
        <w:t xml:space="preserve"> (except Par. 4).</w:t>
      </w:r>
    </w:p>
    <w:p>
      <w:pPr>
        <w:pStyle w:val="ListBullet"/>
        <w:spacing w:before="20" w:after="40" w:line="276" w:lineRule="auto"/>
      </w:pPr>
      <w:r>
        <w:rPr>
          <w:rFonts w:ascii="Calibri" w:hAnsi="Calibri"/>
          <w:b/>
          <w:i w:val="0"/>
          <w:color w:val="262626"/>
          <w:sz w:val="20"/>
        </w:rPr>
        <w:t>Burden of Proof:</w:t>
      </w:r>
      <w:r>
        <w:rPr>
          <w:rFonts w:ascii="Calibri" w:hAnsi="Calibri"/>
          <w:i w:val="0"/>
          <w:color w:val="262626"/>
          <w:sz w:val="20"/>
        </w:rPr>
        <w:t xml:space="preserve"> Accused admits the act; burden shifts to prove defense by clear and convincing evidence.</w:t>
      </w:r>
    </w:p>
    <w:p>
      <w:pPr>
        <w:pStyle w:val="ListBullet"/>
        <w:spacing w:before="20" w:after="40" w:line="276" w:lineRule="auto"/>
      </w:pPr>
      <w:r>
        <w:rPr>
          <w:rFonts w:ascii="Calibri" w:hAnsi="Calibri"/>
          <w:b/>
          <w:i w:val="0"/>
          <w:color w:val="262626"/>
          <w:sz w:val="20"/>
        </w:rPr>
        <w:t>The Six Categories:</w:t>
      </w:r>
    </w:p>
    <w:p>
      <w:pPr>
        <w:pStyle w:val="ListNumber"/>
        <w:spacing w:before="40" w:after="40" w:line="276" w:lineRule="auto"/>
      </w:pPr>
      <w:r>
        <w:rPr>
          <w:rFonts w:ascii="Calibri" w:hAnsi="Calibri"/>
          <w:b/>
          <w:i w:val="0"/>
          <w:color w:val="262626"/>
          <w:sz w:val="20"/>
        </w:rPr>
        <w:t>Self-Defense (Art. 11[1]):</w:t>
      </w:r>
    </w:p>
    <w:p>
      <w:pPr>
        <w:pStyle w:val="ListBullet"/>
        <w:spacing w:before="20" w:after="40" w:line="276" w:lineRule="auto"/>
      </w:pPr>
      <w:r>
        <w:rPr>
          <w:rFonts w:ascii="Calibri" w:hAnsi="Calibri"/>
          <w:i/>
          <w:color w:val="262626"/>
          <w:sz w:val="20"/>
        </w:rPr>
        <w:t>Requisite 1:</w:t>
      </w:r>
      <w:r>
        <w:rPr>
          <w:rFonts w:ascii="Calibri" w:hAnsi="Calibri"/>
          <w:i w:val="0"/>
          <w:color w:val="262626"/>
          <w:sz w:val="20"/>
        </w:rPr>
        <w:t xml:space="preserve"> </w:t>
      </w:r>
      <w:r>
        <w:rPr>
          <w:rFonts w:ascii="Calibri" w:hAnsi="Calibri"/>
          <w:b/>
          <w:i w:val="0"/>
          <w:color w:val="262626"/>
          <w:sz w:val="20"/>
        </w:rPr>
        <w:t>Unlawful Aggression</w:t>
      </w:r>
      <w:r>
        <w:rPr>
          <w:rFonts w:ascii="Calibri" w:hAnsi="Calibri"/>
          <w:i w:val="0"/>
          <w:color w:val="262626"/>
          <w:sz w:val="20"/>
        </w:rPr>
        <w:t xml:space="preserve"> (</w:t>
      </w:r>
      <w:r>
        <w:rPr>
          <w:rFonts w:ascii="Calibri" w:hAnsi="Calibri"/>
          <w:i/>
          <w:color w:val="262626"/>
          <w:sz w:val="20"/>
        </w:rPr>
        <w:t>condition sine qua non</w:t>
      </w:r>
      <w:r>
        <w:rPr>
          <w:rFonts w:ascii="Calibri" w:hAnsi="Calibri"/>
          <w:i w:val="0"/>
          <w:color w:val="262626"/>
          <w:sz w:val="20"/>
        </w:rPr>
        <w:t>). When aggression ceases, self-defense ceases (</w:t>
      </w:r>
      <w:r>
        <w:rPr>
          <w:rFonts w:ascii="Calibri" w:hAnsi="Calibri"/>
          <w:i w:val="0"/>
          <w:color w:val="2E75B6"/>
          <w:sz w:val="20"/>
          <w:u w:val="single"/>
        </w:rPr>
        <w:t>People v. Alconga</w:t>
      </w:r>
      <w:r>
        <w:rPr>
          <w:rFonts w:ascii="Calibri" w:hAnsi="Calibri"/>
          <w:i w:val="0"/>
          <w:color w:val="262626"/>
          <w:sz w:val="20"/>
        </w:rPr>
        <w:t>, 78 Phil. 366).</w:t>
      </w:r>
    </w:p>
    <w:p>
      <w:pPr>
        <w:pStyle w:val="ListBullet"/>
        <w:spacing w:before="20" w:after="40" w:line="276" w:lineRule="auto"/>
      </w:pPr>
      <w:r>
        <w:rPr>
          <w:rFonts w:ascii="Calibri" w:hAnsi="Calibri"/>
          <w:i/>
          <w:color w:val="262626"/>
          <w:sz w:val="20"/>
        </w:rPr>
        <w:t>Requisite 2:</w:t>
      </w:r>
      <w:r>
        <w:rPr>
          <w:rFonts w:ascii="Calibri" w:hAnsi="Calibri"/>
          <w:i w:val="0"/>
          <w:color w:val="262626"/>
          <w:sz w:val="20"/>
        </w:rPr>
        <w:t xml:space="preserve"> </w:t>
      </w:r>
      <w:r>
        <w:rPr>
          <w:rFonts w:ascii="Calibri" w:hAnsi="Calibri"/>
          <w:b/>
          <w:i w:val="0"/>
          <w:color w:val="262626"/>
          <w:sz w:val="20"/>
        </w:rPr>
        <w:t>Reasonable Necessity of the Means Employed</w:t>
      </w:r>
      <w:r>
        <w:rPr>
          <w:rFonts w:ascii="Calibri" w:hAnsi="Calibri"/>
          <w:i w:val="0"/>
          <w:color w:val="262626"/>
          <w:sz w:val="20"/>
        </w:rPr>
        <w:t xml:space="preserve"> (rational equivalence test; </w:t>
      </w:r>
      <w:r>
        <w:rPr>
          <w:rFonts w:ascii="Calibri" w:hAnsi="Calibri"/>
          <w:i w:val="0"/>
          <w:color w:val="2E75B6"/>
          <w:sz w:val="20"/>
          <w:u w:val="single"/>
        </w:rPr>
        <w:t>People v. Sumicad</w:t>
      </w:r>
      <w:r>
        <w:rPr>
          <w:rFonts w:ascii="Calibri" w:hAnsi="Calibri"/>
          <w:i w:val="0"/>
          <w:color w:val="262626"/>
          <w:sz w:val="20"/>
        </w:rPr>
        <w:t>).</w:t>
      </w:r>
    </w:p>
    <w:p>
      <w:pPr>
        <w:pStyle w:val="ListBullet"/>
        <w:spacing w:before="20" w:after="40" w:line="276" w:lineRule="auto"/>
      </w:pPr>
      <w:r>
        <w:rPr>
          <w:rFonts w:ascii="Calibri" w:hAnsi="Calibri"/>
          <w:i/>
          <w:color w:val="262626"/>
          <w:sz w:val="20"/>
        </w:rPr>
        <w:t>Requisite 3:</w:t>
      </w:r>
      <w:r>
        <w:rPr>
          <w:rFonts w:ascii="Calibri" w:hAnsi="Calibri"/>
          <w:i w:val="0"/>
          <w:color w:val="262626"/>
          <w:sz w:val="20"/>
        </w:rPr>
        <w:t xml:space="preserve"> </w:t>
      </w:r>
      <w:r>
        <w:rPr>
          <w:rFonts w:ascii="Calibri" w:hAnsi="Calibri"/>
          <w:b/>
          <w:i w:val="0"/>
          <w:color w:val="262626"/>
          <w:sz w:val="20"/>
        </w:rPr>
        <w:t>Lack of Sufficient Provocation</w:t>
      </w:r>
      <w:r>
        <w:rPr>
          <w:rFonts w:ascii="Calibri" w:hAnsi="Calibri"/>
          <w:i w:val="0"/>
          <w:color w:val="262626"/>
          <w:sz w:val="20"/>
        </w:rPr>
        <w:t xml:space="preserve"> on the part of defender.</w:t>
      </w:r>
    </w:p>
    <w:p>
      <w:pPr>
        <w:pStyle w:val="ListBullet"/>
        <w:spacing w:before="20" w:after="40" w:line="276" w:lineRule="auto"/>
      </w:pPr>
      <w:r>
        <w:rPr>
          <w:rFonts w:ascii="Calibri" w:hAnsi="Calibri"/>
          <w:i/>
          <w:color w:val="262626"/>
          <w:sz w:val="20"/>
        </w:rPr>
        <w:t>Special Forms:</w:t>
      </w:r>
      <w:r>
        <w:rPr>
          <w:rFonts w:ascii="Calibri" w:hAnsi="Calibri"/>
          <w:i w:val="0"/>
          <w:color w:val="262626"/>
          <w:sz w:val="20"/>
        </w:rPr>
        <w:t xml:space="preserve"> Defense of Honor (</w:t>
      </w:r>
      <w:r>
        <w:rPr>
          <w:rFonts w:ascii="Calibri" w:hAnsi="Calibri"/>
          <w:i w:val="0"/>
          <w:color w:val="2E75B6"/>
          <w:sz w:val="20"/>
          <w:u w:val="single"/>
        </w:rPr>
        <w:t>People v. Luague</w:t>
      </w:r>
      <w:r>
        <w:rPr>
          <w:rFonts w:ascii="Calibri" w:hAnsi="Calibri"/>
          <w:i w:val="0"/>
          <w:color w:val="262626"/>
          <w:sz w:val="20"/>
        </w:rPr>
        <w:t xml:space="preserve">; </w:t>
      </w:r>
      <w:r>
        <w:rPr>
          <w:rFonts w:ascii="Calibri" w:hAnsi="Calibri"/>
          <w:i w:val="0"/>
          <w:color w:val="2E75B6"/>
          <w:sz w:val="20"/>
          <w:u w:val="single"/>
        </w:rPr>
        <w:t>People v. Jaurigue</w:t>
      </w:r>
      <w:r>
        <w:rPr>
          <w:rFonts w:ascii="Calibri" w:hAnsi="Calibri"/>
          <w:i w:val="0"/>
          <w:color w:val="262626"/>
          <w:sz w:val="20"/>
        </w:rPr>
        <w:t>); Defense of Property (</w:t>
      </w:r>
      <w:r>
        <w:rPr>
          <w:rFonts w:ascii="Calibri" w:hAnsi="Calibri"/>
          <w:i w:val="0"/>
          <w:color w:val="2E75B6"/>
          <w:sz w:val="20"/>
          <w:u w:val="single"/>
        </w:rPr>
        <w:t>People v. Apolinar</w:t>
      </w:r>
      <w:r>
        <w:rPr>
          <w:rFonts w:ascii="Calibri" w:hAnsi="Calibri"/>
          <w:i w:val="0"/>
          <w:color w:val="262626"/>
          <w:sz w:val="20"/>
        </w:rPr>
        <w:t xml:space="preserve">; </w:t>
      </w:r>
      <w:r>
        <w:rPr>
          <w:rFonts w:ascii="Calibri" w:hAnsi="Calibri"/>
          <w:i w:val="0"/>
          <w:color w:val="2E75B6"/>
          <w:sz w:val="20"/>
          <w:u w:val="single"/>
        </w:rPr>
        <w:t>People v. Narvaez</w:t>
      </w:r>
      <w:r>
        <w:rPr>
          <w:rFonts w:ascii="Calibri" w:hAnsi="Calibri"/>
          <w:i w:val="0"/>
          <w:color w:val="262626"/>
          <w:sz w:val="20"/>
        </w:rPr>
        <w:t xml:space="preserve">); Battered Woman Syndrome (R.A. 9262 Sec. 26; </w:t>
      </w:r>
      <w:r>
        <w:rPr>
          <w:rFonts w:ascii="Calibri" w:hAnsi="Calibri"/>
          <w:i w:val="0"/>
          <w:color w:val="2E75B6"/>
          <w:sz w:val="20"/>
          <w:u w:val="single"/>
        </w:rPr>
        <w:t>People v. Genosa</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Defense of Relatives (Art. 11[2]):</w:t>
      </w:r>
      <w:r>
        <w:rPr>
          <w:rFonts w:ascii="Calibri" w:hAnsi="Calibri"/>
          <w:i w:val="0"/>
          <w:color w:val="262626"/>
          <w:sz w:val="20"/>
        </w:rPr>
        <w:t xml:space="preserve"> Spouse, ascendants, descendants, siblings, relatives by affinity in same degrees, consanguinity to 4th civil degree. If relative provoked, defender took no part therein (</w:t>
      </w:r>
      <w:r>
        <w:rPr>
          <w:rFonts w:ascii="Calibri" w:hAnsi="Calibri"/>
          <w:i w:val="0"/>
          <w:color w:val="2E75B6"/>
          <w:sz w:val="20"/>
          <w:u w:val="single"/>
        </w:rPr>
        <w:t>U.S. v. Esmedia</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Defense of Strangers (Art. 11[3]):</w:t>
      </w:r>
      <w:r>
        <w:rPr>
          <w:rFonts w:ascii="Calibri" w:hAnsi="Calibri"/>
          <w:i w:val="0"/>
          <w:color w:val="262626"/>
          <w:sz w:val="20"/>
        </w:rPr>
        <w:t xml:space="preserve"> Any person not covered by Art. 11(2). Defender must NOT be induced by revenge, resentment, or other evil motive (</w:t>
      </w:r>
      <w:r>
        <w:rPr>
          <w:rFonts w:ascii="Calibri" w:hAnsi="Calibri"/>
          <w:i w:val="0"/>
          <w:color w:val="2E75B6"/>
          <w:sz w:val="20"/>
          <w:u w:val="single"/>
        </w:rPr>
        <w:t>People v. Olarbe</w:t>
      </w:r>
      <w:r>
        <w:rPr>
          <w:rFonts w:ascii="Calibri" w:hAnsi="Calibri"/>
          <w:i w:val="0"/>
          <w:color w:val="262626"/>
          <w:sz w:val="20"/>
        </w:rPr>
        <w:t>, 2018).</w:t>
      </w:r>
    </w:p>
    <w:p>
      <w:pPr>
        <w:pStyle w:val="ListNumber"/>
        <w:spacing w:before="40" w:after="40" w:line="276" w:lineRule="auto"/>
      </w:pPr>
      <w:r>
        <w:rPr>
          <w:rFonts w:ascii="Calibri" w:hAnsi="Calibri"/>
          <w:b/>
          <w:i w:val="0"/>
          <w:color w:val="262626"/>
          <w:sz w:val="20"/>
        </w:rPr>
        <w:t>State of Necessity (Art. 11[4]):</w:t>
      </w:r>
      <w:r>
        <w:rPr>
          <w:rFonts w:ascii="Calibri" w:hAnsi="Calibri"/>
          <w:i w:val="0"/>
          <w:color w:val="262626"/>
          <w:sz w:val="20"/>
        </w:rPr>
        <w:t xml:space="preserve"> Avoiding actual existing evil; injury feared greater than done; no other practical means. </w:t>
      </w:r>
      <w:r>
        <w:rPr>
          <w:rFonts w:ascii="Calibri" w:hAnsi="Calibri"/>
          <w:b/>
          <w:i w:val="0"/>
          <w:color w:val="262626"/>
          <w:sz w:val="20"/>
        </w:rPr>
        <w:t>SOLE JUSTIFYING CIRCUMSTANCE WITH CIVIL LIABILITY</w:t>
      </w:r>
      <w:r>
        <w:rPr>
          <w:rFonts w:ascii="Calibri" w:hAnsi="Calibri"/>
          <w:i w:val="0"/>
          <w:color w:val="262626"/>
          <w:sz w:val="20"/>
        </w:rPr>
        <w:t xml:space="preserve"> (borne by beneficiaries under Art. 101; </w:t>
      </w:r>
      <w:r>
        <w:rPr>
          <w:rFonts w:ascii="Calibri" w:hAnsi="Calibri"/>
          <w:i w:val="0"/>
          <w:color w:val="2E75B6"/>
          <w:sz w:val="20"/>
          <w:u w:val="single"/>
        </w:rPr>
        <w:t>Ty v. People</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Fulfillment of Duty / Lawful Exercise of Right (Art. 11[5]):</w:t>
      </w:r>
      <w:r>
        <w:rPr>
          <w:rFonts w:ascii="Calibri" w:hAnsi="Calibri"/>
          <w:i w:val="0"/>
          <w:color w:val="262626"/>
          <w:sz w:val="20"/>
        </w:rPr>
        <w:t xml:space="preserve"> Accused acted in performance of duty or right; injury committed was the necessary consequence (</w:t>
      </w:r>
      <w:r>
        <w:rPr>
          <w:rFonts w:ascii="Calibri" w:hAnsi="Calibri"/>
          <w:i w:val="0"/>
          <w:color w:val="2E75B6"/>
          <w:sz w:val="20"/>
          <w:u w:val="single"/>
        </w:rPr>
        <w:t>People v. Delima</w:t>
      </w:r>
      <w:r>
        <w:rPr>
          <w:rFonts w:ascii="Calibri" w:hAnsi="Calibri"/>
          <w:i w:val="0"/>
          <w:color w:val="262626"/>
          <w:sz w:val="20"/>
        </w:rPr>
        <w:t xml:space="preserve">; </w:t>
      </w:r>
      <w:r>
        <w:rPr>
          <w:rFonts w:ascii="Calibri" w:hAnsi="Calibri"/>
          <w:i w:val="0"/>
          <w:color w:val="2E75B6"/>
          <w:sz w:val="20"/>
          <w:u w:val="single"/>
        </w:rPr>
        <w:t>Cabanlig v. Sandiganbayan</w:t>
      </w:r>
      <w:r>
        <w:rPr>
          <w:rFonts w:ascii="Calibri" w:hAnsi="Calibri"/>
          <w:i w:val="0"/>
          <w:color w:val="262626"/>
          <w:sz w:val="20"/>
        </w:rPr>
        <w:t xml:space="preserve">; </w:t>
      </w:r>
      <w:r>
        <w:rPr>
          <w:rFonts w:ascii="Calibri" w:hAnsi="Calibri"/>
          <w:i w:val="0"/>
          <w:color w:val="2E75B6"/>
          <w:sz w:val="20"/>
          <w:u w:val="single"/>
        </w:rPr>
        <w:t>People v. Belbes</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Obedience to Lawful Order of Superior (Art. 11[6]):</w:t>
      </w:r>
      <w:r>
        <w:rPr>
          <w:rFonts w:ascii="Calibri" w:hAnsi="Calibri"/>
          <w:i w:val="0"/>
          <w:color w:val="262626"/>
          <w:sz w:val="20"/>
        </w:rPr>
        <w:t xml:space="preserve"> Superior order; lawful purpose; lawful means. Manifestly illegal order never justifies (</w:t>
      </w:r>
      <w:r>
        <w:rPr>
          <w:rFonts w:ascii="Calibri" w:hAnsi="Calibri"/>
          <w:i w:val="0"/>
          <w:color w:val="2E75B6"/>
          <w:sz w:val="20"/>
          <w:u w:val="single"/>
        </w:rPr>
        <w:t>People v. Beronilla</w:t>
      </w:r>
      <w:r>
        <w:rPr>
          <w:rFonts w:ascii="Calibri" w:hAnsi="Calibri"/>
          <w:i w:val="0"/>
          <w:color w:val="262626"/>
          <w:sz w:val="20"/>
        </w:rPr>
        <w:t xml:space="preserve">; </w:t>
      </w:r>
      <w:r>
        <w:rPr>
          <w:rFonts w:ascii="Calibri" w:hAnsi="Calibri"/>
          <w:i w:val="0"/>
          <w:color w:val="2E75B6"/>
          <w:sz w:val="20"/>
          <w:u w:val="single"/>
        </w:rPr>
        <w:t>Tabuena v. Sandiganbayan</w:t>
      </w:r>
      <w:r>
        <w:rPr>
          <w:rFonts w:ascii="Calibri" w:hAnsi="Calibri"/>
          <w:i w:val="0"/>
          <w:color w:val="262626"/>
          <w:sz w:val="20"/>
        </w:rPr>
        <w:t>).</w:t>
      </w:r>
    </w:p>
    <w:p>
      <w:pPr>
        <w:keepNext/>
        <w:spacing w:before="200" w:after="60"/>
      </w:pPr>
      <w:r>
        <w:rPr>
          <w:rFonts w:ascii="Segoe UI" w:hAnsi="Segoe UI"/>
          <w:b/>
          <w:color w:val="1F4E79"/>
          <w:sz w:val="23"/>
        </w:rPr>
        <w:t>2. Exempting Circumstances (Article 12 RPC)</w:t>
      </w:r>
    </w:p>
    <w:p>
      <w:pPr>
        <w:pStyle w:val="ListBullet"/>
        <w:spacing w:before="20" w:after="40" w:line="276" w:lineRule="auto"/>
      </w:pPr>
      <w:r>
        <w:rPr>
          <w:rFonts w:ascii="Calibri" w:hAnsi="Calibri"/>
          <w:b/>
          <w:i w:val="0"/>
          <w:color w:val="262626"/>
          <w:sz w:val="20"/>
        </w:rPr>
        <w:t>Nature:</w:t>
      </w:r>
      <w:r>
        <w:rPr>
          <w:rFonts w:ascii="Calibri" w:hAnsi="Calibri"/>
          <w:i w:val="0"/>
          <w:color w:val="262626"/>
          <w:sz w:val="20"/>
        </w:rPr>
        <w:t xml:space="preserve"> Act is wrongful and criminal, but the </w:t>
      </w:r>
      <w:r>
        <w:rPr>
          <w:rFonts w:ascii="Calibri" w:hAnsi="Calibri"/>
          <w:b/>
          <w:i w:val="0"/>
          <w:color w:val="262626"/>
          <w:sz w:val="20"/>
        </w:rPr>
        <w:t>actor lacks voluntariness, intelligence, or intent</w:t>
      </w:r>
      <w:r>
        <w:rPr>
          <w:rFonts w:ascii="Calibri" w:hAnsi="Calibri"/>
          <w:i w:val="0"/>
          <w:color w:val="262626"/>
          <w:sz w:val="20"/>
        </w:rPr>
        <w:t xml:space="preserve">. No criminal liability, but </w:t>
      </w:r>
      <w:r>
        <w:rPr>
          <w:rFonts w:ascii="Calibri" w:hAnsi="Calibri"/>
          <w:b/>
          <w:i w:val="0"/>
          <w:color w:val="262626"/>
          <w:sz w:val="20"/>
        </w:rPr>
        <w:t>CIVIL LIABILITY REMAINS</w:t>
      </w:r>
      <w:r>
        <w:rPr>
          <w:rFonts w:ascii="Calibri" w:hAnsi="Calibri"/>
          <w:i w:val="0"/>
          <w:color w:val="262626"/>
          <w:sz w:val="20"/>
        </w:rPr>
        <w:t xml:space="preserve"> (except Par. 4 — Accident).</w:t>
      </w:r>
    </w:p>
    <w:p>
      <w:pPr>
        <w:pStyle w:val="ListBullet"/>
        <w:spacing w:before="20" w:after="40" w:line="276" w:lineRule="auto"/>
      </w:pPr>
      <w:r>
        <w:rPr>
          <w:rFonts w:ascii="Calibri" w:hAnsi="Calibri"/>
          <w:b/>
          <w:i w:val="0"/>
          <w:color w:val="262626"/>
          <w:sz w:val="20"/>
        </w:rPr>
        <w:t>The Seven Categories:</w:t>
      </w:r>
    </w:p>
    <w:p>
      <w:pPr>
        <w:pStyle w:val="ListNumber"/>
        <w:spacing w:before="40" w:after="40" w:line="276" w:lineRule="auto"/>
      </w:pPr>
      <w:r>
        <w:rPr>
          <w:rFonts w:ascii="Calibri" w:hAnsi="Calibri"/>
          <w:b/>
          <w:i w:val="0"/>
          <w:color w:val="262626"/>
          <w:sz w:val="20"/>
        </w:rPr>
        <w:t>Imbecility / Insanity (Art. 12[1]):</w:t>
      </w:r>
      <w:r>
        <w:rPr>
          <w:rFonts w:ascii="Calibri" w:hAnsi="Calibri"/>
          <w:i w:val="0"/>
          <w:color w:val="262626"/>
          <w:sz w:val="20"/>
        </w:rPr>
        <w:t xml:space="preserve"> Imbecile is exempt in ALL cases. Insane is exempt unless acted during a lucid interval. Cognitive test applies: complete deprivation of intelligence (</w:t>
      </w:r>
      <w:r>
        <w:rPr>
          <w:rFonts w:ascii="Calibri" w:hAnsi="Calibri"/>
          <w:i w:val="0"/>
          <w:color w:val="2E75B6"/>
          <w:sz w:val="20"/>
          <w:u w:val="single"/>
        </w:rPr>
        <w:t>People v. Bonoan</w:t>
      </w:r>
      <w:r>
        <w:rPr>
          <w:rFonts w:ascii="Calibri" w:hAnsi="Calibri"/>
          <w:i w:val="0"/>
          <w:color w:val="262626"/>
          <w:sz w:val="20"/>
        </w:rPr>
        <w:t xml:space="preserve">; </w:t>
      </w:r>
      <w:r>
        <w:rPr>
          <w:rFonts w:ascii="Calibri" w:hAnsi="Calibri"/>
          <w:i w:val="0"/>
          <w:color w:val="2E75B6"/>
          <w:sz w:val="20"/>
          <w:u w:val="single"/>
        </w:rPr>
        <w:t>People v. Roa</w:t>
      </w:r>
      <w:r>
        <w:rPr>
          <w:rFonts w:ascii="Calibri" w:hAnsi="Calibri"/>
          <w:i w:val="0"/>
          <w:color w:val="262626"/>
          <w:sz w:val="20"/>
        </w:rPr>
        <w:t>, 2017).</w:t>
      </w:r>
    </w:p>
    <w:p>
      <w:pPr>
        <w:pStyle w:val="ListNumber"/>
        <w:spacing w:before="40" w:after="40" w:line="276" w:lineRule="auto"/>
      </w:pPr>
      <w:r>
        <w:rPr>
          <w:rFonts w:ascii="Calibri" w:hAnsi="Calibri"/>
          <w:b/>
          <w:i w:val="0"/>
          <w:color w:val="262626"/>
          <w:sz w:val="20"/>
        </w:rPr>
        <w:t>Somnambulism / Automatism:</w:t>
      </w:r>
      <w:r>
        <w:rPr>
          <w:rFonts w:ascii="Calibri" w:hAnsi="Calibri"/>
          <w:i w:val="0"/>
          <w:color w:val="262626"/>
          <w:sz w:val="20"/>
        </w:rPr>
        <w:t xml:space="preserve"> Sleepwalking; total absence of volition (</w:t>
      </w:r>
      <w:r>
        <w:rPr>
          <w:rFonts w:ascii="Calibri" w:hAnsi="Calibri"/>
          <w:i w:val="0"/>
          <w:color w:val="2E75B6"/>
          <w:sz w:val="20"/>
          <w:u w:val="single"/>
        </w:rPr>
        <w:t>People v. Taneo</w:t>
      </w:r>
      <w:r>
        <w:rPr>
          <w:rFonts w:ascii="Calibri" w:hAnsi="Calibri"/>
          <w:i w:val="0"/>
          <w:color w:val="262626"/>
          <w:sz w:val="20"/>
        </w:rPr>
        <w:t>, 58 Phil. 255).</w:t>
      </w:r>
    </w:p>
    <w:p>
      <w:pPr>
        <w:pStyle w:val="ListNumber"/>
        <w:spacing w:before="40" w:after="40" w:line="276" w:lineRule="auto"/>
      </w:pPr>
      <w:r>
        <w:rPr>
          <w:rFonts w:ascii="Calibri" w:hAnsi="Calibri"/>
          <w:b/>
          <w:i w:val="0"/>
          <w:color w:val="262626"/>
          <w:sz w:val="20"/>
        </w:rPr>
        <w:t>Minority (R.A. 9344 as amended by R.A. 10630):</w:t>
      </w:r>
    </w:p>
    <w:p>
      <w:pPr>
        <w:pStyle w:val="ListBullet"/>
        <w:spacing w:before="20" w:after="40" w:line="276" w:lineRule="auto"/>
      </w:pPr>
      <w:r>
        <w:rPr>
          <w:rFonts w:ascii="Calibri" w:hAnsi="Calibri"/>
          <w:i/>
          <w:color w:val="262626"/>
          <w:sz w:val="20"/>
        </w:rPr>
        <w:t>15 years and under:</w:t>
      </w:r>
      <w:r>
        <w:rPr>
          <w:rFonts w:ascii="Calibri" w:hAnsi="Calibri"/>
          <w:i w:val="0"/>
          <w:color w:val="262626"/>
          <w:sz w:val="20"/>
        </w:rPr>
        <w:t xml:space="preserve"> Absolutely exempt from criminal liability; mandatory intervention.</w:t>
      </w:r>
    </w:p>
    <w:p>
      <w:pPr>
        <w:pStyle w:val="ListBullet"/>
        <w:spacing w:before="20" w:after="40" w:line="276" w:lineRule="auto"/>
      </w:pPr>
      <w:r>
        <w:rPr>
          <w:rFonts w:ascii="Calibri" w:hAnsi="Calibri"/>
          <w:i/>
          <w:color w:val="262626"/>
          <w:sz w:val="20"/>
        </w:rPr>
        <w:t>Above 15 but below 18:</w:t>
      </w:r>
      <w:r>
        <w:rPr>
          <w:rFonts w:ascii="Calibri" w:hAnsi="Calibri"/>
          <w:i w:val="0"/>
          <w:color w:val="262626"/>
          <w:sz w:val="20"/>
        </w:rPr>
        <w:t xml:space="preserve"> Exempt UNLESS acted with discernment. If with discernment, entitled to privileged mitigating circumstance (Art. 68) and automatic suspension of sentence.</w:t>
      </w:r>
    </w:p>
    <w:p>
      <w:pPr>
        <w:pStyle w:val="ListNumber"/>
        <w:spacing w:before="40" w:after="40" w:line="276" w:lineRule="auto"/>
      </w:pPr>
      <w:r>
        <w:rPr>
          <w:rFonts w:ascii="Calibri" w:hAnsi="Calibri"/>
          <w:b/>
          <w:i w:val="0"/>
          <w:color w:val="262626"/>
          <w:sz w:val="20"/>
        </w:rPr>
        <w:t>Accident (Art. 12[4]):</w:t>
      </w:r>
      <w:r>
        <w:rPr>
          <w:rFonts w:ascii="Calibri" w:hAnsi="Calibri"/>
          <w:i w:val="0"/>
          <w:color w:val="262626"/>
          <w:sz w:val="20"/>
        </w:rPr>
        <w:t xml:space="preserve"> Lawful act; due care; mere accident; without fault or intent. </w:t>
      </w:r>
      <w:r>
        <w:rPr>
          <w:rFonts w:ascii="Calibri" w:hAnsi="Calibri"/>
          <w:b/>
          <w:i w:val="0"/>
          <w:color w:val="262626"/>
          <w:sz w:val="20"/>
        </w:rPr>
        <w:t>NO CRIMINAL AND NO CIVIL LIABILITY</w:t>
      </w:r>
      <w:r>
        <w:rPr>
          <w:rFonts w:ascii="Calibri" w:hAnsi="Calibri"/>
          <w:i w:val="0"/>
          <w:color w:val="262626"/>
          <w:sz w:val="20"/>
        </w:rPr>
        <w:t xml:space="preserve"> (</w:t>
      </w:r>
      <w:r>
        <w:rPr>
          <w:rFonts w:ascii="Calibri" w:hAnsi="Calibri"/>
          <w:i w:val="0"/>
          <w:color w:val="2E75B6"/>
          <w:sz w:val="20"/>
          <w:u w:val="single"/>
        </w:rPr>
        <w:t>People v. Bindoy</w:t>
      </w:r>
      <w:r>
        <w:rPr>
          <w:rFonts w:ascii="Calibri" w:hAnsi="Calibri"/>
          <w:i w:val="0"/>
          <w:color w:val="262626"/>
          <w:sz w:val="20"/>
        </w:rPr>
        <w:t xml:space="preserve">; </w:t>
      </w:r>
      <w:r>
        <w:rPr>
          <w:rFonts w:ascii="Calibri" w:hAnsi="Calibri"/>
          <w:i w:val="0"/>
          <w:color w:val="2E75B6"/>
          <w:sz w:val="20"/>
          <w:u w:val="single"/>
        </w:rPr>
        <w:t>Pomoy v. People</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Irresistible Force (Art. 12[5]):</w:t>
      </w:r>
      <w:r>
        <w:rPr>
          <w:rFonts w:ascii="Calibri" w:hAnsi="Calibri"/>
          <w:i w:val="0"/>
          <w:color w:val="262626"/>
          <w:sz w:val="20"/>
        </w:rPr>
        <w:t xml:space="preserve"> Physical coercion from third person (</w:t>
      </w:r>
      <w:r>
        <w:rPr>
          <w:rFonts w:ascii="Calibri" w:hAnsi="Calibri"/>
          <w:i/>
          <w:color w:val="262626"/>
          <w:sz w:val="20"/>
        </w:rPr>
        <w:t>vis absoluta</w:t>
      </w:r>
      <w:r>
        <w:rPr>
          <w:rFonts w:ascii="Calibri" w:hAnsi="Calibri"/>
          <w:i w:val="0"/>
          <w:color w:val="262626"/>
          <w:sz w:val="20"/>
        </w:rPr>
        <w:t xml:space="preserve">; </w:t>
      </w:r>
      <w:r>
        <w:rPr>
          <w:rFonts w:ascii="Calibri" w:hAnsi="Calibri"/>
          <w:i w:val="0"/>
          <w:color w:val="2E75B6"/>
          <w:sz w:val="20"/>
          <w:u w:val="single"/>
        </w:rPr>
        <w:t>U.S. v. Caballeros</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Uncontrollable Fear (Art. 12[6]):</w:t>
      </w:r>
      <w:r>
        <w:rPr>
          <w:rFonts w:ascii="Calibri" w:hAnsi="Calibri"/>
          <w:i w:val="0"/>
          <w:color w:val="262626"/>
          <w:sz w:val="20"/>
        </w:rPr>
        <w:t xml:space="preserve"> Mental intimidation of equal or greater injury (</w:t>
      </w:r>
      <w:r>
        <w:rPr>
          <w:rFonts w:ascii="Calibri" w:hAnsi="Calibri"/>
          <w:i/>
          <w:color w:val="262626"/>
          <w:sz w:val="20"/>
        </w:rPr>
        <w:t>vis compulsiva</w:t>
      </w:r>
      <w:r>
        <w:rPr>
          <w:rFonts w:ascii="Calibri" w:hAnsi="Calibri"/>
          <w:i w:val="0"/>
          <w:color w:val="262626"/>
          <w:sz w:val="20"/>
        </w:rPr>
        <w:t xml:space="preserve">; </w:t>
      </w:r>
      <w:r>
        <w:rPr>
          <w:rFonts w:ascii="Calibri" w:hAnsi="Calibri"/>
          <w:i w:val="0"/>
          <w:color w:val="2E75B6"/>
          <w:sz w:val="20"/>
          <w:u w:val="single"/>
        </w:rPr>
        <w:t>People v. Anod</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Insuperable Cause (Art. 12[7]):</w:t>
      </w:r>
      <w:r>
        <w:rPr>
          <w:rFonts w:ascii="Calibri" w:hAnsi="Calibri"/>
          <w:i w:val="0"/>
          <w:color w:val="262626"/>
          <w:sz w:val="20"/>
        </w:rPr>
        <w:t xml:space="preserve"> Lawful or physical impossibility to perform legal duty (</w:t>
      </w:r>
      <w:r>
        <w:rPr>
          <w:rFonts w:ascii="Calibri" w:hAnsi="Calibri"/>
          <w:i w:val="0"/>
          <w:color w:val="2E75B6"/>
          <w:sz w:val="20"/>
          <w:u w:val="single"/>
        </w:rPr>
        <w:t>U.S. v. Vicentillo</w:t>
      </w:r>
      <w:r>
        <w:rPr>
          <w:rFonts w:ascii="Calibri" w:hAnsi="Calibri"/>
          <w:i w:val="0"/>
          <w:color w:val="262626"/>
          <w:sz w:val="20"/>
        </w:rPr>
        <w:t xml:space="preserve">; </w:t>
      </w:r>
      <w:r>
        <w:rPr>
          <w:rFonts w:ascii="Calibri" w:hAnsi="Calibri"/>
          <w:i w:val="0"/>
          <w:color w:val="2E75B6"/>
          <w:sz w:val="20"/>
          <w:u w:val="single"/>
        </w:rPr>
        <w:t>People v. Bandian</w:t>
      </w:r>
      <w:r>
        <w:rPr>
          <w:rFonts w:ascii="Calibri" w:hAnsi="Calibri"/>
          <w:i w:val="0"/>
          <w:color w:val="262626"/>
          <w:sz w:val="20"/>
        </w:rPr>
        <w:t>).</w:t>
      </w:r>
    </w:p>
    <w:p>
      <w:pPr>
        <w:keepNext/>
        <w:spacing w:before="200" w:after="60"/>
      </w:pPr>
      <w:r>
        <w:rPr>
          <w:rFonts w:ascii="Segoe UI" w:hAnsi="Segoe UI"/>
          <w:b/>
          <w:color w:val="1F4E79"/>
          <w:sz w:val="23"/>
        </w:rPr>
        <w:t>3. Mitigating Circumstances (Article 13 RPC)</w:t>
      </w:r>
    </w:p>
    <w:p>
      <w:pPr>
        <w:pStyle w:val="ListBullet"/>
        <w:spacing w:before="20" w:after="40" w:line="276" w:lineRule="auto"/>
      </w:pPr>
      <w:r>
        <w:rPr>
          <w:rFonts w:ascii="Calibri" w:hAnsi="Calibri"/>
          <w:b/>
          <w:i w:val="0"/>
          <w:color w:val="262626"/>
          <w:sz w:val="20"/>
        </w:rPr>
        <w:t>Ordinary Mitigating (Art. 13):</w:t>
      </w:r>
      <w:r>
        <w:rPr>
          <w:rFonts w:ascii="Calibri" w:hAnsi="Calibri"/>
          <w:i w:val="0"/>
          <w:color w:val="262626"/>
          <w:sz w:val="20"/>
        </w:rPr>
        <w:t xml:space="preserve"> Offsets generic aggravating; lowers penalty to minimum period (Art. 64).</w:t>
      </w:r>
    </w:p>
    <w:p>
      <w:pPr>
        <w:pStyle w:val="ListBullet"/>
        <w:spacing w:before="20" w:after="40" w:line="276" w:lineRule="auto"/>
      </w:pPr>
      <w:r>
        <w:rPr>
          <w:rFonts w:ascii="Calibri" w:hAnsi="Calibri"/>
          <w:b/>
          <w:i w:val="0"/>
          <w:color w:val="262626"/>
          <w:sz w:val="20"/>
        </w:rPr>
        <w:t>Privileged Mitigating (Arts. 68, 69):</w:t>
      </w:r>
      <w:r>
        <w:rPr>
          <w:rFonts w:ascii="Calibri" w:hAnsi="Calibri"/>
          <w:i w:val="0"/>
          <w:color w:val="262626"/>
          <w:sz w:val="20"/>
        </w:rPr>
        <w:t xml:space="preserve"> Cannot be offset; reduces penalty by 1 or 2 degrees.</w:t>
      </w:r>
    </w:p>
    <w:p>
      <w:pPr>
        <w:pStyle w:val="ListBullet"/>
        <w:spacing w:before="20" w:after="40" w:line="276" w:lineRule="auto"/>
      </w:pPr>
      <w:r>
        <w:rPr>
          <w:rFonts w:ascii="Calibri" w:hAnsi="Calibri"/>
          <w:b/>
          <w:i w:val="0"/>
          <w:color w:val="262626"/>
          <w:sz w:val="20"/>
        </w:rPr>
        <w:t>Ten Paragraphs:</w:t>
      </w:r>
    </w:p>
    <w:p>
      <w:pPr>
        <w:pStyle w:val="ListNumber"/>
        <w:spacing w:before="40" w:after="40" w:line="276" w:lineRule="auto"/>
      </w:pPr>
      <w:r>
        <w:rPr>
          <w:rFonts w:ascii="Calibri" w:hAnsi="Calibri"/>
          <w:i/>
          <w:color w:val="262626"/>
          <w:sz w:val="20"/>
        </w:rPr>
        <w:t>Incomplete Justifying/Exempting (Art. 13[1] &amp; 69)</w:t>
      </w:r>
    </w:p>
    <w:p>
      <w:pPr>
        <w:pStyle w:val="ListNumber"/>
        <w:spacing w:before="40" w:after="40" w:line="276" w:lineRule="auto"/>
      </w:pPr>
      <w:r>
        <w:rPr>
          <w:rFonts w:ascii="Calibri" w:hAnsi="Calibri"/>
          <w:i/>
          <w:color w:val="262626"/>
          <w:sz w:val="20"/>
        </w:rPr>
        <w:t>Age: Under 18 or over 70 (Art. 13[2])</w:t>
      </w:r>
    </w:p>
    <w:p>
      <w:pPr>
        <w:pStyle w:val="ListNumber"/>
        <w:spacing w:before="40" w:after="40" w:line="276" w:lineRule="auto"/>
      </w:pPr>
      <w:r>
        <w:rPr>
          <w:rFonts w:ascii="Calibri" w:hAnsi="Calibri"/>
          <w:i/>
          <w:color w:val="262626"/>
          <w:sz w:val="20"/>
        </w:rPr>
        <w:t>Praeter Intentionem (Art. 13[3])</w:t>
      </w:r>
    </w:p>
    <w:p>
      <w:pPr>
        <w:pStyle w:val="ListNumber"/>
        <w:spacing w:before="40" w:after="40" w:line="276" w:lineRule="auto"/>
      </w:pPr>
      <w:r>
        <w:rPr>
          <w:rFonts w:ascii="Calibri" w:hAnsi="Calibri"/>
          <w:i/>
          <w:color w:val="262626"/>
          <w:sz w:val="20"/>
        </w:rPr>
        <w:t>Sufficient Provocation (Art. 13[4])</w:t>
      </w:r>
    </w:p>
    <w:p>
      <w:pPr>
        <w:pStyle w:val="ListNumber"/>
        <w:spacing w:before="40" w:after="40" w:line="276" w:lineRule="auto"/>
      </w:pPr>
      <w:r>
        <w:rPr>
          <w:rFonts w:ascii="Calibri" w:hAnsi="Calibri"/>
          <w:i/>
          <w:color w:val="262626"/>
          <w:sz w:val="20"/>
        </w:rPr>
        <w:t>Immediate Vindication of Grave Offense (Art. 13[5])</w:t>
      </w:r>
    </w:p>
    <w:p>
      <w:pPr>
        <w:pStyle w:val="ListNumber"/>
        <w:spacing w:before="40" w:after="40" w:line="276" w:lineRule="auto"/>
      </w:pPr>
      <w:r>
        <w:rPr>
          <w:rFonts w:ascii="Calibri" w:hAnsi="Calibri"/>
          <w:i/>
          <w:color w:val="262626"/>
          <w:sz w:val="20"/>
        </w:rPr>
        <w:t>Passion or Obfuscation (Art. 13[6])</w:t>
      </w:r>
    </w:p>
    <w:p>
      <w:pPr>
        <w:pStyle w:val="ListNumber"/>
        <w:spacing w:before="40" w:after="40" w:line="276" w:lineRule="auto"/>
      </w:pPr>
      <w:r>
        <w:rPr>
          <w:rFonts w:ascii="Calibri" w:hAnsi="Calibri"/>
          <w:i/>
          <w:color w:val="262626"/>
          <w:sz w:val="20"/>
        </w:rPr>
        <w:t>Voluntary Surrender &amp; Plea of Guilty (Art. 13[7] — Two separate mitigating circumstances)</w:t>
      </w:r>
    </w:p>
    <w:p>
      <w:pPr>
        <w:pStyle w:val="ListNumber"/>
        <w:spacing w:before="40" w:after="40" w:line="276" w:lineRule="auto"/>
      </w:pPr>
      <w:r>
        <w:rPr>
          <w:rFonts w:ascii="Calibri" w:hAnsi="Calibri"/>
          <w:i/>
          <w:color w:val="262626"/>
          <w:sz w:val="20"/>
        </w:rPr>
        <w:t>Physical Defects: Deaf, mute, blind (Art. 13[8])</w:t>
      </w:r>
    </w:p>
    <w:p>
      <w:pPr>
        <w:pStyle w:val="ListNumber"/>
        <w:spacing w:before="40" w:after="40" w:line="276" w:lineRule="auto"/>
      </w:pPr>
      <w:r>
        <w:rPr>
          <w:rFonts w:ascii="Calibri" w:hAnsi="Calibri"/>
          <w:i/>
          <w:color w:val="262626"/>
          <w:sz w:val="20"/>
        </w:rPr>
        <w:t>Illness (Art. 13[9])</w:t>
      </w:r>
    </w:p>
    <w:p>
      <w:pPr>
        <w:pStyle w:val="ListNumber"/>
        <w:spacing w:before="40" w:after="40" w:line="276" w:lineRule="auto"/>
      </w:pPr>
      <w:r>
        <w:rPr>
          <w:rFonts w:ascii="Calibri" w:hAnsi="Calibri"/>
          <w:i/>
          <w:color w:val="262626"/>
          <w:sz w:val="20"/>
        </w:rPr>
        <w:t>Analogous Circumstances (Art. 13[10])</w:t>
      </w:r>
    </w:p>
    <w:p>
      <w:pPr>
        <w:keepNext/>
        <w:spacing w:before="200" w:after="60"/>
      </w:pPr>
      <w:r>
        <w:rPr>
          <w:rFonts w:ascii="Segoe UI" w:hAnsi="Segoe UI"/>
          <w:b/>
          <w:color w:val="1F4E79"/>
          <w:sz w:val="23"/>
        </w:rPr>
        <w:t>4. Aggravating Circumstances (Article 14 RPC)</w:t>
      </w:r>
    </w:p>
    <w:p>
      <w:pPr>
        <w:pStyle w:val="ListBullet"/>
        <w:spacing w:before="20" w:after="40" w:line="276" w:lineRule="auto"/>
      </w:pPr>
      <w:r>
        <w:rPr>
          <w:rFonts w:ascii="Calibri" w:hAnsi="Calibri"/>
          <w:b/>
          <w:i w:val="0"/>
          <w:color w:val="262626"/>
          <w:sz w:val="20"/>
        </w:rPr>
        <w:t>Four Kinds (Reyes):</w:t>
      </w:r>
      <w:r>
        <w:rPr>
          <w:rFonts w:ascii="Calibri" w:hAnsi="Calibri"/>
          <w:i w:val="0"/>
          <w:color w:val="262626"/>
          <w:sz w:val="20"/>
        </w:rPr>
        <w:t xml:space="preserve"> Generic, Specific, Qualifying (changes crime nature, e.g. murder), Inherent.</w:t>
      </w:r>
    </w:p>
    <w:p>
      <w:pPr>
        <w:pStyle w:val="ListBullet"/>
        <w:spacing w:before="20" w:after="40" w:line="276" w:lineRule="auto"/>
      </w:pPr>
      <w:r>
        <w:rPr>
          <w:rFonts w:ascii="Calibri" w:hAnsi="Calibri"/>
          <w:b/>
          <w:i w:val="0"/>
          <w:color w:val="262626"/>
          <w:sz w:val="20"/>
        </w:rPr>
        <w:t>21 Paragraphs Analyzed:</w:t>
      </w:r>
    </w:p>
    <w:p>
      <w:pPr>
        <w:pStyle w:val="ListBullet"/>
        <w:spacing w:before="20" w:after="40" w:line="276" w:lineRule="auto"/>
      </w:pPr>
      <w:r>
        <w:rPr>
          <w:rFonts w:ascii="Calibri" w:hAnsi="Calibri"/>
          <w:i/>
          <w:color w:val="262626"/>
          <w:sz w:val="20"/>
        </w:rPr>
        <w:t>Par. 1:</w:t>
      </w:r>
      <w:r>
        <w:rPr>
          <w:rFonts w:ascii="Calibri" w:hAnsi="Calibri"/>
          <w:i w:val="0"/>
          <w:color w:val="262626"/>
          <w:sz w:val="20"/>
        </w:rPr>
        <w:t xml:space="preserve"> Public position abused.</w:t>
      </w:r>
    </w:p>
    <w:p>
      <w:pPr>
        <w:pStyle w:val="ListBullet"/>
        <w:spacing w:before="20" w:after="40" w:line="276" w:lineRule="auto"/>
      </w:pPr>
      <w:r>
        <w:rPr>
          <w:rFonts w:ascii="Calibri" w:hAnsi="Calibri"/>
          <w:i/>
          <w:color w:val="262626"/>
          <w:sz w:val="20"/>
        </w:rPr>
        <w:t>Par. 2:</w:t>
      </w:r>
      <w:r>
        <w:rPr>
          <w:rFonts w:ascii="Calibri" w:hAnsi="Calibri"/>
          <w:i w:val="0"/>
          <w:color w:val="262626"/>
          <w:sz w:val="20"/>
        </w:rPr>
        <w:t xml:space="preserve"> Contempt of public authority.</w:t>
      </w:r>
    </w:p>
    <w:p>
      <w:pPr>
        <w:pStyle w:val="ListBullet"/>
        <w:spacing w:before="20" w:after="40" w:line="276" w:lineRule="auto"/>
      </w:pPr>
      <w:r>
        <w:rPr>
          <w:rFonts w:ascii="Calibri" w:hAnsi="Calibri"/>
          <w:i/>
          <w:color w:val="262626"/>
          <w:sz w:val="20"/>
        </w:rPr>
        <w:t>Par. 3:</w:t>
      </w:r>
      <w:r>
        <w:rPr>
          <w:rFonts w:ascii="Calibri" w:hAnsi="Calibri"/>
          <w:i w:val="0"/>
          <w:color w:val="262626"/>
          <w:sz w:val="20"/>
        </w:rPr>
        <w:t xml:space="preserve"> Insult to rank, age, sex, dwelling.</w:t>
      </w:r>
    </w:p>
    <w:p>
      <w:pPr>
        <w:pStyle w:val="ListBullet"/>
        <w:spacing w:before="20" w:after="40" w:line="276" w:lineRule="auto"/>
      </w:pPr>
      <w:r>
        <w:rPr>
          <w:rFonts w:ascii="Calibri" w:hAnsi="Calibri"/>
          <w:i/>
          <w:color w:val="262626"/>
          <w:sz w:val="20"/>
        </w:rPr>
        <w:t>Par. 4:</w:t>
      </w:r>
      <w:r>
        <w:rPr>
          <w:rFonts w:ascii="Calibri" w:hAnsi="Calibri"/>
          <w:i w:val="0"/>
          <w:color w:val="262626"/>
          <w:sz w:val="20"/>
        </w:rPr>
        <w:t xml:space="preserve"> Abuse of confidence or obvious ungratefulness.</w:t>
      </w:r>
    </w:p>
    <w:p>
      <w:pPr>
        <w:pStyle w:val="ListBullet"/>
        <w:spacing w:before="20" w:after="40" w:line="276" w:lineRule="auto"/>
      </w:pPr>
      <w:r>
        <w:rPr>
          <w:rFonts w:ascii="Calibri" w:hAnsi="Calibri"/>
          <w:i/>
          <w:color w:val="262626"/>
          <w:sz w:val="20"/>
        </w:rPr>
        <w:t>Par. 5:</w:t>
      </w:r>
      <w:r>
        <w:rPr>
          <w:rFonts w:ascii="Calibri" w:hAnsi="Calibri"/>
          <w:i w:val="0"/>
          <w:color w:val="262626"/>
          <w:sz w:val="20"/>
        </w:rPr>
        <w:t xml:space="preserve"> Palace of Chief Executive / Place of religious worship.</w:t>
      </w:r>
    </w:p>
    <w:p>
      <w:pPr>
        <w:pStyle w:val="ListBullet"/>
        <w:spacing w:before="20" w:after="40" w:line="276" w:lineRule="auto"/>
      </w:pPr>
      <w:r>
        <w:rPr>
          <w:rFonts w:ascii="Calibri" w:hAnsi="Calibri"/>
          <w:i/>
          <w:color w:val="262626"/>
          <w:sz w:val="20"/>
        </w:rPr>
        <w:t>Par. 6:</w:t>
      </w:r>
      <w:r>
        <w:rPr>
          <w:rFonts w:ascii="Calibri" w:hAnsi="Calibri"/>
          <w:i w:val="0"/>
          <w:color w:val="262626"/>
          <w:sz w:val="20"/>
        </w:rPr>
        <w:t xml:space="preserve"> Nighttime, uninhabited place, band (</w:t>
      </w:r>
      <w:r>
        <w:rPr>
          <w:rFonts w:ascii="Calibri" w:hAnsi="Calibri"/>
          <w:i/>
          <w:color w:val="262626"/>
          <w:sz w:val="20"/>
        </w:rPr>
        <w:t>cuadrilla</w:t>
      </w:r>
      <w:r>
        <w:rPr>
          <w:rFonts w:ascii="Calibri" w:hAnsi="Calibri"/>
          <w:i w:val="0"/>
          <w:color w:val="262626"/>
          <w:sz w:val="20"/>
        </w:rPr>
        <w:t>).</w:t>
      </w:r>
    </w:p>
    <w:p>
      <w:pPr>
        <w:pStyle w:val="ListBullet"/>
        <w:spacing w:before="20" w:after="40" w:line="276" w:lineRule="auto"/>
      </w:pPr>
      <w:r>
        <w:rPr>
          <w:rFonts w:ascii="Calibri" w:hAnsi="Calibri"/>
          <w:i/>
          <w:color w:val="262626"/>
          <w:sz w:val="20"/>
        </w:rPr>
        <w:t>Par. 7:</w:t>
      </w:r>
      <w:r>
        <w:rPr>
          <w:rFonts w:ascii="Calibri" w:hAnsi="Calibri"/>
          <w:i w:val="0"/>
          <w:color w:val="262626"/>
          <w:sz w:val="20"/>
        </w:rPr>
        <w:t xml:space="preserve"> Calamity / conflagration.</w:t>
      </w:r>
    </w:p>
    <w:p>
      <w:pPr>
        <w:pStyle w:val="ListBullet"/>
        <w:spacing w:before="20" w:after="40" w:line="276" w:lineRule="auto"/>
      </w:pPr>
      <w:r>
        <w:rPr>
          <w:rFonts w:ascii="Calibri" w:hAnsi="Calibri"/>
          <w:i/>
          <w:color w:val="262626"/>
          <w:sz w:val="20"/>
        </w:rPr>
        <w:t>Par. 8:</w:t>
      </w:r>
      <w:r>
        <w:rPr>
          <w:rFonts w:ascii="Calibri" w:hAnsi="Calibri"/>
          <w:i w:val="0"/>
          <w:color w:val="262626"/>
          <w:sz w:val="20"/>
        </w:rPr>
        <w:t xml:space="preserve"> Aid of armed men.</w:t>
      </w:r>
    </w:p>
    <w:p>
      <w:pPr>
        <w:pStyle w:val="ListBullet"/>
        <w:spacing w:before="20" w:after="40" w:line="276" w:lineRule="auto"/>
      </w:pPr>
      <w:r>
        <w:rPr>
          <w:rFonts w:ascii="Calibri" w:hAnsi="Calibri"/>
          <w:i/>
          <w:color w:val="262626"/>
          <w:sz w:val="20"/>
        </w:rPr>
        <w:t>Par. 9:</w:t>
      </w:r>
      <w:r>
        <w:rPr>
          <w:rFonts w:ascii="Calibri" w:hAnsi="Calibri"/>
          <w:i w:val="0"/>
          <w:color w:val="262626"/>
          <w:sz w:val="20"/>
        </w:rPr>
        <w:t xml:space="preserve"> Recidivism.</w:t>
      </w:r>
    </w:p>
    <w:p>
      <w:pPr>
        <w:pStyle w:val="ListBullet"/>
        <w:spacing w:before="20" w:after="40" w:line="276" w:lineRule="auto"/>
      </w:pPr>
      <w:r>
        <w:rPr>
          <w:rFonts w:ascii="Calibri" w:hAnsi="Calibri"/>
          <w:i/>
          <w:color w:val="262626"/>
          <w:sz w:val="20"/>
        </w:rPr>
        <w:t>Par. 10:</w:t>
      </w:r>
      <w:r>
        <w:rPr>
          <w:rFonts w:ascii="Calibri" w:hAnsi="Calibri"/>
          <w:i w:val="0"/>
          <w:color w:val="262626"/>
          <w:sz w:val="20"/>
        </w:rPr>
        <w:t xml:space="preserve"> Reiteracion / Habituality.</w:t>
      </w:r>
    </w:p>
    <w:p>
      <w:pPr>
        <w:pStyle w:val="ListBullet"/>
        <w:spacing w:before="20" w:after="40" w:line="276" w:lineRule="auto"/>
      </w:pPr>
      <w:r>
        <w:rPr>
          <w:rFonts w:ascii="Calibri" w:hAnsi="Calibri"/>
          <w:i/>
          <w:color w:val="262626"/>
          <w:sz w:val="20"/>
        </w:rPr>
        <w:t>Par. 11:</w:t>
      </w:r>
      <w:r>
        <w:rPr>
          <w:rFonts w:ascii="Calibri" w:hAnsi="Calibri"/>
          <w:i w:val="0"/>
          <w:color w:val="262626"/>
          <w:sz w:val="20"/>
        </w:rPr>
        <w:t xml:space="preserve"> Price, reward, or promise.</w:t>
      </w:r>
    </w:p>
    <w:p>
      <w:pPr>
        <w:pStyle w:val="ListBullet"/>
        <w:spacing w:before="20" w:after="40" w:line="276" w:lineRule="auto"/>
      </w:pPr>
      <w:r>
        <w:rPr>
          <w:rFonts w:ascii="Calibri" w:hAnsi="Calibri"/>
          <w:i/>
          <w:color w:val="262626"/>
          <w:sz w:val="20"/>
        </w:rPr>
        <w:t>Par. 12:</w:t>
      </w:r>
      <w:r>
        <w:rPr>
          <w:rFonts w:ascii="Calibri" w:hAnsi="Calibri"/>
          <w:i w:val="0"/>
          <w:color w:val="262626"/>
          <w:sz w:val="20"/>
        </w:rPr>
        <w:t xml:space="preserve"> Inundation, fire, poison, explosion.</w:t>
      </w:r>
    </w:p>
    <w:p>
      <w:pPr>
        <w:pStyle w:val="ListBullet"/>
        <w:spacing w:before="20" w:after="40" w:line="276" w:lineRule="auto"/>
      </w:pPr>
      <w:r>
        <w:rPr>
          <w:rFonts w:ascii="Calibri" w:hAnsi="Calibri"/>
          <w:i/>
          <w:color w:val="262626"/>
          <w:sz w:val="20"/>
        </w:rPr>
        <w:t>Par. 13:</w:t>
      </w:r>
      <w:r>
        <w:rPr>
          <w:rFonts w:ascii="Calibri" w:hAnsi="Calibri"/>
          <w:i w:val="0"/>
          <w:color w:val="262626"/>
          <w:sz w:val="20"/>
        </w:rPr>
        <w:t xml:space="preserve"> </w:t>
      </w:r>
      <w:r>
        <w:rPr>
          <w:rFonts w:ascii="Calibri" w:hAnsi="Calibri"/>
          <w:b/>
          <w:i w:val="0"/>
          <w:color w:val="262626"/>
          <w:sz w:val="20"/>
        </w:rPr>
        <w:t>Evident Premeditation:</w:t>
      </w:r>
      <w:r>
        <w:rPr>
          <w:rFonts w:ascii="Calibri" w:hAnsi="Calibri"/>
          <w:i w:val="0"/>
          <w:color w:val="262626"/>
          <w:sz w:val="20"/>
        </w:rPr>
        <w:t xml:space="preserve"> (a) Time determined, (b) Overt act clinging to plan, (c) Sufficient lapse of time for reflection.</w:t>
      </w:r>
    </w:p>
    <w:p>
      <w:pPr>
        <w:pStyle w:val="ListBullet"/>
        <w:spacing w:before="20" w:after="40" w:line="276" w:lineRule="auto"/>
      </w:pPr>
      <w:r>
        <w:rPr>
          <w:rFonts w:ascii="Calibri" w:hAnsi="Calibri"/>
          <w:i/>
          <w:color w:val="262626"/>
          <w:sz w:val="20"/>
        </w:rPr>
        <w:t>Par. 14:</w:t>
      </w:r>
      <w:r>
        <w:rPr>
          <w:rFonts w:ascii="Calibri" w:hAnsi="Calibri"/>
          <w:i w:val="0"/>
          <w:color w:val="262626"/>
          <w:sz w:val="20"/>
        </w:rPr>
        <w:t xml:space="preserve"> Craft, fraud, or disguise.</w:t>
      </w:r>
    </w:p>
    <w:p>
      <w:pPr>
        <w:pStyle w:val="ListBullet"/>
        <w:spacing w:before="20" w:after="40" w:line="276" w:lineRule="auto"/>
      </w:pPr>
      <w:r>
        <w:rPr>
          <w:rFonts w:ascii="Calibri" w:hAnsi="Calibri"/>
          <w:i/>
          <w:color w:val="262626"/>
          <w:sz w:val="20"/>
        </w:rPr>
        <w:t>Par. 15:</w:t>
      </w:r>
      <w:r>
        <w:rPr>
          <w:rFonts w:ascii="Calibri" w:hAnsi="Calibri"/>
          <w:i w:val="0"/>
          <w:color w:val="262626"/>
          <w:sz w:val="20"/>
        </w:rPr>
        <w:t xml:space="preserve"> Superior strength or means to weaken defense.</w:t>
      </w:r>
    </w:p>
    <w:p>
      <w:pPr>
        <w:pStyle w:val="ListBullet"/>
        <w:spacing w:before="20" w:after="40" w:line="276" w:lineRule="auto"/>
      </w:pPr>
      <w:r>
        <w:rPr>
          <w:rFonts w:ascii="Calibri" w:hAnsi="Calibri"/>
          <w:i/>
          <w:color w:val="262626"/>
          <w:sz w:val="20"/>
        </w:rPr>
        <w:t>Par. 16:</w:t>
      </w:r>
      <w:r>
        <w:rPr>
          <w:rFonts w:ascii="Calibri" w:hAnsi="Calibri"/>
          <w:i w:val="0"/>
          <w:color w:val="262626"/>
          <w:sz w:val="20"/>
        </w:rPr>
        <w:t xml:space="preserve"> </w:t>
      </w:r>
      <w:r>
        <w:rPr>
          <w:rFonts w:ascii="Calibri" w:hAnsi="Calibri"/>
          <w:b/>
          <w:i w:val="0"/>
          <w:color w:val="262626"/>
          <w:sz w:val="20"/>
        </w:rPr>
        <w:t>Treachery (Alevosia):</w:t>
      </w:r>
      <w:r>
        <w:rPr>
          <w:rFonts w:ascii="Calibri" w:hAnsi="Calibri"/>
          <w:i w:val="0"/>
          <w:color w:val="262626"/>
          <w:sz w:val="20"/>
        </w:rPr>
        <w:t xml:space="preserve"> In crimes against persons, employing means, methods, or forms of execution insuring commission without risk from defense (</w:t>
      </w:r>
      <w:r>
        <w:rPr>
          <w:rFonts w:ascii="Calibri" w:hAnsi="Calibri"/>
          <w:i w:val="0"/>
          <w:color w:val="2E75B6"/>
          <w:sz w:val="20"/>
          <w:u w:val="single"/>
        </w:rPr>
        <w:t>People v. Cañete</w:t>
      </w:r>
      <w:r>
        <w:rPr>
          <w:rFonts w:ascii="Calibri" w:hAnsi="Calibri"/>
          <w:i w:val="0"/>
          <w:color w:val="262626"/>
          <w:sz w:val="20"/>
        </w:rPr>
        <w:t xml:space="preserve">; </w:t>
      </w:r>
      <w:r>
        <w:rPr>
          <w:rFonts w:ascii="Calibri" w:hAnsi="Calibri"/>
          <w:i w:val="0"/>
          <w:color w:val="2E75B6"/>
          <w:sz w:val="20"/>
          <w:u w:val="single"/>
        </w:rPr>
        <w:t>People v. Dela Cruz</w:t>
      </w:r>
      <w:r>
        <w:rPr>
          <w:rFonts w:ascii="Calibri" w:hAnsi="Calibri"/>
          <w:i w:val="0"/>
          <w:color w:val="262626"/>
          <w:sz w:val="20"/>
        </w:rPr>
        <w:t>, 2019).</w:t>
      </w:r>
    </w:p>
    <w:p>
      <w:pPr>
        <w:pStyle w:val="ListBullet"/>
        <w:spacing w:before="20" w:after="40" w:line="276" w:lineRule="auto"/>
      </w:pPr>
      <w:r>
        <w:rPr>
          <w:rFonts w:ascii="Calibri" w:hAnsi="Calibri"/>
          <w:i/>
          <w:color w:val="262626"/>
          <w:sz w:val="20"/>
        </w:rPr>
        <w:t>Par. 17:</w:t>
      </w:r>
      <w:r>
        <w:rPr>
          <w:rFonts w:ascii="Calibri" w:hAnsi="Calibri"/>
          <w:i w:val="0"/>
          <w:color w:val="262626"/>
          <w:sz w:val="20"/>
        </w:rPr>
        <w:t xml:space="preserve"> Ignominy.</w:t>
      </w:r>
    </w:p>
    <w:p>
      <w:pPr>
        <w:pStyle w:val="ListBullet"/>
        <w:spacing w:before="20" w:after="40" w:line="276" w:lineRule="auto"/>
      </w:pPr>
      <w:r>
        <w:rPr>
          <w:rFonts w:ascii="Calibri" w:hAnsi="Calibri"/>
          <w:i/>
          <w:color w:val="262626"/>
          <w:sz w:val="20"/>
        </w:rPr>
        <w:t>Par. 18:</w:t>
      </w:r>
      <w:r>
        <w:rPr>
          <w:rFonts w:ascii="Calibri" w:hAnsi="Calibri"/>
          <w:i w:val="0"/>
          <w:color w:val="262626"/>
          <w:sz w:val="20"/>
        </w:rPr>
        <w:t xml:space="preserve"> Unlawful entry.</w:t>
      </w:r>
    </w:p>
    <w:p>
      <w:pPr>
        <w:pStyle w:val="ListBullet"/>
        <w:spacing w:before="20" w:after="40" w:line="276" w:lineRule="auto"/>
      </w:pPr>
      <w:r>
        <w:rPr>
          <w:rFonts w:ascii="Calibri" w:hAnsi="Calibri"/>
          <w:i/>
          <w:color w:val="262626"/>
          <w:sz w:val="20"/>
        </w:rPr>
        <w:t>Par. 19:</w:t>
      </w:r>
      <w:r>
        <w:rPr>
          <w:rFonts w:ascii="Calibri" w:hAnsi="Calibri"/>
          <w:i w:val="0"/>
          <w:color w:val="262626"/>
          <w:sz w:val="20"/>
        </w:rPr>
        <w:t xml:space="preserve"> Wall, roof, floor, window broken.</w:t>
      </w:r>
    </w:p>
    <w:p>
      <w:pPr>
        <w:pStyle w:val="ListBullet"/>
        <w:spacing w:before="20" w:after="40" w:line="276" w:lineRule="auto"/>
      </w:pPr>
      <w:r>
        <w:rPr>
          <w:rFonts w:ascii="Calibri" w:hAnsi="Calibri"/>
          <w:i/>
          <w:color w:val="262626"/>
          <w:sz w:val="20"/>
        </w:rPr>
        <w:t>Par. 20:</w:t>
      </w:r>
      <w:r>
        <w:rPr>
          <w:rFonts w:ascii="Calibri" w:hAnsi="Calibri"/>
          <w:i w:val="0"/>
          <w:color w:val="262626"/>
          <w:sz w:val="20"/>
        </w:rPr>
        <w:t xml:space="preserve"> Aid of persons under 15, motor vehicle, airship.</w:t>
      </w:r>
    </w:p>
    <w:p>
      <w:pPr>
        <w:pStyle w:val="ListBullet"/>
        <w:spacing w:before="20" w:after="40" w:line="276" w:lineRule="auto"/>
      </w:pPr>
      <w:r>
        <w:rPr>
          <w:rFonts w:ascii="Calibri" w:hAnsi="Calibri"/>
          <w:i/>
          <w:color w:val="262626"/>
          <w:sz w:val="20"/>
        </w:rPr>
        <w:t>Par. 21:</w:t>
      </w:r>
      <w:r>
        <w:rPr>
          <w:rFonts w:ascii="Calibri" w:hAnsi="Calibri"/>
          <w:i w:val="0"/>
          <w:color w:val="262626"/>
          <w:sz w:val="20"/>
        </w:rPr>
        <w:t xml:space="preserve"> </w:t>
      </w:r>
      <w:r>
        <w:rPr>
          <w:rFonts w:ascii="Calibri" w:hAnsi="Calibri"/>
          <w:b/>
          <w:i w:val="0"/>
          <w:color w:val="262626"/>
          <w:sz w:val="20"/>
        </w:rPr>
        <w:t>Cruelty:</w:t>
      </w:r>
      <w:r>
        <w:rPr>
          <w:rFonts w:ascii="Calibri" w:hAnsi="Calibri"/>
          <w:i w:val="0"/>
          <w:color w:val="262626"/>
          <w:sz w:val="20"/>
        </w:rPr>
        <w:t xml:space="preserve"> Deliberately augmenting physical suffering (</w:t>
      </w:r>
      <w:r>
        <w:rPr>
          <w:rFonts w:ascii="Calibri" w:hAnsi="Calibri"/>
          <w:i w:val="0"/>
          <w:color w:val="2E75B6"/>
          <w:sz w:val="20"/>
          <w:u w:val="single"/>
        </w:rPr>
        <w:t>People v. Sitchon</w:t>
      </w:r>
      <w:r>
        <w:rPr>
          <w:rFonts w:ascii="Calibri" w:hAnsi="Calibri"/>
          <w:i w:val="0"/>
          <w:color w:val="262626"/>
          <w:sz w:val="20"/>
        </w:rPr>
        <w:t xml:space="preserve">; </w:t>
      </w:r>
      <w:r>
        <w:rPr>
          <w:rFonts w:ascii="Calibri" w:hAnsi="Calibri"/>
          <w:i w:val="0"/>
          <w:color w:val="2E75B6"/>
          <w:sz w:val="20"/>
          <w:u w:val="single"/>
        </w:rPr>
        <w:t>People v. Bernabe</w:t>
      </w:r>
      <w:r>
        <w:rPr>
          <w:rFonts w:ascii="Calibri" w:hAnsi="Calibri"/>
          <w:i w:val="0"/>
          <w:color w:val="262626"/>
          <w:sz w:val="20"/>
        </w:rPr>
        <w:t>).</w:t>
      </w:r>
    </w:p>
    <w:p>
      <w:pPr>
        <w:keepNext/>
        <w:spacing w:before="200" w:after="60"/>
      </w:pPr>
      <w:r>
        <w:rPr>
          <w:rFonts w:ascii="Segoe UI" w:hAnsi="Segoe UI"/>
          <w:b/>
          <w:color w:val="1F4E79"/>
          <w:sz w:val="23"/>
        </w:rPr>
        <w:t>5. Alternative Circumstances (Article 15 RPC)</w:t>
      </w:r>
    </w:p>
    <w:p>
      <w:pPr>
        <w:pStyle w:val="ListBullet"/>
        <w:spacing w:before="20" w:after="40" w:line="276" w:lineRule="auto"/>
      </w:pPr>
      <w:r>
        <w:rPr>
          <w:rFonts w:ascii="Calibri" w:hAnsi="Calibri"/>
          <w:b/>
          <w:i w:val="0"/>
          <w:color w:val="262626"/>
          <w:sz w:val="20"/>
        </w:rPr>
        <w:t>Relationship:</w:t>
      </w:r>
      <w:r>
        <w:rPr>
          <w:rFonts w:ascii="Calibri" w:hAnsi="Calibri"/>
          <w:i w:val="0"/>
          <w:color w:val="262626"/>
          <w:sz w:val="20"/>
        </w:rPr>
        <w:t xml:space="preserve"> Mitigating in property crimes; Aggravating in crimes against persons.</w:t>
      </w:r>
    </w:p>
    <w:p>
      <w:pPr>
        <w:pStyle w:val="ListBullet"/>
        <w:spacing w:before="20" w:after="40" w:line="276" w:lineRule="auto"/>
      </w:pPr>
      <w:r>
        <w:rPr>
          <w:rFonts w:ascii="Calibri" w:hAnsi="Calibri"/>
          <w:b/>
          <w:i w:val="0"/>
          <w:color w:val="262626"/>
          <w:sz w:val="20"/>
        </w:rPr>
        <w:t>Education / Degree of Instruction:</w:t>
      </w:r>
      <w:r>
        <w:rPr>
          <w:rFonts w:ascii="Calibri" w:hAnsi="Calibri"/>
          <w:i w:val="0"/>
          <w:color w:val="262626"/>
          <w:sz w:val="20"/>
        </w:rPr>
        <w:t xml:space="preserve"> Low instruction is mitigating, but NEVER in crimes against property, chastity, or treason (</w:t>
      </w:r>
      <w:r>
        <w:rPr>
          <w:rFonts w:ascii="Calibri" w:hAnsi="Calibri"/>
          <w:i w:val="0"/>
          <w:color w:val="2E75B6"/>
          <w:sz w:val="20"/>
          <w:u w:val="single"/>
        </w:rPr>
        <w:t>People v. Macatanda</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Intoxication:</w:t>
      </w:r>
      <w:r>
        <w:rPr>
          <w:rFonts w:ascii="Calibri" w:hAnsi="Calibri"/>
          <w:i w:val="0"/>
          <w:color w:val="262626"/>
          <w:sz w:val="20"/>
        </w:rPr>
        <w:t xml:space="preserve"> Mitigating if not habitual and not intentional; Aggravating if habitual or intentional (</w:t>
      </w:r>
      <w:r>
        <w:rPr>
          <w:rFonts w:ascii="Calibri" w:hAnsi="Calibri"/>
          <w:i w:val="0"/>
          <w:color w:val="2E75B6"/>
          <w:sz w:val="20"/>
          <w:u w:val="single"/>
        </w:rPr>
        <w:t>People v. Camano</w:t>
      </w:r>
      <w:r>
        <w:rPr>
          <w:rFonts w:ascii="Calibri" w:hAnsi="Calibri"/>
          <w:i w:val="0"/>
          <w:color w:val="262626"/>
          <w:sz w:val="20"/>
        </w:rPr>
        <w:t>).</w:t>
      </w:r>
    </w:p>
    <w:p>
      <w:pPr>
        <w:keepNext/>
        <w:spacing w:before="200" w:after="60"/>
      </w:pPr>
      <w:r>
        <w:rPr>
          <w:rFonts w:ascii="Segoe UI" w:hAnsi="Segoe UI"/>
          <w:b/>
          <w:color w:val="1F4E79"/>
          <w:sz w:val="23"/>
        </w:rPr>
        <w:t>6. Absolutory Causes &amp; Special Defenses</w:t>
      </w:r>
    </w:p>
    <w:p>
      <w:pPr>
        <w:pStyle w:val="ListBullet"/>
        <w:spacing w:before="20" w:after="40" w:line="276" w:lineRule="auto"/>
      </w:pPr>
      <w:r>
        <w:rPr>
          <w:rFonts w:ascii="Calibri" w:hAnsi="Calibri"/>
          <w:b/>
          <w:i w:val="0"/>
          <w:color w:val="262626"/>
          <w:sz w:val="20"/>
        </w:rPr>
        <w:t>Instigation vs. Entrapment:</w:t>
      </w:r>
    </w:p>
    <w:p>
      <w:pPr>
        <w:pStyle w:val="ListBullet"/>
        <w:spacing w:before="20" w:after="40" w:line="276" w:lineRule="auto"/>
      </w:pPr>
      <w:r>
        <w:rPr>
          <w:rFonts w:ascii="Calibri" w:hAnsi="Calibri"/>
          <w:i/>
          <w:color w:val="262626"/>
          <w:sz w:val="20"/>
        </w:rPr>
        <w:t>Instigation:</w:t>
      </w:r>
      <w:r>
        <w:rPr>
          <w:rFonts w:ascii="Calibri" w:hAnsi="Calibri"/>
          <w:i w:val="0"/>
          <w:color w:val="262626"/>
          <w:sz w:val="20"/>
        </w:rPr>
        <w:t xml:space="preserve"> Police induce innocent person to commit crime -&gt; </w:t>
      </w:r>
      <w:r>
        <w:rPr>
          <w:rFonts w:ascii="Calibri" w:hAnsi="Calibri"/>
          <w:b/>
          <w:i w:val="0"/>
          <w:color w:val="262626"/>
          <w:sz w:val="20"/>
        </w:rPr>
        <w:t>ABSOLUTORY CAUSE (ACQUITTED)</w:t>
      </w:r>
      <w:r>
        <w:rPr>
          <w:rFonts w:ascii="Calibri" w:hAnsi="Calibri"/>
          <w:i w:val="0"/>
          <w:color w:val="262626"/>
          <w:sz w:val="20"/>
        </w:rPr>
        <w:t xml:space="preserve"> (</w:t>
      </w:r>
      <w:r>
        <w:rPr>
          <w:rFonts w:ascii="Calibri" w:hAnsi="Calibri"/>
          <w:i w:val="0"/>
          <w:color w:val="2E75B6"/>
          <w:sz w:val="20"/>
          <w:u w:val="single"/>
        </w:rPr>
        <w:t>People v. Lua Chu</w:t>
      </w:r>
      <w:r>
        <w:rPr>
          <w:rFonts w:ascii="Calibri" w:hAnsi="Calibri"/>
          <w:i w:val="0"/>
          <w:color w:val="262626"/>
          <w:sz w:val="20"/>
        </w:rPr>
        <w:t xml:space="preserve">; </w:t>
      </w:r>
      <w:r>
        <w:rPr>
          <w:rFonts w:ascii="Calibri" w:hAnsi="Calibri"/>
          <w:i w:val="0"/>
          <w:color w:val="2E75B6"/>
          <w:sz w:val="20"/>
          <w:u w:val="single"/>
        </w:rPr>
        <w:t>People v. Bartolome</w:t>
      </w:r>
      <w:r>
        <w:rPr>
          <w:rFonts w:ascii="Calibri" w:hAnsi="Calibri"/>
          <w:i w:val="0"/>
          <w:color w:val="262626"/>
          <w:sz w:val="20"/>
        </w:rPr>
        <w:t>).</w:t>
      </w:r>
    </w:p>
    <w:p>
      <w:pPr>
        <w:pStyle w:val="ListBullet"/>
        <w:spacing w:before="20" w:after="40" w:line="276" w:lineRule="auto"/>
      </w:pPr>
      <w:r>
        <w:rPr>
          <w:rFonts w:ascii="Calibri" w:hAnsi="Calibri"/>
          <w:i/>
          <w:color w:val="262626"/>
          <w:sz w:val="20"/>
        </w:rPr>
        <w:t>Entrapment:</w:t>
      </w:r>
      <w:r>
        <w:rPr>
          <w:rFonts w:ascii="Calibri" w:hAnsi="Calibri"/>
          <w:i w:val="0"/>
          <w:color w:val="262626"/>
          <w:sz w:val="20"/>
        </w:rPr>
        <w:t xml:space="preserve"> Police trap person executing criminal design -&gt; </w:t>
      </w:r>
      <w:r>
        <w:rPr>
          <w:rFonts w:ascii="Calibri" w:hAnsi="Calibri"/>
          <w:b/>
          <w:i w:val="0"/>
          <w:color w:val="262626"/>
          <w:sz w:val="20"/>
        </w:rPr>
        <w:t>LEGAL (CONVICTED)</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Codal Absolutory Causes:</w:t>
      </w:r>
      <w:r>
        <w:rPr>
          <w:rFonts w:ascii="Calibri" w:hAnsi="Calibri"/>
          <w:i w:val="0"/>
          <w:color w:val="262626"/>
          <w:sz w:val="20"/>
        </w:rPr>
        <w:t xml:space="preserve"> Art. 6(3) Desistance; Art. 16 light felonies accessories; Art. 20 accessory relatives; Art. 247 death/injuries under exceptional circumstances (</w:t>
      </w:r>
      <w:r>
        <w:rPr>
          <w:rFonts w:ascii="Calibri" w:hAnsi="Calibri"/>
          <w:i/>
          <w:color w:val="262626"/>
          <w:sz w:val="20"/>
        </w:rPr>
        <w:t>destierro</w:t>
      </w:r>
      <w:r>
        <w:rPr>
          <w:rFonts w:ascii="Calibri" w:hAnsi="Calibri"/>
          <w:i w:val="0"/>
          <w:color w:val="262626"/>
          <w:sz w:val="20"/>
        </w:rPr>
        <w:t>); Art. 280 trespass; Art. 332 property crimes between relatives; Art. 344 marriage in private crimes.</w:t>
      </w:r>
    </w:p>
    <w:p>
      <w:pPr>
        <w:keepNext/>
        <w:spacing w:before="360" w:after="120"/>
      </w:pPr>
      <w:r>
        <w:rPr>
          <w:rFonts w:ascii="Segoe UI" w:hAnsi="Segoe UI"/>
          <w:b/>
          <w:color w:val="1F4E79"/>
          <w:sz w:val="30"/>
        </w:rPr>
        <w:t>Part IV: Persons Criminally Liable</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14–15; Codal Articles 16 to 20 RPC; P.D. 1612; P.D. 1829)</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40" w:after="40" w:line="252" w:lineRule="auto"/>
            </w:pPr>
            <w:r>
              <w:rPr>
                <w:rFonts w:ascii="Consolas" w:hAnsi="Consolas"/>
                <w:color w:val="1F4E79"/>
                <w:sz w:val="17"/>
              </w:rPr>
              <w:t xml:space="preserve">                       ┌─────────────────────────────────────┐</w:t>
              <w:br/>
              <w:t xml:space="preserve">                       │      PERSONS CRIMINALLY LIABLE      │</w:t>
              <w:br/>
              <w:t xml:space="preserve">                       └──────────────────┬──────────────────┘</w:t>
              <w:br/>
              <w:t xml:space="preserve">                                          │</w:t>
              <w:br/>
              <w:t xml:space="preserve">            ┌─────────────────────────────┴─────────────────────────────┐</w:t>
              <w:br/>
              <w:t xml:space="preserve">            ▼                                                           ▼</w:t>
              <w:br/>
              <w:t>┌─────────────────────────────────────────┐   ┌─────────────────────────────────────────┐</w:t>
              <w:br/>
              <w:t>│     GRAVE AND LESS GRAVE FELONIES       │   │             LIGHT FELONIES              │</w:t>
              <w:br/>
              <w:t>├─────────────────────────────────────────┤   ├─────────────────────────────────────────┤</w:t>
              <w:br/>
              <w:t>│ 1. PRINCIPALS (Art. 17)                 │   │ 1. PRINCIPALS                           │</w:t>
              <w:br/>
              <w:t>│    • Direct Participation               │   │ 2. ACCOMPLICES                          │</w:t>
              <w:br/>
              <w:t>│    • Inducement                         │   │                                         │</w:t>
              <w:br/>
              <w:t>│    • Indispensable Cooperation          │   │                                         │</w:t>
              <w:br/>
              <w:t>│ 2. ACCOMPLICES (Art. 18)                │   │                                         │</w:t>
              <w:br/>
              <w:t>│ 3. ACCESSORIES (Art. 19)                │   │ [ACCESSORIES ARE NOT LIABLE FOR LIGHT   │</w:t>
              <w:br/>
              <w:t>│    • Profiting / Concealing / Assisting │   │  FELONIES UNDER ARTICLE 16 RPC]         │</w:t>
              <w:br/>
              <w:t>└─────────────────────────────────────────┘   └─────────────────────────────────────────┘</w:t>
            </w:r>
          </w:p>
        </w:tc>
      </w:tr>
    </w:tbl>
    <w:p>
      <w:pPr>
        <w:spacing w:before="0" w:after="120"/>
      </w:pPr>
    </w:p>
    <w:p>
      <w:pPr>
        <w:pStyle w:val="ListBullet"/>
        <w:spacing w:before="20" w:after="40" w:line="276" w:lineRule="auto"/>
      </w:pPr>
      <w:r>
        <w:rPr>
          <w:rFonts w:ascii="Calibri" w:hAnsi="Calibri"/>
          <w:b/>
          <w:i w:val="0"/>
          <w:color w:val="262626"/>
          <w:sz w:val="20"/>
        </w:rPr>
        <w:t>Accessories Relative Exemption (Article 20 RPC):</w:t>
      </w:r>
      <w:r>
        <w:rPr>
          <w:rFonts w:ascii="Calibri" w:hAnsi="Calibri"/>
          <w:i w:val="0"/>
          <w:color w:val="262626"/>
          <w:sz w:val="20"/>
        </w:rPr>
        <w:t xml:space="preserve"> Accessories who are spouse, ascendants, descendants, brothers/sisters by consanguinity or affinity are EXEMPT from criminal liability, </w:t>
      </w:r>
      <w:r>
        <w:rPr>
          <w:rFonts w:ascii="Calibri" w:hAnsi="Calibri"/>
          <w:b/>
          <w:i w:val="0"/>
          <w:color w:val="262626"/>
          <w:sz w:val="20"/>
        </w:rPr>
        <w:t>EXCEPT</w:t>
      </w:r>
      <w:r>
        <w:rPr>
          <w:rFonts w:ascii="Calibri" w:hAnsi="Calibri"/>
          <w:i w:val="0"/>
          <w:color w:val="262626"/>
          <w:sz w:val="20"/>
        </w:rPr>
        <w:t xml:space="preserve"> when profiting personally from the crime under Par. 1.</w:t>
      </w:r>
    </w:p>
    <w:p>
      <w:pPr>
        <w:pStyle w:val="ListBullet"/>
        <w:spacing w:before="20" w:after="40" w:line="276" w:lineRule="auto"/>
      </w:pPr>
      <w:r>
        <w:rPr>
          <w:rFonts w:ascii="Calibri" w:hAnsi="Calibri"/>
          <w:b/>
          <w:i w:val="0"/>
          <w:color w:val="262626"/>
          <w:sz w:val="20"/>
        </w:rPr>
        <w:t>Special Statutes:</w:t>
      </w:r>
    </w:p>
    <w:p>
      <w:pPr>
        <w:pStyle w:val="ListBullet"/>
        <w:spacing w:before="20" w:after="40" w:line="276" w:lineRule="auto"/>
      </w:pPr>
      <w:r>
        <w:rPr>
          <w:rFonts w:ascii="Calibri" w:hAnsi="Calibri"/>
          <w:i/>
          <w:color w:val="262626"/>
          <w:sz w:val="20"/>
        </w:rPr>
        <w:t>Anti-Fencing Law (P.D. 1612):</w:t>
      </w:r>
      <w:r>
        <w:rPr>
          <w:rFonts w:ascii="Calibri" w:hAnsi="Calibri"/>
          <w:i w:val="0"/>
          <w:color w:val="262626"/>
          <w:sz w:val="20"/>
        </w:rPr>
        <w:t xml:space="preserve"> Possession of stolen goods creates statutory presumption of fencing.</w:t>
      </w:r>
    </w:p>
    <w:p>
      <w:pPr>
        <w:pStyle w:val="ListBullet"/>
        <w:spacing w:before="20" w:after="40" w:line="276" w:lineRule="auto"/>
      </w:pPr>
      <w:r>
        <w:rPr>
          <w:rFonts w:ascii="Calibri" w:hAnsi="Calibri"/>
          <w:i/>
          <w:color w:val="262626"/>
          <w:sz w:val="20"/>
        </w:rPr>
        <w:t>Obstruction of Justice (P.D. 1829):</w:t>
      </w:r>
      <w:r>
        <w:rPr>
          <w:rFonts w:ascii="Calibri" w:hAnsi="Calibri"/>
          <w:i w:val="0"/>
          <w:color w:val="262626"/>
          <w:sz w:val="20"/>
        </w:rPr>
        <w:t xml:space="preserve"> Harboring suspects, tampering with evidence.</w:t>
      </w:r>
    </w:p>
    <w:p>
      <w:pPr>
        <w:keepNext/>
        <w:spacing w:before="360" w:after="120"/>
      </w:pPr>
      <w:r>
        <w:rPr>
          <w:rFonts w:ascii="Segoe UI" w:hAnsi="Segoe UI"/>
          <w:b/>
          <w:color w:val="1F4E79"/>
          <w:sz w:val="30"/>
        </w:rPr>
        <w:t>Part V: Penalties</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15–16; Codal Articles 21 to 88 RPC; Act 4103; P.D. 968; R.A. 10951)</w:t>
      </w:r>
    </w:p>
    <w:p>
      <w:pPr>
        <w:keepNext/>
        <w:spacing w:before="200" w:after="60"/>
      </w:pPr>
      <w:r>
        <w:rPr>
          <w:rFonts w:ascii="Segoe UI" w:hAnsi="Segoe UI"/>
          <w:b/>
          <w:color w:val="1F4E79"/>
          <w:sz w:val="23"/>
        </w:rPr>
        <w:t>1. Classification &amp; Scale of Penalties (Articles 25 &amp; 26 RPC as amended by R.A. 10951)</w:t>
      </w:r>
    </w:p>
    <w:p>
      <w:pPr>
        <w:pStyle w:val="ListBullet"/>
        <w:spacing w:before="20" w:after="40" w:line="276" w:lineRule="auto"/>
      </w:pPr>
      <w:r>
        <w:rPr>
          <w:rFonts w:ascii="Calibri" w:hAnsi="Calibri"/>
          <w:b/>
          <w:i w:val="0"/>
          <w:color w:val="262626"/>
          <w:sz w:val="20"/>
        </w:rPr>
        <w:t>Capital:</w:t>
      </w:r>
      <w:r>
        <w:rPr>
          <w:rFonts w:ascii="Calibri" w:hAnsi="Calibri"/>
          <w:i w:val="0"/>
          <w:color w:val="262626"/>
          <w:sz w:val="20"/>
        </w:rPr>
        <w:t xml:space="preserve"> Death (prohibited by R.A. 9346).</w:t>
      </w:r>
    </w:p>
    <w:p>
      <w:pPr>
        <w:pStyle w:val="ListBullet"/>
        <w:spacing w:before="20" w:after="40" w:line="276" w:lineRule="auto"/>
      </w:pPr>
      <w:r>
        <w:rPr>
          <w:rFonts w:ascii="Calibri" w:hAnsi="Calibri"/>
          <w:b/>
          <w:i w:val="0"/>
          <w:color w:val="262626"/>
          <w:sz w:val="20"/>
        </w:rPr>
        <w:t>Afflictive:</w:t>
      </w:r>
      <w:r>
        <w:rPr>
          <w:rFonts w:ascii="Calibri" w:hAnsi="Calibri"/>
          <w:i w:val="0"/>
          <w:color w:val="262626"/>
          <w:sz w:val="20"/>
        </w:rPr>
        <w:t xml:space="preserve"> Reclusion perpetua (20y 1d to 40y), Reclusion temporal (12y 1d to 20y), Prision mayor (6y 1d to 12y), Perpetual/Temporary absolute disqualification; Fines exceeding ₱1,200,000.</w:t>
      </w:r>
    </w:p>
    <w:p>
      <w:pPr>
        <w:pStyle w:val="ListBullet"/>
        <w:spacing w:before="20" w:after="40" w:line="276" w:lineRule="auto"/>
      </w:pPr>
      <w:r>
        <w:rPr>
          <w:rFonts w:ascii="Calibri" w:hAnsi="Calibri"/>
          <w:b/>
          <w:i w:val="0"/>
          <w:color w:val="262626"/>
          <w:sz w:val="20"/>
        </w:rPr>
        <w:t>Correctional:</w:t>
      </w:r>
      <w:r>
        <w:rPr>
          <w:rFonts w:ascii="Calibri" w:hAnsi="Calibri"/>
          <w:i w:val="0"/>
          <w:color w:val="262626"/>
          <w:sz w:val="20"/>
        </w:rPr>
        <w:t xml:space="preserve"> Prision correccional (6m 1d to 6y), Arresto mayor (1m 1d to 6m), Destierro (25km to 250km), Suspension; Fines from ₱40,000 to ₱1,200,000.</w:t>
      </w:r>
    </w:p>
    <w:p>
      <w:pPr>
        <w:pStyle w:val="ListBullet"/>
        <w:spacing w:before="20" w:after="40" w:line="276" w:lineRule="auto"/>
      </w:pPr>
      <w:r>
        <w:rPr>
          <w:rFonts w:ascii="Calibri" w:hAnsi="Calibri"/>
          <w:b/>
          <w:i w:val="0"/>
          <w:color w:val="262626"/>
          <w:sz w:val="20"/>
        </w:rPr>
        <w:t>Light:</w:t>
      </w:r>
      <w:r>
        <w:rPr>
          <w:rFonts w:ascii="Calibri" w:hAnsi="Calibri"/>
          <w:i w:val="0"/>
          <w:color w:val="262626"/>
          <w:sz w:val="20"/>
        </w:rPr>
        <w:t xml:space="preserve"> Arresto menor (1d to 30d), Public censure; Fines not exceeding ₱40,000.</w:t>
      </w:r>
    </w:p>
    <w:p>
      <w:pPr>
        <w:keepNext/>
        <w:spacing w:before="200" w:after="60"/>
      </w:pPr>
      <w:r>
        <w:rPr>
          <w:rFonts w:ascii="Segoe UI" w:hAnsi="Segoe UI"/>
          <w:b/>
          <w:color w:val="1F4E79"/>
          <w:sz w:val="23"/>
        </w:rPr>
        <w:t>2. Plurality of Crimes &amp; Complex Crimes (Article 48 RPC)</w:t>
      </w:r>
    </w:p>
    <w:p>
      <w:pPr>
        <w:pStyle w:val="ListBullet"/>
        <w:spacing w:before="20" w:after="40" w:line="276" w:lineRule="auto"/>
      </w:pPr>
      <w:r>
        <w:rPr>
          <w:rFonts w:ascii="Calibri" w:hAnsi="Calibri"/>
          <w:b/>
          <w:i w:val="0"/>
          <w:color w:val="262626"/>
          <w:sz w:val="20"/>
        </w:rPr>
        <w:t>Compound Crime (*Delito Compuesto*):</w:t>
      </w:r>
      <w:r>
        <w:rPr>
          <w:rFonts w:ascii="Calibri" w:hAnsi="Calibri"/>
          <w:i w:val="0"/>
          <w:color w:val="262626"/>
          <w:sz w:val="20"/>
        </w:rPr>
        <w:t xml:space="preserve"> Single act constitutes two or more grave or less grave felonies (e.g., single hand grenade killing one and injuring others; </w:t>
      </w:r>
      <w:r>
        <w:rPr>
          <w:rFonts w:ascii="Calibri" w:hAnsi="Calibri"/>
          <w:i w:val="0"/>
          <w:color w:val="2E75B6"/>
          <w:sz w:val="20"/>
          <w:u w:val="single"/>
        </w:rPr>
        <w:t>People v. Guillen</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Complex Crime Proper (*Delito Complejo*):</w:t>
      </w:r>
      <w:r>
        <w:rPr>
          <w:rFonts w:ascii="Calibri" w:hAnsi="Calibri"/>
          <w:i w:val="0"/>
          <w:color w:val="262626"/>
          <w:sz w:val="20"/>
        </w:rPr>
        <w:t xml:space="preserve"> An offense is a necessary means for committing the other (e.g., Estafa through Falsification of Public Document).</w:t>
      </w:r>
    </w:p>
    <w:p>
      <w:pPr>
        <w:pStyle w:val="ListBullet"/>
        <w:spacing w:before="20" w:after="40" w:line="276" w:lineRule="auto"/>
      </w:pPr>
      <w:r>
        <w:rPr>
          <w:rFonts w:ascii="Calibri" w:hAnsi="Calibri"/>
          <w:b/>
          <w:i w:val="0"/>
          <w:color w:val="262626"/>
          <w:sz w:val="20"/>
        </w:rPr>
        <w:t>Penalty Rule:</w:t>
      </w:r>
      <w:r>
        <w:rPr>
          <w:rFonts w:ascii="Calibri" w:hAnsi="Calibri"/>
          <w:i w:val="0"/>
          <w:color w:val="262626"/>
          <w:sz w:val="20"/>
        </w:rPr>
        <w:t xml:space="preserve"> Penalty for the </w:t>
      </w:r>
      <w:r>
        <w:rPr>
          <w:rFonts w:ascii="Calibri" w:hAnsi="Calibri"/>
          <w:b/>
          <w:i w:val="0"/>
          <w:color w:val="262626"/>
          <w:sz w:val="20"/>
        </w:rPr>
        <w:t>MOST SERIOUS CRIME</w:t>
      </w:r>
      <w:r>
        <w:rPr>
          <w:rFonts w:ascii="Calibri" w:hAnsi="Calibri"/>
          <w:i w:val="0"/>
          <w:color w:val="262626"/>
          <w:sz w:val="20"/>
        </w:rPr>
        <w:t xml:space="preserve"> in its </w:t>
      </w:r>
      <w:r>
        <w:rPr>
          <w:rFonts w:ascii="Calibri" w:hAnsi="Calibri"/>
          <w:b/>
          <w:i w:val="0"/>
          <w:color w:val="262626"/>
          <w:sz w:val="20"/>
        </w:rPr>
        <w:t>MAXIMUM PERIOD</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Political Crimes Absorption:</w:t>
      </w:r>
      <w:r>
        <w:rPr>
          <w:rFonts w:ascii="Calibri" w:hAnsi="Calibri"/>
          <w:i w:val="0"/>
          <w:color w:val="262626"/>
          <w:sz w:val="20"/>
        </w:rPr>
        <w:t xml:space="preserve"> Common crimes committed in furtherance of rebellion are absorbed in rebellion; NO complex crime of rebellion with murder (</w:t>
      </w:r>
      <w:r>
        <w:rPr>
          <w:rFonts w:ascii="Calibri" w:hAnsi="Calibri"/>
          <w:i w:val="0"/>
          <w:color w:val="2E75B6"/>
          <w:sz w:val="20"/>
          <w:u w:val="single"/>
        </w:rPr>
        <w:t>Enrile v. Salazar</w:t>
      </w:r>
      <w:r>
        <w:rPr>
          <w:rFonts w:ascii="Calibri" w:hAnsi="Calibri"/>
          <w:i w:val="0"/>
          <w:color w:val="262626"/>
          <w:sz w:val="20"/>
        </w:rPr>
        <w:t>, 186 SCRA 217).</w:t>
      </w:r>
    </w:p>
    <w:p>
      <w:pPr>
        <w:pStyle w:val="ListBullet"/>
        <w:spacing w:before="20" w:after="40" w:line="276" w:lineRule="auto"/>
      </w:pPr>
      <w:r>
        <w:rPr>
          <w:rFonts w:ascii="Calibri" w:hAnsi="Calibri"/>
          <w:b/>
          <w:i w:val="0"/>
          <w:color w:val="262626"/>
          <w:sz w:val="20"/>
        </w:rPr>
        <w:t>Special Complex Crimes (Composite Crimes):</w:t>
      </w:r>
      <w:r>
        <w:rPr>
          <w:rFonts w:ascii="Calibri" w:hAnsi="Calibri"/>
          <w:i w:val="0"/>
          <w:color w:val="262626"/>
          <w:sz w:val="20"/>
        </w:rPr>
        <w:t xml:space="preserve"> Single indivisible offenses created by specific statutes (e.g., Robbery with Homicide Art. 294[1], Rape with Homicide Art. 266-B). Article 48 does NOT apply.</w:t>
      </w:r>
    </w:p>
    <w:p>
      <w:pPr>
        <w:pStyle w:val="ListBullet"/>
        <w:spacing w:before="20" w:after="40" w:line="276" w:lineRule="auto"/>
      </w:pPr>
      <w:r>
        <w:rPr>
          <w:rFonts w:ascii="Calibri" w:hAnsi="Calibri"/>
          <w:b/>
          <w:i w:val="0"/>
          <w:color w:val="262626"/>
          <w:sz w:val="20"/>
        </w:rPr>
        <w:t>Continued Crime (*Delito Continuado*):</w:t>
      </w:r>
      <w:r>
        <w:rPr>
          <w:rFonts w:ascii="Calibri" w:hAnsi="Calibri"/>
          <w:i w:val="0"/>
          <w:color w:val="262626"/>
          <w:sz w:val="20"/>
        </w:rPr>
        <w:t xml:space="preserve"> Series of acts springing from single criminal resolution (</w:t>
      </w:r>
      <w:r>
        <w:rPr>
          <w:rFonts w:ascii="Calibri" w:hAnsi="Calibri"/>
          <w:i w:val="0"/>
          <w:color w:val="2E75B6"/>
          <w:sz w:val="20"/>
          <w:u w:val="single"/>
        </w:rPr>
        <w:t>People v. De Leon</w:t>
      </w:r>
      <w:r>
        <w:rPr>
          <w:rFonts w:ascii="Calibri" w:hAnsi="Calibri"/>
          <w:i w:val="0"/>
          <w:color w:val="262626"/>
          <w:sz w:val="20"/>
        </w:rPr>
        <w:t>, 49 Phil. 437).</w:t>
      </w:r>
    </w:p>
    <w:p>
      <w:pPr>
        <w:keepNext/>
        <w:spacing w:before="200" w:after="60"/>
      </w:pPr>
      <w:r>
        <w:rPr>
          <w:rFonts w:ascii="Segoe UI" w:hAnsi="Segoe UI"/>
          <w:b/>
          <w:color w:val="1F4E79"/>
          <w:sz w:val="23"/>
        </w:rPr>
        <w:t>3. Service of Penalties &amp; Reformative Laws</w:t>
      </w:r>
    </w:p>
    <w:p>
      <w:pPr>
        <w:pStyle w:val="ListNumber"/>
        <w:spacing w:before="40" w:after="40" w:line="276" w:lineRule="auto"/>
      </w:pPr>
      <w:r>
        <w:rPr>
          <w:rFonts w:ascii="Calibri" w:hAnsi="Calibri"/>
          <w:b/>
          <w:i w:val="0"/>
          <w:color w:val="262626"/>
          <w:sz w:val="20"/>
        </w:rPr>
        <w:t>Three-Fold Rule (Article 70 RPC):</w:t>
      </w:r>
      <w:r>
        <w:rPr>
          <w:rFonts w:ascii="Calibri" w:hAnsi="Calibri"/>
          <w:i w:val="0"/>
          <w:color w:val="262626"/>
          <w:sz w:val="20"/>
        </w:rPr>
        <w:t xml:space="preserve"> Maximum duration of sentence shall not exceed 3 times the most severe penalty imposed, and capped at </w:t>
      </w:r>
      <w:r>
        <w:rPr>
          <w:rFonts w:ascii="Calibri" w:hAnsi="Calibri"/>
          <w:b/>
          <w:i w:val="0"/>
          <w:color w:val="262626"/>
          <w:sz w:val="20"/>
        </w:rPr>
        <w:t>40 YEARS</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Indeterminate Sentence Law (Act 4103 as amended):</w:t>
      </w:r>
    </w:p>
    <w:p>
      <w:pPr>
        <w:pStyle w:val="ListBullet"/>
        <w:spacing w:before="20" w:after="40" w:line="276" w:lineRule="auto"/>
      </w:pPr>
      <w:r>
        <w:rPr>
          <w:rFonts w:ascii="Calibri" w:hAnsi="Calibri"/>
          <w:i/>
          <w:color w:val="262626"/>
          <w:sz w:val="20"/>
        </w:rPr>
        <w:t>Maximum Term:</w:t>
      </w:r>
      <w:r>
        <w:rPr>
          <w:rFonts w:ascii="Calibri" w:hAnsi="Calibri"/>
          <w:i w:val="0"/>
          <w:color w:val="262626"/>
          <w:sz w:val="20"/>
        </w:rPr>
        <w:t xml:space="preserve"> Set under RPC rules considering mitigating/aggravating circumstances.</w:t>
      </w:r>
    </w:p>
    <w:p>
      <w:pPr>
        <w:pStyle w:val="ListBullet"/>
        <w:spacing w:before="20" w:after="40" w:line="276" w:lineRule="auto"/>
      </w:pPr>
      <w:r>
        <w:rPr>
          <w:rFonts w:ascii="Calibri" w:hAnsi="Calibri"/>
          <w:i/>
          <w:color w:val="262626"/>
          <w:sz w:val="20"/>
        </w:rPr>
        <w:t>Minimum Term:</w:t>
      </w:r>
      <w:r>
        <w:rPr>
          <w:rFonts w:ascii="Calibri" w:hAnsi="Calibri"/>
          <w:i w:val="0"/>
          <w:color w:val="262626"/>
          <w:sz w:val="20"/>
        </w:rPr>
        <w:t xml:space="preserve"> Fixed within the penalty next lower in degree without considering circumstances.</w:t>
      </w:r>
    </w:p>
    <w:p>
      <w:pPr>
        <w:pStyle w:val="ListBullet"/>
        <w:spacing w:before="20" w:after="40" w:line="276" w:lineRule="auto"/>
      </w:pPr>
      <w:r>
        <w:rPr>
          <w:rFonts w:ascii="Calibri" w:hAnsi="Calibri"/>
          <w:i/>
          <w:color w:val="262626"/>
          <w:sz w:val="20"/>
        </w:rPr>
        <w:t>Disqualified:</w:t>
      </w:r>
      <w:r>
        <w:rPr>
          <w:rFonts w:ascii="Calibri" w:hAnsi="Calibri"/>
          <w:i w:val="0"/>
          <w:color w:val="262626"/>
          <w:sz w:val="20"/>
        </w:rPr>
        <w:t xml:space="preserve"> Reclusion perpetua/life; treason/rebellion; habitual delinquents; escapees; sentence 1 year or less (</w:t>
      </w:r>
      <w:r>
        <w:rPr>
          <w:rFonts w:ascii="Calibri" w:hAnsi="Calibri"/>
          <w:i w:val="0"/>
          <w:color w:val="2E75B6"/>
          <w:sz w:val="20"/>
          <w:u w:val="single"/>
        </w:rPr>
        <w:t>People v. Simon</w:t>
      </w:r>
      <w:r>
        <w:rPr>
          <w:rFonts w:ascii="Calibri" w:hAnsi="Calibri"/>
          <w:i w:val="0"/>
          <w:color w:val="262626"/>
          <w:sz w:val="20"/>
        </w:rPr>
        <w:t xml:space="preserve">; </w:t>
      </w:r>
      <w:r>
        <w:rPr>
          <w:rFonts w:ascii="Calibri" w:hAnsi="Calibri"/>
          <w:i w:val="0"/>
          <w:color w:val="2E75B6"/>
          <w:sz w:val="20"/>
          <w:u w:val="single"/>
        </w:rPr>
        <w:t>Rosa Lim v. People</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Probation Law (P.D. 968 as amended by R.A. 10707):</w:t>
      </w:r>
    </w:p>
    <w:p>
      <w:pPr>
        <w:pStyle w:val="ListBullet"/>
        <w:spacing w:before="20" w:after="40" w:line="276" w:lineRule="auto"/>
      </w:pPr>
      <w:r>
        <w:rPr>
          <w:rFonts w:ascii="Calibri" w:hAnsi="Calibri"/>
          <w:i w:val="0"/>
          <w:color w:val="262626"/>
          <w:sz w:val="20"/>
        </w:rPr>
        <w:t>Maximum sentence must NOT exceed 6 years.</w:t>
      </w:r>
    </w:p>
    <w:p>
      <w:pPr>
        <w:pStyle w:val="ListBullet"/>
        <w:spacing w:before="20" w:after="40" w:line="276" w:lineRule="auto"/>
      </w:pPr>
      <w:r>
        <w:rPr>
          <w:rFonts w:ascii="Calibri" w:hAnsi="Calibri"/>
          <w:i w:val="0"/>
          <w:color w:val="262626"/>
          <w:sz w:val="20"/>
        </w:rPr>
        <w:t>Filing for probation waives right to appeal; perfecting appeal bars probation (</w:t>
      </w:r>
      <w:r>
        <w:rPr>
          <w:rFonts w:ascii="Calibri" w:hAnsi="Calibri"/>
          <w:i w:val="0"/>
          <w:color w:val="2E75B6"/>
          <w:sz w:val="20"/>
          <w:u w:val="single"/>
        </w:rPr>
        <w:t>Francisco v. CA</w:t>
      </w:r>
      <w:r>
        <w:rPr>
          <w:rFonts w:ascii="Calibri" w:hAnsi="Calibri"/>
          <w:i w:val="0"/>
          <w:color w:val="262626"/>
          <w:sz w:val="20"/>
        </w:rPr>
        <w:t>, 243 SCRA 384).</w:t>
      </w:r>
    </w:p>
    <w:p>
      <w:pPr>
        <w:keepNext/>
        <w:spacing w:before="360" w:after="120"/>
      </w:pPr>
      <w:r>
        <w:rPr>
          <w:rFonts w:ascii="Segoe UI" w:hAnsi="Segoe UI"/>
          <w:b/>
          <w:color w:val="1F4E79"/>
          <w:sz w:val="30"/>
        </w:rPr>
        <w:t>Part VI: Extinction of Criminal Liability</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Pages 16–17; Codal Articles 89 to 99 RPC; Const. Art. VII Sec. 19; Act 3326; R.A. 10592)</w:t>
      </w:r>
    </w:p>
    <w:p>
      <w:pPr>
        <w:keepNext/>
        <w:spacing w:before="200" w:after="60"/>
      </w:pPr>
      <w:r>
        <w:rPr>
          <w:rFonts w:ascii="Segoe UI" w:hAnsi="Segoe UI"/>
          <w:b/>
          <w:color w:val="1F4E79"/>
          <w:sz w:val="23"/>
        </w:rPr>
        <w:t>1. Total Extinction (Article 89 RPC)</w:t>
      </w:r>
    </w:p>
    <w:p>
      <w:pPr>
        <w:pStyle w:val="ListNumber"/>
        <w:spacing w:before="40" w:after="40" w:line="276" w:lineRule="auto"/>
      </w:pPr>
      <w:r>
        <w:rPr>
          <w:rFonts w:ascii="Calibri" w:hAnsi="Calibri"/>
          <w:b/>
          <w:i w:val="0"/>
          <w:color w:val="262626"/>
          <w:sz w:val="20"/>
        </w:rPr>
        <w:t>Death of the Convict:</w:t>
      </w:r>
      <w:r>
        <w:rPr>
          <w:rFonts w:ascii="Calibri" w:hAnsi="Calibri"/>
          <w:i w:val="0"/>
          <w:color w:val="262626"/>
          <w:sz w:val="20"/>
        </w:rPr>
        <w:t xml:space="preserve"> Extinguishes criminal liability and civil liability </w:t>
      </w:r>
      <w:r>
        <w:rPr>
          <w:rFonts w:ascii="Calibri" w:hAnsi="Calibri"/>
          <w:i/>
          <w:color w:val="262626"/>
          <w:sz w:val="20"/>
        </w:rPr>
        <w:t>ex delicto</w:t>
      </w:r>
      <w:r>
        <w:rPr>
          <w:rFonts w:ascii="Calibri" w:hAnsi="Calibri"/>
          <w:i w:val="0"/>
          <w:color w:val="262626"/>
          <w:sz w:val="20"/>
        </w:rPr>
        <w:t xml:space="preserve"> pending appeal (</w:t>
      </w:r>
      <w:r>
        <w:rPr>
          <w:rFonts w:ascii="Calibri" w:hAnsi="Calibri"/>
          <w:i w:val="0"/>
          <w:color w:val="2E75B6"/>
          <w:sz w:val="20"/>
          <w:u w:val="single"/>
        </w:rPr>
        <w:t>People v. Bayotas</w:t>
      </w:r>
      <w:r>
        <w:rPr>
          <w:rFonts w:ascii="Calibri" w:hAnsi="Calibri"/>
          <w:i w:val="0"/>
          <w:color w:val="262626"/>
          <w:sz w:val="20"/>
        </w:rPr>
        <w:t xml:space="preserve">, 236 SCRA 239; </w:t>
      </w:r>
      <w:r>
        <w:rPr>
          <w:rFonts w:ascii="Calibri" w:hAnsi="Calibri"/>
          <w:i w:val="0"/>
          <w:color w:val="2E75B6"/>
          <w:sz w:val="20"/>
          <w:u w:val="single"/>
        </w:rPr>
        <w:t>People v. Dela Cruz</w:t>
      </w:r>
      <w:r>
        <w:rPr>
          <w:rFonts w:ascii="Calibri" w:hAnsi="Calibri"/>
          <w:i w:val="0"/>
          <w:color w:val="262626"/>
          <w:sz w:val="20"/>
        </w:rPr>
        <w:t>, 2012).</w:t>
      </w:r>
    </w:p>
    <w:p>
      <w:pPr>
        <w:pStyle w:val="ListNumber"/>
        <w:spacing w:before="40" w:after="40" w:line="276" w:lineRule="auto"/>
      </w:pPr>
      <w:r>
        <w:rPr>
          <w:rFonts w:ascii="Calibri" w:hAnsi="Calibri"/>
          <w:b/>
          <w:i w:val="0"/>
          <w:color w:val="262626"/>
          <w:sz w:val="20"/>
        </w:rPr>
        <w:t>Service of Sentence.</w:t>
      </w:r>
    </w:p>
    <w:p>
      <w:pPr>
        <w:pStyle w:val="ListNumber"/>
        <w:spacing w:before="40" w:after="40" w:line="276" w:lineRule="auto"/>
      </w:pPr>
      <w:r>
        <w:rPr>
          <w:rFonts w:ascii="Calibri" w:hAnsi="Calibri"/>
          <w:b/>
          <w:i w:val="0"/>
          <w:color w:val="262626"/>
          <w:sz w:val="20"/>
        </w:rPr>
        <w:t>Amnesty:</w:t>
      </w:r>
      <w:r>
        <w:rPr>
          <w:rFonts w:ascii="Calibri" w:hAnsi="Calibri"/>
          <w:i w:val="0"/>
          <w:color w:val="262626"/>
          <w:sz w:val="20"/>
        </w:rPr>
        <w:t xml:space="preserve"> Public act with Congressional concurrence; obliterates the offense; political crimes (</w:t>
      </w:r>
      <w:r>
        <w:rPr>
          <w:rFonts w:ascii="Calibri" w:hAnsi="Calibri"/>
          <w:i w:val="0"/>
          <w:color w:val="2E75B6"/>
          <w:sz w:val="20"/>
          <w:u w:val="single"/>
        </w:rPr>
        <w:t>Barrioquinto v. Fernandez</w:t>
      </w:r>
      <w:r>
        <w:rPr>
          <w:rFonts w:ascii="Calibri" w:hAnsi="Calibri"/>
          <w:i w:val="0"/>
          <w:color w:val="262626"/>
          <w:sz w:val="20"/>
        </w:rPr>
        <w:t xml:space="preserve">; </w:t>
      </w:r>
      <w:r>
        <w:rPr>
          <w:rFonts w:ascii="Calibri" w:hAnsi="Calibri"/>
          <w:i w:val="0"/>
          <w:color w:val="2E75B6"/>
          <w:sz w:val="20"/>
          <w:u w:val="single"/>
        </w:rPr>
        <w:t>People v. Patriarca</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Absolute Pardon:</w:t>
      </w:r>
      <w:r>
        <w:rPr>
          <w:rFonts w:ascii="Calibri" w:hAnsi="Calibri"/>
          <w:i w:val="0"/>
          <w:color w:val="262626"/>
          <w:sz w:val="20"/>
        </w:rPr>
        <w:t xml:space="preserve"> Executive act by President alone; forgives penalty, does not obliterate guilt (</w:t>
      </w:r>
      <w:r>
        <w:rPr>
          <w:rFonts w:ascii="Calibri" w:hAnsi="Calibri"/>
          <w:i w:val="0"/>
          <w:color w:val="2E75B6"/>
          <w:sz w:val="20"/>
          <w:u w:val="single"/>
        </w:rPr>
        <w:t>Flora v. Oximana</w:t>
      </w:r>
      <w:r>
        <w:rPr>
          <w:rFonts w:ascii="Calibri" w:hAnsi="Calibri"/>
          <w:i w:val="0"/>
          <w:color w:val="262626"/>
          <w:sz w:val="20"/>
        </w:rPr>
        <w:t xml:space="preserve">; </w:t>
      </w:r>
      <w:r>
        <w:rPr>
          <w:rFonts w:ascii="Calibri" w:hAnsi="Calibri"/>
          <w:i w:val="0"/>
          <w:color w:val="2E75B6"/>
          <w:sz w:val="20"/>
          <w:u w:val="single"/>
        </w:rPr>
        <w:t>Pelobello v. Palatino</w:t>
      </w:r>
      <w:r>
        <w:rPr>
          <w:rFonts w:ascii="Calibri" w:hAnsi="Calibri"/>
          <w:i w:val="0"/>
          <w:color w:val="262626"/>
          <w:sz w:val="20"/>
        </w:rPr>
        <w:t>).</w:t>
      </w:r>
    </w:p>
    <w:p>
      <w:pPr>
        <w:pStyle w:val="ListNumber"/>
        <w:spacing w:before="40" w:after="40" w:line="276" w:lineRule="auto"/>
      </w:pPr>
      <w:r>
        <w:rPr>
          <w:rFonts w:ascii="Calibri" w:hAnsi="Calibri"/>
          <w:b/>
          <w:i w:val="0"/>
          <w:color w:val="262626"/>
          <w:sz w:val="20"/>
        </w:rPr>
        <w:t>Prescription of Crime (Arts. 90, 91):</w:t>
      </w:r>
      <w:r>
        <w:rPr>
          <w:rFonts w:ascii="Calibri" w:hAnsi="Calibri"/>
          <w:i w:val="0"/>
          <w:color w:val="262626"/>
          <w:sz w:val="20"/>
        </w:rPr>
        <w:t xml:space="preserve"> 20y (death/reclusion perpetua), 15y (afflictive), 10y (correctional), 5y (arresto mayor), 1y (libel), 2m (light).</w:t>
      </w:r>
    </w:p>
    <w:p>
      <w:pPr>
        <w:pStyle w:val="ListNumber"/>
        <w:spacing w:before="40" w:after="40" w:line="276" w:lineRule="auto"/>
      </w:pPr>
      <w:r>
        <w:rPr>
          <w:rFonts w:ascii="Calibri" w:hAnsi="Calibri"/>
          <w:b/>
          <w:i w:val="0"/>
          <w:color w:val="262626"/>
          <w:sz w:val="20"/>
        </w:rPr>
        <w:t>Prescription of Penalty (Arts. 92, 93):</w:t>
      </w:r>
      <w:r>
        <w:rPr>
          <w:rFonts w:ascii="Calibri" w:hAnsi="Calibri"/>
          <w:i w:val="0"/>
          <w:color w:val="262626"/>
          <w:sz w:val="20"/>
        </w:rPr>
        <w:t xml:space="preserve"> Requires evasion of sentence by escaping.</w:t>
      </w:r>
    </w:p>
    <w:p>
      <w:pPr>
        <w:pStyle w:val="ListNumber"/>
        <w:spacing w:before="40" w:after="40" w:line="276" w:lineRule="auto"/>
      </w:pPr>
      <w:r>
        <w:rPr>
          <w:rFonts w:ascii="Calibri" w:hAnsi="Calibri"/>
          <w:b/>
          <w:i w:val="0"/>
          <w:color w:val="262626"/>
          <w:sz w:val="20"/>
        </w:rPr>
        <w:t>Marriage of Offended Woman (Art. 344):</w:t>
      </w:r>
      <w:r>
        <w:rPr>
          <w:rFonts w:ascii="Calibri" w:hAnsi="Calibri"/>
          <w:i w:val="0"/>
          <w:color w:val="262626"/>
          <w:sz w:val="20"/>
        </w:rPr>
        <w:t xml:space="preserve"> Extinguishes criminal action in private crimes.</w:t>
      </w:r>
    </w:p>
    <w:p>
      <w:pPr>
        <w:keepNext/>
        <w:spacing w:before="200" w:after="60"/>
      </w:pPr>
      <w:r>
        <w:rPr>
          <w:rFonts w:ascii="Segoe UI" w:hAnsi="Segoe UI"/>
          <w:b/>
          <w:color w:val="1F4E79"/>
          <w:sz w:val="23"/>
        </w:rPr>
        <w:t>2. Partial Extinction (Article 94 RPC)</w:t>
      </w:r>
    </w:p>
    <w:p>
      <w:pPr>
        <w:pStyle w:val="ListBullet"/>
        <w:spacing w:before="20" w:after="40" w:line="276" w:lineRule="auto"/>
      </w:pPr>
      <w:r>
        <w:rPr>
          <w:rFonts w:ascii="Calibri" w:hAnsi="Calibri"/>
          <w:b/>
          <w:i w:val="0"/>
          <w:color w:val="262626"/>
          <w:sz w:val="20"/>
        </w:rPr>
        <w:t>Conditional Pardon (Art. 95):</w:t>
      </w:r>
      <w:r>
        <w:rPr>
          <w:rFonts w:ascii="Calibri" w:hAnsi="Calibri"/>
          <w:i w:val="0"/>
          <w:color w:val="262626"/>
          <w:sz w:val="20"/>
        </w:rPr>
        <w:t xml:space="preserve"> Contractual; violation is prosecuted under Article 159 RPC (</w:t>
      </w:r>
      <w:r>
        <w:rPr>
          <w:rFonts w:ascii="Calibri" w:hAnsi="Calibri"/>
          <w:i w:val="0"/>
          <w:color w:val="2E75B6"/>
          <w:sz w:val="20"/>
          <w:u w:val="single"/>
        </w:rPr>
        <w:t>In re Infante</w:t>
      </w:r>
      <w:r>
        <w:rPr>
          <w:rFonts w:ascii="Calibri" w:hAnsi="Calibri"/>
          <w:i w:val="0"/>
          <w:color w:val="262626"/>
          <w:sz w:val="20"/>
        </w:rPr>
        <w:t>).</w:t>
      </w:r>
    </w:p>
    <w:p>
      <w:pPr>
        <w:pStyle w:val="ListBullet"/>
        <w:spacing w:before="20" w:after="40" w:line="276" w:lineRule="auto"/>
      </w:pPr>
      <w:r>
        <w:rPr>
          <w:rFonts w:ascii="Calibri" w:hAnsi="Calibri"/>
          <w:b/>
          <w:i w:val="0"/>
          <w:color w:val="262626"/>
          <w:sz w:val="20"/>
        </w:rPr>
        <w:t>Commutation of Sentence (Art. 96):</w:t>
      </w:r>
      <w:r>
        <w:rPr>
          <w:rFonts w:ascii="Calibri" w:hAnsi="Calibri"/>
          <w:i w:val="0"/>
          <w:color w:val="262626"/>
          <w:sz w:val="20"/>
        </w:rPr>
        <w:t xml:space="preserve"> Reduction of sentence to a lower penalty.</w:t>
      </w:r>
    </w:p>
    <w:p>
      <w:pPr>
        <w:pStyle w:val="ListBullet"/>
        <w:spacing w:before="20" w:after="40" w:line="276" w:lineRule="auto"/>
      </w:pPr>
      <w:r>
        <w:rPr>
          <w:rFonts w:ascii="Calibri" w:hAnsi="Calibri"/>
          <w:b/>
          <w:i w:val="0"/>
          <w:color w:val="262626"/>
          <w:sz w:val="20"/>
        </w:rPr>
        <w:t>Good Conduct Time Allowance (GCTA - Arts. 97–99; R.A. 10592):</w:t>
      </w:r>
      <w:r>
        <w:rPr>
          <w:rFonts w:ascii="Calibri" w:hAnsi="Calibri"/>
          <w:i w:val="0"/>
          <w:color w:val="262626"/>
          <w:sz w:val="20"/>
        </w:rPr>
        <w:t xml:space="preserve"> Earned sentence deductions.</w:t>
      </w:r>
    </w:p>
    <w:p>
      <w:pPr>
        <w:keepNext/>
        <w:spacing w:before="360" w:after="120"/>
      </w:pPr>
      <w:r>
        <w:rPr>
          <w:rFonts w:ascii="Segoe UI" w:hAnsi="Segoe UI"/>
          <w:b/>
          <w:color w:val="1F4E79"/>
          <w:sz w:val="30"/>
        </w:rPr>
        <w:t>Part VII: Civil Liability Ex Delicto</w:t>
      </w:r>
    </w:p>
    <w:p>
      <w:pPr>
        <w:spacing w:before="0" w:after="160"/>
      </w:pPr>
      <w:r>
        <w:rPr>
          <w:rFonts w:ascii="Segoe UI" w:hAnsi="Segoe UI"/>
          <w:color w:val="2E75B6"/>
          <w:sz w:val="20"/>
        </w:rPr>
        <w:t>━━━━━━━━━━━━━━━━━━━━━━━━━━━━━━━━━━━━━━━━━━━━━━━━</w:t>
      </w:r>
    </w:p>
    <w:p>
      <w:pPr>
        <w:spacing w:before="40" w:after="80" w:line="276" w:lineRule="auto"/>
      </w:pPr>
      <w:r>
        <w:rPr>
          <w:rFonts w:ascii="Calibri" w:hAnsi="Calibri"/>
          <w:i/>
          <w:color w:val="262626"/>
          <w:sz w:val="21"/>
        </w:rPr>
        <w:t>(Syllabus Page 17; Codal Articles 100 to 113 RPC; Landmark Decisions)</w:t>
      </w:r>
    </w:p>
    <w:p>
      <w:pPr>
        <w:keepNext/>
        <w:spacing w:before="200" w:after="60"/>
      </w:pPr>
      <w:r>
        <w:rPr>
          <w:rFonts w:ascii="Segoe UI" w:hAnsi="Segoe UI"/>
          <w:b/>
          <w:color w:val="1F4E79"/>
          <w:sz w:val="23"/>
        </w:rPr>
        <w:t>1. Fundamental Rule (Article 100 RPC)</w:t>
      </w:r>
    </w:p>
    <w:p>
      <w:pPr>
        <w:pStyle w:val="ListBullet"/>
        <w:spacing w:before="20" w:after="40" w:line="276" w:lineRule="auto"/>
      </w:pPr>
      <w:r>
        <w:rPr>
          <w:rFonts w:ascii="Calibri" w:hAnsi="Calibri"/>
          <w:i w:val="0"/>
          <w:color w:val="262626"/>
          <w:sz w:val="20"/>
        </w:rPr>
        <w:t>Every person criminally liable for a felony is also civilly liable. Dual aspect of crime: injury to the sovereign State and injury to the private victim (</w:t>
      </w:r>
      <w:r>
        <w:rPr>
          <w:rFonts w:ascii="Calibri" w:hAnsi="Calibri"/>
          <w:i w:val="0"/>
          <w:color w:val="2E75B6"/>
          <w:sz w:val="20"/>
          <w:u w:val="single"/>
        </w:rPr>
        <w:t>Chua v. CA</w:t>
      </w:r>
      <w:r>
        <w:rPr>
          <w:rFonts w:ascii="Calibri" w:hAnsi="Calibri"/>
          <w:i w:val="0"/>
          <w:color w:val="262626"/>
          <w:sz w:val="20"/>
        </w:rPr>
        <w:t>, 443 SCRA 142).</w:t>
      </w:r>
    </w:p>
    <w:p>
      <w:pPr>
        <w:keepNext/>
        <w:spacing w:before="200" w:after="60"/>
      </w:pPr>
      <w:r>
        <w:rPr>
          <w:rFonts w:ascii="Segoe UI" w:hAnsi="Segoe UI"/>
          <w:b/>
          <w:color w:val="1F4E79"/>
          <w:sz w:val="23"/>
        </w:rPr>
        <w:t>2. Subsidiary Liability of Employers (Articles 102 &amp; 103 RPC)</w:t>
      </w:r>
    </w:p>
    <w:p>
      <w:pPr>
        <w:pStyle w:val="ListBullet"/>
        <w:spacing w:before="20" w:after="40" w:line="276" w:lineRule="auto"/>
      </w:pPr>
      <w:r>
        <w:rPr>
          <w:rFonts w:ascii="Calibri" w:hAnsi="Calibri"/>
          <w:b/>
          <w:i w:val="0"/>
          <w:color w:val="262626"/>
          <w:sz w:val="20"/>
        </w:rPr>
        <w:t>Requisites:</w:t>
      </w:r>
    </w:p>
    <w:p>
      <w:pPr>
        <w:pStyle w:val="ListNumber"/>
        <w:spacing w:before="40" w:after="40" w:line="276" w:lineRule="auto"/>
      </w:pPr>
      <w:r>
        <w:rPr>
          <w:rFonts w:ascii="Calibri" w:hAnsi="Calibri"/>
          <w:i w:val="0"/>
          <w:color w:val="262626"/>
          <w:sz w:val="20"/>
        </w:rPr>
        <w:t>Employer is engaged in an industry.</w:t>
      </w:r>
    </w:p>
    <w:p>
      <w:pPr>
        <w:pStyle w:val="ListNumber"/>
        <w:spacing w:before="40" w:after="40" w:line="276" w:lineRule="auto"/>
      </w:pPr>
      <w:r>
        <w:rPr>
          <w:rFonts w:ascii="Calibri" w:hAnsi="Calibri"/>
          <w:i w:val="0"/>
          <w:color w:val="262626"/>
          <w:sz w:val="20"/>
        </w:rPr>
        <w:t>Employee committed felony in discharge of duties.</w:t>
      </w:r>
    </w:p>
    <w:p>
      <w:pPr>
        <w:pStyle w:val="ListNumber"/>
        <w:spacing w:before="40" w:after="40" w:line="276" w:lineRule="auto"/>
      </w:pPr>
      <w:r>
        <w:rPr>
          <w:rFonts w:ascii="Calibri" w:hAnsi="Calibri"/>
          <w:i w:val="0"/>
          <w:color w:val="262626"/>
          <w:sz w:val="20"/>
        </w:rPr>
        <w:t>Employee convicted with finality and found civilly liable.</w:t>
      </w:r>
    </w:p>
    <w:p>
      <w:pPr>
        <w:pStyle w:val="ListNumber"/>
        <w:spacing w:before="40" w:after="40" w:line="276" w:lineRule="auto"/>
      </w:pPr>
      <w:r>
        <w:rPr>
          <w:rFonts w:ascii="Calibri" w:hAnsi="Calibri"/>
          <w:i w:val="0"/>
          <w:color w:val="262626"/>
          <w:sz w:val="20"/>
        </w:rPr>
        <w:t>Employee is insolvent.</w:t>
      </w:r>
    </w:p>
    <w:p>
      <w:pPr>
        <w:pStyle w:val="ListBullet"/>
        <w:spacing w:before="20" w:after="40" w:line="276" w:lineRule="auto"/>
      </w:pPr>
      <w:r>
        <w:rPr>
          <w:rFonts w:ascii="Calibri" w:hAnsi="Calibri"/>
          <w:b/>
          <w:i w:val="0"/>
          <w:color w:val="262626"/>
          <w:sz w:val="20"/>
        </w:rPr>
        <w:t>Defense Inapplicable:</w:t>
      </w:r>
      <w:r>
        <w:rPr>
          <w:rFonts w:ascii="Calibri" w:hAnsi="Calibri"/>
          <w:i w:val="0"/>
          <w:color w:val="262626"/>
          <w:sz w:val="20"/>
        </w:rPr>
        <w:t xml:space="preserve"> The defense of "due diligence in selection and supervision" CANNOT be raised by the employer under Article 103 RPC (</w:t>
      </w:r>
      <w:r>
        <w:rPr>
          <w:rFonts w:ascii="Calibri" w:hAnsi="Calibri"/>
          <w:i w:val="0"/>
          <w:color w:val="2E75B6"/>
          <w:sz w:val="20"/>
          <w:u w:val="single"/>
        </w:rPr>
        <w:t>Carpio v. Doroja</w:t>
      </w:r>
      <w:r>
        <w:rPr>
          <w:rFonts w:ascii="Calibri" w:hAnsi="Calibri"/>
          <w:i w:val="0"/>
          <w:color w:val="262626"/>
          <w:sz w:val="20"/>
        </w:rPr>
        <w:t xml:space="preserve">, 180 SCRA 1; </w:t>
      </w:r>
      <w:r>
        <w:rPr>
          <w:rFonts w:ascii="Calibri" w:hAnsi="Calibri"/>
          <w:i w:val="0"/>
          <w:color w:val="2E75B6"/>
          <w:sz w:val="20"/>
          <w:u w:val="single"/>
        </w:rPr>
        <w:t>Philippine Rabbit Bus Lines v. CA</w:t>
      </w:r>
      <w:r>
        <w:rPr>
          <w:rFonts w:ascii="Calibri" w:hAnsi="Calibri"/>
          <w:i w:val="0"/>
          <w:color w:val="262626"/>
          <w:sz w:val="20"/>
        </w:rPr>
        <w:t xml:space="preserve">, 427 SCRA 526; </w:t>
      </w:r>
      <w:r>
        <w:rPr>
          <w:rFonts w:ascii="Calibri" w:hAnsi="Calibri"/>
          <w:i w:val="0"/>
          <w:color w:val="2E75B6"/>
          <w:sz w:val="20"/>
          <w:u w:val="single"/>
        </w:rPr>
        <w:t>Basilio v. CA</w:t>
      </w:r>
      <w:r>
        <w:rPr>
          <w:rFonts w:ascii="Calibri" w:hAnsi="Calibri"/>
          <w:i w:val="0"/>
          <w:color w:val="262626"/>
          <w:sz w:val="20"/>
        </w:rPr>
        <w:t>, 2000).</w:t>
      </w:r>
    </w:p>
    <w:p>
      <w:pPr>
        <w:keepNext/>
        <w:spacing w:before="200" w:after="60"/>
      </w:pPr>
      <w:r>
        <w:rPr>
          <w:rFonts w:ascii="Segoe UI" w:hAnsi="Segoe UI"/>
          <w:b/>
          <w:color w:val="1F4E79"/>
          <w:sz w:val="23"/>
        </w:rPr>
        <w:t>3. Components of Civil Liability (Article 104 RPC)</w:t>
      </w:r>
    </w:p>
    <w:p>
      <w:pPr>
        <w:pStyle w:val="ListNumber"/>
        <w:spacing w:before="40" w:after="40" w:line="276" w:lineRule="auto"/>
      </w:pPr>
      <w:r>
        <w:rPr>
          <w:rFonts w:ascii="Calibri" w:hAnsi="Calibri"/>
          <w:b/>
          <w:i w:val="0"/>
          <w:color w:val="262626"/>
          <w:sz w:val="20"/>
        </w:rPr>
        <w:t>Restitution (Art. 105):</w:t>
      </w:r>
      <w:r>
        <w:rPr>
          <w:rFonts w:ascii="Calibri" w:hAnsi="Calibri"/>
          <w:i w:val="0"/>
          <w:color w:val="262626"/>
          <w:sz w:val="20"/>
        </w:rPr>
        <w:t xml:space="preserve"> Return of the thing itself.</w:t>
      </w:r>
    </w:p>
    <w:p>
      <w:pPr>
        <w:pStyle w:val="ListNumber"/>
        <w:spacing w:before="40" w:after="40" w:line="276" w:lineRule="auto"/>
      </w:pPr>
      <w:r>
        <w:rPr>
          <w:rFonts w:ascii="Calibri" w:hAnsi="Calibri"/>
          <w:b/>
          <w:i w:val="0"/>
          <w:color w:val="262626"/>
          <w:sz w:val="20"/>
        </w:rPr>
        <w:t>Reparation of Damage (Art. 106):</w:t>
      </w:r>
      <w:r>
        <w:rPr>
          <w:rFonts w:ascii="Calibri" w:hAnsi="Calibri"/>
          <w:i w:val="0"/>
          <w:color w:val="262626"/>
          <w:sz w:val="20"/>
        </w:rPr>
        <w:t xml:space="preserve"> Payment of value when property cannot be returned.</w:t>
      </w:r>
    </w:p>
    <w:p>
      <w:pPr>
        <w:pStyle w:val="ListNumber"/>
        <w:spacing w:before="40" w:after="40" w:line="276" w:lineRule="auto"/>
      </w:pPr>
      <w:r>
        <w:rPr>
          <w:rFonts w:ascii="Calibri" w:hAnsi="Calibri"/>
          <w:b/>
          <w:i w:val="0"/>
          <w:color w:val="262626"/>
          <w:sz w:val="20"/>
        </w:rPr>
        <w:t>Indemnification for Consequential Damages (Art. 107):</w:t>
      </w:r>
      <w:r>
        <w:rPr>
          <w:rFonts w:ascii="Calibri" w:hAnsi="Calibri"/>
          <w:i w:val="0"/>
          <w:color w:val="262626"/>
          <w:sz w:val="20"/>
        </w:rPr>
        <w:t xml:space="preserve"> Loss of earning capacity, medical expenses, moral damages, exemplary damages (</w:t>
      </w:r>
      <w:r>
        <w:rPr>
          <w:rFonts w:ascii="Calibri" w:hAnsi="Calibri"/>
          <w:i w:val="0"/>
          <w:color w:val="2E75B6"/>
          <w:sz w:val="20"/>
          <w:u w:val="single"/>
        </w:rPr>
        <w:t>Heirs of Raymundo Castro v. Bustos</w:t>
      </w:r>
      <w:r>
        <w:rPr>
          <w:rFonts w:ascii="Calibri" w:hAnsi="Calibri"/>
          <w:i w:val="0"/>
          <w:color w:val="262626"/>
          <w:sz w:val="20"/>
        </w:rPr>
        <w:t xml:space="preserve">, 27 SCRA 327; </w:t>
      </w:r>
      <w:r>
        <w:rPr>
          <w:rFonts w:ascii="Calibri" w:hAnsi="Calibri"/>
          <w:i w:val="0"/>
          <w:color w:val="2E75B6"/>
          <w:sz w:val="20"/>
          <w:u w:val="single"/>
        </w:rPr>
        <w:t>People v. Jugueta</w:t>
      </w:r>
      <w:r>
        <w:rPr>
          <w:rFonts w:ascii="Calibri" w:hAnsi="Calibri"/>
          <w:i w:val="0"/>
          <w:color w:val="262626"/>
          <w:sz w:val="20"/>
        </w:rPr>
        <w:t>, 2016).</w:t>
      </w:r>
    </w:p>
    <w:p>
      <w:pPr>
        <w:keepNext/>
        <w:spacing w:before="200" w:after="60"/>
      </w:pPr>
      <w:r>
        <w:rPr>
          <w:rFonts w:ascii="Segoe UI" w:hAnsi="Segoe UI"/>
          <w:b/>
          <w:color w:val="1F4E79"/>
          <w:sz w:val="23"/>
        </w:rPr>
        <w:t>4. Survival of Independent Civil Actions (The Bayotas Doctrine)</w:t>
      </w:r>
    </w:p>
    <w:p>
      <w:pPr>
        <w:pStyle w:val="ListBullet"/>
        <w:spacing w:before="20" w:after="40" w:line="276" w:lineRule="auto"/>
      </w:pPr>
      <w:r>
        <w:rPr>
          <w:rFonts w:ascii="Calibri" w:hAnsi="Calibri"/>
          <w:i w:val="0"/>
          <w:color w:val="262626"/>
          <w:sz w:val="20"/>
        </w:rPr>
        <w:t xml:space="preserve">When an accused dies pending appeal, his criminal liability and civil liability </w:t>
      </w:r>
      <w:r>
        <w:rPr>
          <w:rFonts w:ascii="Calibri" w:hAnsi="Calibri"/>
          <w:i/>
          <w:color w:val="262626"/>
          <w:sz w:val="20"/>
        </w:rPr>
        <w:t>ex delicto</w:t>
      </w:r>
      <w:r>
        <w:rPr>
          <w:rFonts w:ascii="Calibri" w:hAnsi="Calibri"/>
          <w:i w:val="0"/>
          <w:color w:val="262626"/>
          <w:sz w:val="20"/>
        </w:rPr>
        <w:t xml:space="preserve"> are totally extinguished.</w:t>
      </w:r>
    </w:p>
    <w:p>
      <w:pPr>
        <w:pStyle w:val="ListBullet"/>
        <w:spacing w:before="20" w:after="40" w:line="276" w:lineRule="auto"/>
      </w:pPr>
      <w:r>
        <w:rPr>
          <w:rFonts w:ascii="Calibri" w:hAnsi="Calibri"/>
          <w:i w:val="0"/>
          <w:color w:val="262626"/>
          <w:sz w:val="20"/>
        </w:rPr>
        <w:t xml:space="preserve">However, civil actions arising from law, contract, or quasi-delict (Civil Code Arts. 32, 33, 34, 2176) </w:t>
      </w:r>
      <w:r>
        <w:rPr>
          <w:rFonts w:ascii="Calibri" w:hAnsi="Calibri"/>
          <w:b/>
          <w:i w:val="0"/>
          <w:color w:val="262626"/>
          <w:sz w:val="20"/>
        </w:rPr>
        <w:t>SURVIVE</w:t>
      </w:r>
      <w:r>
        <w:rPr>
          <w:rFonts w:ascii="Calibri" w:hAnsi="Calibri"/>
          <w:i w:val="0"/>
          <w:color w:val="262626"/>
          <w:sz w:val="20"/>
        </w:rPr>
        <w:t xml:space="preserve"> and may be prosecuted separately against the deceased's estate (</w:t>
      </w:r>
      <w:r>
        <w:rPr>
          <w:rFonts w:ascii="Calibri" w:hAnsi="Calibri"/>
          <w:i w:val="0"/>
          <w:color w:val="2E75B6"/>
          <w:sz w:val="20"/>
          <w:u w:val="single"/>
        </w:rPr>
        <w:t>People v. Bayotas</w:t>
      </w:r>
      <w:r>
        <w:rPr>
          <w:rFonts w:ascii="Calibri" w:hAnsi="Calibri"/>
          <w:i w:val="0"/>
          <w:color w:val="262626"/>
          <w:sz w:val="20"/>
        </w:rPr>
        <w:t>, 236 SCRA 239).</w:t>
      </w:r>
    </w:p>
    <w:p>
      <w:pPr>
        <w:spacing w:before="40" w:after="80" w:line="276" w:lineRule="auto"/>
      </w:pPr>
      <w:r>
        <w:rPr>
          <w:rFonts w:ascii="Calibri" w:hAnsi="Calibri"/>
          <w:i/>
          <w:color w:val="262626"/>
          <w:sz w:val="21"/>
        </w:rPr>
        <w:t>End of Master Topic Compendium.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595959"/>
        <w:sz w:val="17"/>
      </w:rPr>
      <w:t>Criminal Law 1 Master Syllabus Compendium (Justice Luis B. Reyes Annotated)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595959"/>
        <w:sz w:val="17"/>
      </w:rPr>
      <w:t>MANILA LAW COLLEGE — CRIMINAL LAW 1 (BOOK I RPC) | ATTY. SHANDER A. MATIENZO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