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5AC570A4" w:rsidR="00D52326" w:rsidRPr="0009174F" w:rsidRDefault="00000000" w:rsidP="0009174F">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1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Group 3 - Basic Legal and Judicial Ethics</w:t>
      </w:r>
    </w:p>
    <w:p w14:paraId="00000003" w14:textId="77777777" w:rsidR="00D52326" w:rsidRDefault="00D52326">
      <w:pPr>
        <w:rPr>
          <w:rFonts w:ascii="Times New Roman" w:eastAsia="Times New Roman" w:hAnsi="Times New Roman" w:cs="Times New Roman"/>
        </w:rPr>
      </w:pPr>
    </w:p>
    <w:p w14:paraId="00000004" w14:textId="77777777" w:rsidR="00D52326" w:rsidRDefault="00000000">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16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highlight w:val="green"/>
        </w:rPr>
        <w:t xml:space="preserve">Re: Show Cause Order in the Decision Dated May 11, 2018 </w:t>
      </w:r>
      <w:proofErr w:type="gramStart"/>
      <w:r>
        <w:rPr>
          <w:rFonts w:ascii="Times New Roman" w:eastAsia="Times New Roman" w:hAnsi="Times New Roman" w:cs="Times New Roman"/>
          <w:b/>
          <w:bCs/>
          <w:sz w:val="22"/>
          <w:szCs w:val="22"/>
          <w:highlight w:val="green"/>
        </w:rPr>
        <w:t>In</w:t>
      </w:r>
      <w:proofErr w:type="gramEnd"/>
      <w:r>
        <w:rPr>
          <w:rFonts w:ascii="Times New Roman" w:eastAsia="Times New Roman" w:hAnsi="Times New Roman" w:cs="Times New Roman"/>
          <w:b/>
          <w:bCs/>
          <w:sz w:val="22"/>
          <w:szCs w:val="22"/>
          <w:highlight w:val="green"/>
        </w:rPr>
        <w:t xml:space="preserve"> G.R. No. 237428 (Republic of The Philippines, Represented by Solicitor General Jose C, Calida v. Maria Lourdes P.A. Sereno), A.M. No. 18-06-01- SC, July 17, 2018</w:t>
      </w:r>
    </w:p>
    <w:p w14:paraId="00000005" w14:textId="77777777" w:rsidR="00D52326" w:rsidRDefault="00000000">
      <w:pPr>
        <w:pStyle w:val="Heading2"/>
        <w:keepNext w:val="0"/>
        <w:keepLines w:val="0"/>
        <w:shd w:val="clear" w:color="auto" w:fill="FFFFFF"/>
        <w:spacing w:after="80" w:line="271" w:lineRule="auto"/>
        <w:jc w:val="both"/>
        <w:rPr>
          <w:rFonts w:ascii="Times New Roman" w:eastAsia="Times New Roman" w:hAnsi="Times New Roman" w:cs="Times New Roman"/>
          <w:b/>
          <w:bCs/>
          <w:sz w:val="22"/>
          <w:szCs w:val="22"/>
        </w:rPr>
      </w:pPr>
      <w:bookmarkStart w:id="0" w:name="_heading=h.1dmsj4u6a187" w:colFirst="0" w:colLast="0"/>
      <w:bookmarkEnd w:id="0"/>
      <w:r>
        <w:rPr>
          <w:rFonts w:ascii="Times New Roman" w:eastAsia="Times New Roman" w:hAnsi="Times New Roman" w:cs="Times New Roman"/>
          <w:b/>
          <w:bCs/>
          <w:sz w:val="22"/>
          <w:szCs w:val="22"/>
        </w:rPr>
        <w:t>Facts</w:t>
      </w:r>
    </w:p>
    <w:p w14:paraId="00000006" w14:textId="77777777" w:rsidR="00D52326" w:rsidRDefault="00000000">
      <w:pPr>
        <w:shd w:val="clear" w:color="auto" w:fill="FFFFFF"/>
        <w:spacing w:before="240" w:after="240" w:line="271" w:lineRule="auto"/>
        <w:jc w:val="both"/>
        <w:rPr>
          <w:rFonts w:ascii="Times New Roman" w:eastAsia="Times New Roman" w:hAnsi="Times New Roman" w:cs="Times New Roman"/>
        </w:rPr>
      </w:pPr>
      <w:r>
        <w:rPr>
          <w:rFonts w:ascii="Times New Roman" w:eastAsia="Times New Roman" w:hAnsi="Times New Roman" w:cs="Times New Roman"/>
        </w:rPr>
        <w:t>On August 30, 2017, an impeachment complaint was filed against then Chief Justice Maria Lourdes P. A. Sereno before the House of Representatives. The complaint alleged culpable violation of the Constitution, corruption, high crimes, and betrayal of public trust.</w:t>
      </w:r>
    </w:p>
    <w:p w14:paraId="00000007" w14:textId="77777777" w:rsidR="00D52326"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During the pending </w:t>
      </w:r>
      <w:r>
        <w:rPr>
          <w:rFonts w:ascii="Times New Roman" w:eastAsia="Times New Roman" w:hAnsi="Times New Roman" w:cs="Times New Roman"/>
          <w:i/>
          <w:iCs/>
        </w:rPr>
        <w:t>quo warranto</w:t>
      </w:r>
      <w:r>
        <w:rPr>
          <w:rFonts w:ascii="Times New Roman" w:eastAsia="Times New Roman" w:hAnsi="Times New Roman" w:cs="Times New Roman"/>
        </w:rPr>
        <w:t xml:space="preserve"> case against Chief Justice Maria Lourdes Sereno, she made public statements through interviews, speeches, and forums. Sereno repeatedly appeared in public forums, universities, rallies, interviews, and other media platforms. She discussed the issues involved in the pending case and made statements concerning the Court, its Members, Congress, and the government and criticizing the proceedings and questioning the Court’s impartiality. The Supreme Court ordered her to show cause for violating the </w:t>
      </w:r>
      <w:r>
        <w:rPr>
          <w:rFonts w:ascii="Times New Roman" w:eastAsia="Times New Roman" w:hAnsi="Times New Roman" w:cs="Times New Roman"/>
          <w:i/>
          <w:iCs/>
        </w:rPr>
        <w:t>sub judice</w:t>
      </w:r>
      <w:r>
        <w:rPr>
          <w:rFonts w:ascii="Times New Roman" w:eastAsia="Times New Roman" w:hAnsi="Times New Roman" w:cs="Times New Roman"/>
        </w:rPr>
        <w:t xml:space="preserve"> rule and ethical standards.</w:t>
      </w:r>
      <w:r>
        <w:rPr>
          <w:rFonts w:ascii="Times New Roman" w:eastAsia="Times New Roman" w:hAnsi="Times New Roman" w:cs="Times New Roman"/>
        </w:rPr>
        <w:tab/>
      </w:r>
    </w:p>
    <w:p w14:paraId="00000008" w14:textId="77777777" w:rsidR="00D52326" w:rsidRDefault="00000000">
      <w:pPr>
        <w:shd w:val="clear" w:color="auto" w:fill="FFFFFF"/>
        <w:spacing w:before="240" w:after="240" w:line="271" w:lineRule="auto"/>
        <w:jc w:val="both"/>
        <w:rPr>
          <w:rFonts w:ascii="Times New Roman" w:eastAsia="Times New Roman" w:hAnsi="Times New Roman" w:cs="Times New Roman"/>
        </w:rPr>
      </w:pPr>
      <w:r>
        <w:rPr>
          <w:rFonts w:ascii="Times New Roman" w:eastAsia="Times New Roman" w:hAnsi="Times New Roman" w:cs="Times New Roman"/>
        </w:rPr>
        <w:t>She argued, however, that she should be treated merely as a party-litigant, not as counsel or judge; that her statements did not constitute a clear and present danger to the administration of justice; and that she was merely exercising her freedom of speech and defending herself against attacks made against her.</w:t>
      </w:r>
    </w:p>
    <w:p w14:paraId="00000009" w14:textId="77777777" w:rsidR="00D52326" w:rsidRDefault="00000000">
      <w:pPr>
        <w:shd w:val="clear" w:color="auto" w:fill="FFFFFF"/>
        <w:spacing w:before="240" w:after="240" w:line="271" w:lineRule="auto"/>
        <w:jc w:val="both"/>
        <w:rPr>
          <w:rFonts w:ascii="Times New Roman" w:eastAsia="Times New Roman" w:hAnsi="Times New Roman" w:cs="Times New Roman"/>
        </w:rPr>
      </w:pPr>
      <w:r>
        <w:rPr>
          <w:rFonts w:ascii="Times New Roman" w:eastAsia="Times New Roman" w:hAnsi="Times New Roman" w:cs="Times New Roman"/>
        </w:rPr>
        <w:t>She also argued that she had been denied due process and that her public statements were made in response to statements made by the Solicitor General and members of the media.</w:t>
      </w:r>
    </w:p>
    <w:p w14:paraId="0000000A" w14:textId="77777777" w:rsidR="00D52326" w:rsidRDefault="00000000">
      <w:pPr>
        <w:pStyle w:val="Heading2"/>
        <w:keepNext w:val="0"/>
        <w:keepLines w:val="0"/>
        <w:shd w:val="clear" w:color="auto" w:fill="FFFFFF"/>
        <w:spacing w:after="80" w:line="271" w:lineRule="auto"/>
        <w:jc w:val="both"/>
        <w:rPr>
          <w:rFonts w:ascii="Times New Roman" w:eastAsia="Times New Roman" w:hAnsi="Times New Roman" w:cs="Times New Roman"/>
          <w:b/>
          <w:bCs/>
          <w:sz w:val="22"/>
          <w:szCs w:val="22"/>
        </w:rPr>
      </w:pPr>
      <w:bookmarkStart w:id="1" w:name="_heading=h.bax6ykw85lqb" w:colFirst="0" w:colLast="0"/>
      <w:bookmarkEnd w:id="1"/>
      <w:r>
        <w:rPr>
          <w:rFonts w:ascii="Times New Roman" w:eastAsia="Times New Roman" w:hAnsi="Times New Roman" w:cs="Times New Roman"/>
          <w:b/>
          <w:bCs/>
          <w:sz w:val="22"/>
          <w:szCs w:val="22"/>
        </w:rPr>
        <w:t xml:space="preserve"> Issues</w:t>
      </w:r>
    </w:p>
    <w:p w14:paraId="0000000B" w14:textId="77777777" w:rsidR="00D52326" w:rsidRDefault="00000000">
      <w:pPr>
        <w:numPr>
          <w:ilvl w:val="0"/>
          <w:numId w:val="1"/>
        </w:numPr>
        <w:shd w:val="clear" w:color="auto" w:fill="FFFFFF"/>
        <w:spacing w:before="240" w:line="271" w:lineRule="auto"/>
        <w:jc w:val="both"/>
        <w:rPr>
          <w:rFonts w:ascii="Times New Roman" w:eastAsia="Times New Roman" w:hAnsi="Times New Roman" w:cs="Times New Roman"/>
        </w:rPr>
      </w:pPr>
      <w:r>
        <w:rPr>
          <w:rFonts w:ascii="Times New Roman" w:eastAsia="Times New Roman" w:hAnsi="Times New Roman" w:cs="Times New Roman"/>
        </w:rPr>
        <w:t>Whether Sereno could be held administratively liable for her public statements and conduct concerning the pending quo warranto case.</w:t>
      </w:r>
    </w:p>
    <w:p w14:paraId="0000000C" w14:textId="77777777" w:rsidR="00D52326" w:rsidRDefault="00000000">
      <w:pPr>
        <w:numPr>
          <w:ilvl w:val="0"/>
          <w:numId w:val="1"/>
        </w:numPr>
        <w:shd w:val="clear" w:color="auto" w:fill="FFFFFF"/>
        <w:spacing w:line="271" w:lineRule="auto"/>
        <w:jc w:val="both"/>
        <w:rPr>
          <w:rFonts w:ascii="Times New Roman" w:eastAsia="Times New Roman" w:hAnsi="Times New Roman" w:cs="Times New Roman"/>
        </w:rPr>
      </w:pPr>
      <w:r>
        <w:rPr>
          <w:rFonts w:ascii="Times New Roman" w:eastAsia="Times New Roman" w:hAnsi="Times New Roman" w:cs="Times New Roman"/>
        </w:rPr>
        <w:t>Whether the “clear and present danger” test should be applied in determining her liability for violating the sub judice rule.</w:t>
      </w:r>
    </w:p>
    <w:p w14:paraId="0000000D" w14:textId="77777777" w:rsidR="00D52326" w:rsidRDefault="00000000">
      <w:pPr>
        <w:numPr>
          <w:ilvl w:val="0"/>
          <w:numId w:val="1"/>
        </w:numPr>
        <w:shd w:val="clear" w:color="auto" w:fill="FFFFFF"/>
        <w:spacing w:after="240" w:line="271" w:lineRule="auto"/>
        <w:jc w:val="both"/>
        <w:rPr>
          <w:rFonts w:ascii="Times New Roman" w:eastAsia="Times New Roman" w:hAnsi="Times New Roman" w:cs="Times New Roman"/>
        </w:rPr>
      </w:pPr>
      <w:r>
        <w:rPr>
          <w:rFonts w:ascii="Times New Roman" w:eastAsia="Times New Roman" w:hAnsi="Times New Roman" w:cs="Times New Roman"/>
        </w:rPr>
        <w:t>Whether Sereno's status as a party-litigant exempted her from the ethical standards applicable to lawyers and members of the Judiciary.</w:t>
      </w:r>
    </w:p>
    <w:p w14:paraId="0000000E" w14:textId="77777777" w:rsidR="00D52326" w:rsidRDefault="00000000">
      <w:pPr>
        <w:pStyle w:val="Heading1"/>
        <w:keepNext w:val="0"/>
        <w:keepLines w:val="0"/>
        <w:shd w:val="clear" w:color="auto" w:fill="FFFFFF"/>
        <w:spacing w:before="480" w:line="271" w:lineRule="auto"/>
        <w:jc w:val="both"/>
        <w:rPr>
          <w:rFonts w:ascii="Times New Roman" w:eastAsia="Times New Roman" w:hAnsi="Times New Roman" w:cs="Times New Roman"/>
          <w:b/>
          <w:bCs/>
          <w:sz w:val="22"/>
          <w:szCs w:val="22"/>
        </w:rPr>
      </w:pPr>
      <w:bookmarkStart w:id="2" w:name="_heading=h.pcr52pxxwg2g" w:colFirst="0" w:colLast="0"/>
      <w:bookmarkEnd w:id="2"/>
      <w:r>
        <w:rPr>
          <w:rFonts w:ascii="Times New Roman" w:eastAsia="Times New Roman" w:hAnsi="Times New Roman" w:cs="Times New Roman"/>
          <w:b/>
          <w:bCs/>
          <w:sz w:val="22"/>
          <w:szCs w:val="22"/>
        </w:rPr>
        <w:t>Doctrine</w:t>
      </w:r>
    </w:p>
    <w:p w14:paraId="0000000F" w14:textId="77777777" w:rsidR="00D52326" w:rsidRDefault="00000000">
      <w:pPr>
        <w:pStyle w:val="Heading3"/>
        <w:keepNext w:val="0"/>
        <w:keepLines w:val="0"/>
        <w:shd w:val="clear" w:color="auto" w:fill="FFFFFF"/>
        <w:spacing w:before="280" w:line="271" w:lineRule="auto"/>
        <w:jc w:val="both"/>
        <w:rPr>
          <w:rFonts w:ascii="Times New Roman" w:eastAsia="Times New Roman" w:hAnsi="Times New Roman" w:cs="Times New Roman"/>
          <w:color w:val="000000"/>
          <w:sz w:val="22"/>
          <w:szCs w:val="22"/>
        </w:rPr>
      </w:pPr>
      <w:bookmarkStart w:id="3" w:name="_heading=h.yw1ts6ubm7rs" w:colFirst="0" w:colLast="0"/>
      <w:bookmarkEnd w:id="3"/>
      <w:r>
        <w:rPr>
          <w:rFonts w:ascii="Times New Roman" w:eastAsia="Times New Roman" w:hAnsi="Times New Roman" w:cs="Times New Roman"/>
          <w:color w:val="000000"/>
          <w:sz w:val="22"/>
          <w:szCs w:val="22"/>
        </w:rPr>
        <w:t>1. Lawyers are bound by professional ethics at all times.</w:t>
      </w:r>
    </w:p>
    <w:p w14:paraId="00000010" w14:textId="77777777" w:rsidR="00D52326" w:rsidRDefault="00000000">
      <w:pPr>
        <w:shd w:val="clear" w:color="auto" w:fill="FFFFFF"/>
        <w:spacing w:before="240" w:after="240" w:line="271" w:lineRule="auto"/>
        <w:jc w:val="both"/>
        <w:rPr>
          <w:rFonts w:ascii="Times New Roman" w:eastAsia="Times New Roman" w:hAnsi="Times New Roman" w:cs="Times New Roman"/>
        </w:rPr>
      </w:pPr>
      <w:r>
        <w:rPr>
          <w:rFonts w:ascii="Times New Roman" w:eastAsia="Times New Roman" w:hAnsi="Times New Roman" w:cs="Times New Roman"/>
        </w:rPr>
        <w:t>A lawyer does not cease to be a lawyer when acting as a private citizen or party-litigant. Membership in the Bar carries continuing obligations of morality, propriety, respect for the courts, and fidelity to the legal profession.</w:t>
      </w:r>
    </w:p>
    <w:p w14:paraId="00000011" w14:textId="77777777" w:rsidR="00D52326" w:rsidRDefault="00000000">
      <w:pPr>
        <w:pStyle w:val="Heading3"/>
        <w:keepNext w:val="0"/>
        <w:keepLines w:val="0"/>
        <w:shd w:val="clear" w:color="auto" w:fill="FFFFFF"/>
        <w:spacing w:before="280" w:line="271" w:lineRule="auto"/>
        <w:jc w:val="both"/>
        <w:rPr>
          <w:rFonts w:ascii="Times New Roman" w:eastAsia="Times New Roman" w:hAnsi="Times New Roman" w:cs="Times New Roman"/>
          <w:color w:val="000000"/>
          <w:sz w:val="22"/>
          <w:szCs w:val="22"/>
        </w:rPr>
      </w:pPr>
      <w:bookmarkStart w:id="4" w:name="_heading=h.4mhjj0w2u6zy" w:colFirst="0" w:colLast="0"/>
      <w:bookmarkEnd w:id="4"/>
      <w:r>
        <w:rPr>
          <w:rFonts w:ascii="Times New Roman" w:eastAsia="Times New Roman" w:hAnsi="Times New Roman" w:cs="Times New Roman"/>
          <w:color w:val="000000"/>
          <w:sz w:val="22"/>
          <w:szCs w:val="22"/>
        </w:rPr>
        <w:t>2. Members of the Judiciary are held to an even higher standard.</w:t>
      </w:r>
    </w:p>
    <w:p w14:paraId="00000012" w14:textId="77777777" w:rsidR="00D52326" w:rsidRDefault="00000000">
      <w:pPr>
        <w:shd w:val="clear" w:color="auto" w:fill="FFFFFF"/>
        <w:spacing w:before="240" w:after="240" w:line="271" w:lineRule="auto"/>
        <w:jc w:val="both"/>
        <w:rPr>
          <w:rFonts w:ascii="Times New Roman" w:eastAsia="Times New Roman" w:hAnsi="Times New Roman" w:cs="Times New Roman"/>
        </w:rPr>
      </w:pPr>
      <w:r>
        <w:rPr>
          <w:rFonts w:ascii="Times New Roman" w:eastAsia="Times New Roman" w:hAnsi="Times New Roman" w:cs="Times New Roman"/>
        </w:rPr>
        <w:lastRenderedPageBreak/>
        <w:t>Judges and Justices must avoid conduct that may diminish public confidence in their integrity, impartiality, and independence. Their public and private conduct must be consistent with the dignity of judicial office.</w:t>
      </w:r>
    </w:p>
    <w:p w14:paraId="00000013" w14:textId="77777777" w:rsidR="00D52326" w:rsidRDefault="00000000">
      <w:pPr>
        <w:pStyle w:val="Heading3"/>
        <w:keepNext w:val="0"/>
        <w:keepLines w:val="0"/>
        <w:shd w:val="clear" w:color="auto" w:fill="FFFFFF"/>
        <w:spacing w:before="280" w:line="271" w:lineRule="auto"/>
        <w:jc w:val="both"/>
        <w:rPr>
          <w:rFonts w:ascii="Times New Roman" w:eastAsia="Times New Roman" w:hAnsi="Times New Roman" w:cs="Times New Roman"/>
          <w:color w:val="000000"/>
          <w:sz w:val="22"/>
          <w:szCs w:val="22"/>
        </w:rPr>
      </w:pPr>
      <w:bookmarkStart w:id="5" w:name="_heading=h.peifw69qpz29" w:colFirst="0" w:colLast="0"/>
      <w:bookmarkEnd w:id="5"/>
      <w:r>
        <w:rPr>
          <w:rFonts w:ascii="Times New Roman" w:eastAsia="Times New Roman" w:hAnsi="Times New Roman" w:cs="Times New Roman"/>
          <w:color w:val="000000"/>
          <w:sz w:val="22"/>
          <w:szCs w:val="22"/>
        </w:rPr>
        <w:t>3. The sub judice rule limits public discussion of pending cases by lawyers and judges.</w:t>
      </w:r>
    </w:p>
    <w:p w14:paraId="00000014" w14:textId="77777777" w:rsidR="00D52326" w:rsidRDefault="00000000">
      <w:pPr>
        <w:shd w:val="clear" w:color="auto" w:fill="FFFFFF"/>
        <w:spacing w:before="240" w:after="240" w:line="271" w:lineRule="auto"/>
        <w:jc w:val="both"/>
        <w:rPr>
          <w:rFonts w:ascii="Times New Roman" w:eastAsia="Times New Roman" w:hAnsi="Times New Roman" w:cs="Times New Roman"/>
        </w:rPr>
      </w:pPr>
      <w:r>
        <w:rPr>
          <w:rFonts w:ascii="Times New Roman" w:eastAsia="Times New Roman" w:hAnsi="Times New Roman" w:cs="Times New Roman"/>
        </w:rPr>
        <w:t>A lawyer may discuss a pending case only within the limits imposed by professional responsibility. Public statements that tend to influence public opinion, prejudge the issues, influence the court, or undermine the administration of justice may constitute an ethical violation.</w:t>
      </w:r>
    </w:p>
    <w:p w14:paraId="00000015" w14:textId="77777777" w:rsidR="00D52326" w:rsidRDefault="00000000">
      <w:pPr>
        <w:pStyle w:val="Heading3"/>
        <w:keepNext w:val="0"/>
        <w:keepLines w:val="0"/>
        <w:shd w:val="clear" w:color="auto" w:fill="FFFFFF"/>
        <w:spacing w:before="280" w:line="271" w:lineRule="auto"/>
        <w:jc w:val="both"/>
        <w:rPr>
          <w:rFonts w:ascii="Times New Roman" w:eastAsia="Times New Roman" w:hAnsi="Times New Roman" w:cs="Times New Roman"/>
          <w:color w:val="000000"/>
          <w:sz w:val="22"/>
          <w:szCs w:val="22"/>
        </w:rPr>
      </w:pPr>
      <w:bookmarkStart w:id="6" w:name="_heading=h.nkl4vryt3tf5" w:colFirst="0" w:colLast="0"/>
      <w:bookmarkEnd w:id="6"/>
      <w:r>
        <w:rPr>
          <w:rFonts w:ascii="Times New Roman" w:eastAsia="Times New Roman" w:hAnsi="Times New Roman" w:cs="Times New Roman"/>
          <w:color w:val="000000"/>
          <w:sz w:val="22"/>
          <w:szCs w:val="22"/>
        </w:rPr>
        <w:t>4. Freedom of speech is not an unrestricted defense for lawyers.</w:t>
      </w:r>
    </w:p>
    <w:p w14:paraId="00000016" w14:textId="77777777" w:rsidR="00D52326" w:rsidRDefault="00000000">
      <w:pPr>
        <w:shd w:val="clear" w:color="auto" w:fill="FFFFFF"/>
        <w:spacing w:before="240" w:after="240" w:line="271" w:lineRule="auto"/>
        <w:jc w:val="both"/>
        <w:rPr>
          <w:rFonts w:ascii="Times New Roman" w:eastAsia="Times New Roman" w:hAnsi="Times New Roman" w:cs="Times New Roman"/>
        </w:rPr>
      </w:pPr>
      <w:r>
        <w:rPr>
          <w:rFonts w:ascii="Times New Roman" w:eastAsia="Times New Roman" w:hAnsi="Times New Roman" w:cs="Times New Roman"/>
        </w:rPr>
        <w:t>Lawyers have the right to criticize courts and discuss matters of public importance, but such criticism must be respectful, temperate, and made through legitimate channels. The lawyer's duty to preserve the dignity of the Judiciary places reasonable limits on public statements regarding pending cases.</w:t>
      </w:r>
    </w:p>
    <w:p w14:paraId="00000017" w14:textId="77777777" w:rsidR="00D52326" w:rsidRDefault="00000000">
      <w:pPr>
        <w:pStyle w:val="Heading3"/>
        <w:keepNext w:val="0"/>
        <w:keepLines w:val="0"/>
        <w:shd w:val="clear" w:color="auto" w:fill="FFFFFF"/>
        <w:spacing w:before="280" w:line="271" w:lineRule="auto"/>
        <w:jc w:val="both"/>
        <w:rPr>
          <w:rFonts w:ascii="Times New Roman" w:eastAsia="Times New Roman" w:hAnsi="Times New Roman" w:cs="Times New Roman"/>
          <w:color w:val="000000"/>
          <w:sz w:val="22"/>
          <w:szCs w:val="22"/>
        </w:rPr>
      </w:pPr>
      <w:bookmarkStart w:id="7" w:name="_heading=h.5k0624u4q5hz" w:colFirst="0" w:colLast="0"/>
      <w:bookmarkEnd w:id="7"/>
      <w:r>
        <w:rPr>
          <w:rFonts w:ascii="Times New Roman" w:eastAsia="Times New Roman" w:hAnsi="Times New Roman" w:cs="Times New Roman"/>
          <w:color w:val="000000"/>
          <w:sz w:val="22"/>
          <w:szCs w:val="22"/>
        </w:rPr>
        <w:t>5. Lawyer discipline is primarily preservative, not punitive.</w:t>
      </w:r>
    </w:p>
    <w:p w14:paraId="00000018" w14:textId="77777777" w:rsidR="00D52326" w:rsidRDefault="00000000">
      <w:pPr>
        <w:shd w:val="clear" w:color="auto" w:fill="FFFFFF"/>
        <w:spacing w:before="240" w:after="240" w:line="271" w:lineRule="auto"/>
        <w:jc w:val="both"/>
        <w:rPr>
          <w:rFonts w:ascii="Times New Roman" w:eastAsia="Times New Roman" w:hAnsi="Times New Roman" w:cs="Times New Roman"/>
        </w:rPr>
      </w:pPr>
      <w:r>
        <w:rPr>
          <w:rFonts w:ascii="Times New Roman" w:eastAsia="Times New Roman" w:hAnsi="Times New Roman" w:cs="Times New Roman"/>
        </w:rPr>
        <w:t>The purpose of disciplinary proceedings is not simply to punish an erring lawyer. It is principally to protect the public, preserve the integrity of the legal profession and the Judiciary, maintain public confidence, and encourage rehabilitation.</w:t>
      </w:r>
    </w:p>
    <w:p w14:paraId="00000019" w14:textId="77777777" w:rsidR="00D52326" w:rsidRDefault="00000000">
      <w:pPr>
        <w:pStyle w:val="Heading2"/>
        <w:keepNext w:val="0"/>
        <w:keepLines w:val="0"/>
        <w:shd w:val="clear" w:color="auto" w:fill="FFFFFF"/>
        <w:spacing w:after="80" w:line="271" w:lineRule="auto"/>
        <w:jc w:val="both"/>
        <w:rPr>
          <w:rFonts w:ascii="Times New Roman" w:eastAsia="Times New Roman" w:hAnsi="Times New Roman" w:cs="Times New Roman"/>
          <w:b/>
          <w:bCs/>
          <w:sz w:val="22"/>
          <w:szCs w:val="22"/>
        </w:rPr>
      </w:pPr>
      <w:bookmarkStart w:id="8" w:name="_heading=h.n83g1t4ov8qr" w:colFirst="0" w:colLast="0"/>
      <w:bookmarkEnd w:id="8"/>
      <w:r>
        <w:rPr>
          <w:rFonts w:ascii="Times New Roman" w:eastAsia="Times New Roman" w:hAnsi="Times New Roman" w:cs="Times New Roman"/>
          <w:b/>
          <w:bCs/>
          <w:sz w:val="22"/>
          <w:szCs w:val="22"/>
        </w:rPr>
        <w:t>Disposition</w:t>
      </w:r>
    </w:p>
    <w:p w14:paraId="0000001A" w14:textId="77777777" w:rsidR="00D52326" w:rsidRDefault="00000000">
      <w:pPr>
        <w:shd w:val="clear" w:color="auto" w:fill="FFFFFF"/>
        <w:spacing w:before="240" w:after="240" w:line="271" w:lineRule="auto"/>
        <w:jc w:val="both"/>
        <w:rPr>
          <w:rFonts w:ascii="Times New Roman" w:eastAsia="Times New Roman" w:hAnsi="Times New Roman" w:cs="Times New Roman"/>
        </w:rPr>
      </w:pPr>
      <w:r>
        <w:rPr>
          <w:rFonts w:ascii="Times New Roman" w:eastAsia="Times New Roman" w:hAnsi="Times New Roman" w:cs="Times New Roman"/>
        </w:rPr>
        <w:t>The Supreme Court found Maria Lourdes P. A. Sereno guilty of violating Canon 11 and Canon 13, Rule 13.02 of the Code of Professional Responsibility, as well as the specified provisions of Canons 1, 2, 3, and 4 of the New Code of Judicial Conduct.</w:t>
      </w:r>
    </w:p>
    <w:p w14:paraId="0000001B" w14:textId="77777777" w:rsidR="00D52326" w:rsidRDefault="00000000">
      <w:pPr>
        <w:shd w:val="clear" w:color="auto" w:fill="FFFFFF"/>
        <w:spacing w:before="240" w:after="240" w:line="271" w:lineRule="auto"/>
        <w:jc w:val="both"/>
        <w:rPr>
          <w:rFonts w:ascii="Times New Roman" w:eastAsia="Times New Roman" w:hAnsi="Times New Roman" w:cs="Times New Roman"/>
        </w:rPr>
      </w:pPr>
      <w:r>
        <w:rPr>
          <w:rFonts w:ascii="Times New Roman" w:eastAsia="Times New Roman" w:hAnsi="Times New Roman" w:cs="Times New Roman"/>
        </w:rPr>
        <w:t>Although the Court considered her violations serious, it did not impose suspension. Considering that she had already been removed as Chief Justice, had lengthy government service, and had no previous administrative liability, the Court exercised judicial clemency.</w:t>
      </w:r>
    </w:p>
    <w:p w14:paraId="0000001C" w14:textId="77777777" w:rsidR="00D52326" w:rsidRDefault="00000000">
      <w:pPr>
        <w:spacing w:before="220" w:after="220" w:line="271" w:lineRule="auto"/>
        <w:ind w:firstLine="720"/>
        <w:rPr>
          <w:rFonts w:ascii="Times New Roman" w:eastAsia="Times New Roman" w:hAnsi="Times New Roman" w:cs="Times New Roman"/>
          <w:b/>
          <w:bCs/>
        </w:rPr>
      </w:pPr>
      <w:r>
        <w:rPr>
          <w:rFonts w:ascii="Times New Roman" w:eastAsia="Times New Roman" w:hAnsi="Times New Roman" w:cs="Times New Roman"/>
          <w:b/>
          <w:bCs/>
        </w:rPr>
        <w:t xml:space="preserve"> </w:t>
      </w:r>
    </w:p>
    <w:p w14:paraId="0000001D" w14:textId="77777777" w:rsidR="00D52326" w:rsidRDefault="00D52326">
      <w:pPr>
        <w:spacing w:before="220" w:after="220" w:line="271" w:lineRule="auto"/>
        <w:ind w:firstLine="720"/>
        <w:rPr>
          <w:rFonts w:ascii="Times New Roman" w:eastAsia="Times New Roman" w:hAnsi="Times New Roman" w:cs="Times New Roman"/>
          <w:b/>
          <w:bCs/>
          <w:highlight w:val="green"/>
        </w:rPr>
      </w:pPr>
    </w:p>
    <w:p w14:paraId="0000001E" w14:textId="77777777" w:rsidR="00D52326" w:rsidRDefault="00D52326">
      <w:pPr>
        <w:spacing w:before="220" w:after="220" w:line="271" w:lineRule="auto"/>
        <w:ind w:firstLine="720"/>
        <w:rPr>
          <w:rFonts w:ascii="Times New Roman" w:eastAsia="Times New Roman" w:hAnsi="Times New Roman" w:cs="Times New Roman"/>
          <w:b/>
          <w:bCs/>
          <w:highlight w:val="green"/>
        </w:rPr>
      </w:pPr>
    </w:p>
    <w:p w14:paraId="0000001F" w14:textId="77777777" w:rsidR="00D52326" w:rsidRDefault="00D52326">
      <w:pPr>
        <w:spacing w:before="220" w:after="220" w:line="271" w:lineRule="auto"/>
        <w:ind w:firstLine="720"/>
        <w:rPr>
          <w:rFonts w:ascii="Times New Roman" w:eastAsia="Times New Roman" w:hAnsi="Times New Roman" w:cs="Times New Roman"/>
          <w:b/>
          <w:bCs/>
          <w:highlight w:val="green"/>
        </w:rPr>
      </w:pPr>
    </w:p>
    <w:p w14:paraId="00000020" w14:textId="77777777" w:rsidR="00D52326" w:rsidRDefault="00D52326">
      <w:pPr>
        <w:spacing w:before="220" w:after="220" w:line="271" w:lineRule="auto"/>
        <w:ind w:firstLine="720"/>
        <w:rPr>
          <w:rFonts w:ascii="Times New Roman" w:eastAsia="Times New Roman" w:hAnsi="Times New Roman" w:cs="Times New Roman"/>
          <w:b/>
          <w:bCs/>
          <w:highlight w:val="green"/>
        </w:rPr>
      </w:pPr>
    </w:p>
    <w:p w14:paraId="00000021" w14:textId="77777777" w:rsidR="00D52326" w:rsidRDefault="00D52326">
      <w:pPr>
        <w:spacing w:before="220" w:after="220" w:line="271" w:lineRule="auto"/>
        <w:ind w:firstLine="720"/>
        <w:rPr>
          <w:rFonts w:ascii="Times New Roman" w:eastAsia="Times New Roman" w:hAnsi="Times New Roman" w:cs="Times New Roman"/>
          <w:b/>
          <w:bCs/>
          <w:highlight w:val="green"/>
        </w:rPr>
      </w:pPr>
    </w:p>
    <w:p w14:paraId="00000022" w14:textId="77777777" w:rsidR="00D52326" w:rsidRDefault="00D52326">
      <w:pPr>
        <w:spacing w:before="220" w:after="220" w:line="271" w:lineRule="auto"/>
        <w:rPr>
          <w:rFonts w:ascii="Times New Roman" w:eastAsia="Times New Roman" w:hAnsi="Times New Roman" w:cs="Times New Roman"/>
          <w:b/>
          <w:bCs/>
          <w:highlight w:val="green"/>
        </w:rPr>
      </w:pPr>
    </w:p>
    <w:p w14:paraId="00000023" w14:textId="77777777" w:rsidR="00D52326" w:rsidRDefault="00000000">
      <w:pPr>
        <w:spacing w:before="220" w:after="220" w:line="271" w:lineRule="auto"/>
        <w:ind w:left="1440" w:firstLine="720"/>
        <w:rPr>
          <w:rFonts w:ascii="Times New Roman" w:eastAsia="Times New Roman" w:hAnsi="Times New Roman" w:cs="Times New Roman"/>
          <w:b/>
          <w:bCs/>
          <w:highlight w:val="green"/>
        </w:rPr>
      </w:pPr>
      <w:r>
        <w:rPr>
          <w:rFonts w:ascii="Times New Roman" w:eastAsia="Times New Roman" w:hAnsi="Times New Roman" w:cs="Times New Roman"/>
          <w:b/>
          <w:bCs/>
          <w:highlight w:val="green"/>
        </w:rPr>
        <w:t xml:space="preserve">Manalang v. Atty. Buendia, A.C. No. 12079, November 10, 2020 </w:t>
      </w:r>
    </w:p>
    <w:p w14:paraId="00000024" w14:textId="77777777" w:rsidR="00D52326" w:rsidRDefault="00000000">
      <w:pPr>
        <w:spacing w:before="220" w:after="220" w:line="271" w:lineRule="auto"/>
        <w:rPr>
          <w:rFonts w:ascii="Times New Roman" w:eastAsia="Times New Roman" w:hAnsi="Times New Roman" w:cs="Times New Roman"/>
          <w:b/>
          <w:bCs/>
        </w:rPr>
      </w:pPr>
      <w:r>
        <w:rPr>
          <w:rFonts w:ascii="Times New Roman" w:eastAsia="Times New Roman" w:hAnsi="Times New Roman" w:cs="Times New Roman"/>
          <w:b/>
          <w:bCs/>
        </w:rPr>
        <w:t>Facts</w:t>
      </w:r>
    </w:p>
    <w:p w14:paraId="00000025" w14:textId="77777777" w:rsidR="00D52326"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lastRenderedPageBreak/>
        <w:t>In 2011, Eduardo Manalang hired Atty. Cristina Buendia to handle his petition for declaration of nullity of marriage. Buendia told him that although such cases normally took 1–2 years, she could expedite the case and have it completed within 6 months to 1 year. They agreed on legal fees of ₱275,000, plus documentation and other expenses. Manalang eventually paid ₱270,000.</w:t>
      </w:r>
    </w:p>
    <w:p w14:paraId="00000026" w14:textId="77777777" w:rsidR="00D52326"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Buendia assured him that the case could be </w:t>
      </w:r>
      <w:proofErr w:type="spellStart"/>
      <w:proofErr w:type="gramStart"/>
      <w:r>
        <w:rPr>
          <w:rFonts w:ascii="Times New Roman" w:eastAsia="Times New Roman" w:hAnsi="Times New Roman" w:cs="Times New Roman"/>
        </w:rPr>
        <w:t>expedited.However</w:t>
      </w:r>
      <w:proofErr w:type="spellEnd"/>
      <w:proofErr w:type="gramEnd"/>
      <w:r>
        <w:rPr>
          <w:rFonts w:ascii="Times New Roman" w:eastAsia="Times New Roman" w:hAnsi="Times New Roman" w:cs="Times New Roman"/>
        </w:rPr>
        <w:t>, despite repeated follow-ups, she failed to provide clear updates. In September 2012, Manalang learned that another lawyer was supposedly handling his case and that it had allegedly been filed in Ballesteros, Cagayan. Buendia assured him that the case would soon be resolved.</w:t>
      </w:r>
    </w:p>
    <w:p w14:paraId="00000027" w14:textId="77777777" w:rsidR="00D52326"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In April 2013, Buendia told Manalang that the case had already been decided. She gave him a supposed RTC Decision and Certificate of Finality. Manalang noticed inconsistencies and fabricated details in the documents. He personally went to Ballesteros, Cagayan to verify the case and discovered that no case had ever been filed.</w:t>
      </w:r>
    </w:p>
    <w:p w14:paraId="00000028" w14:textId="77777777" w:rsidR="00D52326"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Manalang then filed an administrative complaint. Buendia denied being his lawyer and claimed she merely acted as an intermediary for another lawyer (Atty. Neil Tabbu). </w:t>
      </w:r>
    </w:p>
    <w:p w14:paraId="00000029" w14:textId="77777777" w:rsidR="00D52326"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Manalang filed an administrative complaint. The IBP recommended disbarment, finding that Buendia deceived her client and failed to perform her professional duties.</w:t>
      </w:r>
    </w:p>
    <w:p w14:paraId="0000002A" w14:textId="77777777" w:rsidR="00D52326" w:rsidRDefault="00000000">
      <w:pPr>
        <w:pStyle w:val="Heading3"/>
        <w:keepNext w:val="0"/>
        <w:keepLines w:val="0"/>
        <w:spacing w:before="280"/>
        <w:jc w:val="both"/>
        <w:rPr>
          <w:rFonts w:ascii="Times New Roman" w:eastAsia="Times New Roman" w:hAnsi="Times New Roman" w:cs="Times New Roman"/>
          <w:b/>
          <w:bCs/>
          <w:color w:val="000000"/>
          <w:sz w:val="22"/>
          <w:szCs w:val="22"/>
        </w:rPr>
      </w:pPr>
      <w:bookmarkStart w:id="9" w:name="_heading=h.iaefrk2dxsoh" w:colFirst="0" w:colLast="0"/>
      <w:bookmarkEnd w:id="9"/>
      <w:r>
        <w:rPr>
          <w:rFonts w:ascii="Times New Roman" w:eastAsia="Times New Roman" w:hAnsi="Times New Roman" w:cs="Times New Roman"/>
          <w:b/>
          <w:bCs/>
          <w:color w:val="000000"/>
          <w:sz w:val="22"/>
          <w:szCs w:val="22"/>
        </w:rPr>
        <w:t>Issue</w:t>
      </w:r>
    </w:p>
    <w:p w14:paraId="0000002B" w14:textId="77777777" w:rsidR="00D52326"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Whether Atty. Buendia should be held administratively liable for deceiving her client, failing to file the nullity case, and fabricating court documents.</w:t>
      </w:r>
    </w:p>
    <w:p w14:paraId="0000002C" w14:textId="77777777" w:rsidR="00D52326" w:rsidRDefault="00000000">
      <w:pPr>
        <w:spacing w:before="240" w:after="240"/>
        <w:jc w:val="both"/>
        <w:rPr>
          <w:rFonts w:ascii="Times New Roman" w:eastAsia="Times New Roman" w:hAnsi="Times New Roman" w:cs="Times New Roman"/>
          <w:b/>
          <w:bCs/>
        </w:rPr>
      </w:pPr>
      <w:r>
        <w:rPr>
          <w:rFonts w:ascii="Times New Roman" w:eastAsia="Times New Roman" w:hAnsi="Times New Roman" w:cs="Times New Roman"/>
          <w:b/>
          <w:bCs/>
        </w:rPr>
        <w:t>Doctrine</w:t>
      </w:r>
    </w:p>
    <w:p w14:paraId="0000002D" w14:textId="77777777" w:rsidR="00D52326"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A lawyer must always act with honesty, integrity, fidelity, and good faith toward the client. Deliberately deceiving a client and fabricating court documents are grave misconduct showing moral unfitness to practice law and may warrant the ultimate penalty of disbarment.</w:t>
      </w:r>
    </w:p>
    <w:p w14:paraId="0000002E" w14:textId="77777777" w:rsidR="00D52326"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key takeaway: A lawyer who accepts a case cannot simply pretend that legal proceedings took place. Falsifying the status or outcome of a case is a serious betrayal of the client's trust and of the justice system itself.</w:t>
      </w:r>
    </w:p>
    <w:p w14:paraId="0000002F" w14:textId="77777777" w:rsidR="00D52326" w:rsidRDefault="00000000">
      <w:pPr>
        <w:spacing w:before="240" w:after="240"/>
        <w:jc w:val="both"/>
        <w:rPr>
          <w:rFonts w:ascii="Times New Roman" w:eastAsia="Times New Roman" w:hAnsi="Times New Roman" w:cs="Times New Roman"/>
          <w:b/>
          <w:bCs/>
        </w:rPr>
      </w:pPr>
      <w:r>
        <w:rPr>
          <w:rFonts w:ascii="Times New Roman" w:eastAsia="Times New Roman" w:hAnsi="Times New Roman" w:cs="Times New Roman"/>
          <w:b/>
          <w:bCs/>
        </w:rPr>
        <w:t>Disposition</w:t>
      </w:r>
    </w:p>
    <w:p w14:paraId="00000030" w14:textId="77777777" w:rsidR="00D52326"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The Supreme Court DISBARRED Atty. Buendia.</w:t>
      </w:r>
    </w:p>
    <w:p w14:paraId="00000031" w14:textId="77777777" w:rsidR="00D52326"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The Court held that Buendia was indeed the lawyer engaged by Manalang, despite her claim that she was only an intermediary. The receipts and circumstances of the payments did not support her defense, and she failed to present evidence proving that another lawyer was actually engaged to handle the case.</w:t>
      </w:r>
    </w:p>
    <w:p w14:paraId="00000032" w14:textId="77777777" w:rsidR="00D52326"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The Court found her conduct particularly serious because she did not merely neglect the case. She represented that the case had been filed and was progressing when, in fact, no case existed. She later </w:t>
      </w:r>
      <w:r>
        <w:rPr>
          <w:rFonts w:ascii="Times New Roman" w:eastAsia="Times New Roman" w:hAnsi="Times New Roman" w:cs="Times New Roman"/>
        </w:rPr>
        <w:lastRenderedPageBreak/>
        <w:t>deceived Manalang by giving him a fabricated court decision and Certificate of Finality. Her repeated failure to respond to Manalang's calls and inquiries further showed her disregard of her professional duties.</w:t>
      </w:r>
    </w:p>
    <w:p w14:paraId="00000033" w14:textId="77777777" w:rsidR="00D52326"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The Court emphasized that lawyers are expected to maintain the highest standards of honesty, integrity, and fidelity because the practice of law is a privilege. Buendia's acts betrayed the trust of her client and undermined confidence in the legal system.</w:t>
      </w:r>
    </w:p>
    <w:p w14:paraId="00000034" w14:textId="77777777" w:rsidR="00D52326"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Since she failed to provide the legal services for which she was paid, the Court also ordered her to return the ₱270,000 received from Manalang, with 6% interest per annum from the promulgation of the Resolution until fully paid.</w:t>
      </w:r>
    </w:p>
    <w:p w14:paraId="00000035" w14:textId="77777777" w:rsidR="00D52326" w:rsidRDefault="00D52326">
      <w:pPr>
        <w:spacing w:before="240" w:after="240"/>
        <w:jc w:val="both"/>
        <w:rPr>
          <w:rFonts w:ascii="Times New Roman" w:eastAsia="Times New Roman" w:hAnsi="Times New Roman" w:cs="Times New Roman"/>
        </w:rPr>
      </w:pPr>
    </w:p>
    <w:p w14:paraId="00000036" w14:textId="77777777" w:rsidR="00D52326" w:rsidRDefault="00D52326">
      <w:pPr>
        <w:spacing w:before="240" w:after="240"/>
        <w:jc w:val="both"/>
        <w:rPr>
          <w:rFonts w:ascii="Times New Roman" w:eastAsia="Times New Roman" w:hAnsi="Times New Roman" w:cs="Times New Roman"/>
        </w:rPr>
      </w:pPr>
    </w:p>
    <w:p w14:paraId="00000037" w14:textId="77777777" w:rsidR="00D52326" w:rsidRDefault="00D52326">
      <w:pPr>
        <w:pStyle w:val="Heading1"/>
        <w:keepNext w:val="0"/>
        <w:keepLines w:val="0"/>
        <w:shd w:val="clear" w:color="auto" w:fill="FFFFFF"/>
        <w:spacing w:before="480" w:line="271" w:lineRule="auto"/>
        <w:jc w:val="both"/>
        <w:rPr>
          <w:rFonts w:ascii="Times New Roman" w:eastAsia="Times New Roman" w:hAnsi="Times New Roman" w:cs="Times New Roman"/>
          <w:sz w:val="22"/>
          <w:szCs w:val="22"/>
        </w:rPr>
      </w:pPr>
      <w:bookmarkStart w:id="10" w:name="_heading=h.2p09ci9ynogl" w:colFirst="0" w:colLast="0"/>
      <w:bookmarkEnd w:id="10"/>
    </w:p>
    <w:p w14:paraId="00000038" w14:textId="77777777" w:rsidR="00D52326" w:rsidRDefault="00D52326">
      <w:pPr>
        <w:pStyle w:val="Heading1"/>
        <w:keepNext w:val="0"/>
        <w:keepLines w:val="0"/>
        <w:shd w:val="clear" w:color="auto" w:fill="FFFFFF"/>
        <w:spacing w:before="480" w:line="271" w:lineRule="auto"/>
        <w:jc w:val="both"/>
        <w:rPr>
          <w:rFonts w:ascii="Times New Roman" w:eastAsia="Times New Roman" w:hAnsi="Times New Roman" w:cs="Times New Roman"/>
          <w:sz w:val="22"/>
          <w:szCs w:val="22"/>
        </w:rPr>
      </w:pPr>
      <w:bookmarkStart w:id="11" w:name="_heading=h.j8gf0qiqeyo8" w:colFirst="0" w:colLast="0"/>
      <w:bookmarkEnd w:id="11"/>
    </w:p>
    <w:p w14:paraId="00000039" w14:textId="77777777" w:rsidR="00D52326" w:rsidRDefault="00D52326">
      <w:pPr>
        <w:pStyle w:val="Heading1"/>
        <w:keepNext w:val="0"/>
        <w:keepLines w:val="0"/>
        <w:shd w:val="clear" w:color="auto" w:fill="FFFFFF"/>
        <w:spacing w:before="480" w:line="271" w:lineRule="auto"/>
        <w:jc w:val="both"/>
        <w:rPr>
          <w:rFonts w:ascii="Times New Roman" w:eastAsia="Times New Roman" w:hAnsi="Times New Roman" w:cs="Times New Roman"/>
          <w:sz w:val="22"/>
          <w:szCs w:val="22"/>
        </w:rPr>
      </w:pPr>
      <w:bookmarkStart w:id="12" w:name="_heading=h.2vzrglcc1lgc" w:colFirst="0" w:colLast="0"/>
      <w:bookmarkEnd w:id="12"/>
    </w:p>
    <w:p w14:paraId="0000003A" w14:textId="77777777" w:rsidR="00D52326" w:rsidRDefault="00D52326">
      <w:pPr>
        <w:pStyle w:val="Heading1"/>
        <w:keepNext w:val="0"/>
        <w:keepLines w:val="0"/>
        <w:shd w:val="clear" w:color="auto" w:fill="FFFFFF"/>
        <w:spacing w:before="480" w:line="271" w:lineRule="auto"/>
        <w:jc w:val="both"/>
        <w:rPr>
          <w:rFonts w:ascii="Times New Roman" w:eastAsia="Times New Roman" w:hAnsi="Times New Roman" w:cs="Times New Roman"/>
          <w:sz w:val="22"/>
          <w:szCs w:val="22"/>
        </w:rPr>
      </w:pPr>
      <w:bookmarkStart w:id="13" w:name="_heading=h.fluyudbsu6kr" w:colFirst="0" w:colLast="0"/>
      <w:bookmarkEnd w:id="13"/>
    </w:p>
    <w:p w14:paraId="0000003B" w14:textId="77777777" w:rsidR="00D52326" w:rsidRDefault="00D52326">
      <w:pPr>
        <w:rPr>
          <w:rFonts w:ascii="Times New Roman" w:eastAsia="Times New Roman" w:hAnsi="Times New Roman" w:cs="Times New Roman"/>
        </w:rPr>
      </w:pPr>
    </w:p>
    <w:p w14:paraId="0000003C" w14:textId="77777777" w:rsidR="00D52326" w:rsidRDefault="00D52326">
      <w:pPr>
        <w:rPr>
          <w:rFonts w:ascii="Times New Roman" w:eastAsia="Times New Roman" w:hAnsi="Times New Roman" w:cs="Times New Roman"/>
        </w:rPr>
      </w:pPr>
    </w:p>
    <w:p w14:paraId="0000003D" w14:textId="77777777" w:rsidR="00D52326" w:rsidRDefault="00D52326">
      <w:pPr>
        <w:rPr>
          <w:rFonts w:ascii="Times New Roman" w:eastAsia="Times New Roman" w:hAnsi="Times New Roman" w:cs="Times New Roman"/>
        </w:rPr>
      </w:pPr>
    </w:p>
    <w:p w14:paraId="0000003E" w14:textId="77777777" w:rsidR="00D52326" w:rsidRDefault="00D52326">
      <w:pPr>
        <w:rPr>
          <w:rFonts w:ascii="Times New Roman" w:eastAsia="Times New Roman" w:hAnsi="Times New Roman" w:cs="Times New Roman"/>
        </w:rPr>
      </w:pPr>
    </w:p>
    <w:p w14:paraId="0000003F" w14:textId="77777777" w:rsidR="00D52326" w:rsidRDefault="00D52326">
      <w:pPr>
        <w:rPr>
          <w:rFonts w:ascii="Times New Roman" w:eastAsia="Times New Roman" w:hAnsi="Times New Roman" w:cs="Times New Roman"/>
        </w:rPr>
      </w:pPr>
    </w:p>
    <w:p w14:paraId="00000040" w14:textId="77777777" w:rsidR="00D52326" w:rsidRDefault="00D52326">
      <w:pPr>
        <w:rPr>
          <w:rFonts w:ascii="Times New Roman" w:eastAsia="Times New Roman" w:hAnsi="Times New Roman" w:cs="Times New Roman"/>
        </w:rPr>
      </w:pPr>
    </w:p>
    <w:p w14:paraId="00000041" w14:textId="77777777" w:rsidR="00D52326" w:rsidRDefault="00D52326">
      <w:pPr>
        <w:rPr>
          <w:rFonts w:ascii="Times New Roman" w:eastAsia="Times New Roman" w:hAnsi="Times New Roman" w:cs="Times New Roman"/>
        </w:rPr>
      </w:pPr>
    </w:p>
    <w:p w14:paraId="00000042" w14:textId="77777777" w:rsidR="00D52326" w:rsidRDefault="00D52326">
      <w:pPr>
        <w:rPr>
          <w:rFonts w:ascii="Times New Roman" w:eastAsia="Times New Roman" w:hAnsi="Times New Roman" w:cs="Times New Roman"/>
        </w:rPr>
      </w:pPr>
    </w:p>
    <w:p w14:paraId="00000043" w14:textId="77777777" w:rsidR="00D52326" w:rsidRDefault="00D52326">
      <w:pPr>
        <w:rPr>
          <w:rFonts w:ascii="Times New Roman" w:eastAsia="Times New Roman" w:hAnsi="Times New Roman" w:cs="Times New Roman"/>
        </w:rPr>
      </w:pPr>
    </w:p>
    <w:p w14:paraId="00000044" w14:textId="77777777" w:rsidR="00D52326" w:rsidRDefault="00D52326">
      <w:pPr>
        <w:rPr>
          <w:rFonts w:ascii="Times New Roman" w:eastAsia="Times New Roman" w:hAnsi="Times New Roman" w:cs="Times New Roman"/>
        </w:rPr>
      </w:pPr>
    </w:p>
    <w:p w14:paraId="00000045" w14:textId="77777777" w:rsidR="00D52326" w:rsidRDefault="00D52326">
      <w:pPr>
        <w:rPr>
          <w:rFonts w:ascii="Times New Roman" w:eastAsia="Times New Roman" w:hAnsi="Times New Roman" w:cs="Times New Roman"/>
        </w:rPr>
      </w:pPr>
    </w:p>
    <w:p w14:paraId="00000046" w14:textId="77777777" w:rsidR="00D52326" w:rsidRDefault="00D52326">
      <w:pPr>
        <w:rPr>
          <w:rFonts w:ascii="Times New Roman" w:eastAsia="Times New Roman" w:hAnsi="Times New Roman" w:cs="Times New Roman"/>
        </w:rPr>
      </w:pPr>
    </w:p>
    <w:p w14:paraId="00000047" w14:textId="77777777" w:rsidR="00D52326" w:rsidRDefault="00D52326">
      <w:pPr>
        <w:rPr>
          <w:rFonts w:ascii="Times New Roman" w:eastAsia="Times New Roman" w:hAnsi="Times New Roman" w:cs="Times New Roman"/>
        </w:rPr>
      </w:pPr>
    </w:p>
    <w:p w14:paraId="00000048" w14:textId="77777777" w:rsidR="00D52326" w:rsidRDefault="00D52326">
      <w:pPr>
        <w:rPr>
          <w:rFonts w:ascii="Times New Roman" w:eastAsia="Times New Roman" w:hAnsi="Times New Roman" w:cs="Times New Roman"/>
        </w:rPr>
      </w:pPr>
    </w:p>
    <w:p w14:paraId="00000049" w14:textId="77777777" w:rsidR="00D52326" w:rsidRDefault="00D52326">
      <w:pPr>
        <w:rPr>
          <w:rFonts w:ascii="Times New Roman" w:eastAsia="Times New Roman" w:hAnsi="Times New Roman" w:cs="Times New Roman"/>
        </w:rPr>
      </w:pPr>
    </w:p>
    <w:p w14:paraId="0000004A" w14:textId="77777777" w:rsidR="00D52326" w:rsidRDefault="00D52326">
      <w:pPr>
        <w:rPr>
          <w:rFonts w:ascii="Times New Roman" w:eastAsia="Times New Roman" w:hAnsi="Times New Roman" w:cs="Times New Roman"/>
        </w:rPr>
      </w:pPr>
    </w:p>
    <w:p w14:paraId="0000004B" w14:textId="77777777" w:rsidR="00D52326" w:rsidRDefault="00D52326">
      <w:pPr>
        <w:rPr>
          <w:rFonts w:ascii="Times New Roman" w:eastAsia="Times New Roman" w:hAnsi="Times New Roman" w:cs="Times New Roman"/>
        </w:rPr>
      </w:pPr>
    </w:p>
    <w:p w14:paraId="0000004C" w14:textId="77777777" w:rsidR="00D52326" w:rsidRDefault="00000000">
      <w:pPr>
        <w:shd w:val="clear" w:color="auto" w:fill="FFFFFF"/>
        <w:spacing w:before="220" w:after="220" w:line="271" w:lineRule="auto"/>
        <w:ind w:firstLine="720"/>
        <w:jc w:val="center"/>
        <w:rPr>
          <w:rFonts w:ascii="Times New Roman" w:eastAsia="Times New Roman" w:hAnsi="Times New Roman" w:cs="Times New Roman"/>
          <w:b/>
          <w:bCs/>
        </w:rPr>
      </w:pPr>
      <w:r>
        <w:rPr>
          <w:rFonts w:ascii="Times New Roman" w:eastAsia="Times New Roman" w:hAnsi="Times New Roman" w:cs="Times New Roman"/>
          <w:b/>
          <w:bCs/>
          <w:highlight w:val="green"/>
        </w:rPr>
        <w:t>Sucgang-Perez v. Sore-Romano — A.C. No. 13959 (2024) (Formerly CBD Case No. 22-6628)</w:t>
      </w:r>
    </w:p>
    <w:p w14:paraId="0000004D" w14:textId="77777777" w:rsidR="00D52326" w:rsidRDefault="00000000">
      <w:pPr>
        <w:shd w:val="clear" w:color="auto" w:fill="FFFFFF"/>
        <w:spacing w:before="240" w:after="240" w:line="271"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Facts</w:t>
      </w:r>
    </w:p>
    <w:p w14:paraId="0000004E" w14:textId="77777777" w:rsidR="00D52326" w:rsidRDefault="00000000">
      <w:pPr>
        <w:shd w:val="clear" w:color="auto" w:fill="FFFFFF"/>
        <w:spacing w:before="240" w:after="240" w:line="271" w:lineRule="auto"/>
        <w:jc w:val="both"/>
        <w:rPr>
          <w:rFonts w:ascii="Times New Roman" w:eastAsia="Times New Roman" w:hAnsi="Times New Roman" w:cs="Times New Roman"/>
        </w:rPr>
      </w:pPr>
      <w:r>
        <w:rPr>
          <w:rFonts w:ascii="Times New Roman" w:eastAsia="Times New Roman" w:hAnsi="Times New Roman" w:cs="Times New Roman"/>
        </w:rPr>
        <w:t>Maria Charisse Ann Sucgang-Perez engaged Atty. Ma. Aurora Paredes Sore-Romano to handle her petition for declaration of nullity of marriage. Relying on Sore-Romano's claimed expertise in family law, Sucgang-Perez paid ₱203,000.00 as acceptance fee, which included the preparation and filing of the petition and the services of a clinical psychologist.</w:t>
      </w:r>
    </w:p>
    <w:p w14:paraId="0000004F" w14:textId="77777777" w:rsidR="00D52326" w:rsidRDefault="00000000">
      <w:pPr>
        <w:shd w:val="clear" w:color="auto" w:fill="FFFFFF"/>
        <w:spacing w:before="240" w:after="240" w:line="271" w:lineRule="auto"/>
        <w:jc w:val="both"/>
        <w:rPr>
          <w:rFonts w:ascii="Times New Roman" w:eastAsia="Times New Roman" w:hAnsi="Times New Roman" w:cs="Times New Roman"/>
        </w:rPr>
      </w:pPr>
      <w:r>
        <w:rPr>
          <w:rFonts w:ascii="Times New Roman" w:eastAsia="Times New Roman" w:hAnsi="Times New Roman" w:cs="Times New Roman"/>
        </w:rPr>
        <w:t xml:space="preserve">After Sucgang-Perez underwent psychological evaluation, Atty. Sore-Romano failed to regularly update her. The petition was delayed for months and was handled by different members of Sore-Romano's firm. A certain Emilio Borja introduced himself as a part of litigation support services of Atty. Sore- </w:t>
      </w:r>
      <w:proofErr w:type="gramStart"/>
      <w:r>
        <w:rPr>
          <w:rFonts w:ascii="Times New Roman" w:eastAsia="Times New Roman" w:hAnsi="Times New Roman" w:cs="Times New Roman"/>
        </w:rPr>
        <w:t>Romano’s  Firm</w:t>
      </w:r>
      <w:proofErr w:type="gramEnd"/>
      <w:r>
        <w:rPr>
          <w:rFonts w:ascii="Times New Roman" w:eastAsia="Times New Roman" w:hAnsi="Times New Roman" w:cs="Times New Roman"/>
        </w:rPr>
        <w:t xml:space="preserve">. Sucgang- Perez later learned that she would be assisted by another atty. named atty. Gaerlan owing atty. Sore- </w:t>
      </w:r>
      <w:proofErr w:type="spellStart"/>
      <w:r>
        <w:rPr>
          <w:rFonts w:ascii="Times New Roman" w:eastAsia="Times New Roman" w:hAnsi="Times New Roman" w:cs="Times New Roman"/>
        </w:rPr>
        <w:t>romano</w:t>
      </w:r>
      <w:proofErr w:type="spellEnd"/>
      <w:r>
        <w:rPr>
          <w:rFonts w:ascii="Times New Roman" w:eastAsia="Times New Roman" w:hAnsi="Times New Roman" w:cs="Times New Roman"/>
        </w:rPr>
        <w:t xml:space="preserve"> other commitments in Marinduque. Att. Gaerlan apprised her that another person from Atty. Sore Romano’s firm would petition instead of him. </w:t>
      </w:r>
    </w:p>
    <w:p w14:paraId="00000050" w14:textId="77777777" w:rsidR="00D52326" w:rsidRDefault="00000000">
      <w:pPr>
        <w:shd w:val="clear" w:color="auto" w:fill="FFFFFF"/>
        <w:spacing w:before="240" w:after="240" w:line="271" w:lineRule="auto"/>
        <w:jc w:val="both"/>
        <w:rPr>
          <w:rFonts w:ascii="Times New Roman" w:eastAsia="Times New Roman" w:hAnsi="Times New Roman" w:cs="Times New Roman"/>
        </w:rPr>
      </w:pPr>
      <w:r>
        <w:rPr>
          <w:rFonts w:ascii="Times New Roman" w:eastAsia="Times New Roman" w:hAnsi="Times New Roman" w:cs="Times New Roman"/>
        </w:rPr>
        <w:t xml:space="preserve">Things took a turn when atty. Gaerlan said that the petition was still unsigned and that he was only instructed to assist Atty. sore - </w:t>
      </w:r>
      <w:proofErr w:type="spellStart"/>
      <w:r>
        <w:rPr>
          <w:rFonts w:ascii="Times New Roman" w:eastAsia="Times New Roman" w:hAnsi="Times New Roman" w:cs="Times New Roman"/>
        </w:rPr>
        <w:t>romano</w:t>
      </w:r>
      <w:proofErr w:type="spellEnd"/>
      <w:r>
        <w:rPr>
          <w:rFonts w:ascii="Times New Roman" w:eastAsia="Times New Roman" w:hAnsi="Times New Roman" w:cs="Times New Roman"/>
        </w:rPr>
        <w:t xml:space="preserve"> in filing the petition. Atty. Gaerlan disclosed that several other clients had similar complaints against atty. Sore </w:t>
      </w:r>
      <w:proofErr w:type="spellStart"/>
      <w:r>
        <w:rPr>
          <w:rFonts w:ascii="Times New Roman" w:eastAsia="Times New Roman" w:hAnsi="Times New Roman" w:cs="Times New Roman"/>
        </w:rPr>
        <w:t>romano</w:t>
      </w:r>
      <w:proofErr w:type="spellEnd"/>
      <w:r>
        <w:rPr>
          <w:rFonts w:ascii="Times New Roman" w:eastAsia="Times New Roman" w:hAnsi="Times New Roman" w:cs="Times New Roman"/>
        </w:rPr>
        <w:t xml:space="preserve">. </w:t>
      </w:r>
    </w:p>
    <w:p w14:paraId="00000051" w14:textId="77777777" w:rsidR="00D52326" w:rsidRDefault="00000000">
      <w:pPr>
        <w:shd w:val="clear" w:color="auto" w:fill="FFFFFF"/>
        <w:spacing w:before="240" w:after="240" w:line="271" w:lineRule="auto"/>
        <w:jc w:val="both"/>
        <w:rPr>
          <w:rFonts w:ascii="Times New Roman" w:eastAsia="Times New Roman" w:hAnsi="Times New Roman" w:cs="Times New Roman"/>
        </w:rPr>
      </w:pPr>
      <w:r>
        <w:rPr>
          <w:rFonts w:ascii="Times New Roman" w:eastAsia="Times New Roman" w:hAnsi="Times New Roman" w:cs="Times New Roman"/>
        </w:rPr>
        <w:t xml:space="preserve">Sucgang Perez advised Atty. Sore Romano's law firm that she would just ask for the refund of the acceptance fee and the return of all the documents relative to the case. Significantly, </w:t>
      </w:r>
      <w:proofErr w:type="spellStart"/>
      <w:r>
        <w:rPr>
          <w:rFonts w:ascii="Times New Roman" w:eastAsia="Times New Roman" w:hAnsi="Times New Roman" w:cs="Times New Roman"/>
        </w:rPr>
        <w:t>Atte.Sore</w:t>
      </w:r>
      <w:proofErr w:type="spellEnd"/>
      <w:r>
        <w:rPr>
          <w:rFonts w:ascii="Times New Roman" w:eastAsia="Times New Roman" w:hAnsi="Times New Roman" w:cs="Times New Roman"/>
        </w:rPr>
        <w:t xml:space="preserve"> Romano went to Sucgang Perez residence requesting a chance to fully redeem herself.  She presented a Memorandum of Agreement which stated that the petition would be updated and filed by the end of that business day. </w:t>
      </w:r>
    </w:p>
    <w:p w14:paraId="00000052" w14:textId="77777777" w:rsidR="00D52326" w:rsidRDefault="00000000">
      <w:pPr>
        <w:shd w:val="clear" w:color="auto" w:fill="FFFFFF"/>
        <w:spacing w:before="240" w:after="240" w:line="271" w:lineRule="auto"/>
        <w:jc w:val="both"/>
        <w:rPr>
          <w:rFonts w:ascii="Times New Roman" w:eastAsia="Times New Roman" w:hAnsi="Times New Roman" w:cs="Times New Roman"/>
        </w:rPr>
      </w:pPr>
      <w:r>
        <w:rPr>
          <w:rFonts w:ascii="Times New Roman" w:eastAsia="Times New Roman" w:hAnsi="Times New Roman" w:cs="Times New Roman"/>
        </w:rPr>
        <w:t>When Sucgang-Perez demanded action, Atty. Sore-Romano eventually filed the petition on February 9, 2021. However, the RTC dismissed the petition on March 1, 2021 because it had serious procedural defects, including lack of proper verification and failure to attach the required documentary evidence and judicial affidavits. Sucgang-Perez learned of the dismissal only after personally inquiring with the RTC because Sore-Romano failed to inform her.</w:t>
      </w:r>
    </w:p>
    <w:p w14:paraId="00000053" w14:textId="77777777" w:rsidR="00D52326"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She also discovered that Sore-Romano had not fully paid the psychologist, leaving ₱35,000 unpaid, despite making it appear that the fee had been settled despite giving Sucgang-Perez the impression that the psychologist's fee had already been settled.</w:t>
      </w:r>
    </w:p>
    <w:p w14:paraId="00000054" w14:textId="77777777" w:rsidR="00D52326" w:rsidRDefault="00000000">
      <w:pPr>
        <w:shd w:val="clear" w:color="auto" w:fill="FFFFFF"/>
        <w:spacing w:before="240" w:after="240" w:line="271" w:lineRule="auto"/>
        <w:jc w:val="both"/>
        <w:rPr>
          <w:rFonts w:ascii="Times New Roman" w:eastAsia="Times New Roman" w:hAnsi="Times New Roman" w:cs="Times New Roman"/>
        </w:rPr>
      </w:pPr>
      <w:r>
        <w:rPr>
          <w:rFonts w:ascii="Times New Roman" w:eastAsia="Times New Roman" w:hAnsi="Times New Roman" w:cs="Times New Roman"/>
        </w:rPr>
        <w:t>Sucgang-Perez terminated Sore-Romano's services and demanded a refund, but Sore-Romano failed to return the money. She also repeatedly failed to comply with the IBP's orders to file her answer, attend the mandatory conference, and submit her position paper.</w:t>
      </w:r>
    </w:p>
    <w:p w14:paraId="00000055" w14:textId="77777777" w:rsidR="00D52326" w:rsidRDefault="00000000">
      <w:pPr>
        <w:shd w:val="clear" w:color="auto" w:fill="FFFFFF"/>
        <w:spacing w:before="240" w:after="240" w:line="271" w:lineRule="auto"/>
        <w:jc w:val="both"/>
        <w:rPr>
          <w:rFonts w:ascii="Times New Roman" w:eastAsia="Times New Roman" w:hAnsi="Times New Roman" w:cs="Times New Roman"/>
        </w:rPr>
      </w:pPr>
      <w:r>
        <w:rPr>
          <w:rFonts w:ascii="Times New Roman" w:eastAsia="Times New Roman" w:hAnsi="Times New Roman" w:cs="Times New Roman"/>
        </w:rPr>
        <w:t>The IBP initially recommended a three-year suspension, but the Supreme Court applied the Code of Professional Responsibility and Accountability (CPRA) and imposed separate penalties for Sore-Romano's different violations.</w:t>
      </w:r>
    </w:p>
    <w:p w14:paraId="00000056" w14:textId="77777777" w:rsidR="00D52326" w:rsidRDefault="00D52326">
      <w:pPr>
        <w:shd w:val="clear" w:color="auto" w:fill="FFFFFF"/>
        <w:spacing w:before="240" w:after="240" w:line="271" w:lineRule="auto"/>
        <w:jc w:val="both"/>
        <w:rPr>
          <w:rFonts w:ascii="Times New Roman" w:eastAsia="Times New Roman" w:hAnsi="Times New Roman" w:cs="Times New Roman"/>
        </w:rPr>
      </w:pPr>
    </w:p>
    <w:p w14:paraId="00000057" w14:textId="77777777" w:rsidR="00D52326" w:rsidRDefault="00D52326">
      <w:pPr>
        <w:shd w:val="clear" w:color="auto" w:fill="FFFFFF"/>
        <w:spacing w:before="240" w:after="240" w:line="271" w:lineRule="auto"/>
        <w:jc w:val="both"/>
        <w:rPr>
          <w:rFonts w:ascii="Times New Roman" w:eastAsia="Times New Roman" w:hAnsi="Times New Roman" w:cs="Times New Roman"/>
        </w:rPr>
      </w:pPr>
      <w:bookmarkStart w:id="14" w:name="_heading=h.e1n6jv1jz7z3" w:colFirst="0" w:colLast="0"/>
      <w:bookmarkEnd w:id="14"/>
    </w:p>
    <w:p w14:paraId="00000058" w14:textId="77777777" w:rsidR="00D52326" w:rsidRDefault="00000000">
      <w:pPr>
        <w:pStyle w:val="Heading3"/>
        <w:keepNext w:val="0"/>
        <w:keepLines w:val="0"/>
        <w:shd w:val="clear" w:color="auto" w:fill="FFFFFF"/>
        <w:spacing w:before="280" w:line="271" w:lineRule="auto"/>
        <w:jc w:val="both"/>
        <w:rPr>
          <w:rFonts w:ascii="Times New Roman" w:eastAsia="Times New Roman" w:hAnsi="Times New Roman" w:cs="Times New Roman"/>
          <w:b/>
          <w:bCs/>
          <w:color w:val="000000"/>
          <w:sz w:val="22"/>
          <w:szCs w:val="22"/>
        </w:rPr>
      </w:pPr>
      <w:bookmarkStart w:id="15" w:name="_heading=h.51rok8d3mb0m" w:colFirst="0" w:colLast="0"/>
      <w:bookmarkEnd w:id="15"/>
      <w:r>
        <w:rPr>
          <w:rFonts w:ascii="Times New Roman" w:eastAsia="Times New Roman" w:hAnsi="Times New Roman" w:cs="Times New Roman"/>
          <w:b/>
          <w:bCs/>
          <w:color w:val="000000"/>
          <w:sz w:val="22"/>
          <w:szCs w:val="22"/>
        </w:rPr>
        <w:t>Issue</w:t>
      </w:r>
    </w:p>
    <w:p w14:paraId="00000059" w14:textId="77777777" w:rsidR="00D52326" w:rsidRDefault="00000000">
      <w:pPr>
        <w:shd w:val="clear" w:color="auto" w:fill="FFFFFF"/>
        <w:spacing w:before="240" w:after="240" w:line="271" w:lineRule="auto"/>
        <w:jc w:val="both"/>
        <w:rPr>
          <w:rFonts w:ascii="Times New Roman" w:eastAsia="Times New Roman" w:hAnsi="Times New Roman" w:cs="Times New Roman"/>
        </w:rPr>
      </w:pPr>
      <w:r>
        <w:rPr>
          <w:rFonts w:ascii="Times New Roman" w:eastAsia="Times New Roman" w:hAnsi="Times New Roman" w:cs="Times New Roman"/>
        </w:rPr>
        <w:lastRenderedPageBreak/>
        <w:t>Whether Atty. Sore-Romano should be held administratively liable and disbarred for her dishonesty, negligence, failure to properly handle and update her client, and disobedience of IBP orders.</w:t>
      </w:r>
    </w:p>
    <w:p w14:paraId="0000005A" w14:textId="77777777" w:rsidR="00D52326" w:rsidRDefault="00000000">
      <w:pPr>
        <w:pStyle w:val="Heading3"/>
        <w:keepNext w:val="0"/>
        <w:keepLines w:val="0"/>
        <w:shd w:val="clear" w:color="auto" w:fill="FFFFFF"/>
        <w:spacing w:before="280" w:line="271" w:lineRule="auto"/>
        <w:jc w:val="both"/>
        <w:rPr>
          <w:rFonts w:ascii="Times New Roman" w:eastAsia="Times New Roman" w:hAnsi="Times New Roman" w:cs="Times New Roman"/>
          <w:b/>
          <w:bCs/>
          <w:color w:val="000000"/>
          <w:sz w:val="22"/>
          <w:szCs w:val="22"/>
        </w:rPr>
      </w:pPr>
      <w:bookmarkStart w:id="16" w:name="_heading=h.5hcne7z2iaz5" w:colFirst="0" w:colLast="0"/>
      <w:bookmarkEnd w:id="16"/>
      <w:r>
        <w:rPr>
          <w:rFonts w:ascii="Times New Roman" w:eastAsia="Times New Roman" w:hAnsi="Times New Roman" w:cs="Times New Roman"/>
          <w:b/>
          <w:bCs/>
          <w:color w:val="000000"/>
          <w:sz w:val="22"/>
          <w:szCs w:val="22"/>
        </w:rPr>
        <w:t>Doctrine</w:t>
      </w:r>
    </w:p>
    <w:p w14:paraId="0000005B" w14:textId="77777777" w:rsidR="00D52326" w:rsidRDefault="00000000">
      <w:pPr>
        <w:shd w:val="clear" w:color="auto" w:fill="FFFFFF"/>
        <w:spacing w:before="240" w:after="240" w:line="271" w:lineRule="auto"/>
        <w:jc w:val="both"/>
        <w:rPr>
          <w:rFonts w:ascii="Times New Roman" w:eastAsia="Times New Roman" w:hAnsi="Times New Roman" w:cs="Times New Roman"/>
        </w:rPr>
      </w:pPr>
      <w:r>
        <w:rPr>
          <w:rFonts w:ascii="Times New Roman" w:eastAsia="Times New Roman" w:hAnsi="Times New Roman" w:cs="Times New Roman"/>
        </w:rPr>
        <w:t>A lawyer-client relationship is fiduciary in nature. A lawyer must exercise competence, diligence, honesty, and fidelity in handling a client's case.</w:t>
      </w:r>
    </w:p>
    <w:p w14:paraId="0000005C" w14:textId="77777777" w:rsidR="00D52326" w:rsidRDefault="00000000">
      <w:pPr>
        <w:shd w:val="clear" w:color="auto" w:fill="FFFFFF"/>
        <w:spacing w:before="240" w:after="240" w:line="271" w:lineRule="auto"/>
        <w:jc w:val="both"/>
        <w:rPr>
          <w:rFonts w:ascii="Times New Roman" w:eastAsia="Times New Roman" w:hAnsi="Times New Roman" w:cs="Times New Roman"/>
        </w:rPr>
      </w:pPr>
      <w:r>
        <w:rPr>
          <w:rFonts w:ascii="Times New Roman" w:eastAsia="Times New Roman" w:hAnsi="Times New Roman" w:cs="Times New Roman"/>
        </w:rPr>
        <w:t>A lawyer who accepts a case must give it proper attention and must keep the client reasonably informed of its status. Failure to comply with procedural rules, resulting in the dismissal of the client's case, may constitute gross negligence.</w:t>
      </w:r>
    </w:p>
    <w:p w14:paraId="0000005D" w14:textId="77777777" w:rsidR="00D52326" w:rsidRDefault="00000000">
      <w:pPr>
        <w:shd w:val="clear" w:color="auto" w:fill="FFFFFF"/>
        <w:spacing w:before="240" w:after="240" w:line="271" w:lineRule="auto"/>
        <w:jc w:val="both"/>
        <w:rPr>
          <w:rFonts w:ascii="Times New Roman" w:eastAsia="Times New Roman" w:hAnsi="Times New Roman" w:cs="Times New Roman"/>
        </w:rPr>
      </w:pPr>
      <w:r>
        <w:rPr>
          <w:rFonts w:ascii="Times New Roman" w:eastAsia="Times New Roman" w:hAnsi="Times New Roman" w:cs="Times New Roman"/>
        </w:rPr>
        <w:t>Moreover, a lawyer may be disciplined for dishonesty even when the dishonest act does not directly concern the merits of the case, because lawyers are required to maintain the highest standards of integrity in all professional dealings.</w:t>
      </w:r>
    </w:p>
    <w:p w14:paraId="0000005E" w14:textId="77777777" w:rsidR="00D52326" w:rsidRDefault="00000000">
      <w:pPr>
        <w:shd w:val="clear" w:color="auto" w:fill="FFFFFF"/>
        <w:spacing w:before="240" w:after="240" w:line="271" w:lineRule="auto"/>
        <w:jc w:val="both"/>
        <w:rPr>
          <w:rFonts w:ascii="Times New Roman" w:eastAsia="Times New Roman" w:hAnsi="Times New Roman" w:cs="Times New Roman"/>
          <w:b/>
          <w:bCs/>
        </w:rPr>
      </w:pPr>
      <w:r>
        <w:rPr>
          <w:rFonts w:ascii="Times New Roman" w:eastAsia="Times New Roman" w:hAnsi="Times New Roman" w:cs="Times New Roman"/>
          <w:b/>
          <w:bCs/>
        </w:rPr>
        <w:t>Disposition</w:t>
      </w:r>
    </w:p>
    <w:p w14:paraId="0000005F" w14:textId="77777777" w:rsidR="00D52326" w:rsidRDefault="00000000">
      <w:pPr>
        <w:shd w:val="clear" w:color="auto" w:fill="FFFFFF"/>
        <w:spacing w:before="240" w:after="240" w:line="271" w:lineRule="auto"/>
        <w:jc w:val="both"/>
        <w:rPr>
          <w:rFonts w:ascii="Times New Roman" w:eastAsia="Times New Roman" w:hAnsi="Times New Roman" w:cs="Times New Roman"/>
        </w:rPr>
      </w:pPr>
      <w:r>
        <w:rPr>
          <w:rFonts w:ascii="Times New Roman" w:eastAsia="Times New Roman" w:hAnsi="Times New Roman" w:cs="Times New Roman"/>
        </w:rPr>
        <w:t>The Supreme Court found Atty. Sore-Romano GUILTY, but did not disbar her. Instead, she was suspended from the practice of law for five (5) years and fined ₱810,000.00.</w:t>
      </w:r>
    </w:p>
    <w:p w14:paraId="00000060" w14:textId="77777777" w:rsidR="00D52326" w:rsidRDefault="00D52326">
      <w:pPr>
        <w:shd w:val="clear" w:color="auto" w:fill="FFFFFF"/>
        <w:spacing w:before="240" w:after="240" w:line="271" w:lineRule="auto"/>
        <w:jc w:val="both"/>
        <w:rPr>
          <w:rFonts w:ascii="Times New Roman" w:eastAsia="Times New Roman" w:hAnsi="Times New Roman" w:cs="Times New Roman"/>
        </w:rPr>
      </w:pPr>
    </w:p>
    <w:p w14:paraId="00000061" w14:textId="77777777" w:rsidR="00D52326" w:rsidRDefault="00D52326">
      <w:pPr>
        <w:shd w:val="clear" w:color="auto" w:fill="FFFFFF"/>
        <w:spacing w:before="240" w:after="240" w:line="271" w:lineRule="auto"/>
        <w:jc w:val="both"/>
        <w:rPr>
          <w:rFonts w:ascii="Times New Roman" w:eastAsia="Times New Roman" w:hAnsi="Times New Roman" w:cs="Times New Roman"/>
        </w:rPr>
      </w:pPr>
    </w:p>
    <w:p w14:paraId="00000062" w14:textId="77777777" w:rsidR="00D52326" w:rsidRDefault="00D52326">
      <w:pPr>
        <w:pStyle w:val="Heading1"/>
        <w:keepNext w:val="0"/>
        <w:keepLines w:val="0"/>
        <w:shd w:val="clear" w:color="auto" w:fill="FFFFFF"/>
        <w:spacing w:before="480" w:line="271" w:lineRule="auto"/>
        <w:jc w:val="both"/>
        <w:rPr>
          <w:rFonts w:ascii="Times New Roman" w:eastAsia="Times New Roman" w:hAnsi="Times New Roman" w:cs="Times New Roman"/>
          <w:sz w:val="22"/>
          <w:szCs w:val="22"/>
        </w:rPr>
      </w:pPr>
      <w:bookmarkStart w:id="17" w:name="_heading=h.inwkasfleg94" w:colFirst="0" w:colLast="0"/>
      <w:bookmarkEnd w:id="17"/>
    </w:p>
    <w:p w14:paraId="00000063" w14:textId="77777777" w:rsidR="00D52326" w:rsidRDefault="00D52326">
      <w:pPr>
        <w:rPr>
          <w:rFonts w:ascii="Times New Roman" w:eastAsia="Times New Roman" w:hAnsi="Times New Roman" w:cs="Times New Roman"/>
        </w:rPr>
      </w:pPr>
    </w:p>
    <w:sectPr w:rsidR="00D5232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D85B3BB-1AE1-4213-A9B9-C891EF54059E}"/>
  </w:font>
  <w:font w:name="Cambria">
    <w:panose1 w:val="02040503050406030204"/>
    <w:charset w:val="00"/>
    <w:family w:val="roman"/>
    <w:pitch w:val="variable"/>
    <w:sig w:usb0="E00006FF" w:usb1="420024FF" w:usb2="02000000" w:usb3="00000000" w:csb0="0000019F" w:csb1="00000000"/>
    <w:embedRegular r:id="rId2" w:fontKey="{64D1A2F2-1FED-4D22-B6CA-6B69CE993BC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D40999"/>
    <w:multiLevelType w:val="multilevel"/>
    <w:tmpl w:val="D7D23C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5936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2326"/>
    <w:rsid w:val="0009174F"/>
    <w:rsid w:val="00697BD7"/>
    <w:rsid w:val="00D52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80E0D"/>
  <w15:docId w15:val="{AEA60198-6DA3-4E5B-84C0-DD697673F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x8i6ftYLty45zUwxIXbXyfvt4A==">CgMxLjAyDmguZGtscjh4NmVrcHF6Mg5oLjFkbXNqNHU2YTE4NzIOaC5iYXg2eWt3ODVscWIyDmgucGNyNTJweHh3ZzJnMg5oLnl3MXRzNnVibTdyczIOaC40bWhqajB3MnU2enkyDmgucGVpZnc2OXFwejI5Mg5oLm5rbDR2cnl0M3RmNTIOaC41azA2MjR1NHE1aHoyDmgubjgzZzF0NG92OHFyMg5oLmlhZWZyazJkeHNvaDIOaC4ycDA5Y2k5eW5vZ2wyDmguajhnZjBxaXFleW84Mg5oLjJ2enJnbGNjMWxnYzIOaC5mbHV5dWRic3U2a3IyDmguZTFuNmp2MWp6N3ozMg5oLjUxcm9rOGQzbWIwbTIOaC41aGNuZTd6MmlhejUyDmguaW53a2FzZmxlZzk0OAByITFDaERWOVh4SkE5Nng3LWQ2ZHpBeWJwVlFEYWNVTGJL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1706</Words>
  <Characters>9727</Characters>
  <Application>Microsoft Office Word</Application>
  <DocSecurity>0</DocSecurity>
  <Lines>81</Lines>
  <Paragraphs>22</Paragraphs>
  <ScaleCrop>false</ScaleCrop>
  <Company/>
  <LinksUpToDate>false</LinksUpToDate>
  <CharactersWithSpaces>11411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rocoi</dc:creator>
  <cp:lastModifiedBy>Julius Ray Balitbit</cp:lastModifiedBy>
  <cp:revision>2</cp:revision>
  <dcterms:created xsi:type="dcterms:W3CDTF">2026-08-15T12:16:00Z</dcterms:created>
  <dcterms:modified xsi:type="dcterms:W3CDTF">2026-08-21T14:04:00Z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eyJoZGlkIjoiODE0Yjc4NzliMzY1YjgwZjU5M2ZhMmI1MmEwNzI3YjAifQ==</vt:lpwstr>
  </property>
  <property fmtid="{D5CDD505-2E9C-101B-9397-08002B2CF9AE}" pid="3" name="KSOProductBuildVer">
    <vt:lpwstr>1033-12.1.0.28032</vt:lpwstr>
  </property>
  <property fmtid="{D5CDD505-2E9C-101B-9397-08002B2CF9AE}" pid="4" name="ICV">
    <vt:lpwstr>0502F8D876254C11BB261BFE0178918C_13</vt:lpwstr>
  </property>
</Properties>
</file>