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36"/>
        </w:rPr>
        <w:t>PIMENTEL v. LEGAL EDUCATION BOARD</w:t>
      </w:r>
    </w:p>
    <w:p>
      <w:pPr>
        <w:spacing w:after="240"/>
        <w:jc w:val="center"/>
      </w:pPr>
      <w:r>
        <w:rPr>
          <w:i/>
          <w:color w:val="475569"/>
          <w:sz w:val="22"/>
        </w:rPr>
        <w:t>CASE DIGEST &amp; COMPREHENSIVE LEGAL ANALYSIS</w:t>
        <w:br/>
        <w:t>Applied Framework: BLJE (Background, Legal Issues, Judgment, Explanation)</w:t>
      </w:r>
    </w:p>
    <w:tbl>
      <w:tblPr>
        <w:tblW w:type="auto" w:w="0"/>
        <w:jc w:val="center"/>
        <w:tblLayout w:type="fixed"/>
        <w:tblLook w:firstColumn="1" w:firstRow="1" w:lastColumn="0" w:lastRow="0" w:noHBand="0" w:noVBand="1" w:val="04A0"/>
      </w:tblPr>
      <w:tblGrid>
        <w:gridCol w:w="4680"/>
        <w:gridCol w:w="4680"/>
      </w:tblGrid>
      <w:tr>
        <w:tc>
          <w:tcPr>
            <w:tcW w:type="dxa" w:w="3168"/>
            <w:shd w:fill="F1F5F9"/>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Case Title &amp; Citations</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9"/>
              </w:rPr>
              <w:t>Oscar B. Pimentel, et al. v. Legal Education Board (LEB), G.R. No. 230642</w:t>
              <w:br/>
              <w:t>Consolidated with Abigail Valerie H. Aguilar, et al. v. Hon. Salvador Medialdea, et al., G.R. No. 242954</w:t>
            </w:r>
          </w:p>
        </w:tc>
      </w:tr>
      <w:tr>
        <w:tc>
          <w:tcPr>
            <w:tcW w:type="dxa" w:w="3168"/>
            <w:shd w:fill="F1F5F9"/>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Dates of Promulgation</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9"/>
              </w:rPr>
              <w:t>Main Decision: September 10, 2019 (Penned by J. J.C. Reyes, Jr., En Banc)</w:t>
              <w:br/>
              <w:t>Resolution on MR: November 9, 2021 (Penned by J. R.V. Zalameda, En Banc)</w:t>
            </w:r>
          </w:p>
        </w:tc>
      </w:tr>
      <w:tr>
        <w:tc>
          <w:tcPr>
            <w:tcW w:type="dxa" w:w="3168"/>
            <w:shd w:fill="F1F5F9"/>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Subject Matter</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9"/>
              </w:rPr>
              <w:t>Basic Legal and Judicial Ethics (BLJE) | Constitutional Law | Separation of Powers | Institutional Academic Freedom | State Police Power</w:t>
            </w:r>
          </w:p>
        </w:tc>
      </w:tr>
      <w:tr>
        <w:tc>
          <w:tcPr>
            <w:tcW w:type="dxa" w:w="3168"/>
            <w:shd w:fill="F1F5F9"/>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Key Statutes &amp; Orders</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9"/>
              </w:rPr>
              <w:t>Republic Act No. 7662 (Legal Education Reform Act of 1993)</w:t>
              <w:br/>
              <w:t>LEBMO No. 7-2016 (PhiLSAT), LEBMO No. 1-2011, LEBMO No. 2-2013</w:t>
            </w:r>
          </w:p>
        </w:tc>
      </w:tr>
      <w:tr>
        <w:tc>
          <w:tcPr>
            <w:tcW w:type="dxa" w:w="3168"/>
            <w:shd w:fill="F1F5F9"/>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Constitutional Bases</w:t>
            </w:r>
          </w:p>
        </w:tc>
        <w:tc>
          <w:tcPr>
            <w:tcW w:type="dxa" w:w="6192"/>
            <w:tcBorders>
              <w:top w:val="single" w:sz="4" w:space="0" w:color="CBD5E1"/>
              <w:bottom w:val="single" w:sz="4" w:space="0" w:color="CBD5E1"/>
              <w:left w:val="single" w:sz="4" w:space="0" w:color="CBD5E1"/>
              <w:right w:val="single" w:sz="4" w:space="0" w:color="CBD5E1"/>
            </w:tcBorders>
          </w:tcPr>
          <w:p>
            <w:pPr>
              <w:spacing w:after="40"/>
            </w:pPr>
            <w:r>
              <w:rPr>
                <w:sz w:val="19"/>
              </w:rPr>
              <w:t>1987 Constitution: Art. VIII, Sec. 5(5); Art. XIV, Sec. 1, 4(1), 5(2); Art. III, Sec. 1</w:t>
            </w:r>
          </w:p>
        </w:tc>
      </w:tr>
    </w:tbl>
    <w:p>
      <w:pPr>
        <w:spacing w:after="120"/>
      </w:pPr>
    </w:p>
    <w:p>
      <w:pPr>
        <w:keepNext/>
        <w:spacing w:before="280" w:after="80"/>
        <w:pBdr>
          <w:bottom w:val="single" w:sz="12" w:space="4" w:color="1E3A8A"/>
        </w:pBdr>
      </w:pPr>
      <w:r>
        <w:rPr>
          <w:b/>
          <w:color w:val="1E3A8A"/>
          <w:sz w:val="26"/>
        </w:rPr>
        <w:t>B — BACKGROUND &amp; WHOLE FACTS</w:t>
      </w:r>
    </w:p>
    <w:p>
      <w:pPr>
        <w:keepNext/>
        <w:spacing w:before="200" w:after="60"/>
      </w:pPr>
      <w:r>
        <w:rPr>
          <w:b/>
          <w:color w:val="2563EB"/>
          <w:sz w:val="22"/>
        </w:rPr>
        <w:t>1. Legislative Enactment (Republic Act No. 7662)</w:t>
      </w:r>
    </w:p>
    <w:p>
      <w:r>
        <w:t>On December 23, 1993, Congress passed Republic Act No. 7662, known as the "Legal Education Reform Act of 1993." The law declared the national policy to uplift the standards of legal education, prepare law students for advocacy and judicial service, and meet the needs of a developing society.</w:t>
      </w:r>
    </w:p>
    <w:p>
      <w:r>
        <w:t>To accomplish these objectives, R.A. No. 7662 established the Legal Education Board (LEB) as an administrative agency attached to the Department of Education, Culture and Sports (now CHED) to administer and supervise the legal education system in the Philippines. Section 7 of R.A. No. 7662 conferred upon the LEB broad regulatory powers, including:</w:t>
      </w:r>
    </w:p>
    <w:p>
      <w:pPr>
        <w:pStyle w:val="ListBullet"/>
        <w:spacing w:after="60" w:line="276" w:lineRule="auto"/>
      </w:pPr>
      <w:r>
        <w:rPr>
          <w:b/>
        </w:rPr>
        <w:t xml:space="preserve">Accreditation Standards (Sec. 7[c]): </w:t>
      </w:r>
      <w:r>
        <w:t>Authority to set accreditation standards for law schools taking into account faculty qualifications and facilities.</w:t>
      </w:r>
    </w:p>
    <w:p>
      <w:pPr>
        <w:pStyle w:val="ListBullet"/>
        <w:spacing w:after="60" w:line="276" w:lineRule="auto"/>
      </w:pPr>
      <w:r>
        <w:rPr>
          <w:b/>
        </w:rPr>
        <w:t xml:space="preserve">Admission &amp; Faculty Qualifications (Sec. 7[e]): </w:t>
      </w:r>
      <w:r>
        <w:t>Authority to prescribe minimum requirements for admission to legal education and minimum qualifications of faculty members.</w:t>
      </w:r>
    </w:p>
    <w:p>
      <w:pPr>
        <w:pStyle w:val="ListBullet"/>
        <w:spacing w:after="60" w:line="276" w:lineRule="auto"/>
      </w:pPr>
      <w:r>
        <w:rPr>
          <w:b/>
        </w:rPr>
        <w:t xml:space="preserve">Pre-Bar Internship (Sec. 7[g]): </w:t>
      </w:r>
      <w:r>
        <w:t>Authority to establish a law practice internship as a requirement for taking the Bar Examinations.</w:t>
      </w:r>
    </w:p>
    <w:p>
      <w:pPr>
        <w:pStyle w:val="ListBullet"/>
        <w:spacing w:after="60" w:line="276" w:lineRule="auto"/>
      </w:pPr>
      <w:r>
        <w:rPr>
          <w:b/>
        </w:rPr>
        <w:t xml:space="preserve">Mandatory Continuing Legal Education (Sec. 7[h]): </w:t>
      </w:r>
      <w:r>
        <w:t>Authority to adopt and mandate a system of continuing legal education for practicing lawyers.</w:t>
      </w:r>
    </w:p>
    <w:p>
      <w:pPr>
        <w:keepNext/>
        <w:spacing w:before="200" w:after="60"/>
      </w:pPr>
      <w:r>
        <w:rPr>
          <w:b/>
          <w:color w:val="2563EB"/>
          <w:sz w:val="22"/>
        </w:rPr>
        <w:t>2. LEB Implementing Orders &amp; The PhiLSAT Mandate</w:t>
      </w:r>
    </w:p>
    <w:p>
      <w:r>
        <w:t>Pursuant to its statutory mandate, the LEB promulgated various orders and circulars:</w:t>
      </w:r>
    </w:p>
    <w:p>
      <w:pPr>
        <w:pStyle w:val="ListBullet"/>
        <w:spacing w:after="60" w:line="276" w:lineRule="auto"/>
      </w:pPr>
      <w:r>
        <w:rPr>
          <w:b/>
        </w:rPr>
        <w:t xml:space="preserve">LEBMO No. 1-2011 &amp; LEBMO No. 2 (2013): </w:t>
      </w:r>
      <w:r>
        <w:t>Prescribed comprehensive policies, standards, and curricula for legal education. It mandated that law faculty members and deans must obtain a Master of Laws (LL.M.) degree under pain of administrative disqualification, and barred law schools from admitting non-law graduates into graduate law degree programs.</w:t>
      </w:r>
    </w:p>
    <w:p>
      <w:pPr>
        <w:pStyle w:val="ListBullet"/>
        <w:spacing w:after="60" w:line="276" w:lineRule="auto"/>
      </w:pPr>
      <w:r>
        <w:rPr>
          <w:b/>
        </w:rPr>
        <w:t xml:space="preserve">LEBMO No. 7, Series of 2016 (PhiLSAT Mandate): </w:t>
      </w:r>
      <w:r>
        <w:t>Issued on December 29, 2016, establishing the nationwide Philippine Law School Admission Test (PhiLSAT). Under Sections 1, 2, 7, 8, and 9 of LEBMO No. 7-2016:</w:t>
      </w:r>
    </w:p>
    <w:p>
      <w:pPr>
        <w:pStyle w:val="ListBullet2"/>
        <w:spacing w:after="40"/>
      </w:pPr>
      <w:r>
        <w:rPr>
          <w:sz w:val="20"/>
        </w:rPr>
        <w:t xml:space="preserve">The PhiLSAT was made an </w:t>
      </w:r>
      <w:r>
        <w:rPr>
          <w:b/>
        </w:rPr>
        <w:t>absolute, mandatory prerequisite</w:t>
      </w:r>
      <w:r>
        <w:t xml:space="preserve"> for admission to any basic law degree program (LL.B. or J.D.) in all Philippine law schools.</w:t>
      </w:r>
    </w:p>
    <w:p>
      <w:pPr>
        <w:pStyle w:val="ListBullet2"/>
        <w:spacing w:after="40"/>
      </w:pPr>
      <w:r>
        <w:t>Examinees were required to achieve a cut-off score (55th percentile) set unilaterally by the LEB.</w:t>
      </w:r>
    </w:p>
    <w:p>
      <w:pPr>
        <w:pStyle w:val="ListBullet2"/>
        <w:spacing w:after="40"/>
      </w:pPr>
      <w:r>
        <w:rPr>
          <w:sz w:val="20"/>
        </w:rPr>
        <w:t xml:space="preserve">Law schools were </w:t>
      </w:r>
      <w:r>
        <w:rPr>
          <w:b/>
        </w:rPr>
        <w:t>strictly prohibited</w:t>
      </w:r>
      <w:r>
        <w:t xml:space="preserve"> from enrolling students who failed or did not take the PhiLSAT, under threat of severe administrative sanctions, program closure, and accreditation revocation.</w:t>
      </w:r>
    </w:p>
    <w:p>
      <w:pPr>
        <w:keepNext/>
        <w:spacing w:before="200" w:after="60"/>
      </w:pPr>
      <w:r>
        <w:rPr>
          <w:b/>
          <w:color w:val="2563EB"/>
          <w:sz w:val="22"/>
        </w:rPr>
        <w:t>3. The Consolidated Petitions Before the Supreme Court</w:t>
      </w:r>
    </w:p>
    <w:p>
      <w:r>
        <w:t>The constitutionality of R.A. No. 7662 and the LEB issuances was challenged through two consolidated petitions:</w:t>
      </w:r>
    </w:p>
    <w:p>
      <w:pPr>
        <w:pStyle w:val="ListBullet"/>
        <w:spacing w:after="60" w:line="276" w:lineRule="auto"/>
      </w:pPr>
      <w:r>
        <w:rPr>
          <w:b/>
        </w:rPr>
        <w:t xml:space="preserve">G.R. No. 230642 (Pimentel Petition): </w:t>
      </w:r>
      <w:r>
        <w:t>Filed by Atty. Oscar B. Pimentel, law educators, and law students (Petition for Prohibition), asserting that R.A. No. 7662 and LEBMO No. 7-2016 encroached on judicial authority and violated institutional academic freedom.</w:t>
      </w:r>
    </w:p>
    <w:p>
      <w:pPr>
        <w:pStyle w:val="ListBullet"/>
        <w:spacing w:after="60" w:line="276" w:lineRule="auto"/>
      </w:pPr>
      <w:r>
        <w:rPr>
          <w:b/>
        </w:rPr>
        <w:t xml:space="preserve">G.R. No. 242954 (Aguilar Petition): </w:t>
      </w:r>
      <w:r>
        <w:t>Filed by aspiring law students (Petition for Certiorari and Prohibition), arguing that the exclusionary PhiLSAT violated equal protection, due process, and the constitutional right to education.</w:t>
      </w:r>
    </w:p>
    <w:p>
      <w:pPr>
        <w:keepNext/>
        <w:spacing w:before="200" w:after="60"/>
      </w:pPr>
      <w:r>
        <w:rPr>
          <w:b/>
          <w:color w:val="2563EB"/>
          <w:sz w:val="22"/>
        </w:rPr>
        <w:t>4. Core Contentions of the Parties</w:t>
      </w:r>
    </w:p>
    <w:p>
      <w:r>
        <w:rPr>
          <w:b/>
        </w:rPr>
        <w:t xml:space="preserve">Petitioners Contended: </w:t>
      </w:r>
      <w:r>
        <w:t>(1) R.A. 7662 encroaches upon the Supreme Court's exclusive constitutional authority under Article VIII, Section 5(5) to govern admission to the practice of law; (2) The mandatory PhiLSAT violates the institutional academic freedom of law schools under Article XIV, Section 5(2) to choose who may be admitted to study; (3) The exclusionary cut-off violates the constitutional right to education and due process; and (4) The law suffers from undue delegation of legislative power.</w:t>
      </w:r>
    </w:p>
    <w:p>
      <w:r>
        <w:rPr>
          <w:b/>
        </w:rPr>
        <w:t xml:space="preserve">Respondents Contended: </w:t>
      </w:r>
      <w:r>
        <w:t>(1) Legal education is part of higher education and falls squarely under the State's police power to regulate educational institutions under Article XIV, Section 4(1); (2) The Supreme Court's constitutional authority applies only to the practice of law and admission to the Bar, not to the prior preparatory study of law; and (3) The PhiLSAT is a reasonable regulatory measure designed to uplift legal education standards.</w:t>
      </w:r>
    </w:p>
    <w:p>
      <w:pPr>
        <w:keepNext/>
        <w:spacing w:before="280" w:after="80"/>
        <w:pBdr>
          <w:bottom w:val="single" w:sz="12" w:space="4" w:color="1E3A8A"/>
        </w:pBdr>
      </w:pPr>
      <w:r>
        <w:rPr>
          <w:b/>
          <w:color w:val="1E3A8A"/>
          <w:sz w:val="26"/>
        </w:rPr>
        <w:t>L — LEGAL ISSUES</w:t>
      </w:r>
    </w:p>
    <w:p>
      <w:pPr>
        <w:pStyle w:val="ListBullet"/>
        <w:spacing w:after="60" w:line="276" w:lineRule="auto"/>
      </w:pPr>
      <w:r>
        <w:rPr>
          <w:b/>
        </w:rPr>
        <w:t xml:space="preserve">Issue 1 (Separation of Powers / Judicial Authority): </w:t>
      </w:r>
      <w:r>
        <w:t>Does the State's regulation and supervision of legal education through an administrative body (LEB) under R.A. No. 7662 unconstitutionally encroach upon the Supreme Court's exclusive authority over admission to the practice of law under Article VIII, Section 5(5) of the 1987 Constitution?</w:t>
      </w:r>
    </w:p>
    <w:p>
      <w:pPr>
        <w:pStyle w:val="ListBullet"/>
        <w:spacing w:after="60" w:line="276" w:lineRule="auto"/>
      </w:pPr>
      <w:r>
        <w:rPr>
          <w:b/>
        </w:rPr>
        <w:t xml:space="preserve">Issue 2 (Institutional Academic Freedom / Admission to Study): </w:t>
      </w:r>
      <w:r>
        <w:t>Does the mandatory and exclusionary nature of the PhiLSAT under LEBMO No. 7-2016 violate the constitutional academic freedom of law schools under Article XIV, Section 5(2) to determine who may be admitted to study?</w:t>
      </w:r>
    </w:p>
    <w:p>
      <w:pPr>
        <w:pStyle w:val="ListBullet"/>
        <w:spacing w:after="60" w:line="276" w:lineRule="auto"/>
      </w:pPr>
      <w:r>
        <w:rPr>
          <w:b/>
        </w:rPr>
        <w:t xml:space="preserve">Issue 3 (Faculty Qualifications &amp; Graduate Studies): </w:t>
      </w:r>
      <w:r>
        <w:t>Are LEB issuances mandating a Master of Laws (LL.M.) degree for law professors/deans and prohibiting non-law graduates from entering LL.M. graduate programs constitutional?</w:t>
      </w:r>
    </w:p>
    <w:p>
      <w:pPr>
        <w:pStyle w:val="ListBullet"/>
        <w:spacing w:after="60" w:line="276" w:lineRule="auto"/>
      </w:pPr>
      <w:r>
        <w:rPr>
          <w:b/>
        </w:rPr>
        <w:t xml:space="preserve">Issue 4 (Bar Admission Prerequisites &amp; MCLE): </w:t>
      </w:r>
      <w:r>
        <w:t>Are Section 7(g) (mandatory pre-Bar internship) and Section 7(h) (mandatory continuing legal education for lawyers) of R.A. No. 7662 constitutional?</w:t>
      </w:r>
    </w:p>
    <w:p>
      <w:pPr>
        <w:keepNext/>
        <w:spacing w:before="280" w:after="80"/>
        <w:pBdr>
          <w:bottom w:val="single" w:sz="12" w:space="4" w:color="1E3A8A"/>
        </w:pBdr>
      </w:pPr>
      <w:r>
        <w:rPr>
          <w:b/>
          <w:color w:val="1E3A8A"/>
          <w:sz w:val="26"/>
        </w:rPr>
        <w:t>J — JUDGMENT (DISPOSITIVE RULING)</w:t>
      </w:r>
    </w:p>
    <w:p>
      <w:r>
        <w:rPr>
          <w:sz w:val="21"/>
        </w:rPr>
        <w:t xml:space="preserve">The Supreme Court </w:t>
      </w:r>
      <w:r>
        <w:rPr>
          <w:b/>
        </w:rPr>
        <w:t>PARTIALLY GRANTED</w:t>
      </w:r>
      <w:r>
        <w:t xml:space="preserve"> the consolidated petitions, ruling as follows:</w:t>
      </w:r>
    </w:p>
    <w:p>
      <w:pPr>
        <w:keepNext/>
        <w:spacing w:before="200" w:after="60"/>
      </w:pPr>
      <w:r>
        <w:rPr>
          <w:b/>
          <w:color w:val="2563EB"/>
          <w:sz w:val="22"/>
        </w:rPr>
        <w:t>1. Declared CONSTITUTIONAL &amp; UPHELD:</w:t>
      </w:r>
    </w:p>
    <w:p>
      <w:pPr>
        <w:pStyle w:val="ListBullet"/>
        <w:spacing w:after="60" w:line="276" w:lineRule="auto"/>
      </w:pPr>
      <w:r>
        <w:rPr>
          <w:b/>
        </w:rPr>
        <w:t xml:space="preserve">Creation and Jurisdiction of the LEB: </w:t>
      </w:r>
      <w:r>
        <w:t>R.A. No. 7662 as a whole is UPHELD as a valid exercise of State police power over higher education (Art. XIV, Sec. 4[1]).</w:t>
      </w:r>
    </w:p>
    <w:p>
      <w:pPr>
        <w:pStyle w:val="ListBullet"/>
        <w:spacing w:after="60" w:line="276" w:lineRule="auto"/>
      </w:pPr>
      <w:r>
        <w:rPr>
          <w:b/>
        </w:rPr>
        <w:t xml:space="preserve">Sections 7(c) and 7(e) of R.A. No. 7662: </w:t>
      </w:r>
      <w:r>
        <w:t>UPHELD insofar as they empower the LEB to set reasonable minimum standards for law school accreditation and admission requirements, provided institutional academic freedom is respected.</w:t>
      </w:r>
    </w:p>
    <w:p>
      <w:pPr>
        <w:pStyle w:val="ListBullet"/>
        <w:spacing w:after="60" w:line="276" w:lineRule="auto"/>
      </w:pPr>
      <w:r>
        <w:rPr>
          <w:b/>
        </w:rPr>
        <w:t xml:space="preserve">Standardized Aptitude Testing in Principle: </w:t>
      </w:r>
      <w:r>
        <w:t>The LEB has the power to administer a nationwide aptitude examination, but solely as an ADVISORY, NON-EXCLUSIONARY baseline guide.</w:t>
      </w:r>
    </w:p>
    <w:p>
      <w:pPr>
        <w:keepNext/>
        <w:spacing w:before="200" w:after="60"/>
      </w:pPr>
      <w:r>
        <w:rPr>
          <w:b/>
          <w:color w:val="2563EB"/>
          <w:sz w:val="22"/>
        </w:rPr>
        <w:t>2. Declared UNCONSTITUTIONAL &amp; STRUCK DOWN:</w:t>
      </w:r>
    </w:p>
    <w:p>
      <w:pPr>
        <w:pStyle w:val="ListBullet"/>
        <w:spacing w:after="60" w:line="276" w:lineRule="auto"/>
      </w:pPr>
      <w:r>
        <w:rPr>
          <w:b/>
        </w:rPr>
        <w:t xml:space="preserve">LEBMO No. 7-2016 in its ENTIRETY (PhiLSAT): </w:t>
      </w:r>
      <w:r>
        <w:t>STRUCK DOWN as unconstitutional for violating institutional academic freedom. The LEB cannot make passing the PhiLSAT a mandatory, exclusionary prerequisite for law school admission.</w:t>
      </w:r>
    </w:p>
    <w:p>
      <w:pPr>
        <w:pStyle w:val="ListBullet"/>
        <w:spacing w:after="60" w:line="276" w:lineRule="auto"/>
      </w:pPr>
      <w:r>
        <w:rPr>
          <w:b/>
        </w:rPr>
        <w:t xml:space="preserve">Section 7(g) of R.A. 7662 &amp; Sec. 11(g) of LEBMO 1-2011: </w:t>
      </w:r>
      <w:r>
        <w:t>NULL AND VOID for usurping the Supreme Court's exclusive constitutional authority to prescribe requirements for taking the Bar Examinations.</w:t>
      </w:r>
    </w:p>
    <w:p>
      <w:pPr>
        <w:pStyle w:val="ListBullet"/>
        <w:spacing w:after="60" w:line="276" w:lineRule="auto"/>
      </w:pPr>
      <w:r>
        <w:rPr>
          <w:b/>
        </w:rPr>
        <w:t xml:space="preserve">Section 7(h) of R.A. 7662 &amp; Sec. 11(h) of LEBMO 1-2011: </w:t>
      </w:r>
      <w:r>
        <w:t>NULL AND VOID for encroaching upon the Supreme Court's exclusive authority over the Integrated Bar and Mandatory Continuing Legal Education (BM No. 850).</w:t>
      </w:r>
    </w:p>
    <w:p>
      <w:pPr>
        <w:pStyle w:val="ListBullet"/>
        <w:spacing w:after="60" w:line="276" w:lineRule="auto"/>
      </w:pPr>
      <w:r>
        <w:rPr>
          <w:b/>
        </w:rPr>
        <w:t xml:space="preserve">Mandatory Master of Laws (LL.M.) Requirement: </w:t>
      </w:r>
      <w:r>
        <w:t>STRUCK DOWN for infringing on institutional academic freedom regarding who may teach.</w:t>
      </w:r>
    </w:p>
    <w:p>
      <w:pPr>
        <w:pStyle w:val="ListBullet"/>
        <w:spacing w:after="60" w:line="276" w:lineRule="auto"/>
      </w:pPr>
      <w:r>
        <w:rPr>
          <w:b/>
        </w:rPr>
        <w:t xml:space="preserve">Restriction on Graduate Legal Admissions: </w:t>
      </w:r>
      <w:r>
        <w:t>STRUCK DOWN for infringing on law schools' autonomy to determine admission standards for specialized master's programs.</w:t>
      </w:r>
    </w:p>
    <w:p>
      <w:pPr>
        <w:keepNext/>
        <w:spacing w:before="280" w:after="80"/>
        <w:pBdr>
          <w:bottom w:val="single" w:sz="12" w:space="4" w:color="1E3A8A"/>
        </w:pBdr>
      </w:pPr>
      <w:r>
        <w:rPr>
          <w:b/>
          <w:color w:val="1E3A8A"/>
          <w:sz w:val="26"/>
        </w:rPr>
        <w:t>E — EXPLANATION &amp; RATIO DECIDENDI</w:t>
      </w:r>
    </w:p>
    <w:p>
      <w:pPr>
        <w:keepNext/>
        <w:spacing w:before="200" w:after="60"/>
      </w:pPr>
      <w:r>
        <w:rPr>
          <w:b/>
          <w:color w:val="2563EB"/>
          <w:sz w:val="22"/>
        </w:rPr>
        <w:t>1. Distinction: 'Study of Law' vs. 'Practice of Law'</w:t>
      </w:r>
    </w:p>
    <w:p>
      <w:r>
        <w:t>The Supreme Court established a fundamental constitutional demarcation between the regulation of the legal profession and the regulation of legal education:</w:t>
      </w:r>
    </w:p>
    <w:p>
      <w:pPr>
        <w:pStyle w:val="ListBullet"/>
        <w:spacing w:after="60" w:line="276" w:lineRule="auto"/>
      </w:pPr>
      <w:r>
        <w:rPr>
          <w:b/>
        </w:rPr>
        <w:t xml:space="preserve">Practice of Law (Article VIII, Section 5[5]): </w:t>
      </w:r>
      <w:r>
        <w:t>The Supreme Court possesses exclusive constitutional jurisdiction over admission to the Bar, legal ethics, disciplines, the Integrated Bar, and the actual practice of law. Congress cannot authorize an administrative agency to prescribe prerequisites for taking the Bar Examinations (such as mandatory apprenticeships) or to supervise practicing lawyers (such as MCLE).</w:t>
      </w:r>
    </w:p>
    <w:p>
      <w:pPr>
        <w:pStyle w:val="ListBullet"/>
        <w:spacing w:after="60" w:line="276" w:lineRule="auto"/>
      </w:pPr>
      <w:r>
        <w:rPr>
          <w:b/>
        </w:rPr>
        <w:t xml:space="preserve">Study of Law (Article XIV, Section 4[1]): </w:t>
      </w:r>
      <w:r>
        <w:t>Legal education is higher education. The State, in the exercise of its sovereign police power, has the constitutional duty to regulate and supervise all educational institutions to ensure educational quality. Hence, Congress acted within its legislative power when it created the LEB to supervise law schools.</w:t>
      </w:r>
    </w:p>
    <w:p>
      <w:pPr>
        <w:keepNext/>
        <w:spacing w:before="200" w:after="60"/>
      </w:pPr>
      <w:r>
        <w:rPr>
          <w:b/>
          <w:color w:val="2563EB"/>
          <w:sz w:val="22"/>
        </w:rPr>
        <w:t>2. Institutional Academic Freedom &amp; The Fatal Defect of PhiLSAT</w:t>
      </w:r>
    </w:p>
    <w:p>
      <w:r>
        <w:t xml:space="preserve">Under Article XIV, Section 5(2) of the 1987 Constitution, institutions of higher learning enjoy academic freedom. As established in landmark jurisprudence (Sweezy v. New Hampshire / Garcia v. Faculty Admission Committee), academic freedom guarantees the </w:t>
      </w:r>
      <w:r>
        <w:rPr>
          <w:b/>
        </w:rPr>
        <w:t>four essential freedoms:</w:t>
      </w:r>
    </w:p>
    <w:p>
      <w:pPr>
        <w:pStyle w:val="ListBullet"/>
        <w:spacing w:after="60" w:line="276" w:lineRule="auto"/>
      </w:pPr>
      <w:r>
        <w:rPr>
          <w:b/>
        </w:rPr>
        <w:t xml:space="preserve">(1) Who may teach; </w:t>
      </w:r>
      <w:r>
        <w:t>The autonomy to select qualified educators.</w:t>
      </w:r>
    </w:p>
    <w:p>
      <w:pPr>
        <w:pStyle w:val="ListBullet"/>
        <w:spacing w:after="60" w:line="276" w:lineRule="auto"/>
      </w:pPr>
      <w:r>
        <w:rPr>
          <w:b/>
        </w:rPr>
        <w:t xml:space="preserve">(2) What may be taught; </w:t>
      </w:r>
      <w:r>
        <w:t>The autonomy to design specialized and interdisciplinary curricula.</w:t>
      </w:r>
    </w:p>
    <w:p>
      <w:pPr>
        <w:pStyle w:val="ListBullet"/>
        <w:spacing w:after="60" w:line="276" w:lineRule="auto"/>
      </w:pPr>
      <w:r>
        <w:rPr>
          <w:b/>
        </w:rPr>
        <w:t xml:space="preserve">(3) How it shall be taught; </w:t>
      </w:r>
      <w:r>
        <w:t>The autonomy to determine pedagogical methods.</w:t>
      </w:r>
    </w:p>
    <w:p>
      <w:pPr>
        <w:pStyle w:val="ListBullet"/>
        <w:spacing w:after="60" w:line="276" w:lineRule="auto"/>
      </w:pPr>
      <w:r>
        <w:rPr>
          <w:b/>
        </w:rPr>
        <w:t xml:space="preserve">(4) Who may be admitted to study; </w:t>
      </w:r>
      <w:r>
        <w:t>The autonomy to determine criteria for student admission.</w:t>
      </w:r>
    </w:p>
    <w:p>
      <w:r>
        <w:t xml:space="preserve">The Court held that the LEB's statutory mandate is strictly limited to prescribing </w:t>
      </w:r>
      <w:r>
        <w:rPr>
          <w:b/>
        </w:rPr>
        <w:t>minimum standards</w:t>
      </w:r>
      <w:r>
        <w:t>, not imposing absolute control or complete exclusion. By making the PhiLSAT mandatory and dictating that no student may enroll without passing the test, the LEB usurped the academic freedom of law schools to admit students who demonstrate potential through other holistic metrics (e.g., undergraduate GPA, personal interviews, entrance exams, or socioeconomic background).</w:t>
      </w:r>
    </w:p>
    <w:p>
      <w:pPr>
        <w:keepNext/>
        <w:spacing w:before="200" w:after="60"/>
      </w:pPr>
      <w:r>
        <w:rPr>
          <w:b/>
          <w:color w:val="2563EB"/>
          <w:sz w:val="22"/>
        </w:rPr>
        <w:t>3. Faculty Qualifications &amp; Graduate Programs</w:t>
      </w:r>
    </w:p>
    <w:p>
      <w:r>
        <w:t xml:space="preserve">While the LEB may set reasonable baseline faculty standards, arbitrarily requiring a formal </w:t>
      </w:r>
      <w:r>
        <w:rPr>
          <w:b/>
        </w:rPr>
        <w:t>Master of Laws (LL.M.) degree</w:t>
      </w:r>
      <w:r>
        <w:t xml:space="preserve"> ignores practical realities. Seasoned trial lawyers, retired judges, and renowned legal experts possess immense practical wisdom and teaching capability despite lacking an LL.M. Law schools must retain the academic autonomy to hire such experts. Furthermore, law schools have the freedom to accept non-law graduates into interdisciplinary Master's programs without rigid LEB restrictions.</w:t>
      </w:r>
    </w:p>
    <w:p>
      <w:pPr>
        <w:keepNext/>
        <w:spacing w:before="200" w:after="60"/>
      </w:pPr>
      <w:r>
        <w:rPr>
          <w:b/>
          <w:color w:val="2563EB"/>
          <w:sz w:val="22"/>
        </w:rPr>
        <w:t>4. Exclusive Prerogatives of the Judiciary</w:t>
      </w:r>
    </w:p>
    <w:p>
      <w:pPr>
        <w:pStyle w:val="ListBullet"/>
        <w:spacing w:after="60" w:line="276" w:lineRule="auto"/>
      </w:pPr>
      <w:r>
        <w:rPr>
          <w:b/>
        </w:rPr>
        <w:t xml:space="preserve">Bar Admission Prerequisites (Sec. 7[g]): </w:t>
      </w:r>
      <w:r>
        <w:t>Requirements for taking the Bar Examinations are governed exclusively by Rule 138 of the Rules of Court under the sole prerogative of the Supreme Court. The LEB cannot add extra hurdles such as mandatory internships.</w:t>
      </w:r>
    </w:p>
    <w:p>
      <w:pPr>
        <w:pStyle w:val="ListBullet"/>
        <w:spacing w:after="60" w:line="276" w:lineRule="auto"/>
      </w:pPr>
      <w:r>
        <w:rPr>
          <w:b/>
        </w:rPr>
        <w:t xml:space="preserve">MCLE for Lawyers (Sec. 7[h]): </w:t>
      </w:r>
      <w:r>
        <w:t>Mandatory Continuing Legal Education for licensed attorneys is governed exclusively by the Supreme Court pursuant to Bar Matter No. 850. The LEB's authority terminates upon the student's graduation from law school.</w:t>
      </w:r>
    </w:p>
    <w:p>
      <w:pPr>
        <w:keepNext/>
        <w:spacing w:before="280" w:after="80"/>
        <w:pBdr>
          <w:bottom w:val="single" w:sz="12" w:space="4" w:color="1E3A8A"/>
        </w:pBdr>
      </w:pPr>
      <w:r>
        <w:rPr>
          <w:b/>
          <w:color w:val="1E3A8A"/>
          <w:sz w:val="26"/>
        </w:rPr>
        <w:t>QUICK REFERENCE MATRIX TABLE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3A8A"/>
          </w:tcPr>
          <w:p>
            <w:pPr>
              <w:spacing w:before="80" w:after="80"/>
              <w:jc w:val="center"/>
            </w:pPr>
            <w:r>
              <w:rPr>
                <w:b/>
                <w:color w:val="FFFFFF"/>
                <w:sz w:val="19"/>
              </w:rPr>
              <w:t>Provision / Regulation</w:t>
            </w:r>
          </w:p>
        </w:tc>
        <w:tc>
          <w:tcPr>
            <w:tcW w:type="dxa" w:w="2592"/>
            <w:shd w:fill="1E3A8A"/>
          </w:tcPr>
          <w:p>
            <w:pPr>
              <w:spacing w:before="80" w:after="80"/>
              <w:jc w:val="center"/>
            </w:pPr>
            <w:r>
              <w:rPr>
                <w:b/>
                <w:color w:val="FFFFFF"/>
                <w:sz w:val="19"/>
              </w:rPr>
              <w:t>Supreme Court Ruling</w:t>
            </w:r>
          </w:p>
        </w:tc>
        <w:tc>
          <w:tcPr>
            <w:tcW w:type="dxa" w:w="3888"/>
            <w:shd w:fill="1E3A8A"/>
          </w:tcPr>
          <w:p>
            <w:pPr>
              <w:spacing w:before="80" w:after="80"/>
              <w:jc w:val="center"/>
            </w:pPr>
            <w:r>
              <w:rPr>
                <w:b/>
                <w:color w:val="FFFFFF"/>
                <w:sz w:val="19"/>
              </w:rPr>
              <w:t>Core Constitutional Doctrine</w:t>
            </w:r>
          </w:p>
        </w:tc>
      </w:tr>
      <w:tr>
        <w:tc>
          <w:tcPr>
            <w:tcW w:type="dxa" w:w="2880"/>
            <w:shd w:fill="F1F5F9"/>
            <w:tcBorders>
              <w:top w:val="single" w:sz="4" w:space="0" w:color="CBD5E1"/>
              <w:bottom w:val="single" w:sz="4" w:space="0" w:color="CBD5E1"/>
              <w:left w:val="single" w:sz="4" w:space="0" w:color="CBD5E1"/>
              <w:right w:val="single" w:sz="4" w:space="0" w:color="CBD5E1"/>
            </w:tcBorders>
          </w:tcPr>
          <w:p>
            <w:pPr>
              <w:spacing w:before="60" w:after="60"/>
            </w:pPr>
            <w:r>
              <w:rPr>
                <w:sz w:val="18"/>
              </w:rPr>
              <w:t>Creation of LEB (R.A. No. 7662)</w:t>
            </w:r>
          </w:p>
        </w:tc>
        <w:tc>
          <w:tcPr>
            <w:tcW w:type="dxa" w:w="2592"/>
            <w:shd w:fill="F1F5F9"/>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166534"/>
                <w:sz w:val="18"/>
              </w:rPr>
              <w:t>UPHELD (Constitutional)</w:t>
            </w:r>
          </w:p>
        </w:tc>
        <w:tc>
          <w:tcPr>
            <w:tcW w:type="dxa" w:w="3888"/>
            <w:shd w:fill="F1F5F9"/>
            <w:tcBorders>
              <w:top w:val="single" w:sz="4" w:space="0" w:color="CBD5E1"/>
              <w:bottom w:val="single" w:sz="4" w:space="0" w:color="CBD5E1"/>
              <w:left w:val="single" w:sz="4" w:space="0" w:color="CBD5E1"/>
              <w:right w:val="single" w:sz="4" w:space="0" w:color="CBD5E1"/>
            </w:tcBorders>
          </w:tcPr>
          <w:p>
            <w:pPr>
              <w:spacing w:before="60" w:after="60"/>
            </w:pPr>
            <w:r>
              <w:rPr>
                <w:sz w:val="18"/>
              </w:rPr>
              <w:t>Valid exercise of State police power over higher education (Art. XIV, Sec. 4[1]).</w:t>
            </w:r>
          </w:p>
        </w:tc>
      </w:tr>
      <w:tr>
        <w:tc>
          <w:tcPr>
            <w:tcW w:type="dxa" w:w="2880"/>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Mandatory PhiLSAT (LEBMO No. 7-2016)</w:t>
            </w:r>
          </w:p>
        </w:tc>
        <w:tc>
          <w:tcPr>
            <w:tcW w:type="dxa" w:w="2592"/>
            <w:shd w:fill="FFFFFF"/>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Infringes on institutional academic freedom regarding 'who may be admitted to study' (Art. XIV, Sec. 5[2]).</w:t>
            </w:r>
          </w:p>
        </w:tc>
      </w:tr>
      <w:tr>
        <w:tc>
          <w:tcPr>
            <w:tcW w:type="dxa" w:w="2880"/>
            <w:shd w:fill="F1F5F9"/>
            <w:tcBorders>
              <w:top w:val="single" w:sz="4" w:space="0" w:color="CBD5E1"/>
              <w:bottom w:val="single" w:sz="4" w:space="0" w:color="CBD5E1"/>
              <w:left w:val="single" w:sz="4" w:space="0" w:color="CBD5E1"/>
              <w:right w:val="single" w:sz="4" w:space="0" w:color="CBD5E1"/>
            </w:tcBorders>
          </w:tcPr>
          <w:p>
            <w:pPr>
              <w:spacing w:before="60" w:after="60"/>
            </w:pPr>
            <w:r>
              <w:rPr>
                <w:sz w:val="18"/>
              </w:rPr>
              <w:t>Pre-Bar Internship (Sec. 7[g], R.A. 7662)</w:t>
            </w:r>
          </w:p>
        </w:tc>
        <w:tc>
          <w:tcPr>
            <w:tcW w:type="dxa" w:w="2592"/>
            <w:shd w:fill="F1F5F9"/>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1F5F9"/>
            <w:tcBorders>
              <w:top w:val="single" w:sz="4" w:space="0" w:color="CBD5E1"/>
              <w:bottom w:val="single" w:sz="4" w:space="0" w:color="CBD5E1"/>
              <w:left w:val="single" w:sz="4" w:space="0" w:color="CBD5E1"/>
              <w:right w:val="single" w:sz="4" w:space="0" w:color="CBD5E1"/>
            </w:tcBorders>
          </w:tcPr>
          <w:p>
            <w:pPr>
              <w:spacing w:before="60" w:after="60"/>
            </w:pPr>
            <w:r>
              <w:rPr>
                <w:sz w:val="18"/>
              </w:rPr>
              <w:t>Usurps Supreme Court's exclusive authority over admission to the Bar (Art. VIII, Sec. 5[5]).</w:t>
            </w:r>
          </w:p>
        </w:tc>
      </w:tr>
      <w:tr>
        <w:tc>
          <w:tcPr>
            <w:tcW w:type="dxa" w:w="2880"/>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MCLE Supervision (Sec. 7[h], R.A. 7662)</w:t>
            </w:r>
          </w:p>
        </w:tc>
        <w:tc>
          <w:tcPr>
            <w:tcW w:type="dxa" w:w="2592"/>
            <w:shd w:fill="FFFFFF"/>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Usurps Supreme Court's exclusive authority over the Integrated Bar and legal practice (BM No. 850).</w:t>
            </w:r>
          </w:p>
        </w:tc>
      </w:tr>
      <w:tr>
        <w:tc>
          <w:tcPr>
            <w:tcW w:type="dxa" w:w="2880"/>
            <w:shd w:fill="F1F5F9"/>
            <w:tcBorders>
              <w:top w:val="single" w:sz="4" w:space="0" w:color="CBD5E1"/>
              <w:bottom w:val="single" w:sz="4" w:space="0" w:color="CBD5E1"/>
              <w:left w:val="single" w:sz="4" w:space="0" w:color="CBD5E1"/>
              <w:right w:val="single" w:sz="4" w:space="0" w:color="CBD5E1"/>
            </w:tcBorders>
          </w:tcPr>
          <w:p>
            <w:pPr>
              <w:spacing w:before="60" w:after="60"/>
            </w:pPr>
            <w:r>
              <w:rPr>
                <w:sz w:val="18"/>
              </w:rPr>
              <w:t>Mandatory LL.M. for Faculty</w:t>
            </w:r>
          </w:p>
        </w:tc>
        <w:tc>
          <w:tcPr>
            <w:tcW w:type="dxa" w:w="2592"/>
            <w:shd w:fill="F1F5F9"/>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1F5F9"/>
            <w:tcBorders>
              <w:top w:val="single" w:sz="4" w:space="0" w:color="CBD5E1"/>
              <w:bottom w:val="single" w:sz="4" w:space="0" w:color="CBD5E1"/>
              <w:left w:val="single" w:sz="4" w:space="0" w:color="CBD5E1"/>
              <w:right w:val="single" w:sz="4" w:space="0" w:color="CBD5E1"/>
            </w:tcBorders>
          </w:tcPr>
          <w:p>
            <w:pPr>
              <w:spacing w:before="60" w:after="60"/>
            </w:pPr>
            <w:r>
              <w:rPr>
                <w:sz w:val="18"/>
              </w:rPr>
              <w:t>Infringes on institutional academic freedom regarding 'who may teach' (Art. XIV, Sec. 5[2]).</w:t>
            </w:r>
          </w:p>
        </w:tc>
      </w:tr>
      <w:tr>
        <w:tc>
          <w:tcPr>
            <w:tcW w:type="dxa" w:w="2880"/>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Graduate Program Restrictions</w:t>
            </w:r>
          </w:p>
        </w:tc>
        <w:tc>
          <w:tcPr>
            <w:tcW w:type="dxa" w:w="2592"/>
            <w:shd w:fill="FFFFFF"/>
            <w:tcBorders>
              <w:top w:val="single" w:sz="4" w:space="0" w:color="CBD5E1"/>
              <w:bottom w:val="single" w:sz="4" w:space="0" w:color="CBD5E1"/>
              <w:left w:val="single" w:sz="4" w:space="0" w:color="CBD5E1"/>
              <w:right w:val="single" w:sz="4" w:space="0" w:color="CBD5E1"/>
            </w:tcBorders>
          </w:tcPr>
          <w:p>
            <w:pPr>
              <w:spacing w:before="60" w:after="60"/>
              <w:jc w:val="center"/>
            </w:pPr>
            <w:r>
              <w:rPr>
                <w:b/>
                <w:color w:val="B91C1C"/>
                <w:sz w:val="18"/>
              </w:rPr>
              <w:t>STRUCK DOWN (Unconstitutional)</w:t>
            </w:r>
          </w:p>
        </w:tc>
        <w:tc>
          <w:tcPr>
            <w:tcW w:type="dxa" w:w="3888"/>
            <w:shd w:fill="FFFFFF"/>
            <w:tcBorders>
              <w:top w:val="single" w:sz="4" w:space="0" w:color="CBD5E1"/>
              <w:bottom w:val="single" w:sz="4" w:space="0" w:color="CBD5E1"/>
              <w:left w:val="single" w:sz="4" w:space="0" w:color="CBD5E1"/>
              <w:right w:val="single" w:sz="4" w:space="0" w:color="CBD5E1"/>
            </w:tcBorders>
          </w:tcPr>
          <w:p>
            <w:pPr>
              <w:spacing w:before="60" w:after="60"/>
            </w:pPr>
            <w:r>
              <w:rPr>
                <w:sz w:val="18"/>
              </w:rPr>
              <w:t>Violates academic freedom in designing curricula and admitting graduate students.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