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365D"/>
          <w:sz w:val="32"/>
        </w:rPr>
        <w:t>CRIMINAL LAW I: CASE STUDIES &amp; ASSIGNED DIGESTS</w:t>
      </w:r>
    </w:p>
    <w:p>
      <w:pPr>
        <w:spacing w:before="40" w:after="280"/>
        <w:jc w:val="center"/>
      </w:pPr>
      <w:r>
        <w:rPr>
          <w:rFonts w:ascii="Arial" w:hAnsi="Arial"/>
          <w:i/>
          <w:color w:val="4A5568"/>
          <w:sz w:val="20"/>
        </w:rPr>
        <w:t>Week 7 Comprehensive Case Studies, Doctrinal Analyses &amp; Jurisprudential Synthesis</w:t>
        <w:br/>
        <w:t>Covering Retroactivity, Ex Post Facto Laws, Defense of Property, Firearm Penalties, Subversion Repeal, Time-Bars, &amp; Juvenile Justice</w:t>
      </w:r>
    </w:p>
    <w:tbl>
      <w:tblPr>
        <w:tblW w:type="auto" w:w="0"/>
        <w:jc w:val="center"/>
        <w:tblLook w:firstColumn="1" w:firstRow="1" w:lastColumn="0" w:lastRow="0" w:noHBand="0" w:noVBand="1" w:val="04A0"/>
      </w:tblPr>
      <w:tblGrid>
        <w:gridCol w:w="9360"/>
      </w:tblGrid>
      <w:tr>
        <w:tc>
          <w:tcPr>
            <w:tcW w:type="dxa" w:w="9360"/>
            <w:shd w:fill="1A365D"/>
          </w:tcPr>
          <w:p>
            <w:pPr>
              <w:spacing w:before="20" w:after="20"/>
            </w:pPr>
          </w:p>
        </w:tc>
      </w:tr>
    </w:tbl>
    <w:p>
      <w:pPr>
        <w:spacing w:after="120"/>
      </w:pPr>
    </w:p>
    <w:p>
      <w:pPr>
        <w:keepNext/>
        <w:spacing w:before="280" w:after="40"/>
      </w:pPr>
      <w:r>
        <w:rPr>
          <w:rFonts w:ascii="Arial" w:hAnsi="Arial"/>
          <w:b/>
          <w:color w:val="1A365D"/>
          <w:sz w:val="26"/>
        </w:rPr>
        <w:t xml:space="preserve">(i) </w:t>
      </w:r>
      <w:r>
        <w:rPr>
          <w:rFonts w:ascii="Arial" w:hAnsi="Arial"/>
          <w:b/>
          <w:color w:val="1A365D"/>
          <w:sz w:val="26"/>
        </w:rPr>
        <w:t>Mario Gumabon, et al. v. Director of the Bureau of Prisons</w:t>
      </w:r>
    </w:p>
    <w:p>
      <w:pPr>
        <w:keepNext/>
        <w:spacing w:before="20" w:after="120"/>
      </w:pPr>
      <w:r>
        <w:rPr>
          <w:rFonts w:ascii="Arial" w:hAnsi="Arial"/>
          <w:i/>
          <w:color w:val="4A5568"/>
          <w:sz w:val="19"/>
        </w:rPr>
        <w:t>Citation: G.R. No. L-30026, January 30, 1971 | 37 SCRA 420</w:t>
        <w:br/>
        <w:t>Ponente: Fernando, J.</w:t>
        <w:br/>
        <w:t>Subject &amp; Key Concepts: Retroactivity of Favorable Judicial Doctrines (Art. 8, Civil Code &amp; Art. 22, RPC); Hernandez Doctrine on Rebellion; Writ of Habeas Corpus; Equal Protection Clause; Jurisdictional Defect.</w:t>
      </w:r>
    </w:p>
    <w:p>
      <w:pPr>
        <w:keepNext/>
        <w:spacing w:before="120" w:after="40"/>
      </w:pPr>
      <w:r>
        <w:rPr>
          <w:b/>
          <w:color w:val="2B6CB0"/>
          <w:sz w:val="22"/>
        </w:rPr>
        <w:t>FACTS:</w:t>
      </w:r>
    </w:p>
    <w:p>
      <w:pPr>
        <w:spacing w:before="40" w:after="80" w:line="276" w:lineRule="auto"/>
      </w:pPr>
      <w:r>
        <w:rPr>
          <w:sz w:val="20"/>
        </w:rPr>
        <w:t>In late 1953, petitioners Mario Gumabon, Blas Bagolbagol, Gaudencio Agapito, Epifanio Padua, and Paterno Palmares pleaded guilty in the Court of First Instance to separate informations charging them with the complex crime of 'Rebellion with Multiple Murder, Robbery, Arson, and Kidnapping.' They were convicted and sentenced to reclusion perpetua and long prison terms.</w:t>
      </w:r>
    </w:p>
    <w:p>
      <w:pPr>
        <w:spacing w:before="40" w:after="80" w:line="276" w:lineRule="auto"/>
      </w:pPr>
      <w:r>
        <w:rPr>
          <w:sz w:val="20"/>
        </w:rPr>
        <w:t>In May 1956, the Supreme Court decided the landmark case of People v. Hernandez (99 Phil. 515), establishing the definitive doctrine that under the Revised Penal Code, there is NO complex crime of rebellion with murder, arson, or robbery, because common crimes committed in furtherance of a political uprising are absorbed into simple rebellion. Under the RPC, simple rebellion carries a maximum penalty of prision mayor (6 years and 1 day to 12 years) and a fine.</w:t>
      </w:r>
    </w:p>
    <w:p>
      <w:pPr>
        <w:spacing w:before="40" w:after="80" w:line="276" w:lineRule="auto"/>
      </w:pPr>
      <w:r>
        <w:rPr>
          <w:sz w:val="20"/>
        </w:rPr>
        <w:t>By 1971, petitioners had already been incarcerated continuously for over 17 years—a period significantly exceeding the maximum penalty for simple rebellion. They filed a Petition for a Writ of Habeas Corpus before the Supreme Court, praying for their immediate release on the ground that the favorable doctrine in People v. Hernandez must be applied retroactively to them. The Director of Prisons opposed the petition, arguing that the judgments of conviction had already become final and executory before Hernandez was promulgated.</w:t>
      </w:r>
    </w:p>
    <w:p>
      <w:pPr>
        <w:keepNext/>
        <w:spacing w:before="120" w:after="40"/>
      </w:pPr>
      <w:r>
        <w:rPr>
          <w:b/>
          <w:color w:val="2B6CB0"/>
          <w:sz w:val="22"/>
        </w:rPr>
        <w:t>ISSUES:</w:t>
      </w:r>
    </w:p>
    <w:p>
      <w:pPr>
        <w:spacing w:before="20" w:after="60" w:line="276" w:lineRule="auto"/>
        <w:ind w:left="288"/>
      </w:pPr>
      <w:r>
        <w:rPr>
          <w:i/>
          <w:sz w:val="20"/>
        </w:rPr>
        <w:t>1. Does the favorable judicial doctrine laid down in People v. Hernandez apply retroactively to convicts whose sentences became final prior to the promulgation of said doctrine?</w:t>
      </w:r>
    </w:p>
    <w:p>
      <w:pPr>
        <w:spacing w:before="20" w:after="60" w:line="276" w:lineRule="auto"/>
        <w:ind w:left="288"/>
      </w:pPr>
      <w:r>
        <w:rPr>
          <w:i/>
          <w:sz w:val="20"/>
        </w:rPr>
        <w:t>2. Is the Writ of Habeas Corpus the proper legal remedy to secure the release of prisoners whose continued detention is based on a doctrine later abandoned or modified in favor of the accused?</w:t>
      </w:r>
    </w:p>
    <w:p>
      <w:pPr>
        <w:keepNext/>
        <w:spacing w:before="120" w:after="40"/>
      </w:pPr>
      <w:r>
        <w:rPr>
          <w:b/>
          <w:color w:val="2B6CB0"/>
          <w:sz w:val="22"/>
        </w:rPr>
        <w:t>RULING &amp; RATIO DECIDENDI:</w:t>
      </w:r>
    </w:p>
    <w:p>
      <w:pPr>
        <w:spacing w:before="40" w:after="80" w:line="276" w:lineRule="auto"/>
      </w:pPr>
      <w:r>
        <w:rPr>
          <w:sz w:val="20"/>
        </w:rPr>
        <w:t>1. YES. Favorable judicial decisions apply retroactively pursuant to Article 22 of the Revised Penal Code and the Equal Protection Clause. Under Article 8 of the Civil Code, judicial decisions applying or interpreting the law form part of the Philippine legal system. Judicial interpretation does not create new law but declares what the law has always meant from its inception. Under Article 22 of the RPC, penal laws operate retroactively when favorable to an accused who is not a habitual delinquent, even if a final judgment has been rendered and the convict is serving sentence. This principle applies with equal force to judicial interpretations favorable to the accused. To deny petitioners the benefit of the Hernandez doctrine while granting it to others similarly situated would violate the Equal Protection Clause.</w:t>
      </w:r>
    </w:p>
    <w:p>
      <w:pPr>
        <w:spacing w:before="40" w:after="80" w:line="276" w:lineRule="auto"/>
      </w:pPr>
      <w:r>
        <w:rPr>
          <w:sz w:val="20"/>
        </w:rPr>
        <w:t>2. YES. Habeas Corpus is the proper remedy. While habeas corpus generally cannot assail a valid judgment of a competent court, an exception arises when an individual is detained beyond the maximum lawful penalty, or where continued detention violates a constitutional right (such as equal protection). The deprivation of a fundamental constitutional right ousts the trial court of its jurisdiction to enforce the judgment, rendering habeas corpus available.</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HERNANDEZ &amp; GUMABON DOCTRINE: RETROACTIVITY OF JUDICIAL INTERPRETATIONS</w:t>
              <w:br/>
            </w:r>
          </w:p>
          <w:p>
            <w:pPr>
              <w:spacing w:before="40" w:after="60" w:line="276" w:lineRule="auto"/>
            </w:pPr>
            <w:r>
              <w:rPr>
                <w:rFonts w:ascii="Arial" w:hAnsi="Arial"/>
                <w:color w:val="2D3748"/>
                <w:sz w:val="19"/>
              </w:rPr>
              <w:t>• Statutory &amp; Civil Code Foundation: Article 8, Civil Code (Jurisprudence forms part of the legal system) in relation to Article 22, RPC (Retroactivity of favorable penal rules).</w:t>
            </w:r>
          </w:p>
          <w:p>
            <w:pPr>
              <w:spacing w:before="40" w:after="60" w:line="276" w:lineRule="auto"/>
            </w:pPr>
            <w:r>
              <w:rPr>
                <w:rFonts w:ascii="Arial" w:hAnsi="Arial"/>
                <w:color w:val="2D3748"/>
                <w:sz w:val="19"/>
              </w:rPr>
              <w:t>• Core Rule: Judicial doctrines interpreting penal laws in favor of the accused MUST be applied retroactively, even to final convictions, to prevent unconstitutional inequality under the Equal Protection Clause.</w:t>
            </w:r>
          </w:p>
          <w:p>
            <w:pPr>
              <w:spacing w:before="40" w:after="60" w:line="276" w:lineRule="auto"/>
            </w:pPr>
            <w:r>
              <w:rPr>
                <w:rFonts w:ascii="Arial" w:hAnsi="Arial"/>
                <w:color w:val="2D3748"/>
                <w:sz w:val="19"/>
              </w:rPr>
              <w:t>• Remedy: Writ of Habeas Corpus lies to order immediate release when the legal sentence has been fully served.</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(ii) </w:t>
      </w:r>
      <w:r>
        <w:rPr>
          <w:rFonts w:ascii="Arial" w:hAnsi="Arial"/>
          <w:b/>
          <w:color w:val="1A365D"/>
          <w:sz w:val="26"/>
        </w:rPr>
        <w:t>In Re: Kay Villegas Kami, Inc.</w:t>
      </w:r>
    </w:p>
    <w:p>
      <w:pPr>
        <w:keepNext/>
        <w:spacing w:before="20" w:after="120"/>
      </w:pPr>
      <w:r>
        <w:rPr>
          <w:rFonts w:ascii="Arial" w:hAnsi="Arial"/>
          <w:i/>
          <w:color w:val="4A5568"/>
          <w:sz w:val="19"/>
        </w:rPr>
        <w:t>Citation: G.R. No. L-32485, October 22, 1970 | 35 SCRA 429</w:t>
        <w:br/>
        <w:t>Ponente: Makasiar, J.</w:t>
        <w:br/>
        <w:t>Subject &amp; Key Concepts: Definition and Six Categories of Ex Post Facto Laws; Requisites of a Bill of Attainder; Constitutional Limitations on Penal Statutes (Art. III, Sec. 22); Prospectivity of Election Regulations.</w:t>
      </w:r>
    </w:p>
    <w:p>
      <w:pPr>
        <w:keepNext/>
        <w:spacing w:before="120" w:after="40"/>
      </w:pPr>
      <w:r>
        <w:rPr>
          <w:b/>
          <w:color w:val="2B6CB0"/>
          <w:sz w:val="22"/>
        </w:rPr>
        <w:t>FACTS:</w:t>
      </w:r>
    </w:p>
    <w:p>
      <w:pPr>
        <w:spacing w:before="40" w:after="80" w:line="276" w:lineRule="auto"/>
      </w:pPr>
      <w:r>
        <w:rPr>
          <w:sz w:val="20"/>
        </w:rPr>
        <w:t>Kay Villegas Kami, Inc., a recognized non-stock civic organization, filed a petition for declaratory relief assailing the constitutionality of Section 12 of Republic Act No. 6132 (the 1971 Constitutional Convention Act).</w:t>
      </w:r>
    </w:p>
    <w:p>
      <w:pPr>
        <w:spacing w:before="40" w:after="80" w:line="276" w:lineRule="auto"/>
      </w:pPr>
      <w:r>
        <w:rPr>
          <w:sz w:val="20"/>
        </w:rPr>
        <w:t>Section 12 prohibited any political party, civic, religious, professional, or other organization from supporting, campaigning for, or giving financial or material aid to any candidate for delegate to the 1971 Constitutional Convention, and penalized violations with imprisonment and disqualification from office.</w:t>
      </w:r>
    </w:p>
    <w:p>
      <w:pPr>
        <w:spacing w:before="40" w:after="80" w:line="276" w:lineRule="auto"/>
      </w:pPr>
      <w:r>
        <w:rPr>
          <w:sz w:val="20"/>
        </w:rPr>
        <w:t>The petitioner argued that Section 12 was unconstitutional because it operated as an ex post facto law and a bill of attainder, unlawfully infringing upon the rights of existing organizations and penalizing their collective civic participation.</w:t>
      </w:r>
    </w:p>
    <w:p>
      <w:pPr>
        <w:keepNext/>
        <w:spacing w:before="120" w:after="40"/>
      </w:pPr>
      <w:r>
        <w:rPr>
          <w:b/>
          <w:color w:val="2B6CB0"/>
          <w:sz w:val="22"/>
        </w:rPr>
        <w:t>ISSUES:</w:t>
      </w:r>
    </w:p>
    <w:p>
      <w:pPr>
        <w:spacing w:before="20" w:after="60" w:line="276" w:lineRule="auto"/>
        <w:ind w:left="288"/>
      </w:pPr>
      <w:r>
        <w:rPr>
          <w:i/>
          <w:sz w:val="20"/>
        </w:rPr>
        <w:t>1. Does Section 12 of Republic Act No. 6132 constitute an ex post facto law?</w:t>
      </w:r>
    </w:p>
    <w:p>
      <w:pPr>
        <w:spacing w:before="20" w:after="60" w:line="276" w:lineRule="auto"/>
        <w:ind w:left="288"/>
      </w:pPr>
      <w:r>
        <w:rPr>
          <w:i/>
          <w:sz w:val="20"/>
        </w:rPr>
        <w:t>2. Does Section 12 constitute a bill of attainder?</w:t>
      </w:r>
    </w:p>
    <w:p>
      <w:pPr>
        <w:keepNext/>
        <w:spacing w:before="120" w:after="40"/>
      </w:pPr>
      <w:r>
        <w:rPr>
          <w:b/>
          <w:color w:val="2B6CB0"/>
          <w:sz w:val="22"/>
        </w:rPr>
        <w:t>RULING &amp; RATIO DECIDENDI:</w:t>
      </w:r>
    </w:p>
    <w:p>
      <w:pPr>
        <w:spacing w:before="40" w:after="80" w:line="276" w:lineRule="auto"/>
      </w:pPr>
      <w:r>
        <w:rPr>
          <w:sz w:val="20"/>
        </w:rPr>
        <w:t>1. NO. Section 12 of RA 6132 is NOT an ex post facto law. The Supreme Court established the classic six-fold classification of ex post facto laws (originating from Calder v. Bull and Mekin v. Wolfe): (a) Every law that makes an action done before the passing of the law, and which was innocent when done, criminal; (b) Every law that aggravates a crime, or makes it greater than it was when committed; (c) Every law that inflicts a greater punishment than the law annexed to the crime when committed; (d) Every law that alters the legal rules of evidence to receive less or different testimony to convict; (e) Every law which, assuming to regulate civil rights, penalizes an act that was lawful when done; and (f) Every law which deprives an accused of a lawful protection or defense previously acquired. The constitutional prohibition against ex post facto legislation applies strictly to criminal/penal statutes that operate retroactively. Section 12 of RA 6132 is purely prospective—it penalizes only acts committed during the election period after the law took effect.</w:t>
      </w:r>
    </w:p>
    <w:p>
      <w:pPr>
        <w:spacing w:before="40" w:after="80" w:line="276" w:lineRule="auto"/>
      </w:pPr>
      <w:r>
        <w:rPr>
          <w:sz w:val="20"/>
        </w:rPr>
        <w:t>2. NO. Section 12 is NOT a bill of attainder. A bill of attainder is a legislative act that inflicts punishment upon specific individuals or groups without a judicial trial. Section 12 does not convict or punish anyone by legislative decree; any person or entity accused of violating it is entitled to a full judicial trial with all due process guarantees.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CONSTITUTIONAL LIMITS: EX POST FACTO LAWS VS. BILL OF ATTAINDER</w:t>
              <w:br/>
            </w:r>
          </w:p>
          <w:p>
            <w:pPr>
              <w:spacing w:before="40" w:after="60" w:line="276" w:lineRule="auto"/>
            </w:pPr>
            <w:r>
              <w:rPr>
                <w:rFonts w:ascii="Arial" w:hAnsi="Arial"/>
                <w:color w:val="2D3748"/>
                <w:sz w:val="19"/>
              </w:rPr>
              <w:t>• Ex Post Facto Law: Applies only to penal laws operating retroactively on past actions to make them criminal or aggravate punishment.</w:t>
            </w:r>
          </w:p>
          <w:p>
            <w:pPr>
              <w:spacing w:before="40" w:after="60" w:line="276" w:lineRule="auto"/>
            </w:pPr>
            <w:r>
              <w:rPr>
                <w:rFonts w:ascii="Arial" w:hAnsi="Arial"/>
                <w:color w:val="2D3748"/>
                <w:sz w:val="19"/>
              </w:rPr>
              <w:t>• Bill of Attainder: Legislative punishment without a judicial trial.</w:t>
            </w:r>
          </w:p>
          <w:p>
            <w:pPr>
              <w:spacing w:before="40" w:after="60" w:line="276" w:lineRule="auto"/>
            </w:pPr>
            <w:r>
              <w:rPr>
                <w:rFonts w:ascii="Arial" w:hAnsi="Arial"/>
                <w:color w:val="2D3748"/>
                <w:sz w:val="19"/>
              </w:rPr>
              <w:t>• Constitutional Anchor: Article III, Section 22, 1987 Philippine Constitution ('No ex post facto law or bill of attainder shall be enacted').</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(iii) </w:t>
      </w:r>
      <w:r>
        <w:rPr>
          <w:rFonts w:ascii="Arial" w:hAnsi="Arial"/>
          <w:b/>
          <w:color w:val="1A365D"/>
          <w:sz w:val="26"/>
        </w:rPr>
        <w:t>People of the Philippines v. Mamerto Narvaez</w:t>
      </w:r>
    </w:p>
    <w:p>
      <w:pPr>
        <w:keepNext/>
        <w:spacing w:before="20" w:after="120"/>
      </w:pPr>
      <w:r>
        <w:rPr>
          <w:rFonts w:ascii="Arial" w:hAnsi="Arial"/>
          <w:i/>
          <w:color w:val="4A5568"/>
          <w:sz w:val="19"/>
        </w:rPr>
        <w:t>Citation: G.R. Nos. L-33466-67, April 20, 1983 | 121 SCRA 389</w:t>
        <w:br/>
        <w:t>Ponente: Makasiar, J. (Gutierrez, Jr., J., dissenting)</w:t>
        <w:br/>
        <w:t>Subject &amp; Key Concepts: Defense of Property (Art. 11, Par. 1, RPC); Privileged Mitigating Circumstance of Incomplete Self-Defense (Art. 69 in rel. to Art. 13, Par. 1); Unlawful Aggression against Property Rights; Passion &amp; Obfuscation (Art. 13, Par. 6); Voluntary Surrender (Art. 13, Par. 7).</w:t>
      </w:r>
    </w:p>
    <w:p>
      <w:pPr>
        <w:keepNext/>
        <w:spacing w:before="120" w:after="40"/>
      </w:pPr>
      <w:r>
        <w:rPr>
          <w:b/>
          <w:color w:val="2B6CB0"/>
          <w:sz w:val="22"/>
        </w:rPr>
        <w:t>FACTS:</w:t>
      </w:r>
    </w:p>
    <w:p>
      <w:pPr>
        <w:spacing w:before="40" w:after="80" w:line="276" w:lineRule="auto"/>
      </w:pPr>
      <w:r>
        <w:rPr>
          <w:sz w:val="20"/>
        </w:rPr>
        <w:t>Mamerto Narvaez occupied an agricultural lot in Maitum, South Cotabato, where he built his residential house and operated a rice mill. The land became the subject of an ownership dispute with Davis Fleischer and Company. While Narvaez's administrative protest was pending, Fleischer and his manager, Flaviano Rubia, secured title and ordered Narvaez to vacate.</w:t>
      </w:r>
    </w:p>
    <w:p>
      <w:pPr>
        <w:spacing w:before="40" w:after="80" w:line="276" w:lineRule="auto"/>
      </w:pPr>
      <w:r>
        <w:rPr>
          <w:sz w:val="20"/>
        </w:rPr>
        <w:t>On August 22, 1968, while Narvaez was resting inside his house, Fleischer, Rubia, and several laborers began constructing a barbed-wire fence directly in front of Narvaez's house. The fence completely walled off access to his rice mill and enclosed his house within a narrow pen.</w:t>
      </w:r>
    </w:p>
    <w:p>
      <w:pPr>
        <w:spacing w:before="40" w:after="80" w:line="276" w:lineRule="auto"/>
      </w:pPr>
      <w:r>
        <w:rPr>
          <w:sz w:val="20"/>
        </w:rPr>
        <w:t>Narvaez appeared on his balcony and pleaded with Fleischer to stop fencing so they could discuss the matter peacefully. Fleischer shouted: 'No, gadamit, proceed, go ahead!' and reached toward his waist where he kept a gun. Overcome by intense obfuscation and seeing his property and ingress barricaded, Narvaez grabbed his shotgun and fired, killing both Fleischer and Rubia. Narvaez surrendered to the police immediately. The trial court convicted him of two counts of Murder with Treachery and sentenced him to reclusion perpetua.</w:t>
      </w:r>
    </w:p>
    <w:p>
      <w:pPr>
        <w:keepNext/>
        <w:spacing w:before="120" w:after="40"/>
      </w:pPr>
      <w:r>
        <w:rPr>
          <w:b/>
          <w:color w:val="2B6CB0"/>
          <w:sz w:val="22"/>
        </w:rPr>
        <w:t>ISSUES:</w:t>
      </w:r>
    </w:p>
    <w:p>
      <w:pPr>
        <w:spacing w:before="20" w:after="60" w:line="276" w:lineRule="auto"/>
        <w:ind w:left="288"/>
      </w:pPr>
      <w:r>
        <w:rPr>
          <w:i/>
          <w:sz w:val="20"/>
        </w:rPr>
        <w:t>1. Can the killing be justified as complete self-defense under Article 11, paragraph 1 of the RPC based on defense of property?</w:t>
      </w:r>
    </w:p>
    <w:p>
      <w:pPr>
        <w:spacing w:before="20" w:after="60" w:line="276" w:lineRule="auto"/>
        <w:ind w:left="288"/>
      </w:pPr>
      <w:r>
        <w:rPr>
          <w:i/>
          <w:sz w:val="20"/>
        </w:rPr>
        <w:t>2. Is the accused entitled to the privileged mitigating circumstance of incomplete self-defense (Art. 69, RPC)?</w:t>
      </w:r>
    </w:p>
    <w:p>
      <w:pPr>
        <w:spacing w:before="20" w:after="60" w:line="276" w:lineRule="auto"/>
        <w:ind w:left="288"/>
      </w:pPr>
      <w:r>
        <w:rPr>
          <w:i/>
          <w:sz w:val="20"/>
        </w:rPr>
        <w:t>3. What is the proper criminal liability and penalty?</w:t>
      </w:r>
    </w:p>
    <w:p>
      <w:pPr>
        <w:keepNext/>
        <w:spacing w:before="120" w:after="40"/>
      </w:pPr>
      <w:r>
        <w:rPr>
          <w:b/>
          <w:color w:val="2B6CB0"/>
          <w:sz w:val="22"/>
        </w:rPr>
        <w:t>RULING &amp; RATIO DECIDENDI:</w:t>
      </w:r>
    </w:p>
    <w:p>
      <w:pPr>
        <w:spacing w:before="40" w:after="80" w:line="276" w:lineRule="auto"/>
      </w:pPr>
      <w:r>
        <w:rPr>
          <w:sz w:val="20"/>
        </w:rPr>
        <w:t>1. NO to Complete Self-Defense. Defense of property alone CANNOT justify taking human life. The right to kill in self-defense requires that unlawful aggression poses actual, imminent peril to human life or personal safety. Human life is superior to property rights.</w:t>
      </w:r>
    </w:p>
    <w:p>
      <w:pPr>
        <w:spacing w:before="40" w:after="80" w:line="276" w:lineRule="auto"/>
      </w:pPr>
      <w:r>
        <w:rPr>
          <w:sz w:val="20"/>
        </w:rPr>
        <w:t>2. YES to Privileged Incomplete Self-Defense (Art. 69 in rel. to Art. 13, Par. 1). The Court held that: (a) Unlawful Aggression was present—the unlawful, aggressive fencing of Narvaez's house and mill, destroying his livelihood and blocking access, constituted an actual physical unlawful aggression against property and property rights; (b) Lack of Sufficient Provocation was present—Narvaez merely pleaded to talk; (c) Reasonable Necessity of the Means Employed was LACKING—firing a shotgun was completely disproportionate to repel an attack on mere property. Because the indispensable element (unlawful aggression) was present, Narvaez was entitled to privileged incomplete self-defense, lowering the penalty by two degrees.</w:t>
      </w:r>
    </w:p>
    <w:p>
      <w:pPr>
        <w:spacing w:before="40" w:after="80" w:line="276" w:lineRule="auto"/>
      </w:pPr>
      <w:r>
        <w:rPr>
          <w:sz w:val="20"/>
        </w:rPr>
        <w:t>3. Crime and Penalty Modified. Treachery was absent because the shooting was provoked by the victims' aggressive acts. The crime was modified from Murder to Homicide (2 counts). Appreciating incomplete self-defense (2 degrees lower), passion/obfuscation, and voluntary surrender, the penalty was reduced to arresto mayor max to prision correccional medium. Having served 14 years, Narvaez was ordered released immediately.</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DEFENSE OF PROPERTY &amp; PRIVILEGED INCOMPLETE SELF-DEFENSE</w:t>
              <w:br/>
            </w:r>
          </w:p>
          <w:p>
            <w:pPr>
              <w:spacing w:before="40" w:after="60" w:line="276" w:lineRule="auto"/>
            </w:pPr>
            <w:r>
              <w:rPr>
                <w:rFonts w:ascii="Arial" w:hAnsi="Arial"/>
                <w:color w:val="2D3748"/>
                <w:sz w:val="19"/>
              </w:rPr>
              <w:t>• Unlawful Aggression against Property: Fencing off a house/mill and blocking ingress constitutes unlawful aggression against property rights.</w:t>
            </w:r>
          </w:p>
          <w:p>
            <w:pPr>
              <w:spacing w:before="40" w:after="60" w:line="276" w:lineRule="auto"/>
            </w:pPr>
            <w:r>
              <w:rPr>
                <w:rFonts w:ascii="Arial" w:hAnsi="Arial"/>
                <w:color w:val="2D3748"/>
                <w:sz w:val="19"/>
              </w:rPr>
              <w:t>• Proportion Principle: Deadly force cannot be used solely to defend property unless personal safety/life is also endangered.</w:t>
            </w:r>
          </w:p>
          <w:p>
            <w:pPr>
              <w:spacing w:before="40" w:after="60" w:line="276" w:lineRule="auto"/>
            </w:pPr>
            <w:r>
              <w:rPr>
                <w:rFonts w:ascii="Arial" w:hAnsi="Arial"/>
                <w:color w:val="2D3748"/>
                <w:sz w:val="19"/>
              </w:rPr>
              <w:t>• Art. 69 RPC Application: Presence of unlawful aggression without reasonable necessity entitles the accused to a privileged reduction of penalty by 1 or 2 degrees.</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(iv) </w:t>
      </w:r>
      <w:r>
        <w:rPr>
          <w:rFonts w:ascii="Arial" w:hAnsi="Arial"/>
          <w:b/>
          <w:color w:val="1A365D"/>
          <w:sz w:val="26"/>
        </w:rPr>
        <w:t>People of the Philippines v. Augusto Loreto Ringor, Jr.</w:t>
      </w:r>
    </w:p>
    <w:p>
      <w:pPr>
        <w:keepNext/>
        <w:spacing w:before="20" w:after="120"/>
      </w:pPr>
      <w:r>
        <w:rPr>
          <w:rFonts w:ascii="Arial" w:hAnsi="Arial"/>
          <w:i/>
          <w:color w:val="4A5568"/>
          <w:sz w:val="19"/>
        </w:rPr>
        <w:t>Citation: G.R. No. 123918, December 9, 1999 | 320 SCRA 342</w:t>
        <w:br/>
        <w:t>Ponente: Puno, J.</w:t>
        <w:br/>
        <w:t>Subject &amp; Key Concepts: Non-Retroactivity of Unfavorable Penal Amendments (Art. III, Sec. 22; Art. 22, RPC); R.A. No. 8294 vs. P.D. No. 1866; Unlicensed Firearm as a Special Aggravating Circumstance; Modification of Capital Sentence.</w:t>
      </w:r>
    </w:p>
    <w:p>
      <w:pPr>
        <w:keepNext/>
        <w:spacing w:before="120" w:after="40"/>
      </w:pPr>
      <w:r>
        <w:rPr>
          <w:b/>
          <w:color w:val="2B6CB0"/>
          <w:sz w:val="22"/>
        </w:rPr>
        <w:t>FACTS:</w:t>
      </w:r>
    </w:p>
    <w:p>
      <w:pPr>
        <w:spacing w:before="40" w:after="80" w:line="276" w:lineRule="auto"/>
      </w:pPr>
      <w:r>
        <w:rPr>
          <w:sz w:val="20"/>
        </w:rPr>
        <w:t>On June 23, 1994, inside a restaurant in Baguio City, Augusto Loreto Ringor, Jr. had a confrontation with the victim, Marcelino Buslay Florida, Jr. Ringor left, retrieved an unlicensed .38 caliber revolver, returned, entered the restaurant kitchen, and shot Florida multiple times from behind, causing his death.</w:t>
      </w:r>
    </w:p>
    <w:p>
      <w:pPr>
        <w:spacing w:before="40" w:after="80" w:line="276" w:lineRule="auto"/>
      </w:pPr>
      <w:r>
        <w:rPr>
          <w:sz w:val="20"/>
        </w:rPr>
        <w:t>Ringor was charged in two separate informations: (1) Murder qualified by treachery under Art. 248 RPC; and (2) Illegal Possession of Firearms under Section 1 of P.D. No. 1866.</w:t>
      </w:r>
    </w:p>
    <w:p>
      <w:pPr>
        <w:spacing w:before="40" w:after="80" w:line="276" w:lineRule="auto"/>
      </w:pPr>
      <w:r>
        <w:rPr>
          <w:sz w:val="20"/>
        </w:rPr>
        <w:t>During the pendency of the case, Congress enacted Republic Act No. 8294 (effective July 6, 1997), which amended PD 1866. Under RA 8294, the use of an unlicensed firearm was no longer prosecuted as a separate crime if homicide or murder was committed; instead, it was treated as a special aggravating circumstance in the homicide or murder.</w:t>
      </w:r>
    </w:p>
    <w:p>
      <w:pPr>
        <w:spacing w:before="40" w:after="80" w:line="276" w:lineRule="auto"/>
      </w:pPr>
      <w:r>
        <w:rPr>
          <w:sz w:val="20"/>
        </w:rPr>
        <w:t>The trial court convicted Ringor of Murder and applied RA 8294 retroactively to treat the use of an unlicensed firearm as an aggravating circumstance, sentencing him to DEATH, while dismissing the separate illegal possession case.</w:t>
      </w:r>
    </w:p>
    <w:p>
      <w:pPr>
        <w:keepNext/>
        <w:spacing w:before="120" w:after="40"/>
      </w:pPr>
      <w:r>
        <w:rPr>
          <w:b/>
          <w:color w:val="2B6CB0"/>
          <w:sz w:val="22"/>
        </w:rPr>
        <w:t>ISSUES:</w:t>
      </w:r>
    </w:p>
    <w:p>
      <w:pPr>
        <w:spacing w:before="20" w:after="60" w:line="276" w:lineRule="auto"/>
        <w:ind w:left="288"/>
      </w:pPr>
      <w:r>
        <w:rPr>
          <w:i/>
          <w:sz w:val="20"/>
        </w:rPr>
        <w:t>1. Did the trial court err in applying Republic Act No. 8294 retroactively to appreciate the use of an unlicensed firearm as a special aggravating circumstance to impose the Death penalty?</w:t>
      </w:r>
    </w:p>
    <w:p>
      <w:pPr>
        <w:keepNext/>
        <w:spacing w:before="120" w:after="40"/>
      </w:pPr>
      <w:r>
        <w:rPr>
          <w:b/>
          <w:color w:val="2B6CB0"/>
          <w:sz w:val="22"/>
        </w:rPr>
        <w:t>RULING &amp; RATIO DECIDENDI:</w:t>
      </w:r>
    </w:p>
    <w:p>
      <w:pPr>
        <w:spacing w:before="40" w:after="80" w:line="276" w:lineRule="auto"/>
      </w:pPr>
      <w:r>
        <w:rPr>
          <w:sz w:val="20"/>
        </w:rPr>
        <w:t>1. YES. Retroactive application of RA 8294 to aggravate the penalty to Death was UNCONSTITUTIONAL. Under Article 22 of the RPC and Article III, Section 22 of the Constitution, penal laws operate retroactively ONLY when favorable to the accused. A statute that increases a penalty or introduces a new aggravating circumstance cannot be given retroactive application without violating the prohibition against ex post facto laws.</w:t>
      </w:r>
    </w:p>
    <w:p>
      <w:pPr>
        <w:spacing w:before="40" w:after="80" w:line="276" w:lineRule="auto"/>
      </w:pPr>
      <w:r>
        <w:rPr>
          <w:sz w:val="20"/>
        </w:rPr>
        <w:t>2. When the crime was committed on June 23, 1994, the prevailing law was P.D. 1866, where illegal possession was a separate offense, not an aggravating circumstance. Under the RPC in 1994, murder with treachery (without aggravating circumstances) carried reclusion perpetua. Applying RA 8294 to elevate the penalty to Death would inflict a heavier penalty than annexed when committed.</w:t>
      </w:r>
    </w:p>
    <w:p>
      <w:pPr>
        <w:spacing w:before="40" w:after="80" w:line="276" w:lineRule="auto"/>
      </w:pPr>
      <w:r>
        <w:rPr>
          <w:sz w:val="20"/>
        </w:rPr>
        <w:t>3. Conversely, the favorable aspect of RA 8294—which bars separate conviction for illegal possession when another crime is committed—applied in his favor. Thus, Ringor was convicted of Murder without aggravating circumstances and sentenced to Reclusion Perpetua.</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EX POST FACTO BAR ON AGGRAVATING AMENDMENTS (RA 8294)</w:t>
              <w:br/>
            </w:r>
          </w:p>
          <w:p>
            <w:pPr>
              <w:spacing w:before="40" w:after="60" w:line="276" w:lineRule="auto"/>
            </w:pPr>
            <w:r>
              <w:rPr>
                <w:rFonts w:ascii="Arial" w:hAnsi="Arial"/>
                <w:color w:val="2D3748"/>
                <w:sz w:val="19"/>
              </w:rPr>
              <w:t>• Dual Rule on RA 8294: (1) Favorable decriminalization of separate firearms prosecution applies retroactively; (2) Unfavorable conversion into a special aggravating circumstance CANNOT apply retroactively.</w:t>
            </w:r>
          </w:p>
          <w:p>
            <w:pPr>
              <w:spacing w:before="40" w:after="60" w:line="276" w:lineRule="auto"/>
            </w:pPr>
            <w:r>
              <w:rPr>
                <w:rFonts w:ascii="Arial" w:hAnsi="Arial"/>
                <w:color w:val="2D3748"/>
                <w:sz w:val="19"/>
              </w:rPr>
              <w:t>• Penalty Standard: The law in force at the time of commission governs penalty computation unless a subsequent law is more lenient.</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(v) </w:t>
      </w:r>
      <w:r>
        <w:rPr>
          <w:rFonts w:ascii="Arial" w:hAnsi="Arial"/>
          <w:b/>
          <w:color w:val="1A365D"/>
          <w:sz w:val="26"/>
        </w:rPr>
        <w:t>People of the Philippines v. Hon. Alfredo Pimentel and Antonio Tujan</w:t>
      </w:r>
    </w:p>
    <w:p>
      <w:pPr>
        <w:keepNext/>
        <w:spacing w:before="20" w:after="120"/>
      </w:pPr>
      <w:r>
        <w:rPr>
          <w:rFonts w:ascii="Arial" w:hAnsi="Arial"/>
          <w:i/>
          <w:color w:val="4A5568"/>
          <w:sz w:val="19"/>
        </w:rPr>
        <w:t>Citation: G.R. No. 100210, April 1, 1998 | 288 SCRA 542</w:t>
        <w:br/>
        <w:t>Ponente: Panganiban, J.</w:t>
        <w:br/>
        <w:t>Subject &amp; Key Concepts: Retroactivity of Total Statutory Repeal (Decriminalization); R.A. No. 7636 Repealing R.A. No. 1700 (Anti-Subversion Act); Absorption Doctrine (Hernandez); Illegal Possession of Firearms (P.D. 1866); Double Jeopardy.</w:t>
      </w:r>
    </w:p>
    <w:p>
      <w:pPr>
        <w:keepNext/>
        <w:spacing w:before="120" w:after="40"/>
      </w:pPr>
      <w:r>
        <w:rPr>
          <w:b/>
          <w:color w:val="2B6CB0"/>
          <w:sz w:val="22"/>
        </w:rPr>
        <w:t>FACTS:</w:t>
      </w:r>
    </w:p>
    <w:p>
      <w:pPr>
        <w:spacing w:before="40" w:after="80" w:line="276" w:lineRule="auto"/>
      </w:pPr>
      <w:r>
        <w:rPr>
          <w:sz w:val="20"/>
        </w:rPr>
        <w:t>In 1983, an information for Subversion under Republic Act No. 1700 was filed against Antonio Tujan before the RTC of Manila. Tujan went into hiding and was arrested on June 5, 1990 in Marikina, found in possession of an unlicensed .38 caliber revolver and ammunition.</w:t>
      </w:r>
    </w:p>
    <w:p>
      <w:pPr>
        <w:spacing w:before="40" w:after="80" w:line="276" w:lineRule="auto"/>
      </w:pPr>
      <w:r>
        <w:rPr>
          <w:sz w:val="20"/>
        </w:rPr>
        <w:t>A second information was filed against Tujan before the RTC of Pasig (Branch 148, presided by Judge Alfredo Pimentel) for 'Illegal Possession of Firearm and Ammunition in Furtherance of Subversion' under P.D. No. 1866.</w:t>
      </w:r>
    </w:p>
    <w:p>
      <w:pPr>
        <w:spacing w:before="40" w:after="80" w:line="276" w:lineRule="auto"/>
      </w:pPr>
      <w:r>
        <w:rPr>
          <w:sz w:val="20"/>
        </w:rPr>
        <w:t>Tujan moved to quash the firearm information, claiming Double Jeopardy and arguing that under the Hernandez absorption doctrine, firearm possession was absorbed into subversion. Judge Pimentel quashed the firearm charge. The State appealed. During the pendency of the appeal, Congress enacted Republic Act No. 7636 (effective Sept. 22, 1992), which TOTALLY REPEALED the Anti-Subversion Act (RA 1700).</w:t>
      </w:r>
    </w:p>
    <w:p>
      <w:pPr>
        <w:keepNext/>
        <w:spacing w:before="120" w:after="40"/>
      </w:pPr>
      <w:r>
        <w:rPr>
          <w:b/>
          <w:color w:val="2B6CB0"/>
          <w:sz w:val="22"/>
        </w:rPr>
        <w:t>ISSUES:</w:t>
      </w:r>
    </w:p>
    <w:p>
      <w:pPr>
        <w:spacing w:before="20" w:after="60" w:line="276" w:lineRule="auto"/>
        <w:ind w:left="288"/>
      </w:pPr>
      <w:r>
        <w:rPr>
          <w:i/>
          <w:sz w:val="20"/>
        </w:rPr>
        <w:t>1. Did the repeal of RA 1700 by RA 7636 extinguish Tujan's criminal liability for Subversion?</w:t>
      </w:r>
    </w:p>
    <w:p>
      <w:pPr>
        <w:spacing w:before="20" w:after="60" w:line="276" w:lineRule="auto"/>
        <w:ind w:left="288"/>
      </w:pPr>
      <w:r>
        <w:rPr>
          <w:i/>
          <w:sz w:val="20"/>
        </w:rPr>
        <w:t>2. Does the repeal of Subversion require the dismissal of the illegal possession of firearms charge under PD 1866?</w:t>
      </w:r>
    </w:p>
    <w:p>
      <w:pPr>
        <w:spacing w:before="20" w:after="60" w:line="276" w:lineRule="auto"/>
        <w:ind w:left="288"/>
      </w:pPr>
      <w:r>
        <w:rPr>
          <w:i/>
          <w:sz w:val="20"/>
        </w:rPr>
        <w:t>3. Did the two prosecutions constitute double jeopardy?</w:t>
      </w:r>
    </w:p>
    <w:p>
      <w:pPr>
        <w:keepNext/>
        <w:spacing w:before="120" w:after="40"/>
      </w:pPr>
      <w:r>
        <w:rPr>
          <w:b/>
          <w:color w:val="2B6CB0"/>
          <w:sz w:val="22"/>
        </w:rPr>
        <w:t>RULING &amp; RATIO DECIDENDI:</w:t>
      </w:r>
    </w:p>
    <w:p>
      <w:pPr>
        <w:spacing w:before="40" w:after="80" w:line="276" w:lineRule="auto"/>
      </w:pPr>
      <w:r>
        <w:rPr>
          <w:sz w:val="20"/>
        </w:rPr>
        <w:t>1. YES. Criminal liability for Subversion was totally extinguished. Under Article 22 of the RPC, penal laws apply retroactively when favorable to the accused. The repeal of a penal law without a saving clause totally decriminalizes the offense. Consequently, all pending subversion prosecutions were dismissed.</w:t>
      </w:r>
    </w:p>
    <w:p>
      <w:pPr>
        <w:spacing w:before="40" w:after="80" w:line="276" w:lineRule="auto"/>
      </w:pPr>
      <w:r>
        <w:rPr>
          <w:sz w:val="20"/>
        </w:rPr>
        <w:t>2. NO to Double Jeopardy; Charge reduced to Simple Possession. Subversion and illegal possession of firearms are distinct crimes with different elements (same-evidence test). Under PD 1866, 'in furtherance of subversion' was merely a qualifying circumstance. With the repeal of RA 1700, that qualifying phrase was rendered surplusage, leaving the information valid for Simple Illegal Possession of Firearms.</w:t>
      </w:r>
    </w:p>
    <w:p>
      <w:pPr>
        <w:spacing w:before="40" w:after="80" w:line="276" w:lineRule="auto"/>
      </w:pPr>
      <w:r>
        <w:rPr>
          <w:sz w:val="20"/>
        </w:rPr>
        <w:t>3. Immediate Release Ordered. Because Tujan had already been detained continuously for over 7 years (exceeding the maximum penalty for simple illegal possession under amended standards), the Court ordered his immediate release.</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TOTAL STATUTORY REPEAL &amp; DECRIMINALIZATION (RA 7636)</w:t>
              <w:br/>
            </w:r>
          </w:p>
          <w:p>
            <w:pPr>
              <w:spacing w:before="40" w:after="60" w:line="276" w:lineRule="auto"/>
            </w:pPr>
            <w:r>
              <w:rPr>
                <w:rFonts w:ascii="Arial" w:hAnsi="Arial"/>
                <w:color w:val="2D3748"/>
                <w:sz w:val="19"/>
              </w:rPr>
              <w:t>• Absolute Retroactivity of Repeal: Absolute repeal of a penal law obliterates the crime and vacates all pending criminal proceedings.</w:t>
            </w:r>
          </w:p>
          <w:p>
            <w:pPr>
              <w:spacing w:before="40" w:after="60" w:line="276" w:lineRule="auto"/>
            </w:pPr>
            <w:r>
              <w:rPr>
                <w:rFonts w:ascii="Arial" w:hAnsi="Arial"/>
                <w:color w:val="2D3748"/>
                <w:sz w:val="19"/>
              </w:rPr>
              <w:t>• Distinctness of Offenses: Firearm offenses and ideological offenses (subversion/rebellion) have distinct statutory elements; absorption applies only when the specific statute or doctrine expressly integrates them.</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(vi) </w:t>
      </w:r>
      <w:r>
        <w:rPr>
          <w:rFonts w:ascii="Arial" w:hAnsi="Arial"/>
          <w:b/>
          <w:color w:val="1A365D"/>
          <w:sz w:val="26"/>
        </w:rPr>
        <w:t>People of the Philippines v. Panfilo M. Lacson</w:t>
      </w:r>
    </w:p>
    <w:p>
      <w:pPr>
        <w:keepNext/>
        <w:spacing w:before="20" w:after="120"/>
      </w:pPr>
      <w:r>
        <w:rPr>
          <w:rFonts w:ascii="Arial" w:hAnsi="Arial"/>
          <w:i/>
          <w:color w:val="4A5568"/>
          <w:sz w:val="19"/>
        </w:rPr>
        <w:t>Citation: 382 SCRA 365 (2002) | 400 SCRA 267 (2003 - En Banc) | 413 SCRA 20 (2003)</w:t>
        <w:br/>
        <w:t>Ponente: Callejo, Sr., J. (with separate opinions by Corona, Puno, and Panganiban, JJ.)</w:t>
        <w:br/>
        <w:t>Subject &amp; Key Concepts: Section 8, Rule 117, Revised Rules of Criminal Procedure; Provisional Dismissal and Two-Year Time-Bar; Prospective Application of Procedural Rules Affecting Substantive Rights of the State; Mandatory Requisites of Provisional Dismissal.</w:t>
      </w:r>
    </w:p>
    <w:p>
      <w:pPr>
        <w:keepNext/>
        <w:spacing w:before="120" w:after="40"/>
      </w:pPr>
      <w:r>
        <w:rPr>
          <w:b/>
          <w:color w:val="2B6CB0"/>
          <w:sz w:val="22"/>
        </w:rPr>
        <w:t>FACTS:</w:t>
      </w:r>
    </w:p>
    <w:p>
      <w:pPr>
        <w:spacing w:before="40" w:after="80" w:line="276" w:lineRule="auto"/>
      </w:pPr>
      <w:r>
        <w:rPr>
          <w:sz w:val="20"/>
        </w:rPr>
        <w:t>In March 1999, multiple murder charges were filed against Panfilo M. Lacson and other police officers in connection with the alleged summary execution of 11 Kuratong Baleleng gang members in 1995. On March 29, 1999, Judge Agnir of RTC Quezon City provisionally dismissed the cases upon motion of the accused.</w:t>
      </w:r>
    </w:p>
    <w:p>
      <w:pPr>
        <w:spacing w:before="40" w:after="80" w:line="276" w:lineRule="auto"/>
      </w:pPr>
      <w:r>
        <w:rPr>
          <w:sz w:val="20"/>
        </w:rPr>
        <w:t>On December 1, 2000, the new Revised Rules of Criminal Procedure took effect, introducing Section 8, Rule 117, which provides that the provisional dismissal of offenses punishable by imprisonment exceeding 6 years becomes permanent two (2) years after issuance of the order without the case being revived.</w:t>
      </w:r>
    </w:p>
    <w:p>
      <w:pPr>
        <w:spacing w:before="40" w:after="80" w:line="276" w:lineRule="auto"/>
      </w:pPr>
      <w:r>
        <w:rPr>
          <w:sz w:val="20"/>
        </w:rPr>
        <w:t>On June 6, 2001, the DOJ refiled the multiple murder charges against Lacson. Lacson moved to quash, arguing that the 2-year time-bar ran from the date of the provisional dismissal order (March 29, 1999) and had expired on March 29, 2001, making the dismissal permanent.</w:t>
      </w:r>
    </w:p>
    <w:p>
      <w:pPr>
        <w:keepNext/>
        <w:spacing w:before="120" w:after="40"/>
      </w:pPr>
      <w:r>
        <w:rPr>
          <w:b/>
          <w:color w:val="2B6CB0"/>
          <w:sz w:val="22"/>
        </w:rPr>
        <w:t>ISSUES:</w:t>
      </w:r>
    </w:p>
    <w:p>
      <w:pPr>
        <w:spacing w:before="20" w:after="60" w:line="276" w:lineRule="auto"/>
        <w:ind w:left="288"/>
      </w:pPr>
      <w:r>
        <w:rPr>
          <w:i/>
          <w:sz w:val="20"/>
        </w:rPr>
        <w:t>1. Does Section 8, Rule 117 apply retroactively to provisional dismissals ordered prior to December 1, 2000?</w:t>
      </w:r>
    </w:p>
    <w:p>
      <w:pPr>
        <w:spacing w:before="20" w:after="60" w:line="276" w:lineRule="auto"/>
        <w:ind w:left="288"/>
      </w:pPr>
      <w:r>
        <w:rPr>
          <w:i/>
          <w:sz w:val="20"/>
        </w:rPr>
        <w:t>2. Does the 2-year time-bar run from March 29, 1999 or from December 1, 2000?</w:t>
      </w:r>
    </w:p>
    <w:p>
      <w:pPr>
        <w:spacing w:before="20" w:after="60" w:line="276" w:lineRule="auto"/>
        <w:ind w:left="288"/>
      </w:pPr>
      <w:r>
        <w:rPr>
          <w:i/>
          <w:sz w:val="20"/>
        </w:rPr>
        <w:t>3. Were the mandatory requisites of Section 8, Rule 117 complied with?</w:t>
      </w:r>
    </w:p>
    <w:p>
      <w:pPr>
        <w:keepNext/>
        <w:spacing w:before="120" w:after="40"/>
      </w:pPr>
      <w:r>
        <w:rPr>
          <w:b/>
          <w:color w:val="2B6CB0"/>
          <w:sz w:val="22"/>
        </w:rPr>
        <w:t>RULING &amp; RATIO DECIDENDI:</w:t>
      </w:r>
    </w:p>
    <w:p>
      <w:pPr>
        <w:spacing w:before="40" w:after="80" w:line="276" w:lineRule="auto"/>
      </w:pPr>
      <w:r>
        <w:rPr>
          <w:sz w:val="20"/>
        </w:rPr>
        <w:t>1. &amp; 2. Section 8, Rule 117 operates PROSPECTIVELY; the 2-year time-bar runs from December 1, 2000. Although found in the Rules of Criminal Procedure, a time-bar that permanently extinguishes criminal liability is substantive in nature (statute of limitations). Procedural rules cannot be applied retroactively if they impair vested rights or prejudice the State's substantive right to prosecute crimes without due notice.</w:t>
      </w:r>
    </w:p>
    <w:p>
      <w:pPr>
        <w:spacing w:before="40" w:after="80" w:line="276" w:lineRule="auto"/>
      </w:pPr>
      <w:r>
        <w:rPr>
          <w:sz w:val="20"/>
        </w:rPr>
        <w:t>3. When the dismissal occurred on March 29, 1999, Section 8 did not exist. To compute the 2 years from 1999 would mean 1 year and 8 months elapsed without the State knowing of the time-bar, leaving only 4 months to revive, which violates procedural due process. Thus, for prior provisional dismissals, the 2-year period began ONLY on December 1, 2000 and expired on December 1, 2002. Refiling on June 6, 2001 was timely.</w:t>
      </w:r>
    </w:p>
    <w:p>
      <w:pPr>
        <w:spacing w:before="40" w:after="80" w:line="276" w:lineRule="auto"/>
      </w:pPr>
      <w:r>
        <w:rPr>
          <w:sz w:val="20"/>
        </w:rPr>
        <w:t>4. Requisites Not Met: The time-bar requires: (a) express consent of accused; (b) notice to offended party/heirs; and (c) notice to public prosecutor. The heirs of the victims were not notified of the provisional dismissal hearings; hence, the time-bar never began to run.</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SECTION 8, RULE 117: PROSPECTIVITY OF CRIMINAL TIME-BARS</w:t>
              <w:br/>
            </w:r>
          </w:p>
          <w:p>
            <w:pPr>
              <w:spacing w:before="40" w:after="60" w:line="276" w:lineRule="auto"/>
            </w:pPr>
            <w:r>
              <w:rPr>
                <w:rFonts w:ascii="Arial" w:hAnsi="Arial"/>
                <w:color w:val="2D3748"/>
                <w:sz w:val="19"/>
              </w:rPr>
              <w:t>• Substantive Character of Time-Bars: Extinguishment of criminal liability through a time-bar affects substantive rights and cannot prejudice the State retroactively without fair notice.</w:t>
            </w:r>
          </w:p>
          <w:p>
            <w:pPr>
              <w:spacing w:before="40" w:after="60" w:line="276" w:lineRule="auto"/>
            </w:pPr>
            <w:r>
              <w:rPr>
                <w:rFonts w:ascii="Arial" w:hAnsi="Arial"/>
                <w:color w:val="2D3748"/>
                <w:sz w:val="19"/>
              </w:rPr>
              <w:t>• Strict Compliance with Requisites: Provisional dismissal time-bar requires strict concurrence of express consent of accused and notice to the offended parties.</w:t>
            </w:r>
          </w:p>
        </w:tc>
      </w:tr>
    </w:tbl>
    <w:p>
      <w:pPr>
        <w:spacing w:after="80"/>
      </w:pPr>
    </w:p>
    <w:p>
      <w:pPr>
        <w:spacing w:before="80" w:after="160"/>
      </w:pPr>
      <w:r>
        <w:rPr>
          <w:color w:val="CBD5E0"/>
        </w:rPr>
        <w:t>———————————————————————————————————————————————————————</w:t>
      </w:r>
    </w:p>
    <w:p>
      <w:pPr>
        <w:keepNext/>
        <w:spacing w:before="280" w:after="40"/>
      </w:pPr>
      <w:r>
        <w:rPr>
          <w:rFonts w:ascii="Arial" w:hAnsi="Arial"/>
          <w:b/>
          <w:color w:val="1A365D"/>
          <w:sz w:val="26"/>
        </w:rPr>
        <w:t xml:space="preserve">(vii) </w:t>
      </w:r>
      <w:r>
        <w:rPr>
          <w:rFonts w:ascii="Arial" w:hAnsi="Arial"/>
          <w:b/>
          <w:color w:val="1A365D"/>
          <w:sz w:val="26"/>
        </w:rPr>
        <w:t>Joemar Ortega v. People of the Philippines</w:t>
      </w:r>
    </w:p>
    <w:p>
      <w:pPr>
        <w:keepNext/>
        <w:spacing w:before="20" w:after="120"/>
      </w:pPr>
      <w:r>
        <w:rPr>
          <w:rFonts w:ascii="Arial" w:hAnsi="Arial"/>
          <w:i/>
          <w:color w:val="4A5568"/>
          <w:sz w:val="19"/>
        </w:rPr>
        <w:t>Citation: G.R. No. 151085, August 20, 2008 | 562 SCRA 450</w:t>
        <w:br/>
        <w:t>Ponente: Carpio-Morales, J.</w:t>
        <w:br/>
        <w:t>Subject &amp; Key Concepts: Retroactivity of Beneficial Special Penal Laws (Art. 22, RPC); Republic Act No. 9344 (Juvenile Justice and Welfare Act of 2006); Exemption of Minors 15 and Below from Criminal Liability; Survival of Civil Liability Ex Delicto (Art. 101, RPC); Community Intervention.</w:t>
      </w:r>
    </w:p>
    <w:p>
      <w:pPr>
        <w:keepNext/>
        <w:spacing w:before="120" w:after="40"/>
      </w:pPr>
      <w:r>
        <w:rPr>
          <w:b/>
          <w:color w:val="2B6CB0"/>
          <w:sz w:val="22"/>
        </w:rPr>
        <w:t>FACTS:</w:t>
      </w:r>
    </w:p>
    <w:p>
      <w:pPr>
        <w:spacing w:before="40" w:after="80" w:line="276" w:lineRule="auto"/>
      </w:pPr>
      <w:r>
        <w:rPr>
          <w:sz w:val="20"/>
        </w:rPr>
        <w:t>In August and December 1996, in Bacolod City, Joemar Ortega committed two acts of statutory rape against an 8-year-old girl ('AAA'). Ortega was born on November 3, 1981, making him 14 years and 9 months old (under 15) at the time of the offenses.</w:t>
      </w:r>
    </w:p>
    <w:p>
      <w:pPr>
        <w:spacing w:before="40" w:after="80" w:line="276" w:lineRule="auto"/>
      </w:pPr>
      <w:r>
        <w:rPr>
          <w:sz w:val="20"/>
        </w:rPr>
        <w:t>Under Article 12, paragraph 3 of the Revised Penal Code then in force, a minor over 9 and under 15 was exempt from criminal liability unless he acted with discernment. The RTC and Court of Appeals found discernment and convicted Ortega of two counts of Statutory Rape, sentencing him to two terms of reclusion perpetua.</w:t>
      </w:r>
    </w:p>
    <w:p>
      <w:pPr>
        <w:spacing w:before="40" w:after="80" w:line="276" w:lineRule="auto"/>
      </w:pPr>
      <w:r>
        <w:rPr>
          <w:sz w:val="20"/>
        </w:rPr>
        <w:t>While the case was pending on appeal before the Supreme Court, Congress enacted Republic Act No. 9344 (Juvenile Justice and Welfare Act of 2006) on April 28, 2006. Section 6 of RA 9344 raised the minimum age of criminal responsibility, providing that a child 15 years of age or under at the time of the commission of the offense is absolutely exempt from criminal liability.</w:t>
      </w:r>
    </w:p>
    <w:p>
      <w:pPr>
        <w:keepNext/>
        <w:spacing w:before="120" w:after="40"/>
      </w:pPr>
      <w:r>
        <w:rPr>
          <w:b/>
          <w:color w:val="2B6CB0"/>
          <w:sz w:val="22"/>
        </w:rPr>
        <w:t>ISSUES:</w:t>
      </w:r>
    </w:p>
    <w:p>
      <w:pPr>
        <w:spacing w:before="20" w:after="60" w:line="276" w:lineRule="auto"/>
        <w:ind w:left="288"/>
      </w:pPr>
      <w:r>
        <w:rPr>
          <w:i/>
          <w:sz w:val="20"/>
        </w:rPr>
        <w:t>1. Does Republic Act No. 9344 apply retroactively to exempt Joemar Ortega from criminal liability for offenses committed in 1996 when he was 14 years old?</w:t>
      </w:r>
    </w:p>
    <w:p>
      <w:pPr>
        <w:spacing w:before="20" w:after="60" w:line="276" w:lineRule="auto"/>
        <w:ind w:left="288"/>
      </w:pPr>
      <w:r>
        <w:rPr>
          <w:i/>
          <w:sz w:val="20"/>
        </w:rPr>
        <w:t>2. Does the exemption from criminal liability extinguish his civil liability for damages?</w:t>
      </w:r>
    </w:p>
    <w:p>
      <w:pPr>
        <w:keepNext/>
        <w:spacing w:before="120" w:after="40"/>
      </w:pPr>
      <w:r>
        <w:rPr>
          <w:b/>
          <w:color w:val="2B6CB0"/>
          <w:sz w:val="22"/>
        </w:rPr>
        <w:t>RULING &amp; RATIO DECIDENDI:</w:t>
      </w:r>
    </w:p>
    <w:p>
      <w:pPr>
        <w:spacing w:before="40" w:after="80" w:line="276" w:lineRule="auto"/>
      </w:pPr>
      <w:r>
        <w:rPr>
          <w:sz w:val="20"/>
        </w:rPr>
        <w:t>1. YES. RA 9344 applies retroactively to extinguish criminal liability. Under Article 22 of the RPC, penal laws shall have retroactive effect insofar as they favor the accused who is not a habitual criminal. RA 9344 is a beneficial statute granting absolute exemption to minors 15 and below without requiring proof of discernment. Because Ortega was 14 years old when he committed the acts, RA 9344 applies retroactively, requiring the dismissal of all criminal charges against him.</w:t>
      </w:r>
    </w:p>
    <w:p>
      <w:pPr>
        <w:spacing w:before="40" w:after="80" w:line="276" w:lineRule="auto"/>
      </w:pPr>
      <w:r>
        <w:rPr>
          <w:sz w:val="20"/>
        </w:rPr>
        <w:t>2. NO. Exemption from criminal liability does NOT extinguish civil liability. Under Section 6 of RA 9344 and Article 101 of the RPC, exemption from criminal liability does not include exemption from civil liability ex delicto. The Court affirmed the damages (₱50,000 civil indemnity, ₱50,000 moral damages, ₱25,000 exemplary damages per count) enforceable against his parents/guardians.</w:t>
      </w:r>
    </w:p>
    <w:p>
      <w:pPr>
        <w:spacing w:before="40" w:after="80" w:line="276" w:lineRule="auto"/>
      </w:pPr>
      <w:r>
        <w:rPr>
          <w:sz w:val="20"/>
        </w:rPr>
        <w:t>3. Disposition: Criminal cases DISMISSED; Ortega referred to the local Social Welfare and Development Officer for community-based intervention.</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sz="0" w:space="0" w:color="auto"/>
              <w:left w:val="single" w:sz="24" w:space="0" w:color="1A365D"/>
              <w:bottom w:val="none" w:sz="0" w:space="0" w:color="auto"/>
              <w:right w:val="none" w:sz="0" w:space="0" w:color="auto"/>
            </w:tcBorders>
          </w:tcPr>
          <w:p>
            <w:pPr>
              <w:spacing w:before="40" w:after="80"/>
            </w:pPr>
            <w:r>
              <w:rPr>
                <w:rFonts w:ascii="Arial" w:hAnsi="Arial"/>
                <w:b/>
                <w:color w:val="1A365D"/>
                <w:sz w:val="20"/>
              </w:rPr>
              <w:t>■ RETROACTIVITY OF JUVENILE JUSTICE ACT (RA 9344)</w:t>
              <w:br/>
            </w:r>
          </w:p>
          <w:p>
            <w:pPr>
              <w:spacing w:before="40" w:after="60" w:line="276" w:lineRule="auto"/>
            </w:pPr>
            <w:r>
              <w:rPr>
                <w:rFonts w:ascii="Arial" w:hAnsi="Arial"/>
                <w:color w:val="2D3748"/>
                <w:sz w:val="19"/>
              </w:rPr>
              <w:t>• Absolute Exemption for Children ≤ 15: Applies retroactively to all pending cases where the offender was 15 or below at the time of commission.</w:t>
            </w:r>
          </w:p>
          <w:p>
            <w:pPr>
              <w:spacing w:before="40" w:after="60" w:line="276" w:lineRule="auto"/>
            </w:pPr>
            <w:r>
              <w:rPr>
                <w:rFonts w:ascii="Arial" w:hAnsi="Arial"/>
                <w:color w:val="2D3748"/>
                <w:sz w:val="19"/>
              </w:rPr>
              <w:t>• Civil Liability Survives: Criminal action is dismissed, but civil liability ex delicto remains fully enforceable (Art. 101, RPC).</w:t>
            </w:r>
          </w:p>
        </w:tc>
      </w:tr>
    </w:tbl>
    <w:p>
      <w:pPr>
        <w:spacing w:after="80"/>
      </w:pPr>
    </w:p>
    <w:p>
      <w:pPr>
        <w:spacing w:before="80" w:after="160"/>
      </w:pPr>
      <w:r>
        <w:rPr>
          <w:color w:val="CBD5E0"/>
        </w:rPr>
        <w:t>———————————————————————————————————————————————————————</w:t>
      </w:r>
    </w:p>
    <w:p>
      <w:pPr>
        <w:keepNext/>
        <w:spacing w:before="320" w:after="80"/>
      </w:pPr>
      <w:r>
        <w:rPr>
          <w:b/>
          <w:color w:val="1A365D"/>
          <w:sz w:val="26"/>
        </w:rPr>
        <w:t>COMPARATIVE SYNTHESIS &amp; DOCTRINAL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Case Title &amp; Citation</w:t>
            </w:r>
          </w:p>
        </w:tc>
        <w:tc>
          <w:tcPr>
            <w:tcW w:type="dxa" w:w="2592"/>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Legal Issue Under Review</w:t>
            </w:r>
          </w:p>
        </w:tc>
        <w:tc>
          <w:tcPr>
            <w:tcW w:type="dxa" w:w="2016"/>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Retroactive / Prospective</w:t>
            </w:r>
          </w:p>
        </w:tc>
        <w:tc>
          <w:tcPr>
            <w:tcW w:type="dxa" w:w="2448"/>
            <w:shd w:fill="1A365D"/>
            <w:tcMar>
              <w:top w:w="100" w:type="dxa"/>
              <w:bottom w:w="10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b/>
                <w:color w:val="FFFFFF"/>
                <w:sz w:val="18"/>
              </w:rPr>
              <w:t>Core Statutory / Constitutional Rule</w:t>
            </w:r>
          </w:p>
        </w:tc>
      </w:tr>
      <w:tr>
        <w:tc>
          <w:tcPr>
            <w:tcW w:type="dxa" w:w="230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Gumabon v. Dir. of Prisons</w:t>
              <w:br/>
              <w:t>37 SCRA 420 (1971)</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Retroactivity of Hernandez doctrine to final convictions</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RETROACTIVE</w:t>
              <w:br/>
              <w:t>(Favorable)</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8 Civil Code; Art. 22 RPC; Equal Protection Clause</w:t>
            </w:r>
          </w:p>
        </w:tc>
      </w:tr>
      <w:tr>
        <w:tc>
          <w:tcPr>
            <w:tcW w:type="dxa" w:w="230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In Re: Kay Villegas Kami</w:t>
              <w:br/>
              <w:t>35 SCRA 429 (1970)</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Validity of election ban under Ex Post Facto clause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PROSPECTIVE</w:t>
              <w:br/>
              <w:t>(Valid Statute)</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III, Sec. 22 Constitution; 6 Calder v. Bull tests</w:t>
            </w:r>
          </w:p>
        </w:tc>
      </w:tr>
      <w:tr>
        <w:tc>
          <w:tcPr>
            <w:tcW w:type="dxa" w:w="230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Narvaez</w:t>
              <w:br/>
              <w:t>121 SCRA 389 (1983)</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Aggression against property as basis for self-defense</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INCOMPLETE</w:t>
              <w:br/>
              <w:t>SELF-DEFENSE</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11(1), Art. 13(1), Art. 69 RPC; 2 degrees lower</w:t>
            </w:r>
          </w:p>
        </w:tc>
      </w:tr>
      <w:tr>
        <w:tc>
          <w:tcPr>
            <w:tcW w:type="dxa" w:w="230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Ringor, Jr.</w:t>
              <w:br/>
              <w:t>320 SCRA 342 (1999)</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RA 8294 firearm aggravating circumstance on 1994 crime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PROSPECTIVE ONLY</w:t>
              <w:br/>
              <w:t>(Ex Post Facto)</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III, Sec. 22; Art. 22 RPC (Cannot aggravate penalty)</w:t>
            </w:r>
          </w:p>
        </w:tc>
      </w:tr>
      <w:tr>
        <w:tc>
          <w:tcPr>
            <w:tcW w:type="dxa" w:w="230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Pimentel</w:t>
              <w:br/>
              <w:t>288 SCRA 542 (1998)</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Total repeal of RA 1700 (Subversion) by RA 7636</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RETROACTIVE</w:t>
              <w:br/>
              <w:t>(Decriminalized)</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22 RPC; Total repeal vacates pending actions</w:t>
            </w:r>
          </w:p>
        </w:tc>
      </w:tr>
      <w:tr>
        <w:tc>
          <w:tcPr>
            <w:tcW w:type="dxa" w:w="230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People v. Lacson</w:t>
              <w:br/>
              <w:t>400 SCRA 267 (2003)</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Sec. 8, Rule 117 2-yr time-bar on prior dismissals</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PROSPECTIVE ONLY</w:t>
              <w:br/>
              <w:t>(Runs from Dec 1, 2000)</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Procedural Due Process; Substantive state rights</w:t>
            </w:r>
          </w:p>
        </w:tc>
      </w:tr>
      <w:tr>
        <w:tc>
          <w:tcPr>
            <w:tcW w:type="dxa" w:w="230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Joemar Ortega v. People</w:t>
              <w:br/>
              <w:t>562 SCRA 450 (2008)</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RA 9344 exemption for 14-year-old on 1996 rape charge</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RETROACTIVE</w:t>
              <w:br/>
              <w:t>(Extinguished)</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60" w:after="60" w:line="252" w:lineRule="auto"/>
            </w:pPr>
            <w:r>
              <w:rPr>
                <w:color w:val="2D3748"/>
                <w:sz w:val="17"/>
              </w:rPr>
              <w:t>Art. 22 RPC; Sec. 6 RA 9344; Civil liability survives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