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color w:val="2E4053"/>
          <w:sz w:val="48"/>
        </w:rPr>
        <w:t>The Transition from B.P. 129 to R.A. 7691</w:t>
      </w:r>
    </w:p>
    <w:p>
      <w:pPr>
        <w:spacing w:after="480"/>
        <w:jc w:val="center"/>
      </w:pPr>
      <w:r>
        <w:rPr>
          <w:rFonts w:ascii="Calibri" w:hAnsi="Calibri"/>
          <w:i/>
          <w:color w:val="78828C"/>
          <w:sz w:val="24"/>
        </w:rPr>
        <w:t>Expanded Jurisdiction of First-Level Courts and the Principle of Adherence to Jurisdiction</w:t>
      </w:r>
    </w:p>
    <w:p>
      <w:pPr>
        <w:keepNext/>
        <w:spacing w:before="360" w:after="120"/>
      </w:pPr>
      <w:r>
        <w:rPr>
          <w:rFonts w:ascii="Calibri" w:hAnsi="Calibri"/>
          <w:b/>
          <w:color w:val="2E4053"/>
          <w:sz w:val="28"/>
        </w:rPr>
        <w:t>I. Statutory Evolution: B.P. 129 and R.A. 7691</w:t>
      </w:r>
    </w:p>
    <w:p>
      <w:pPr>
        <w:spacing w:after="120" w:line="276" w:lineRule="auto"/>
      </w:pPr>
      <w:r>
        <w:rPr>
          <w:rFonts w:ascii="Calibri" w:hAnsi="Calibri"/>
          <w:color w:val="333333"/>
          <w:sz w:val="22"/>
        </w:rPr>
        <w:t>Batas Pambansa Blg. 129, known as the Judiciary Reorganization Act of 1980, is the primary statute governing the jurisdiction of courts in the Philippines. In 1994, Congress enacted Republic Act No. 7691 to expand the jurisdiction of first-level courts (Metropolitan Trial Courts, Municipal Trial Courts, and Municipal Circuit Trial Courts). The primary purpose of this amendment was to decongest the heavy case dockets of the Regional Trial Courts (RTC).</w:t>
      </w:r>
    </w:p>
    <w:tbl>
      <w:tblPr>
        <w:tblW w:type="auto" w:w="0"/>
        <w:jc w:val="center"/>
        <w:tblLook w:firstColumn="1" w:firstRow="1" w:lastColumn="0" w:lastRow="0" w:noHBand="0" w:noVBand="1" w:val="04A0"/>
      </w:tblPr>
      <w:tblGrid>
        <w:gridCol w:w="3120"/>
        <w:gridCol w:w="3120"/>
        <w:gridCol w:w="3120"/>
      </w:tblGrid>
      <w:tr>
        <w:tc>
          <w:tcPr>
            <w:tcW w:type="dxa" w:w="3120"/>
            <w:shd w:fill="2E4053"/>
            <w:tcMar>
              <w:top w:w="100" w:type="dxa"/>
              <w:bottom w:w="100" w:type="dxa"/>
              <w:left w:w="100" w:type="dxa"/>
              <w:right w:w="100" w:type="dxa"/>
            </w:tcMar>
          </w:tcPr>
          <w:p>
            <w:r>
              <w:rPr>
                <w:rFonts w:ascii="Calibri" w:hAnsi="Calibri"/>
                <w:b/>
                <w:color w:val="FFFFFF"/>
                <w:sz w:val="20"/>
              </w:rPr>
              <w:t>Metric</w:t>
            </w:r>
          </w:p>
        </w:tc>
        <w:tc>
          <w:tcPr>
            <w:tcW w:type="dxa" w:w="3120"/>
            <w:shd w:fill="2E4053"/>
            <w:tcMar>
              <w:top w:w="100" w:type="dxa"/>
              <w:bottom w:w="100" w:type="dxa"/>
              <w:left w:w="100" w:type="dxa"/>
              <w:right w:w="100" w:type="dxa"/>
            </w:tcMar>
          </w:tcPr>
          <w:p>
            <w:r>
              <w:rPr>
                <w:rFonts w:ascii="Calibri" w:hAnsi="Calibri"/>
                <w:b/>
                <w:color w:val="FFFFFF"/>
                <w:sz w:val="20"/>
              </w:rPr>
              <w:t>Original B.P. 129 (1980)</w:t>
            </w:r>
          </w:p>
        </w:tc>
        <w:tc>
          <w:tcPr>
            <w:tcW w:type="dxa" w:w="3120"/>
            <w:shd w:fill="2E4053"/>
            <w:tcMar>
              <w:top w:w="100" w:type="dxa"/>
              <w:bottom w:w="100" w:type="dxa"/>
              <w:left w:w="100" w:type="dxa"/>
              <w:right w:w="100" w:type="dxa"/>
            </w:tcMar>
          </w:tcPr>
          <w:p>
            <w:r>
              <w:rPr>
                <w:rFonts w:ascii="Calibri" w:hAnsi="Calibri"/>
                <w:b/>
                <w:color w:val="FFFFFF"/>
                <w:sz w:val="20"/>
              </w:rPr>
              <w:t>Amended by R.A. 7691 (1994)</w:t>
            </w:r>
          </w:p>
        </w:tc>
      </w:tr>
      <w:tr>
        <w:tc>
          <w:tcPr>
            <w:tcW w:type="dxa" w:w="3120"/>
            <w:shd w:fill="FFFFFF"/>
            <w:tcMar>
              <w:top w:w="80" w:type="dxa"/>
              <w:bottom w:w="80" w:type="dxa"/>
              <w:left w:w="100" w:type="dxa"/>
              <w:right w:w="100" w:type="dxa"/>
            </w:tcMar>
          </w:tcPr>
          <w:p>
            <w:r>
              <w:rPr>
                <w:rFonts w:ascii="Calibri" w:hAnsi="Calibri"/>
                <w:color w:val="333333"/>
                <w:sz w:val="19"/>
              </w:rPr>
              <w:t>Imprisonment Threshold</w:t>
            </w:r>
          </w:p>
        </w:tc>
        <w:tc>
          <w:tcPr>
            <w:tcW w:type="dxa" w:w="3120"/>
            <w:shd w:fill="FFFFFF"/>
            <w:tcMar>
              <w:top w:w="80" w:type="dxa"/>
              <w:bottom w:w="80" w:type="dxa"/>
              <w:left w:w="100" w:type="dxa"/>
              <w:right w:w="100" w:type="dxa"/>
            </w:tcMar>
          </w:tcPr>
          <w:p>
            <w:r>
              <w:rPr>
                <w:rFonts w:ascii="Calibri" w:hAnsi="Calibri"/>
                <w:color w:val="333333"/>
                <w:sz w:val="19"/>
              </w:rPr>
              <w:t>Not exceeding 4 years and 2 months</w:t>
            </w:r>
          </w:p>
        </w:tc>
        <w:tc>
          <w:tcPr>
            <w:tcW w:type="dxa" w:w="3120"/>
            <w:shd w:fill="FFFFFF"/>
            <w:tcMar>
              <w:top w:w="80" w:type="dxa"/>
              <w:bottom w:w="80" w:type="dxa"/>
              <w:left w:w="100" w:type="dxa"/>
              <w:right w:w="100" w:type="dxa"/>
            </w:tcMar>
          </w:tcPr>
          <w:p>
            <w:r>
              <w:rPr>
                <w:rFonts w:ascii="Calibri" w:hAnsi="Calibri"/>
                <w:color w:val="333333"/>
                <w:sz w:val="19"/>
              </w:rPr>
              <w:t>Not exceeding 6 years</w:t>
            </w:r>
          </w:p>
        </w:tc>
      </w:tr>
      <w:tr>
        <w:tc>
          <w:tcPr>
            <w:tcW w:type="dxa" w:w="3120"/>
            <w:shd w:fill="FFFFFF"/>
            <w:tcMar>
              <w:top w:w="80" w:type="dxa"/>
              <w:bottom w:w="80" w:type="dxa"/>
              <w:left w:w="100" w:type="dxa"/>
              <w:right w:w="100" w:type="dxa"/>
            </w:tcMar>
          </w:tcPr>
          <w:p>
            <w:r>
              <w:rPr>
                <w:rFonts w:ascii="Calibri" w:hAnsi="Calibri"/>
                <w:color w:val="333333"/>
                <w:sz w:val="19"/>
              </w:rPr>
              <w:t>Fine Threshold</w:t>
            </w:r>
          </w:p>
        </w:tc>
        <w:tc>
          <w:tcPr>
            <w:tcW w:type="dxa" w:w="3120"/>
            <w:shd w:fill="FFFFFF"/>
            <w:tcMar>
              <w:top w:w="80" w:type="dxa"/>
              <w:bottom w:w="80" w:type="dxa"/>
              <w:left w:w="100" w:type="dxa"/>
              <w:right w:w="100" w:type="dxa"/>
            </w:tcMar>
          </w:tcPr>
          <w:p>
            <w:r>
              <w:rPr>
                <w:rFonts w:ascii="Calibri" w:hAnsi="Calibri"/>
                <w:color w:val="333333"/>
                <w:sz w:val="19"/>
              </w:rPr>
              <w:t>Not exceeding ₱4,000</w:t>
            </w:r>
          </w:p>
        </w:tc>
        <w:tc>
          <w:tcPr>
            <w:tcW w:type="dxa" w:w="3120"/>
            <w:shd w:fill="FFFFFF"/>
            <w:tcMar>
              <w:top w:w="80" w:type="dxa"/>
              <w:bottom w:w="80" w:type="dxa"/>
              <w:left w:w="100" w:type="dxa"/>
              <w:right w:w="100" w:type="dxa"/>
            </w:tcMar>
          </w:tcPr>
          <w:p>
            <w:r>
              <w:rPr>
                <w:rFonts w:ascii="Calibri" w:hAnsi="Calibri"/>
                <w:color w:val="333333"/>
                <w:sz w:val="19"/>
              </w:rPr>
              <w:t>Disregarded (determined by imprisonment term)</w:t>
            </w:r>
          </w:p>
        </w:tc>
      </w:tr>
    </w:tbl>
    <w:p>
      <w:pPr>
        <w:spacing w:after="240"/>
      </w:pPr>
    </w:p>
    <w:p>
      <w:pPr>
        <w:keepNext/>
        <w:spacing w:before="360" w:after="120"/>
      </w:pPr>
      <w:r>
        <w:rPr>
          <w:rFonts w:ascii="Calibri" w:hAnsi="Calibri"/>
          <w:b/>
          <w:color w:val="2E4053"/>
          <w:sz w:val="28"/>
        </w:rPr>
        <w:t>II. Expanded Criminal Jurisdiction of First-Level Courts</w:t>
      </w:r>
    </w:p>
    <w:p>
      <w:pPr>
        <w:spacing w:after="120" w:line="276" w:lineRule="auto"/>
      </w:pPr>
      <w:r>
        <w:rPr>
          <w:rFonts w:ascii="Calibri" w:hAnsi="Calibri"/>
          <w:color w:val="333333"/>
          <w:sz w:val="22"/>
        </w:rPr>
        <w:t>By extending the MTC's jurisdiction from 4 years and 2 months to 6 years of imprisonment, R.A. 7691 significantly shifted the boundary of criminal litigation in the Philippines. Here are examples showcasing the transition.</w:t>
      </w:r>
    </w:p>
    <w:p>
      <w:pPr>
        <w:keepNext/>
        <w:spacing w:before="240" w:after="80"/>
      </w:pPr>
      <w:r>
        <w:rPr>
          <w:rFonts w:ascii="Calibri" w:hAnsi="Calibri"/>
          <w:b/>
          <w:color w:val="5D6D7E"/>
          <w:sz w:val="24"/>
        </w:rPr>
        <w:t>Example 2.1: Prison Term Shift</w:t>
      </w:r>
    </w:p>
    <w:p>
      <w:pPr>
        <w:spacing w:after="120" w:line="276" w:lineRule="auto"/>
      </w:pPr>
      <w:r>
        <w:rPr>
          <w:rFonts w:ascii="Calibri" w:hAnsi="Calibri"/>
          <w:color w:val="333333"/>
          <w:sz w:val="22"/>
        </w:rPr>
        <w:t>Under the old B.P. 129, a crime punishable by a maximum of 5 years of imprisonment was tried in the RTC because the penalty exceeded the MTC's limit of 4 years and 2 months. Following the passage of R.A. 7691, because the imprisonment is less than 6 years, the exact same charge must now be filed in the MTC.</w:t>
      </w:r>
    </w:p>
    <w:tbl>
      <w:tblPr>
        <w:tblW w:type="auto" w:w="0"/>
        <w:jc w:val="center"/>
        <w:tblLook w:firstColumn="1" w:firstRow="1" w:lastColumn="0" w:lastRow="0" w:noHBand="0" w:noVBand="1" w:val="04A0"/>
      </w:tblPr>
      <w:tblGrid>
        <w:gridCol w:w="9360"/>
      </w:tblGrid>
      <w:tr>
        <w:tc>
          <w:tcPr>
            <w:tcW w:type="dxa" w:w="9360"/>
            <w:shd w:fill="F4F6F7"/>
            <w:tcMar>
              <w:top w:w="140" w:type="dxa"/>
              <w:bottom w:w="140" w:type="dxa"/>
              <w:left w:w="200" w:type="dxa"/>
              <w:right w:w="200" w:type="dxa"/>
            </w:tcMar>
            <w:tcBorders>
              <w:left w:val="single" w:sz="24" w:space="0" w:color="2E4053"/>
              <w:top w:val="none"/>
              <w:bottom w:val="none"/>
              <w:right w:val="none"/>
            </w:tcBorders>
          </w:tcPr>
          <w:p>
            <w:pPr>
              <w:spacing w:before="40" w:after="80"/>
            </w:pPr>
            <w:r>
              <w:rPr>
                <w:rFonts w:ascii="Calibri" w:hAnsi="Calibri"/>
                <w:b/>
                <w:color w:val="2E4053"/>
                <w:sz w:val="22"/>
              </w:rPr>
              <w:t>Practical Illustration: Prison Term Shift</w:t>
              <w:br/>
            </w:r>
            <w:r>
              <w:rPr>
                <w:rFonts w:ascii="Calibri" w:hAnsi="Calibri"/>
                <w:i/>
                <w:color w:val="333333"/>
                <w:sz w:val="21"/>
              </w:rPr>
              <w:t>Accused A is charged in 1995 with an offense that carries a maximum penalty of 5 years of imprisonment. Under R.A. 7691, which was already in effect, the case falls under the exclusive original jurisdiction of the Municipal Trial Court (MTC). Had the offense been filed in 1990, it would have been within the jurisdiction of the RTC.</w:t>
            </w:r>
          </w:p>
        </w:tc>
      </w:tr>
    </w:tbl>
    <w:p>
      <w:pPr>
        <w:spacing w:after="40"/>
      </w:pPr>
    </w:p>
    <w:p>
      <w:pPr>
        <w:keepNext/>
        <w:spacing w:before="240" w:after="80"/>
      </w:pPr>
      <w:r>
        <w:rPr>
          <w:rFonts w:ascii="Calibri" w:hAnsi="Calibri"/>
          <w:b/>
          <w:color w:val="5D6D7E"/>
          <w:sz w:val="24"/>
        </w:rPr>
        <w:t>Example 2.2: Fine Threshold Shift</w:t>
      </w:r>
    </w:p>
    <w:p>
      <w:pPr>
        <w:spacing w:after="120" w:line="276" w:lineRule="auto"/>
      </w:pPr>
      <w:r>
        <w:rPr>
          <w:rFonts w:ascii="Calibri" w:hAnsi="Calibri"/>
          <w:color w:val="333333"/>
          <w:sz w:val="22"/>
        </w:rPr>
        <w:t>Under the original B.P. 129, if an offense carried a fine of ₱10,000, it had to be filed in the RTC because the MTC's fine limit was ₱4,000. Under R.A. 7691, the fine amount is generally disregarded when imprisonment is also imposable; the court looks solely at the prison term to determine jurisdiction.</w:t>
      </w:r>
    </w:p>
    <w:tbl>
      <w:tblPr>
        <w:tblW w:type="auto" w:w="0"/>
        <w:jc w:val="center"/>
        <w:tblLook w:firstColumn="1" w:firstRow="1" w:lastColumn="0" w:lastRow="0" w:noHBand="0" w:noVBand="1" w:val="04A0"/>
      </w:tblPr>
      <w:tblGrid>
        <w:gridCol w:w="9360"/>
      </w:tblGrid>
      <w:tr>
        <w:tc>
          <w:tcPr>
            <w:tcW w:type="dxa" w:w="9360"/>
            <w:shd w:fill="F4F6F7"/>
            <w:tcMar>
              <w:top w:w="140" w:type="dxa"/>
              <w:bottom w:w="140" w:type="dxa"/>
              <w:left w:w="200" w:type="dxa"/>
              <w:right w:w="200" w:type="dxa"/>
            </w:tcMar>
            <w:tcBorders>
              <w:left w:val="single" w:sz="24" w:space="0" w:color="2E4053"/>
              <w:top w:val="none"/>
              <w:bottom w:val="none"/>
              <w:right w:val="none"/>
            </w:tcBorders>
          </w:tcPr>
          <w:p>
            <w:pPr>
              <w:spacing w:before="40" w:after="80"/>
            </w:pPr>
            <w:r>
              <w:rPr>
                <w:rFonts w:ascii="Calibri" w:hAnsi="Calibri"/>
                <w:b/>
                <w:color w:val="2E4053"/>
                <w:sz w:val="22"/>
              </w:rPr>
              <w:t>Practical Illustration: Fine Limit Shift</w:t>
              <w:br/>
            </w:r>
            <w:r>
              <w:rPr>
                <w:rFonts w:ascii="Calibri" w:hAnsi="Calibri"/>
                <w:i/>
                <w:color w:val="333333"/>
                <w:sz w:val="21"/>
              </w:rPr>
              <w:t>Accused B is charged in 1996 with an offense punishable by 1 year of imprisonment and a fine of ₱50,000. Under R.A. 7691, the MTC has jurisdiction because the imposable imprisonment is only 1 year (under the 6-year limit), and the ₱50,000 fine is disregarded in the analysis. Under the original 1980 law, this case would have gone to the RTC because the fine exceeded ₱4,000.</w:t>
            </w:r>
          </w:p>
        </w:tc>
      </w:tr>
    </w:tbl>
    <w:p>
      <w:pPr>
        <w:keepNext/>
        <w:spacing w:before="360" w:after="120"/>
      </w:pPr>
      <w:r>
        <w:rPr>
          <w:rFonts w:ascii="Calibri" w:hAnsi="Calibri"/>
          <w:b/>
          <w:color w:val="2E4053"/>
          <w:sz w:val="28"/>
        </w:rPr>
        <w:t>III. The Principle of Adherence to Jurisdiction</w:t>
      </w:r>
    </w:p>
    <w:p>
      <w:pPr>
        <w:spacing w:after="120" w:line="276" w:lineRule="auto"/>
      </w:pPr>
      <w:r>
        <w:rPr>
          <w:rFonts w:ascii="Calibri" w:hAnsi="Calibri"/>
          <w:color w:val="333333"/>
          <w:sz w:val="22"/>
        </w:rPr>
        <w:t>The Principle of Adherence to Jurisdiction (or Continuing Jurisdiction) states that once a court has validly acquired jurisdiction over a case, that jurisdiction remains with the court until the final termination of the action. A subsequent statute changing the jurisdiction of the courts will not divest the handling court of its authority unless the statute explicitly states it should apply retroactively to pending cases.</w:t>
      </w:r>
    </w:p>
    <w:p>
      <w:pPr>
        <w:keepNext/>
        <w:spacing w:before="240" w:after="80"/>
      </w:pPr>
      <w:r>
        <w:rPr>
          <w:rFonts w:ascii="Calibri" w:hAnsi="Calibri"/>
          <w:b/>
          <w:color w:val="5D6D7E"/>
          <w:sz w:val="24"/>
        </w:rPr>
        <w:t>Example 3.1: Non-Retroactivity in Criminal Cases</w:t>
      </w:r>
    </w:p>
    <w:p>
      <w:pPr>
        <w:spacing w:after="120" w:line="276" w:lineRule="auto"/>
      </w:pPr>
      <w:r>
        <w:rPr>
          <w:rFonts w:ascii="Calibri" w:hAnsi="Calibri"/>
          <w:color w:val="333333"/>
          <w:sz w:val="22"/>
        </w:rPr>
        <w:t>While R.A. 7691 included a retroactive clause, the Supreme Court clarified that this retroactivity was strictly limited to civil cases. For criminal cases, R.A. 7691 is applied prospectively.</w:t>
      </w:r>
    </w:p>
    <w:tbl>
      <w:tblPr>
        <w:tblW w:type="auto" w:w="0"/>
        <w:jc w:val="center"/>
        <w:tblLook w:firstColumn="1" w:firstRow="1" w:lastColumn="0" w:lastRow="0" w:noHBand="0" w:noVBand="1" w:val="04A0"/>
      </w:tblPr>
      <w:tblGrid>
        <w:gridCol w:w="9360"/>
      </w:tblGrid>
      <w:tr>
        <w:tc>
          <w:tcPr>
            <w:tcW w:type="dxa" w:w="9360"/>
            <w:shd w:fill="F4F6F7"/>
            <w:tcMar>
              <w:top w:w="140" w:type="dxa"/>
              <w:bottom w:w="140" w:type="dxa"/>
              <w:left w:w="200" w:type="dxa"/>
              <w:right w:w="200" w:type="dxa"/>
            </w:tcMar>
            <w:tcBorders>
              <w:left w:val="single" w:sz="24" w:space="0" w:color="2E4053"/>
              <w:top w:val="none"/>
              <w:bottom w:val="none"/>
              <w:right w:val="none"/>
            </w:tcBorders>
          </w:tcPr>
          <w:p>
            <w:pPr>
              <w:spacing w:before="40" w:after="80"/>
            </w:pPr>
            <w:r>
              <w:rPr>
                <w:rFonts w:ascii="Calibri" w:hAnsi="Calibri"/>
                <w:b/>
                <w:color w:val="2E4053"/>
                <w:sz w:val="22"/>
              </w:rPr>
              <w:t>Practical Illustration: Pending Criminal Action</w:t>
              <w:br/>
            </w:r>
            <w:r>
              <w:rPr>
                <w:rFonts w:ascii="Calibri" w:hAnsi="Calibri"/>
                <w:i/>
                <w:color w:val="333333"/>
                <w:sz w:val="21"/>
              </w:rPr>
              <w:t>In 1992, the prosecution files a criminal case against Accused C in the RTC for a crime carrying a 5-year sentence (which belonged to the RTC under original B.P. 129). In 1994, R.A. 7691 is passed. The accused moves to transfer the case to the MTC. The RTC denies the motion. Under the principle of adherence of jurisdiction, the RTC retains jurisdiction to finish the trial and render judgment, because the case was already pending when the law changed.</w:t>
            </w:r>
          </w:p>
        </w:tc>
      </w:tr>
    </w:tbl>
    <w:p>
      <w:pPr>
        <w:spacing w:after="40"/>
      </w:pPr>
    </w:p>
    <w:p>
      <w:pPr>
        <w:keepNext/>
        <w:spacing w:before="240" w:after="80"/>
      </w:pPr>
      <w:r>
        <w:rPr>
          <w:rFonts w:ascii="Calibri" w:hAnsi="Calibri"/>
          <w:b/>
          <w:color w:val="5D6D7E"/>
          <w:sz w:val="24"/>
        </w:rPr>
        <w:t>Example 3.2: Civil vs. Criminal Retroactive Difference</w:t>
      </w:r>
    </w:p>
    <w:p>
      <w:pPr>
        <w:spacing w:after="120" w:line="276" w:lineRule="auto"/>
      </w:pPr>
      <w:r>
        <w:rPr>
          <w:rFonts w:ascii="Calibri" w:hAnsi="Calibri"/>
          <w:color w:val="333333"/>
          <w:sz w:val="22"/>
        </w:rPr>
        <w:t>R.A. 7691 allowed retroactivity in civil cases that had not yet reached the pre-trial stage. In contrast, it did not allow any retroactive transfer for criminal cases, maintaining the prospective operation for criminal matters.</w:t>
      </w:r>
    </w:p>
    <w:tbl>
      <w:tblPr>
        <w:tblW w:type="auto" w:w="0"/>
        <w:jc w:val="center"/>
        <w:tblLook w:firstColumn="1" w:firstRow="1" w:lastColumn="0" w:lastRow="0" w:noHBand="0" w:noVBand="1" w:val="04A0"/>
      </w:tblPr>
      <w:tblGrid>
        <w:gridCol w:w="9360"/>
      </w:tblGrid>
      <w:tr>
        <w:tc>
          <w:tcPr>
            <w:tcW w:type="dxa" w:w="9360"/>
            <w:shd w:fill="F4F6F7"/>
            <w:tcMar>
              <w:top w:w="140" w:type="dxa"/>
              <w:bottom w:w="140" w:type="dxa"/>
              <w:left w:w="200" w:type="dxa"/>
              <w:right w:w="200" w:type="dxa"/>
            </w:tcMar>
            <w:tcBorders>
              <w:left w:val="single" w:sz="24" w:space="0" w:color="2E4053"/>
              <w:top w:val="none"/>
              <w:bottom w:val="none"/>
              <w:right w:val="none"/>
            </w:tcBorders>
          </w:tcPr>
          <w:p>
            <w:pPr>
              <w:spacing w:before="40" w:after="80"/>
            </w:pPr>
            <w:r>
              <w:rPr>
                <w:rFonts w:ascii="Calibri" w:hAnsi="Calibri"/>
                <w:b/>
                <w:color w:val="2E4053"/>
                <w:sz w:val="22"/>
              </w:rPr>
              <w:t>Practical Illustration: Civil vs. Criminal Division</w:t>
              <w:br/>
            </w:r>
            <w:r>
              <w:rPr>
                <w:rFonts w:ascii="Calibri" w:hAnsi="Calibri"/>
                <w:i/>
                <w:color w:val="333333"/>
                <w:sz w:val="21"/>
              </w:rPr>
              <w:t>A civil case filed in the RTC in 1993 with a claim of ₱80,000 (which was under RTC jurisdiction then) had not reached pre-trial by 1994. Under R.A. 7691, it was retroactively transferred to the MTC (which now handled claims up to ₱100,000). However, a criminal case filed in the RTC in 1993 carrying a 3-year prison term remained in the RTC because criminal cases were excluded from R.A. 7691's retroactive application.</w:t>
            </w:r>
          </w:p>
        </w:tc>
      </w:tr>
    </w:tbl>
    <w:p>
      <w:pPr>
        <w:keepNext/>
        <w:spacing w:before="360" w:after="120"/>
      </w:pPr>
      <w:r>
        <w:rPr>
          <w:rFonts w:ascii="Calibri" w:hAnsi="Calibri"/>
          <w:b/>
          <w:color w:val="2E4053"/>
          <w:sz w:val="28"/>
        </w:rPr>
        <w:t>IV. Landmark Case: Palana v. People (G.R. No. 149995)</w:t>
      </w:r>
    </w:p>
    <w:p>
      <w:pPr>
        <w:spacing w:after="120" w:line="276" w:lineRule="auto"/>
      </w:pPr>
      <w:r>
        <w:rPr>
          <w:rFonts w:ascii="Calibri" w:hAnsi="Calibri"/>
          <w:color w:val="333333"/>
          <w:sz w:val="22"/>
        </w:rPr>
        <w:t>The Supreme Court's ruling in Palana v. People (September 28, 2007) is the definitive authority on how R.A. 7691 interacts with B.P. 129 in terms of criminal jurisdiction.</w:t>
      </w:r>
    </w:p>
    <w:p>
      <w:pPr>
        <w:keepNext/>
        <w:spacing w:before="240" w:after="80"/>
      </w:pPr>
      <w:r>
        <w:rPr>
          <w:rFonts w:ascii="Calibri" w:hAnsi="Calibri"/>
          <w:b/>
          <w:color w:val="5D6D7E"/>
          <w:sz w:val="24"/>
        </w:rPr>
        <w:t>Case Summary &amp; Ruling</w:t>
      </w:r>
    </w:p>
    <w:p>
      <w:pPr>
        <w:spacing w:after="120" w:line="276" w:lineRule="auto"/>
      </w:pPr>
      <w:r>
        <w:rPr>
          <w:rFonts w:ascii="Calibri" w:hAnsi="Calibri"/>
          <w:color w:val="333333"/>
          <w:sz w:val="22"/>
        </w:rPr>
        <w:t>In 1991, an Information was filed in the RTC charging the petitioner with a violation of B.P. Blg. 22 (Bouncing Checks Law). At that time, B.P. Blg. 22 fell under the RTC due to the potential fine exceeding ₱4,000. In 1994, R.A. 7691 was enacted, transferring B.P. 22 jurisdiction to the MTC. The petitioner argued that the RTC was divested of jurisdiction. The Supreme Court rejected this, declaring that the jurisdiction of a court is determined by the law in force at the time of the filing of the Information. Once jurisdiction attaches, it is not divested by subsequent laws like R.A. 7691 which reapportion jurisdiction, since R.A. 7691 applies prospectively to criminal cases.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