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E3A8A"/>
          <w:sz w:val="34"/>
        </w:rPr>
        <w:t>PIMENTEL, ET AL. v. LEGAL EDUCATION BOARD</w:t>
      </w:r>
    </w:p>
    <w:p>
      <w:pPr>
        <w:spacing w:after="240"/>
        <w:jc w:val="center"/>
      </w:pPr>
      <w:r>
        <w:rPr>
          <w:i/>
          <w:color w:val="475569"/>
          <w:sz w:val="21"/>
        </w:rPr>
        <w:t>COMPLETE CASE DIGEST, CLASSROOM RECITATION GUIDE &amp; ETHICAL CANONS (CPRA/CPR)</w:t>
        <w:br/>
        <w:t>Applied Framework: Whole Facts | Issues | Doctrines | Conclusions | ALAC | Ethical Canons</w:t>
      </w:r>
    </w:p>
    <w:tbl>
      <w:tblPr>
        <w:tblW w:type="auto" w:w="0"/>
        <w:jc w:val="center"/>
        <w:tblLayout w:type="fixed"/>
        <w:tblLook w:firstColumn="1" w:firstRow="1" w:lastColumn="0" w:lastRow="0" w:noHBand="0" w:noVBand="1" w:val="04A0"/>
      </w:tblPr>
      <w:tblGrid>
        <w:gridCol w:w="4680"/>
        <w:gridCol w:w="4680"/>
      </w:tblGrid>
      <w:tr>
        <w:tc>
          <w:tcPr>
            <w:tcW w:type="dxa" w:w="3168"/>
            <w:shd w:fill="F8FAFC"/>
            <w:tcBorders>
              <w:top w:val="single" w:sz="4" w:space="0" w:color="CBD5E1"/>
              <w:bottom w:val="single" w:sz="4" w:space="0" w:color="CBD5E1"/>
              <w:left w:val="single" w:sz="4" w:space="0" w:color="CBD5E1"/>
              <w:right w:val="single" w:sz="4" w:space="0" w:color="CBD5E1"/>
            </w:tcBorders>
          </w:tcPr>
          <w:p>
            <w:pPr>
              <w:spacing w:after="40"/>
            </w:pPr>
            <w:r>
              <w:rPr>
                <w:b/>
                <w:color w:val="1E3A8A"/>
                <w:sz w:val="18"/>
              </w:rPr>
              <w:t>Case Titles &amp; Citations</w:t>
            </w:r>
          </w:p>
        </w:tc>
        <w:tc>
          <w:tcPr>
            <w:tcW w:type="dxa" w:w="6192"/>
            <w:tcBorders>
              <w:top w:val="single" w:sz="4" w:space="0" w:color="CBD5E1"/>
              <w:bottom w:val="single" w:sz="4" w:space="0" w:color="CBD5E1"/>
              <w:left w:val="single" w:sz="4" w:space="0" w:color="CBD5E1"/>
              <w:right w:val="single" w:sz="4" w:space="0" w:color="CBD5E1"/>
            </w:tcBorders>
          </w:tcPr>
          <w:p>
            <w:pPr>
              <w:spacing w:after="40"/>
            </w:pPr>
            <w:r>
              <w:rPr>
                <w:sz w:val="18"/>
              </w:rPr>
              <w:t>Oscar B. Pimentel, et al. v. Legal Education Board (LEB), G.R. No. 230642</w:t>
              <w:br/>
              <w:t>Consolidated with Abigail Valerie H. Aguilar, et al. v. Salvador Medialdea, et al., G.R. No. 242954</w:t>
            </w:r>
          </w:p>
        </w:tc>
      </w:tr>
      <w:tr>
        <w:tc>
          <w:tcPr>
            <w:tcW w:type="dxa" w:w="3168"/>
            <w:shd w:fill="F8FAFC"/>
            <w:tcBorders>
              <w:top w:val="single" w:sz="4" w:space="0" w:color="CBD5E1"/>
              <w:bottom w:val="single" w:sz="4" w:space="0" w:color="CBD5E1"/>
              <w:left w:val="single" w:sz="4" w:space="0" w:color="CBD5E1"/>
              <w:right w:val="single" w:sz="4" w:space="0" w:color="CBD5E1"/>
            </w:tcBorders>
          </w:tcPr>
          <w:p>
            <w:pPr>
              <w:spacing w:after="40"/>
            </w:pPr>
            <w:r>
              <w:rPr>
                <w:b/>
                <w:color w:val="1E3A8A"/>
                <w:sz w:val="18"/>
              </w:rPr>
              <w:t>Dates of Decisions</w:t>
            </w:r>
          </w:p>
        </w:tc>
        <w:tc>
          <w:tcPr>
            <w:tcW w:type="dxa" w:w="6192"/>
            <w:tcBorders>
              <w:top w:val="single" w:sz="4" w:space="0" w:color="CBD5E1"/>
              <w:bottom w:val="single" w:sz="4" w:space="0" w:color="CBD5E1"/>
              <w:left w:val="single" w:sz="4" w:space="0" w:color="CBD5E1"/>
              <w:right w:val="single" w:sz="4" w:space="0" w:color="CBD5E1"/>
            </w:tcBorders>
          </w:tcPr>
          <w:p>
            <w:pPr>
              <w:spacing w:after="40"/>
            </w:pPr>
            <w:r>
              <w:rPr>
                <w:sz w:val="18"/>
              </w:rPr>
              <w:t>Main Decision: Sept. 10, 2019 (Penned by J. J.C. Reyes, Jr., En Banc)</w:t>
              <w:br/>
              <w:t>Resolution on MR: Nov. 9, 2021 (Penned by J. R.V. Zalameda, En Banc)</w:t>
            </w:r>
          </w:p>
        </w:tc>
      </w:tr>
      <w:tr>
        <w:tc>
          <w:tcPr>
            <w:tcW w:type="dxa" w:w="3168"/>
            <w:shd w:fill="F8FAFC"/>
            <w:tcBorders>
              <w:top w:val="single" w:sz="4" w:space="0" w:color="CBD5E1"/>
              <w:bottom w:val="single" w:sz="4" w:space="0" w:color="CBD5E1"/>
              <w:left w:val="single" w:sz="4" w:space="0" w:color="CBD5E1"/>
              <w:right w:val="single" w:sz="4" w:space="0" w:color="CBD5E1"/>
            </w:tcBorders>
          </w:tcPr>
          <w:p>
            <w:pPr>
              <w:spacing w:after="40"/>
            </w:pPr>
            <w:r>
              <w:rPr>
                <w:b/>
                <w:color w:val="1E3A8A"/>
                <w:sz w:val="18"/>
              </w:rPr>
              <w:t>Subject Matter</w:t>
            </w:r>
          </w:p>
        </w:tc>
        <w:tc>
          <w:tcPr>
            <w:tcW w:type="dxa" w:w="6192"/>
            <w:tcBorders>
              <w:top w:val="single" w:sz="4" w:space="0" w:color="CBD5E1"/>
              <w:bottom w:val="single" w:sz="4" w:space="0" w:color="CBD5E1"/>
              <w:left w:val="single" w:sz="4" w:space="0" w:color="CBD5E1"/>
              <w:right w:val="single" w:sz="4" w:space="0" w:color="CBD5E1"/>
            </w:tcBorders>
          </w:tcPr>
          <w:p>
            <w:pPr>
              <w:spacing w:after="40"/>
            </w:pPr>
            <w:r>
              <w:rPr>
                <w:sz w:val="18"/>
              </w:rPr>
              <w:t>Basic Legal and Judicial Ethics (BLJE) | Constitutional Law | CPRA Canons | Institutional Academic Freedom | Judicial Rule-Making Power</w:t>
            </w:r>
          </w:p>
        </w:tc>
      </w:tr>
      <w:tr>
        <w:tc>
          <w:tcPr>
            <w:tcW w:type="dxa" w:w="3168"/>
            <w:shd w:fill="F8FAFC"/>
            <w:tcBorders>
              <w:top w:val="single" w:sz="4" w:space="0" w:color="CBD5E1"/>
              <w:bottom w:val="single" w:sz="4" w:space="0" w:color="CBD5E1"/>
              <w:left w:val="single" w:sz="4" w:space="0" w:color="CBD5E1"/>
              <w:right w:val="single" w:sz="4" w:space="0" w:color="CBD5E1"/>
            </w:tcBorders>
          </w:tcPr>
          <w:p>
            <w:pPr>
              <w:spacing w:after="40"/>
            </w:pPr>
            <w:r>
              <w:rPr>
                <w:b/>
                <w:color w:val="1E3A8A"/>
                <w:sz w:val="18"/>
              </w:rPr>
              <w:t>Key Statutes &amp; Orders</w:t>
            </w:r>
          </w:p>
        </w:tc>
        <w:tc>
          <w:tcPr>
            <w:tcW w:type="dxa" w:w="6192"/>
            <w:tcBorders>
              <w:top w:val="single" w:sz="4" w:space="0" w:color="CBD5E1"/>
              <w:bottom w:val="single" w:sz="4" w:space="0" w:color="CBD5E1"/>
              <w:left w:val="single" w:sz="4" w:space="0" w:color="CBD5E1"/>
              <w:right w:val="single" w:sz="4" w:space="0" w:color="CBD5E1"/>
            </w:tcBorders>
          </w:tcPr>
          <w:p>
            <w:pPr>
              <w:spacing w:after="40"/>
            </w:pPr>
            <w:r>
              <w:rPr>
                <w:sz w:val="18"/>
              </w:rPr>
              <w:t>Republic Act No. 7662 (Legal Education Reform Act of 1993)</w:t>
              <w:br/>
              <w:t>LEBMO No. 7-2016 (PhiLSAT), LEBMO No. 1-2011, LEBMO No. 2-2013</w:t>
            </w:r>
          </w:p>
        </w:tc>
      </w:tr>
      <w:tr>
        <w:tc>
          <w:tcPr>
            <w:tcW w:type="dxa" w:w="3168"/>
            <w:shd w:fill="F8FAFC"/>
            <w:tcBorders>
              <w:top w:val="single" w:sz="4" w:space="0" w:color="CBD5E1"/>
              <w:bottom w:val="single" w:sz="4" w:space="0" w:color="CBD5E1"/>
              <w:left w:val="single" w:sz="4" w:space="0" w:color="CBD5E1"/>
              <w:right w:val="single" w:sz="4" w:space="0" w:color="CBD5E1"/>
            </w:tcBorders>
          </w:tcPr>
          <w:p>
            <w:pPr>
              <w:spacing w:after="40"/>
            </w:pPr>
            <w:r>
              <w:rPr>
                <w:b/>
                <w:color w:val="1E3A8A"/>
                <w:sz w:val="18"/>
              </w:rPr>
              <w:t>Ethical Canons &amp; Consti</w:t>
            </w:r>
          </w:p>
        </w:tc>
        <w:tc>
          <w:tcPr>
            <w:tcW w:type="dxa" w:w="6192"/>
            <w:tcBorders>
              <w:top w:val="single" w:sz="4" w:space="0" w:color="CBD5E1"/>
              <w:bottom w:val="single" w:sz="4" w:space="0" w:color="CBD5E1"/>
              <w:left w:val="single" w:sz="4" w:space="0" w:color="CBD5E1"/>
              <w:right w:val="single" w:sz="4" w:space="0" w:color="CBD5E1"/>
            </w:tcBorders>
          </w:tcPr>
          <w:p>
            <w:pPr>
              <w:spacing w:after="40"/>
            </w:pPr>
            <w:r>
              <w:rPr>
                <w:sz w:val="18"/>
              </w:rPr>
              <w:t>CPRA Canons I, II, III, IV | CPR Canons 1, 5, 10, 11 | 1987 Consti: Art. VIII, Sec. 5(5); Art. XIV, Sec. 1, 4(1), 5(2)</w:t>
            </w:r>
          </w:p>
        </w:tc>
      </w:tr>
    </w:tbl>
    <w:p>
      <w:pPr>
        <w:spacing w:after="120"/>
      </w:pPr>
    </w:p>
    <w:p>
      <w:pPr>
        <w:keepNext/>
        <w:spacing w:before="280" w:after="80"/>
        <w:pBdr>
          <w:bottom w:val="single" w:sz="12" w:space="4" w:color="1E3A8A"/>
        </w:pBdr>
      </w:pPr>
      <w:r>
        <w:rPr>
          <w:b/>
          <w:color w:val="1E3A8A"/>
          <w:sz w:val="25"/>
        </w:rPr>
        <w:t>PART A: CLASSROOM DISCUSSION &amp; RECITATION SCRIPT</w:t>
      </w:r>
    </w:p>
    <w:p>
      <w:r>
        <w:t>Use this 4-step oral delivery script when called for recitation in Basic Legal and Judicial Ethics (BLJE):</w:t>
      </w:r>
    </w:p>
    <w:p>
      <w:pPr>
        <w:keepNext/>
        <w:spacing w:before="200" w:after="60"/>
      </w:pPr>
      <w:r>
        <w:rPr>
          <w:b/>
          <w:color w:val="2563EB"/>
          <w:sz w:val="22"/>
        </w:rPr>
        <w:t>Step 1: Oral Delivery for the Whole Facts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bottom w:val="none"/>
              <w:left w:val="single" w:sz="24" w:space="0" w:color="1E3A8A"/>
              <w:right w:val="none"/>
            </w:tcBorders>
          </w:tcPr>
          <w:p>
            <w:pPr>
              <w:spacing w:before="60" w:after="40"/>
            </w:pPr>
            <w:r>
              <w:rPr>
                <w:b/>
                <w:color w:val="1E3A8A"/>
                <w:sz w:val="19"/>
              </w:rPr>
              <w:t>🎙️ RECITATION SCRIPT — THE WHOLE FACTS:</w:t>
              <w:br/>
            </w:r>
            <w:r>
              <w:rPr>
                <w:sz w:val="19"/>
              </w:rPr>
              <w:t>"May it please the Professor/Attorney:</w:t>
              <w:br/>
              <w:br/>
              <w:t>This case involves consolidated petitions challenging the constitutionality of Republic Act No. 7662 (Legal Education Reform Act of 1993) and various orders of the Legal Education Board (LEB), most notably LEBMO No. 7-2016 which mandated the PhiLSAT.</w:t>
              <w:br/>
              <w:br/>
              <w:t>In 1993, Congress enacted R.A. No. 7662 to reform and uplift the standards of legal education, creating the Legal Education Board (LEB). Section 7 granted the LEB regulatory powers over law schools, including accreditation, faculty standards, admission requirements, establishing a mandatory pre-Bar internship, and adopting mandatory continuing legal education (MCLE).</w:t>
              <w:br/>
              <w:br/>
              <w:t>Pursuant to this law, the LEB issued several restrictive orders:</w:t>
              <w:br/>
              <w:t>1. LEBMO Nos. 1-2011 and 2-2013 mandated that all law school deans and professors must obtain a Master of Laws (LL.M.) degree under pain of disqualification, and barred non-law graduates from entering LL.M. programs.</w:t>
              <w:br/>
              <w:t>2. LEBMO No. 7-2016 established the nationwide Philippine Law School Admission Test (PhiLSAT). Passing the PhiLSAT (at least 55th percentile) was made an absolute, mandatory prerequisite for admission to law school nationwide. Law schools were strictly barred from enrolling non-passers under threat of closure, fines, and revocation of accreditation.</w:t>
              <w:br/>
              <w:br/>
              <w:t>This prompted two consolidated petitions:</w:t>
              <w:br/>
              <w:t>• G.R. No. 230642 filed by Atty. Oscar Pimentel, legal educators, and law students, arguing that the LEB encroached upon the Supreme Court's exclusive authority over the Bar (Art. VIII, Sec. 5[5]) and violated institutional academic freedom (Art. XIV, Sec. 5[2]).</w:t>
              <w:br/>
              <w:t>• G.R. No. 242954 filed by aspiring law students challenging the exclusionary PhiLSAT for violating their right to education, due process, and equal protection."</w:t>
            </w:r>
          </w:p>
        </w:tc>
      </w:tr>
    </w:tbl>
    <w:p>
      <w:pPr>
        <w:spacing w:after="40"/>
      </w:pPr>
    </w:p>
    <w:p>
      <w:pPr>
        <w:keepNext/>
        <w:spacing w:before="200" w:after="60"/>
      </w:pPr>
      <w:r>
        <w:rPr>
          <w:b/>
          <w:color w:val="2563EB"/>
          <w:sz w:val="22"/>
        </w:rPr>
        <w:t>Step 2: Oral Delivery for the Core Issues</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bottom w:val="none"/>
              <w:left w:val="single" w:sz="24" w:space="0" w:color="2563EB"/>
              <w:right w:val="none"/>
            </w:tcBorders>
          </w:tcPr>
          <w:p>
            <w:pPr>
              <w:spacing w:before="60" w:after="40"/>
            </w:pPr>
            <w:r>
              <w:rPr>
                <w:b/>
                <w:color w:val="1E3A8A"/>
                <w:sz w:val="19"/>
              </w:rPr>
              <w:t>🎙️ RECITATION SCRIPT — THE CORE ISSUES:</w:t>
              <w:br/>
            </w:r>
            <w:r>
              <w:rPr>
                <w:sz w:val="19"/>
              </w:rPr>
              <w:t>"The principal issues raised before the Supreme Court are:</w:t>
              <w:br/>
              <w:br/>
              <w:t>1. JURISDICTION: Does the State's regulation of legal education through the LEB under R.A. 7662 encroach upon the Supreme Court's exclusive constitutional authority over admission to the practice of law under Article VIII, Section 5(5)?</w:t>
              <w:br/>
              <w:t>2. ACADEMIC FREEDOM (ADMISSIONS): Does the mandatory, exclusionary PhiLSAT requirement under LEBMO No. 7-2016 violate the institutional academic freedom of law schools under Article XIV, Section 5(2) to determine who may be admitted to study?</w:t>
              <w:br/>
              <w:t>3. FACULTY &amp; CURRICULUM RESTRICTIONS: Are the LEB regulations mandating a Master of Laws (LL.M.) for faculty and barring non-law graduates from LL.M. programs constitutional?</w:t>
              <w:br/>
              <w:t>4. BAR REQUIREMENTS &amp; MCLE: Are Section 7(g) (mandatory pre-Bar internship) and Section 7(h) (MCLE power) of R.A. 7662 constitutional?"</w:t>
            </w:r>
          </w:p>
        </w:tc>
      </w:tr>
    </w:tbl>
    <w:p>
      <w:pPr>
        <w:spacing w:after="40"/>
      </w:pPr>
    </w:p>
    <w:p>
      <w:pPr>
        <w:keepNext/>
        <w:spacing w:before="200" w:after="60"/>
      </w:pPr>
      <w:r>
        <w:rPr>
          <w:b/>
          <w:color w:val="2563EB"/>
          <w:sz w:val="22"/>
        </w:rPr>
        <w:t>Step 3: Oral Delivery for the Legal Doctrines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bottom w:val="none"/>
              <w:left w:val="single" w:sz="24" w:space="0" w:color="1E3A8A"/>
              <w:right w:val="none"/>
            </w:tcBorders>
          </w:tcPr>
          <w:p>
            <w:pPr>
              <w:spacing w:before="60" w:after="40"/>
            </w:pPr>
            <w:r>
              <w:rPr>
                <w:b/>
                <w:color w:val="1E3A8A"/>
                <w:sz w:val="19"/>
              </w:rPr>
              <w:t>🎙️ RECITATION SCRIPT — THE LEGAL DOCTRINES:</w:t>
              <w:br/>
            </w:r>
            <w:r>
              <w:rPr>
                <w:sz w:val="19"/>
              </w:rPr>
              <w:t>"The Supreme Court laid down three cardinal constitutional doctrines:</w:t>
              <w:br/>
              <w:br/>
              <w:t>1. 'STUDY OF LAW' VS. 'PRACTICE OF LAW':</w:t>
              <w:br/>
              <w:t>• The STUDY OF LAW is higher education governed by the State's sovereign police power (Art. XIV, Sec. 4[1]). Congress may create an administrative agency (LEB) to set minimum educational standards.</w:t>
              <w:br/>
              <w:t>• The PRACTICE OF LAW and BAR ADMISSION are exclusive constitutional prerogatives of the Supreme Court (Art. VIII, Sec. 5[5]). Administrative bodies cannot impose prerequisites for the Bar Exams or regulate practicing lawyers.</w:t>
              <w:br/>
              <w:br/>
              <w:t>2. INSTITUTIONAL ACADEMIC FREEDOM (THE FOUR ESSENTIAL FREEDOMS):</w:t>
              <w:br/>
              <w:t>Under Article XIV, Section 5(2), universities enjoy the autonomy to determine: (1) who may teach; (2) what may be taught; (3) how it shall be taught; and (4) who may be admitted to study. State power is strictly limited to prescribing reasonable 'minimum standards' and cannot impose total dictation or exclusionary barriers.</w:t>
              <w:br/>
              <w:br/>
              <w:t>3. STANDARDIZED APTITUDE TESTS AS ADVISORY TOOLS:</w:t>
              <w:br/>
              <w:t>A standardized test is valid only as an ADVISORY or diagnostic guide. Transforming it into an exclusionary pass/fail requirement that prevents law schools from admitting non-passers violates institutional academic freedom."</w:t>
            </w:r>
          </w:p>
        </w:tc>
      </w:tr>
    </w:tbl>
    <w:p>
      <w:pPr>
        <w:spacing w:after="40"/>
      </w:pPr>
    </w:p>
    <w:p>
      <w:pPr>
        <w:keepNext/>
        <w:spacing w:before="200" w:after="60"/>
      </w:pPr>
      <w:r>
        <w:rPr>
          <w:b/>
          <w:color w:val="2563EB"/>
          <w:sz w:val="22"/>
        </w:rPr>
        <w:t>Step 4: Oral Delivery for the Conclusion &amp; Disposition</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bottom w:val="none"/>
              <w:left w:val="single" w:sz="24" w:space="0" w:color="15803D"/>
              <w:right w:val="none"/>
            </w:tcBorders>
          </w:tcPr>
          <w:p>
            <w:pPr>
              <w:spacing w:before="60" w:after="40"/>
            </w:pPr>
            <w:r>
              <w:rPr>
                <w:b/>
                <w:color w:val="1E3A8A"/>
                <w:sz w:val="19"/>
              </w:rPr>
              <w:t>🎙️ RECITATION SCRIPT — THE CONCLUSION &amp; DISPOSITION:</w:t>
              <w:br/>
            </w:r>
            <w:r>
              <w:rPr>
                <w:sz w:val="19"/>
              </w:rPr>
              <w:t>"In conclusion, the Supreme Court PARTIALLY GRANTED the petitions:</w:t>
              <w:br/>
              <w:br/>
              <w:t>1. UPHELD AS CONSTITUTIONAL:</w:t>
              <w:br/>
              <w:t>• R.A. No. 7662 as a whole and the LEB's general authority to supervise legal education and prescribe reasonable minimum standards.</w:t>
              <w:br/>
              <w:t>• Standardized aptitude tests, but purely as an ADVISORY, NON-MANDATORY guideline.</w:t>
              <w:br/>
              <w:br/>
              <w:t>2. STRUCK DOWN AS UNCONSTITUTIONAL:</w:t>
              <w:br/>
              <w:t>• LEBMO No. 7-2016 (PhiLSAT) in its ENTIRETY, for violating institutional academic freedom.</w:t>
              <w:br/>
              <w:t>• Section 7(g) of R.A. 7662 (Pre-Bar Internship), for usurping the Supreme Court's exclusive authority over Bar admission under Rule 138.</w:t>
              <w:br/>
              <w:t>• Section 7(h) of R.A. 7662 (MCLE regulation), for usurping the Supreme Court's exclusive jurisdiction over the Integrated Bar under BM No. 850.</w:t>
              <w:br/>
              <w:t>• The mandatory LL.M. degree for faculty/deans and restrictions on graduate law admissions.</w:t>
              <w:br/>
              <w:br/>
              <w:t>ETHICAL RELEVANCE (BLJE): The ruling safeguards the independence of the Judiciary and the Bar, respects university autonomy, and protects citizens' right to accessible legal education."</w:t>
            </w:r>
          </w:p>
        </w:tc>
      </w:tr>
    </w:tbl>
    <w:p>
      <w:pPr>
        <w:spacing w:after="40"/>
      </w:pPr>
    </w:p>
    <w:p>
      <w:pPr>
        <w:keepNext/>
        <w:spacing w:before="200" w:after="60"/>
      </w:pPr>
      <w:r>
        <w:rPr>
          <w:b/>
          <w:color w:val="2563EB"/>
          <w:sz w:val="22"/>
        </w:rPr>
        <w:t>Hot-Seat Recitation Cheat Sheet (Rapid Professor Q&amp;A)</w:t>
      </w:r>
    </w:p>
    <w:p>
      <w:pPr>
        <w:pStyle w:val="ListBullet"/>
        <w:spacing w:after="60" w:line="276" w:lineRule="auto"/>
      </w:pPr>
      <w:r>
        <w:rPr>
          <w:b/>
        </w:rPr>
        <w:t xml:space="preserve">Q1: Did the Supreme Court declare the LEB itself unconstitutional? -&gt; </w:t>
      </w:r>
      <w:r>
        <w:t>NO. The Court upheld R.A. 7662 and the LEB's regulatory authority under State police power over higher education (Art. XIV, Sec. 4[1]).</w:t>
      </w:r>
    </w:p>
    <w:p>
      <w:pPr>
        <w:pStyle w:val="ListBullet"/>
        <w:spacing w:after="60" w:line="276" w:lineRule="auto"/>
      </w:pPr>
      <w:r>
        <w:rPr>
          <w:b/>
        </w:rPr>
        <w:t xml:space="preserve">Q2: Did the Supreme Court say entrance aptitude exams are completely illegal? -&gt; </w:t>
      </w:r>
      <w:r>
        <w:t>NO. Standardized aptitude tests are valid as an ADVISORY baseline tool, but making it an absolute, exclusionary pass/fail cutoff violates academic freedom.</w:t>
      </w:r>
    </w:p>
    <w:p>
      <w:pPr>
        <w:pStyle w:val="ListBullet"/>
        <w:spacing w:after="60" w:line="276" w:lineRule="auto"/>
      </w:pPr>
      <w:r>
        <w:rPr>
          <w:b/>
        </w:rPr>
        <w:t xml:space="preserve">Q3: Why was the pre-Bar internship in Section 7(g) struck down? -&gt; </w:t>
      </w:r>
      <w:r>
        <w:t>Because setting prerequisites to sit for the Bar Examination is an exclusive judicial function of the Supreme Court under Article VIII, Section 5(5) and Rule 138 of the Rules of Court.</w:t>
      </w:r>
    </w:p>
    <w:p>
      <w:pPr>
        <w:pStyle w:val="ListBullet"/>
        <w:spacing w:after="60" w:line="276" w:lineRule="auto"/>
      </w:pPr>
      <w:r>
        <w:rPr>
          <w:b/>
        </w:rPr>
        <w:t xml:space="preserve">Q4: Why can't the LEB regulate MCLE under Section 7(h)? -&gt; </w:t>
      </w:r>
      <w:r>
        <w:t>Because the LEB's jurisdiction ends when a student graduates. Once admitted to the Bar, practicing lawyers are governed exclusively by the Supreme Court under Bar Matter No. 850.</w:t>
      </w:r>
    </w:p>
    <w:p>
      <w:pPr>
        <w:pStyle w:val="ListBullet"/>
        <w:spacing w:after="60" w:line="276" w:lineRule="auto"/>
      </w:pPr>
      <w:r>
        <w:rPr>
          <w:b/>
        </w:rPr>
        <w:t xml:space="preserve">Q5: Why was the mandatory LL.M. for professors struck down? -&gt; </w:t>
      </w:r>
      <w:r>
        <w:t>Because it violates the school's freedom to choose 'who may teach.' In law, seasoned practitioners and judges possess immense practical wisdom even without a master's degree.</w:t>
      </w:r>
    </w:p>
    <w:p>
      <w:pPr>
        <w:keepNext/>
        <w:spacing w:before="280" w:after="80"/>
        <w:pBdr>
          <w:bottom w:val="single" w:sz="12" w:space="4" w:color="1E3A8A"/>
        </w:pBdr>
      </w:pPr>
      <w:r>
        <w:rPr>
          <w:b/>
          <w:color w:val="1E3A8A"/>
          <w:sz w:val="25"/>
        </w:rPr>
        <w:t>PART B: SYSTEMATIC ISSUE-BY-ISSUE ALAC BREAKDOWNS</w:t>
      </w:r>
    </w:p>
    <w:p>
      <w:pPr>
        <w:keepNext/>
        <w:spacing w:before="200" w:after="60"/>
      </w:pPr>
      <w:r>
        <w:rPr>
          <w:b/>
          <w:color w:val="2563EB"/>
          <w:sz w:val="22"/>
        </w:rPr>
        <w:t>Topic 1: State Regulation of Legal Education vs. Judicial Authority</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bottom w:val="none"/>
              <w:left w:val="single" w:sz="24" w:space="0" w:color="1E3A8A"/>
              <w:right w:val="none"/>
            </w:tcBorders>
          </w:tcPr>
          <w:p>
            <w:pPr>
              <w:spacing w:before="60" w:after="40"/>
            </w:pPr>
            <w:r>
              <w:rPr>
                <w:b/>
                <w:color w:val="1E3A8A"/>
                <w:sz w:val="19"/>
              </w:rPr>
              <w:t>⚖️ LEGAL ISSUE:</w:t>
              <w:br/>
            </w:r>
            <w:r>
              <w:rPr>
                <w:sz w:val="19"/>
              </w:rPr>
              <w:t>Does State regulation of legal education via LEB under R.A. 7662 encroach on Supreme Court authority under Art. VIII, Sec. 5(5)?</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EFF6FF"/>
            <w:tcBorders>
              <w:top w:val="none"/>
              <w:bottom w:val="none"/>
              <w:left w:val="single" w:sz="24" w:space="0" w:color="2563EB"/>
              <w:right w:val="none"/>
            </w:tcBorders>
          </w:tcPr>
          <w:p>
            <w:pPr>
              <w:spacing w:before="60" w:after="40"/>
            </w:pPr>
            <w:r>
              <w:rPr>
                <w:b/>
                <w:color w:val="1E3A8A"/>
                <w:sz w:val="19"/>
              </w:rPr>
              <w:t>📖 DOCTRINE APPLIED:</w:t>
              <w:br/>
            </w:r>
            <w:r>
              <w:rPr>
                <w:sz w:val="19"/>
              </w:rPr>
              <w:t>State Police Power over Higher Education (Art. XIV, Sec. 4[1]) vs. Judicial Rule-Making Power (Art. VIII, Sec. 5[5]).</w:t>
            </w:r>
          </w:p>
        </w:tc>
      </w:tr>
    </w:tbl>
    <w:p>
      <w:pPr>
        <w:spacing w:after="40"/>
      </w:pPr>
    </w:p>
    <w:tbl>
      <w:tblPr>
        <w:tblW w:type="auto" w:w="0"/>
        <w:jc w:val="center"/>
        <w:tblLayout w:type="fixed"/>
        <w:tblLook w:firstColumn="1" w:firstRow="1" w:lastColumn="0" w:lastRow="0" w:noHBand="0" w:noVBand="1" w:val="04A0"/>
      </w:tblPr>
      <w:tblGrid>
        <w:gridCol w:w="4680"/>
        <w:gridCol w:w="4680"/>
      </w:tblGrid>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A — ANSWER</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b/>
                <w:sz w:val="18"/>
              </w:rPr>
              <w:t>NO. The LEB's general supervision of legal education does not encroach on judicial authority.</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L — LEGAL BASIS</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Art. XIV, Sec. 4(1) grants State supervisory power over education; Art. VIII, Sec. 5(5) grants SC exclusive power over Bar admission and legal practice.</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A — ANALYSIS</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The study of law is higher education governed by State police power. Congress legitimately created the LEB to set minimum academic standards. So long as LEB does not regulate Bar exams or practicing lawyers, it is valid.</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C — CONCLUSION</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R.A. No. 7662 and the LEB's jurisdiction over legal education are UPHELD as CONSTITUTIONAL.</w:t>
            </w:r>
          </w:p>
        </w:tc>
      </w:tr>
    </w:tbl>
    <w:p>
      <w:pPr>
        <w:spacing w:after="80"/>
      </w:pPr>
    </w:p>
    <w:p>
      <w:pPr>
        <w:keepNext/>
        <w:spacing w:before="200" w:after="60"/>
      </w:pPr>
      <w:r>
        <w:rPr>
          <w:b/>
          <w:color w:val="2563EB"/>
          <w:sz w:val="22"/>
        </w:rPr>
        <w:t>Topic 2: Mandatory PhiLSAT Exam (LEBMO No. 7-2016)</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bottom w:val="none"/>
              <w:left w:val="single" w:sz="24" w:space="0" w:color="1E3A8A"/>
              <w:right w:val="none"/>
            </w:tcBorders>
          </w:tcPr>
          <w:p>
            <w:pPr>
              <w:spacing w:before="60" w:after="40"/>
            </w:pPr>
            <w:r>
              <w:rPr>
                <w:b/>
                <w:color w:val="1E3A8A"/>
                <w:sz w:val="19"/>
              </w:rPr>
              <w:t>⚖️ LEGAL ISSUE:</w:t>
              <w:br/>
            </w:r>
            <w:r>
              <w:rPr>
                <w:sz w:val="19"/>
              </w:rPr>
              <w:t>Is the mandatory, exclusionary PhiLSAT requirement under LEBMO No. 7-2016 constitutional?</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EFF6FF"/>
            <w:tcBorders>
              <w:top w:val="none"/>
              <w:bottom w:val="none"/>
              <w:left w:val="single" w:sz="24" w:space="0" w:color="2563EB"/>
              <w:right w:val="none"/>
            </w:tcBorders>
          </w:tcPr>
          <w:p>
            <w:pPr>
              <w:spacing w:before="60" w:after="40"/>
            </w:pPr>
            <w:r>
              <w:rPr>
                <w:b/>
                <w:color w:val="1E3A8A"/>
                <w:sz w:val="19"/>
              </w:rPr>
              <w:t>📖 DOCTRINE APPLIED:</w:t>
              <w:br/>
            </w:r>
            <w:r>
              <w:rPr>
                <w:sz w:val="19"/>
              </w:rPr>
              <w:t>Institutional Academic Freedom — Freedom to Determine 'Who May Be Admitted to Study' (Art. XIV, Sec. 5[2]).</w:t>
            </w:r>
          </w:p>
        </w:tc>
      </w:tr>
    </w:tbl>
    <w:p>
      <w:pPr>
        <w:spacing w:after="40"/>
      </w:pPr>
    </w:p>
    <w:tbl>
      <w:tblPr>
        <w:tblW w:type="auto" w:w="0"/>
        <w:jc w:val="center"/>
        <w:tblLayout w:type="fixed"/>
        <w:tblLook w:firstColumn="1" w:firstRow="1" w:lastColumn="0" w:lastRow="0" w:noHBand="0" w:noVBand="1" w:val="04A0"/>
      </w:tblPr>
      <w:tblGrid>
        <w:gridCol w:w="4680"/>
        <w:gridCol w:w="4680"/>
      </w:tblGrid>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A — ANSWER</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b/>
                <w:sz w:val="18"/>
              </w:rPr>
              <w:t>YES, it is UNCONSTITUTIONAL.</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L — LEGAL BASIS</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Art. XIV, Sec. 5(2) guarantees academic freedom to universities. State power is limited to reasonable minimum standards, not absolute dictation.</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A — ANALYSIS</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Imposing a centralized 55th percentile cutoff and prohibiting law schools from admitting non-passers strips schools of their discretion to admit students based on holistic factors (GPA, interviews, character, diversity).</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C — CONCLUSION</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LEBMO No. 7-2016 is STRUCK DOWN as UNCONSTITUTIONAL in its entirety.</w:t>
            </w:r>
          </w:p>
        </w:tc>
      </w:tr>
    </w:tbl>
    <w:p>
      <w:pPr>
        <w:spacing w:after="80"/>
      </w:pPr>
    </w:p>
    <w:p>
      <w:pPr>
        <w:keepNext/>
        <w:spacing w:before="200" w:after="60"/>
      </w:pPr>
      <w:r>
        <w:rPr>
          <w:b/>
          <w:color w:val="2563EB"/>
          <w:sz w:val="22"/>
        </w:rPr>
        <w:t>Topic 3: Mandatory Master of Laws (LL.M.) for Faculty &amp; Deans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bottom w:val="none"/>
              <w:left w:val="single" w:sz="24" w:space="0" w:color="1E3A8A"/>
              <w:right w:val="none"/>
            </w:tcBorders>
          </w:tcPr>
          <w:p>
            <w:pPr>
              <w:spacing w:before="60" w:after="40"/>
            </w:pPr>
            <w:r>
              <w:rPr>
                <w:b/>
                <w:color w:val="1E3A8A"/>
                <w:sz w:val="19"/>
              </w:rPr>
              <w:t>⚖️ LEGAL ISSUE:</w:t>
              <w:br/>
            </w:r>
            <w:r>
              <w:rPr>
                <w:sz w:val="19"/>
              </w:rPr>
              <w:t>Does mandating an LL.M. for law professors and deans violate institutional academic freedom?</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EFF6FF"/>
            <w:tcBorders>
              <w:top w:val="none"/>
              <w:bottom w:val="none"/>
              <w:left w:val="single" w:sz="24" w:space="0" w:color="2563EB"/>
              <w:right w:val="none"/>
            </w:tcBorders>
          </w:tcPr>
          <w:p>
            <w:pPr>
              <w:spacing w:before="60" w:after="40"/>
            </w:pPr>
            <w:r>
              <w:rPr>
                <w:b/>
                <w:color w:val="1E3A8A"/>
                <w:sz w:val="19"/>
              </w:rPr>
              <w:t>📖 DOCTRINE APPLIED:</w:t>
              <w:br/>
            </w:r>
            <w:r>
              <w:rPr>
                <w:sz w:val="19"/>
              </w:rPr>
              <w:t>Institutional Academic Freedom — Freedom to Determine 'Who May Teach' (Art. XIV, Sec. 5[2]).</w:t>
            </w:r>
          </w:p>
        </w:tc>
      </w:tr>
    </w:tbl>
    <w:p>
      <w:pPr>
        <w:spacing w:after="40"/>
      </w:pPr>
    </w:p>
    <w:tbl>
      <w:tblPr>
        <w:tblW w:type="auto" w:w="0"/>
        <w:jc w:val="center"/>
        <w:tblLayout w:type="fixed"/>
        <w:tblLook w:firstColumn="1" w:firstRow="1" w:lastColumn="0" w:lastRow="0" w:noHBand="0" w:noVBand="1" w:val="04A0"/>
      </w:tblPr>
      <w:tblGrid>
        <w:gridCol w:w="4680"/>
        <w:gridCol w:w="4680"/>
      </w:tblGrid>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A — ANSWER</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b/>
                <w:sz w:val="18"/>
              </w:rPr>
              <w:t>YES, it is UNCONSTITUTIONAL.</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L — LEGAL BASIS</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Academic freedom protects the university's autonomy to select faculty based on its own assessment of expertise.</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A — ANALYSIS</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Practical wisdom from veteran litigators and judges is essential in legal education. Disqualifying them for lacking an LL.M. is arbitrary and infringes on academic freedom.</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C — CONCLUSION</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Mandatory LL.M. requirements in LEB issuances are STRUCK DOWN as UNCONSTITUTIONAL.</w:t>
            </w:r>
          </w:p>
        </w:tc>
      </w:tr>
    </w:tbl>
    <w:p>
      <w:pPr>
        <w:spacing w:after="80"/>
      </w:pPr>
    </w:p>
    <w:p>
      <w:pPr>
        <w:keepNext/>
        <w:spacing w:before="200" w:after="60"/>
      </w:pPr>
      <w:r>
        <w:rPr>
          <w:b/>
          <w:color w:val="2563EB"/>
          <w:sz w:val="22"/>
        </w:rPr>
        <w:t>Topic 4: Restrictions on Graduate Law Program Admissions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bottom w:val="none"/>
              <w:left w:val="single" w:sz="24" w:space="0" w:color="1E3A8A"/>
              <w:right w:val="none"/>
            </w:tcBorders>
          </w:tcPr>
          <w:p>
            <w:pPr>
              <w:spacing w:before="60" w:after="40"/>
            </w:pPr>
            <w:r>
              <w:rPr>
                <w:b/>
                <w:color w:val="1E3A8A"/>
                <w:sz w:val="19"/>
              </w:rPr>
              <w:t>⚖️ LEGAL ISSUE:</w:t>
              <w:br/>
            </w:r>
            <w:r>
              <w:rPr>
                <w:sz w:val="19"/>
              </w:rPr>
              <w:t>Does barring non-law graduates from Master of Laws programs violate academic freedom?</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EFF6FF"/>
            <w:tcBorders>
              <w:top w:val="none"/>
              <w:bottom w:val="none"/>
              <w:left w:val="single" w:sz="24" w:space="0" w:color="2563EB"/>
              <w:right w:val="none"/>
            </w:tcBorders>
          </w:tcPr>
          <w:p>
            <w:pPr>
              <w:spacing w:before="60" w:after="40"/>
            </w:pPr>
            <w:r>
              <w:rPr>
                <w:b/>
                <w:color w:val="1E3A8A"/>
                <w:sz w:val="19"/>
              </w:rPr>
              <w:t>📖 DOCTRINE APPLIED:</w:t>
              <w:br/>
            </w:r>
            <w:r>
              <w:rPr>
                <w:sz w:val="19"/>
              </w:rPr>
              <w:t>Institutional Academic Freedom — Autonomy Over Curricula and Graduate Admissions (Art. XIV, Sec. 5[2]).</w:t>
            </w:r>
          </w:p>
        </w:tc>
      </w:tr>
    </w:tbl>
    <w:p>
      <w:pPr>
        <w:spacing w:after="40"/>
      </w:pPr>
    </w:p>
    <w:tbl>
      <w:tblPr>
        <w:tblW w:type="auto" w:w="0"/>
        <w:jc w:val="center"/>
        <w:tblLayout w:type="fixed"/>
        <w:tblLook w:firstColumn="1" w:firstRow="1" w:lastColumn="0" w:lastRow="0" w:noHBand="0" w:noVBand="1" w:val="04A0"/>
      </w:tblPr>
      <w:tblGrid>
        <w:gridCol w:w="4680"/>
        <w:gridCol w:w="4680"/>
      </w:tblGrid>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A — ANSWER</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b/>
                <w:sz w:val="18"/>
              </w:rPr>
              <w:t>YES, it is UNCONSTITUTIONAL.</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L — LEGAL BASIS</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Academic freedom protects the right to design interdisciplinary curricula and set graduate admission standards.</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A — ANALYSIS</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Universities must have the latitude to offer specialized Master's degrees to professionals from diverse fields (doctors, economists, scientists) without rigid LEB restrictions.</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C — CONCLUSION</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Restrictions on graduate law admissions are NULL AND VOID.</w:t>
            </w:r>
          </w:p>
        </w:tc>
      </w:tr>
    </w:tbl>
    <w:p>
      <w:pPr>
        <w:spacing w:after="80"/>
      </w:pPr>
    </w:p>
    <w:p>
      <w:pPr>
        <w:keepNext/>
        <w:spacing w:before="200" w:after="60"/>
      </w:pPr>
      <w:r>
        <w:rPr>
          <w:b/>
          <w:color w:val="2563EB"/>
          <w:sz w:val="22"/>
        </w:rPr>
        <w:t>Topic 5: Mandatory Pre-Bar Legal Internship (Sec. 7[g], R.A. 7662)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bottom w:val="none"/>
              <w:left w:val="single" w:sz="24" w:space="0" w:color="1E3A8A"/>
              <w:right w:val="none"/>
            </w:tcBorders>
          </w:tcPr>
          <w:p>
            <w:pPr>
              <w:spacing w:before="60" w:after="40"/>
            </w:pPr>
            <w:r>
              <w:rPr>
                <w:b/>
                <w:color w:val="1E3A8A"/>
                <w:sz w:val="19"/>
              </w:rPr>
              <w:t>⚖️ LEGAL ISSUE:</w:t>
              <w:br/>
            </w:r>
            <w:r>
              <w:rPr>
                <w:sz w:val="19"/>
              </w:rPr>
              <w:t>Is Section 7(g) empowering the LEB to establish a pre-Bar internship constitutional?</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EFF6FF"/>
            <w:tcBorders>
              <w:top w:val="none"/>
              <w:bottom w:val="none"/>
              <w:left w:val="single" w:sz="24" w:space="0" w:color="2563EB"/>
              <w:right w:val="none"/>
            </w:tcBorders>
          </w:tcPr>
          <w:p>
            <w:pPr>
              <w:spacing w:before="60" w:after="40"/>
            </w:pPr>
            <w:r>
              <w:rPr>
                <w:b/>
                <w:color w:val="1E3A8A"/>
                <w:sz w:val="19"/>
              </w:rPr>
              <w:t>📖 DOCTRINE APPLIED:</w:t>
              <w:br/>
            </w:r>
            <w:r>
              <w:rPr>
                <w:sz w:val="19"/>
              </w:rPr>
              <w:t>Exclusive Judicial Authority over Admission to the Bar (Art. VIII, Sec. 5[5]; Rule 138).</w:t>
            </w:r>
          </w:p>
        </w:tc>
      </w:tr>
    </w:tbl>
    <w:p>
      <w:pPr>
        <w:spacing w:after="40"/>
      </w:pPr>
    </w:p>
    <w:tbl>
      <w:tblPr>
        <w:tblW w:type="auto" w:w="0"/>
        <w:jc w:val="center"/>
        <w:tblLayout w:type="fixed"/>
        <w:tblLook w:firstColumn="1" w:firstRow="1" w:lastColumn="0" w:lastRow="0" w:noHBand="0" w:noVBand="1" w:val="04A0"/>
      </w:tblPr>
      <w:tblGrid>
        <w:gridCol w:w="4680"/>
        <w:gridCol w:w="4680"/>
      </w:tblGrid>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A — ANSWER</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b/>
                <w:sz w:val="18"/>
              </w:rPr>
              <w:t>NO, it is UNCONSTITUTIONAL.</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L — LEGAL BASIS</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Article VIII, Section 5(5) gives the Supreme Court exclusive power to prescribe requirements for taking the Bar.</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A — ANALYSIS</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Determining Bar eligibility is an exclusive judicial function. The LEB cannot add prerequisites to the Bar Examination.</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C — CONCLUSION</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Section 7(g) of R.A. 7662 and Section 11(g) of LEBMO 1-2011 are STRUCK DOWN as UNCONSTITUTIONAL.</w:t>
            </w:r>
          </w:p>
        </w:tc>
      </w:tr>
    </w:tbl>
    <w:p>
      <w:pPr>
        <w:spacing w:after="80"/>
      </w:pPr>
    </w:p>
    <w:p>
      <w:pPr>
        <w:keepNext/>
        <w:spacing w:before="200" w:after="60"/>
      </w:pPr>
      <w:r>
        <w:rPr>
          <w:b/>
          <w:color w:val="2563EB"/>
          <w:sz w:val="22"/>
        </w:rPr>
        <w:t>Topic 6: Mandatory Continuing Legal Education (Sec. 7[h], R.A. 7662)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bottom w:val="none"/>
              <w:left w:val="single" w:sz="24" w:space="0" w:color="1E3A8A"/>
              <w:right w:val="none"/>
            </w:tcBorders>
          </w:tcPr>
          <w:p>
            <w:pPr>
              <w:spacing w:before="60" w:after="40"/>
            </w:pPr>
            <w:r>
              <w:rPr>
                <w:b/>
                <w:color w:val="1E3A8A"/>
                <w:sz w:val="19"/>
              </w:rPr>
              <w:t>⚖️ LEGAL ISSUE:</w:t>
              <w:br/>
            </w:r>
            <w:r>
              <w:rPr>
                <w:sz w:val="19"/>
              </w:rPr>
              <w:t>Is Section 7(h) empowering the LEB to regulate MCLE for lawyers constitutional?</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EFF6FF"/>
            <w:tcBorders>
              <w:top w:val="none"/>
              <w:bottom w:val="none"/>
              <w:left w:val="single" w:sz="24" w:space="0" w:color="2563EB"/>
              <w:right w:val="none"/>
            </w:tcBorders>
          </w:tcPr>
          <w:p>
            <w:pPr>
              <w:spacing w:before="60" w:after="40"/>
            </w:pPr>
            <w:r>
              <w:rPr>
                <w:b/>
                <w:color w:val="1E3A8A"/>
                <w:sz w:val="19"/>
              </w:rPr>
              <w:t>📖 DOCTRINE APPLIED:</w:t>
              <w:br/>
            </w:r>
            <w:r>
              <w:rPr>
                <w:sz w:val="19"/>
              </w:rPr>
              <w:t>Exclusive Judicial Authority over the Integrated Bar &amp; Legal Practice (Art. VIII, Sec. 5[5]; BM No. 850).</w:t>
            </w:r>
          </w:p>
        </w:tc>
      </w:tr>
    </w:tbl>
    <w:p>
      <w:pPr>
        <w:spacing w:after="40"/>
      </w:pPr>
    </w:p>
    <w:tbl>
      <w:tblPr>
        <w:tblW w:type="auto" w:w="0"/>
        <w:jc w:val="center"/>
        <w:tblLayout w:type="fixed"/>
        <w:tblLook w:firstColumn="1" w:firstRow="1" w:lastColumn="0" w:lastRow="0" w:noHBand="0" w:noVBand="1" w:val="04A0"/>
      </w:tblPr>
      <w:tblGrid>
        <w:gridCol w:w="4680"/>
        <w:gridCol w:w="4680"/>
      </w:tblGrid>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A — ANSWER</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b/>
                <w:sz w:val="18"/>
              </w:rPr>
              <w:t>NO, it is UNCONSTITUTIONAL.</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L — LEGAL BASIS</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Article VIII, Section 5(5) establishes the Supreme Court's exclusive jurisdiction over the Integrated Bar.</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A — ANALYSIS</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The LEB's authority ends at law school graduation. Once admitted to the Bar, practicing lawyers are governed exclusively by the Supreme Court under BM No. 850.</w:t>
            </w:r>
          </w:p>
        </w:tc>
      </w:tr>
      <w:tr>
        <w:tc>
          <w:tcPr>
            <w:tcW w:type="dxa" w:w="2016"/>
            <w:shd w:fill="F1F5F9"/>
            <w:tcBorders>
              <w:top w:val="single" w:sz="4" w:space="0" w:color="CBD5E1"/>
              <w:bottom w:val="single" w:sz="4" w:space="0" w:color="CBD5E1"/>
              <w:left w:val="single" w:sz="4" w:space="0" w:color="CBD5E1"/>
              <w:right w:val="single" w:sz="4" w:space="0" w:color="CBD5E1"/>
            </w:tcBorders>
          </w:tcPr>
          <w:p>
            <w:pPr>
              <w:spacing w:before="60" w:after="60"/>
            </w:pPr>
            <w:r>
              <w:rPr>
                <w:b/>
                <w:color w:val="1E3A8A"/>
                <w:sz w:val="18"/>
              </w:rPr>
              <w:t>C — CONCLUSION</w:t>
            </w:r>
          </w:p>
        </w:tc>
        <w:tc>
          <w:tcPr>
            <w:tcW w:type="dxa" w:w="7344"/>
            <w:tcBorders>
              <w:top w:val="single" w:sz="4" w:space="0" w:color="CBD5E1"/>
              <w:bottom w:val="single" w:sz="4" w:space="0" w:color="CBD5E1"/>
              <w:left w:val="single" w:sz="4" w:space="0" w:color="CBD5E1"/>
              <w:right w:val="single" w:sz="4" w:space="0" w:color="CBD5E1"/>
            </w:tcBorders>
          </w:tcPr>
          <w:p>
            <w:pPr>
              <w:spacing w:before="60" w:after="60"/>
            </w:pPr>
            <w:r>
              <w:rPr>
                <w:sz w:val="18"/>
              </w:rPr>
              <w:t>Section 7(h) of R.A. 7662 and Section 11(h) of LEBMO 1-2011 are STRUCK DOWN as UNCONSTITUTIONAL.</w:t>
            </w:r>
          </w:p>
        </w:tc>
      </w:tr>
    </w:tbl>
    <w:p>
      <w:pPr>
        <w:spacing w:after="80"/>
      </w:pPr>
    </w:p>
    <w:p>
      <w:pPr>
        <w:keepNext/>
        <w:spacing w:before="280" w:after="80"/>
        <w:pBdr>
          <w:bottom w:val="single" w:sz="12" w:space="4" w:color="1E3A8A"/>
        </w:pBdr>
      </w:pPr>
      <w:r>
        <w:rPr>
          <w:b/>
          <w:color w:val="1E3A8A"/>
          <w:sz w:val="25"/>
        </w:rPr>
        <w:t>PART C: QUICK REFERENCE MASTER MATRIX</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E3A8A"/>
          </w:tcPr>
          <w:p>
            <w:pPr>
              <w:spacing w:before="80" w:after="80"/>
              <w:jc w:val="center"/>
            </w:pPr>
            <w:r>
              <w:rPr>
                <w:b/>
                <w:color w:val="FFFFFF"/>
                <w:sz w:val="19"/>
              </w:rPr>
              <w:t>Provision / Regulation</w:t>
            </w:r>
          </w:p>
        </w:tc>
        <w:tc>
          <w:tcPr>
            <w:tcW w:type="dxa" w:w="2592"/>
            <w:shd w:fill="1E3A8A"/>
          </w:tcPr>
          <w:p>
            <w:pPr>
              <w:spacing w:before="80" w:after="80"/>
              <w:jc w:val="center"/>
            </w:pPr>
            <w:r>
              <w:rPr>
                <w:b/>
                <w:color w:val="FFFFFF"/>
                <w:sz w:val="19"/>
              </w:rPr>
              <w:t>Supreme Court Ruling</w:t>
            </w:r>
          </w:p>
        </w:tc>
        <w:tc>
          <w:tcPr>
            <w:tcW w:type="dxa" w:w="3888"/>
            <w:shd w:fill="1E3A8A"/>
          </w:tcPr>
          <w:p>
            <w:pPr>
              <w:spacing w:before="80" w:after="80"/>
              <w:jc w:val="center"/>
            </w:pPr>
            <w:r>
              <w:rPr>
                <w:b/>
                <w:color w:val="FFFFFF"/>
                <w:sz w:val="19"/>
              </w:rPr>
              <w:t>Core Constitutional Doctrine &amp; BLJE Rule</w:t>
            </w:r>
          </w:p>
        </w:tc>
      </w:tr>
      <w:tr>
        <w:tc>
          <w:tcPr>
            <w:tcW w:type="dxa" w:w="2880"/>
            <w:shd w:fill="F8FAFC"/>
            <w:tcBorders>
              <w:top w:val="single" w:sz="4" w:space="0" w:color="CBD5E1"/>
              <w:bottom w:val="single" w:sz="4" w:space="0" w:color="CBD5E1"/>
              <w:left w:val="single" w:sz="4" w:space="0" w:color="CBD5E1"/>
              <w:right w:val="single" w:sz="4" w:space="0" w:color="CBD5E1"/>
            </w:tcBorders>
          </w:tcPr>
          <w:p>
            <w:pPr>
              <w:spacing w:before="60" w:after="60"/>
            </w:pPr>
            <w:r>
              <w:rPr>
                <w:sz w:val="18"/>
              </w:rPr>
              <w:t>Creation of LEB (R.A. No. 7662)</w:t>
            </w:r>
          </w:p>
        </w:tc>
        <w:tc>
          <w:tcPr>
            <w:tcW w:type="dxa" w:w="2592"/>
            <w:shd w:fill="F8FAFC"/>
            <w:tcBorders>
              <w:top w:val="single" w:sz="4" w:space="0" w:color="CBD5E1"/>
              <w:bottom w:val="single" w:sz="4" w:space="0" w:color="CBD5E1"/>
              <w:left w:val="single" w:sz="4" w:space="0" w:color="CBD5E1"/>
              <w:right w:val="single" w:sz="4" w:space="0" w:color="CBD5E1"/>
            </w:tcBorders>
          </w:tcPr>
          <w:p>
            <w:pPr>
              <w:spacing w:before="60" w:after="60"/>
              <w:jc w:val="center"/>
            </w:pPr>
            <w:r>
              <w:rPr>
                <w:b/>
                <w:color w:val="15803D"/>
                <w:sz w:val="18"/>
              </w:rPr>
              <w:t>UPHELD (Constitutional)</w:t>
            </w:r>
          </w:p>
        </w:tc>
        <w:tc>
          <w:tcPr>
            <w:tcW w:type="dxa" w:w="3888"/>
            <w:shd w:fill="F8FAFC"/>
            <w:tcBorders>
              <w:top w:val="single" w:sz="4" w:space="0" w:color="CBD5E1"/>
              <w:bottom w:val="single" w:sz="4" w:space="0" w:color="CBD5E1"/>
              <w:left w:val="single" w:sz="4" w:space="0" w:color="CBD5E1"/>
              <w:right w:val="single" w:sz="4" w:space="0" w:color="CBD5E1"/>
            </w:tcBorders>
          </w:tcPr>
          <w:p>
            <w:pPr>
              <w:spacing w:before="60" w:after="60"/>
            </w:pPr>
            <w:r>
              <w:rPr>
                <w:sz w:val="18"/>
              </w:rPr>
              <w:t>Valid exercise of State police power over higher education (Art. XIV, Sec. 4[1]).</w:t>
            </w:r>
          </w:p>
        </w:tc>
      </w:tr>
      <w:tr>
        <w:tc>
          <w:tcPr>
            <w:tcW w:type="dxa" w:w="2880"/>
            <w:shd w:fill="FFFFFF"/>
            <w:tcBorders>
              <w:top w:val="single" w:sz="4" w:space="0" w:color="CBD5E1"/>
              <w:bottom w:val="single" w:sz="4" w:space="0" w:color="CBD5E1"/>
              <w:left w:val="single" w:sz="4" w:space="0" w:color="CBD5E1"/>
              <w:right w:val="single" w:sz="4" w:space="0" w:color="CBD5E1"/>
            </w:tcBorders>
          </w:tcPr>
          <w:p>
            <w:pPr>
              <w:spacing w:before="60" w:after="60"/>
            </w:pPr>
            <w:r>
              <w:rPr>
                <w:sz w:val="18"/>
              </w:rPr>
              <w:t>Mandatory PhiLSAT (LEBMO 7-2016)</w:t>
            </w:r>
          </w:p>
        </w:tc>
        <w:tc>
          <w:tcPr>
            <w:tcW w:type="dxa" w:w="2592"/>
            <w:shd w:fill="FFFFFF"/>
            <w:tcBorders>
              <w:top w:val="single" w:sz="4" w:space="0" w:color="CBD5E1"/>
              <w:bottom w:val="single" w:sz="4" w:space="0" w:color="CBD5E1"/>
              <w:left w:val="single" w:sz="4" w:space="0" w:color="CBD5E1"/>
              <w:right w:val="single" w:sz="4" w:space="0" w:color="CBD5E1"/>
            </w:tcBorders>
          </w:tcPr>
          <w:p>
            <w:pPr>
              <w:spacing w:before="60" w:after="60"/>
              <w:jc w:val="center"/>
            </w:pPr>
            <w:r>
              <w:rPr>
                <w:b/>
                <w:color w:val="B91C1C"/>
                <w:sz w:val="18"/>
              </w:rPr>
              <w:t>STRUCK DOWN (Unconstitutional)</w:t>
            </w:r>
          </w:p>
        </w:tc>
        <w:tc>
          <w:tcPr>
            <w:tcW w:type="dxa" w:w="3888"/>
            <w:shd w:fill="FFFFFF"/>
            <w:tcBorders>
              <w:top w:val="single" w:sz="4" w:space="0" w:color="CBD5E1"/>
              <w:bottom w:val="single" w:sz="4" w:space="0" w:color="CBD5E1"/>
              <w:left w:val="single" w:sz="4" w:space="0" w:color="CBD5E1"/>
              <w:right w:val="single" w:sz="4" w:space="0" w:color="CBD5E1"/>
            </w:tcBorders>
          </w:tcPr>
          <w:p>
            <w:pPr>
              <w:spacing w:before="60" w:after="60"/>
            </w:pPr>
            <w:r>
              <w:rPr>
                <w:sz w:val="18"/>
              </w:rPr>
              <w:t>Infringes on institutional academic freedom regarding 'who may be admitted to study' (Art. XIV, Sec. 5[2]).</w:t>
            </w:r>
          </w:p>
        </w:tc>
      </w:tr>
      <w:tr>
        <w:tc>
          <w:tcPr>
            <w:tcW w:type="dxa" w:w="2880"/>
            <w:shd w:fill="F8FAFC"/>
            <w:tcBorders>
              <w:top w:val="single" w:sz="4" w:space="0" w:color="CBD5E1"/>
              <w:bottom w:val="single" w:sz="4" w:space="0" w:color="CBD5E1"/>
              <w:left w:val="single" w:sz="4" w:space="0" w:color="CBD5E1"/>
              <w:right w:val="single" w:sz="4" w:space="0" w:color="CBD5E1"/>
            </w:tcBorders>
          </w:tcPr>
          <w:p>
            <w:pPr>
              <w:spacing w:before="60" w:after="60"/>
            </w:pPr>
            <w:r>
              <w:rPr>
                <w:sz w:val="18"/>
              </w:rPr>
              <w:t>Pre-Bar Internship (Sec. 7[g])</w:t>
            </w:r>
          </w:p>
        </w:tc>
        <w:tc>
          <w:tcPr>
            <w:tcW w:type="dxa" w:w="2592"/>
            <w:shd w:fill="F8FAFC"/>
            <w:tcBorders>
              <w:top w:val="single" w:sz="4" w:space="0" w:color="CBD5E1"/>
              <w:bottom w:val="single" w:sz="4" w:space="0" w:color="CBD5E1"/>
              <w:left w:val="single" w:sz="4" w:space="0" w:color="CBD5E1"/>
              <w:right w:val="single" w:sz="4" w:space="0" w:color="CBD5E1"/>
            </w:tcBorders>
          </w:tcPr>
          <w:p>
            <w:pPr>
              <w:spacing w:before="60" w:after="60"/>
              <w:jc w:val="center"/>
            </w:pPr>
            <w:r>
              <w:rPr>
                <w:b/>
                <w:color w:val="B91C1C"/>
                <w:sz w:val="18"/>
              </w:rPr>
              <w:t>STRUCK DOWN (Unconstitutional)</w:t>
            </w:r>
          </w:p>
        </w:tc>
        <w:tc>
          <w:tcPr>
            <w:tcW w:type="dxa" w:w="3888"/>
            <w:shd w:fill="F8FAFC"/>
            <w:tcBorders>
              <w:top w:val="single" w:sz="4" w:space="0" w:color="CBD5E1"/>
              <w:bottom w:val="single" w:sz="4" w:space="0" w:color="CBD5E1"/>
              <w:left w:val="single" w:sz="4" w:space="0" w:color="CBD5E1"/>
              <w:right w:val="single" w:sz="4" w:space="0" w:color="CBD5E1"/>
            </w:tcBorders>
          </w:tcPr>
          <w:p>
            <w:pPr>
              <w:spacing w:before="60" w:after="60"/>
            </w:pPr>
            <w:r>
              <w:rPr>
                <w:sz w:val="18"/>
              </w:rPr>
              <w:t>Usurps Supreme Court's exclusive authority over Bar admission (Art. VIII, Sec. 5[5]).</w:t>
            </w:r>
          </w:p>
        </w:tc>
      </w:tr>
      <w:tr>
        <w:tc>
          <w:tcPr>
            <w:tcW w:type="dxa" w:w="2880"/>
            <w:shd w:fill="FFFFFF"/>
            <w:tcBorders>
              <w:top w:val="single" w:sz="4" w:space="0" w:color="CBD5E1"/>
              <w:bottom w:val="single" w:sz="4" w:space="0" w:color="CBD5E1"/>
              <w:left w:val="single" w:sz="4" w:space="0" w:color="CBD5E1"/>
              <w:right w:val="single" w:sz="4" w:space="0" w:color="CBD5E1"/>
            </w:tcBorders>
          </w:tcPr>
          <w:p>
            <w:pPr>
              <w:spacing w:before="60" w:after="60"/>
            </w:pPr>
            <w:r>
              <w:rPr>
                <w:sz w:val="18"/>
              </w:rPr>
              <w:t>MCLE Supervision (Sec. 7[h])</w:t>
            </w:r>
          </w:p>
        </w:tc>
        <w:tc>
          <w:tcPr>
            <w:tcW w:type="dxa" w:w="2592"/>
            <w:shd w:fill="FFFFFF"/>
            <w:tcBorders>
              <w:top w:val="single" w:sz="4" w:space="0" w:color="CBD5E1"/>
              <w:bottom w:val="single" w:sz="4" w:space="0" w:color="CBD5E1"/>
              <w:left w:val="single" w:sz="4" w:space="0" w:color="CBD5E1"/>
              <w:right w:val="single" w:sz="4" w:space="0" w:color="CBD5E1"/>
            </w:tcBorders>
          </w:tcPr>
          <w:p>
            <w:pPr>
              <w:spacing w:before="60" w:after="60"/>
              <w:jc w:val="center"/>
            </w:pPr>
            <w:r>
              <w:rPr>
                <w:b/>
                <w:color w:val="B91C1C"/>
                <w:sz w:val="18"/>
              </w:rPr>
              <w:t>STRUCK DOWN (Unconstitutional)</w:t>
            </w:r>
          </w:p>
        </w:tc>
        <w:tc>
          <w:tcPr>
            <w:tcW w:type="dxa" w:w="3888"/>
            <w:shd w:fill="FFFFFF"/>
            <w:tcBorders>
              <w:top w:val="single" w:sz="4" w:space="0" w:color="CBD5E1"/>
              <w:bottom w:val="single" w:sz="4" w:space="0" w:color="CBD5E1"/>
              <w:left w:val="single" w:sz="4" w:space="0" w:color="CBD5E1"/>
              <w:right w:val="single" w:sz="4" w:space="0" w:color="CBD5E1"/>
            </w:tcBorders>
          </w:tcPr>
          <w:p>
            <w:pPr>
              <w:spacing w:before="60" w:after="60"/>
            </w:pPr>
            <w:r>
              <w:rPr>
                <w:sz w:val="18"/>
              </w:rPr>
              <w:t>Usurps Supreme Court's exclusive authority over the Integrated Bar and legal practice (BM No. 850).</w:t>
            </w:r>
          </w:p>
        </w:tc>
      </w:tr>
      <w:tr>
        <w:tc>
          <w:tcPr>
            <w:tcW w:type="dxa" w:w="2880"/>
            <w:shd w:fill="F8FAFC"/>
            <w:tcBorders>
              <w:top w:val="single" w:sz="4" w:space="0" w:color="CBD5E1"/>
              <w:bottom w:val="single" w:sz="4" w:space="0" w:color="CBD5E1"/>
              <w:left w:val="single" w:sz="4" w:space="0" w:color="CBD5E1"/>
              <w:right w:val="single" w:sz="4" w:space="0" w:color="CBD5E1"/>
            </w:tcBorders>
          </w:tcPr>
          <w:p>
            <w:pPr>
              <w:spacing w:before="60" w:after="60"/>
            </w:pPr>
            <w:r>
              <w:rPr>
                <w:sz w:val="18"/>
              </w:rPr>
              <w:t>Mandatory LL.M. for Faculty</w:t>
            </w:r>
          </w:p>
        </w:tc>
        <w:tc>
          <w:tcPr>
            <w:tcW w:type="dxa" w:w="2592"/>
            <w:shd w:fill="F8FAFC"/>
            <w:tcBorders>
              <w:top w:val="single" w:sz="4" w:space="0" w:color="CBD5E1"/>
              <w:bottom w:val="single" w:sz="4" w:space="0" w:color="CBD5E1"/>
              <w:left w:val="single" w:sz="4" w:space="0" w:color="CBD5E1"/>
              <w:right w:val="single" w:sz="4" w:space="0" w:color="CBD5E1"/>
            </w:tcBorders>
          </w:tcPr>
          <w:p>
            <w:pPr>
              <w:spacing w:before="60" w:after="60"/>
              <w:jc w:val="center"/>
            </w:pPr>
            <w:r>
              <w:rPr>
                <w:b/>
                <w:color w:val="B91C1C"/>
                <w:sz w:val="18"/>
              </w:rPr>
              <w:t>STRUCK DOWN (Unconstitutional)</w:t>
            </w:r>
          </w:p>
        </w:tc>
        <w:tc>
          <w:tcPr>
            <w:tcW w:type="dxa" w:w="3888"/>
            <w:shd w:fill="F8FAFC"/>
            <w:tcBorders>
              <w:top w:val="single" w:sz="4" w:space="0" w:color="CBD5E1"/>
              <w:bottom w:val="single" w:sz="4" w:space="0" w:color="CBD5E1"/>
              <w:left w:val="single" w:sz="4" w:space="0" w:color="CBD5E1"/>
              <w:right w:val="single" w:sz="4" w:space="0" w:color="CBD5E1"/>
            </w:tcBorders>
          </w:tcPr>
          <w:p>
            <w:pPr>
              <w:spacing w:before="60" w:after="60"/>
            </w:pPr>
            <w:r>
              <w:rPr>
                <w:sz w:val="18"/>
              </w:rPr>
              <w:t>Infringes on institutional academic freedom regarding 'who may teach' (Art. XIV, Sec. 5[2]).</w:t>
            </w:r>
          </w:p>
        </w:tc>
      </w:tr>
      <w:tr>
        <w:tc>
          <w:tcPr>
            <w:tcW w:type="dxa" w:w="2880"/>
            <w:shd w:fill="FFFFFF"/>
            <w:tcBorders>
              <w:top w:val="single" w:sz="4" w:space="0" w:color="CBD5E1"/>
              <w:bottom w:val="single" w:sz="4" w:space="0" w:color="CBD5E1"/>
              <w:left w:val="single" w:sz="4" w:space="0" w:color="CBD5E1"/>
              <w:right w:val="single" w:sz="4" w:space="0" w:color="CBD5E1"/>
            </w:tcBorders>
          </w:tcPr>
          <w:p>
            <w:pPr>
              <w:spacing w:before="60" w:after="60"/>
            </w:pPr>
            <w:r>
              <w:rPr>
                <w:sz w:val="18"/>
              </w:rPr>
              <w:t>Graduate Program Restrictions</w:t>
            </w:r>
          </w:p>
        </w:tc>
        <w:tc>
          <w:tcPr>
            <w:tcW w:type="dxa" w:w="2592"/>
            <w:shd w:fill="FFFFFF"/>
            <w:tcBorders>
              <w:top w:val="single" w:sz="4" w:space="0" w:color="CBD5E1"/>
              <w:bottom w:val="single" w:sz="4" w:space="0" w:color="CBD5E1"/>
              <w:left w:val="single" w:sz="4" w:space="0" w:color="CBD5E1"/>
              <w:right w:val="single" w:sz="4" w:space="0" w:color="CBD5E1"/>
            </w:tcBorders>
          </w:tcPr>
          <w:p>
            <w:pPr>
              <w:spacing w:before="60" w:after="60"/>
              <w:jc w:val="center"/>
            </w:pPr>
            <w:r>
              <w:rPr>
                <w:b/>
                <w:color w:val="B91C1C"/>
                <w:sz w:val="18"/>
              </w:rPr>
              <w:t>STRUCK DOWN (Unconstitutional)</w:t>
            </w:r>
          </w:p>
        </w:tc>
        <w:tc>
          <w:tcPr>
            <w:tcW w:type="dxa" w:w="3888"/>
            <w:shd w:fill="FFFFFF"/>
            <w:tcBorders>
              <w:top w:val="single" w:sz="4" w:space="0" w:color="CBD5E1"/>
              <w:bottom w:val="single" w:sz="4" w:space="0" w:color="CBD5E1"/>
              <w:left w:val="single" w:sz="4" w:space="0" w:color="CBD5E1"/>
              <w:right w:val="single" w:sz="4" w:space="0" w:color="CBD5E1"/>
            </w:tcBorders>
          </w:tcPr>
          <w:p>
            <w:pPr>
              <w:spacing w:before="60" w:after="60"/>
            </w:pPr>
            <w:r>
              <w:rPr>
                <w:sz w:val="18"/>
              </w:rPr>
              <w:t>Violates academic freedom in designing curricula and admitting graduate students.</w:t>
            </w:r>
          </w:p>
        </w:tc>
      </w:tr>
    </w:tbl>
    <w:p>
      <w:pPr>
        <w:keepNext/>
        <w:spacing w:before="280" w:after="80"/>
        <w:pBdr>
          <w:bottom w:val="single" w:sz="12" w:space="4" w:color="1E3A8A"/>
        </w:pBdr>
      </w:pPr>
      <w:r>
        <w:rPr>
          <w:b/>
          <w:color w:val="1E3A8A"/>
          <w:sz w:val="25"/>
        </w:rPr>
        <w:t>PART D: WHAT CANONS ARE INVOLVED, VIOLATED &amp; APPLIED (ETHICAL CANON ANALYSIS)</w:t>
      </w:r>
    </w:p>
    <w:p>
      <w:r>
        <w:rPr>
          <w:sz w:val="20"/>
        </w:rPr>
        <w:t xml:space="preserve">In Basic Legal and Judicial Ethics (BLJE), the ruling in </w:t>
      </w:r>
      <w:r>
        <w:rPr>
          <w:b/>
        </w:rPr>
        <w:t>Pimentel v. Legal Education Board</w:t>
      </w:r>
      <w:r>
        <w:t xml:space="preserve"> directly applies and interprets the following ethical Canons under the </w:t>
      </w:r>
      <w:r>
        <w:rPr>
          <w:b/>
        </w:rPr>
        <w:t>Code of Professional Responsibility and Accountability (CPRA / A.M. No. 22-09-01-SC)</w:t>
      </w:r>
      <w:r>
        <w:t>, the former CPR, and the New Code of Judicial Conduct:</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bottom w:val="none"/>
              <w:left w:val="single" w:sz="24" w:space="0" w:color="1E3A8A"/>
              <w:right w:val="none"/>
            </w:tcBorders>
          </w:tcPr>
          <w:p>
            <w:pPr>
              <w:spacing w:before="60" w:after="40"/>
            </w:pPr>
            <w:r>
              <w:rPr>
                <w:b/>
                <w:color w:val="1E3A8A"/>
                <w:sz w:val="19"/>
              </w:rPr>
              <w:t>1. CPRA CANON I: INDEPENDENCE (Sections 1, 2, &amp; 3) / CANON 1 JUDICIAL CONDUCT</w:t>
              <w:br/>
            </w:r>
            <w:r>
              <w:rPr>
                <w:sz w:val="19"/>
              </w:rPr>
              <w:t>• Canon Violated/Threatened: The independence of the Judiciary and the legal profession from administrative encroachment.</w:t>
              <w:br/>
              <w:t>• Ethical Principle: The regulation of the legal profession, admission to the Bar, and discipline of lawyers are constitutional monopolies of the Supreme Court.</w:t>
              <w:br/>
              <w:t>• Application in Pimentel: When the LEB attempted to prescribe prerequisites for taking the Bar Examination (Sec. 7[g]) and supervise Mandatory Continuing Legal Education (Sec. 7[h]), it committed an ultra vires act that directly encroached upon Judicial Independence under Art. VIII, Sec. 5(5). The Supreme Court reaffirmed that judicial independence demands that no executive or administrative agency may dictate conditions for entering or remaining in the practice of law.</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EFF6FF"/>
            <w:tcBorders>
              <w:top w:val="none"/>
              <w:bottom w:val="none"/>
              <w:left w:val="single" w:sz="24" w:space="0" w:color="2563EB"/>
              <w:right w:val="none"/>
            </w:tcBorders>
          </w:tcPr>
          <w:p>
            <w:pPr>
              <w:spacing w:before="60" w:after="40"/>
            </w:pPr>
            <w:r>
              <w:rPr>
                <w:b/>
                <w:color w:val="1E3A8A"/>
                <w:sz w:val="19"/>
              </w:rPr>
              <w:t>2. CPRA CANON II: PROPRIETY &amp; RESPECT FOR COURTS (Sections 1, 2, &amp; 12) / CPR CANONS 10 &amp; 11</w:t>
              <w:br/>
            </w:r>
            <w:r>
              <w:rPr>
                <w:sz w:val="19"/>
              </w:rPr>
              <w:t>• Canon Violated: Duty of legal practitioners and government officers to observe respect for the courts, judicial hierarchy, and constitutional authority.</w:t>
              <w:br/>
              <w:t>• Ethical Principle: Lawyers and administrative bodies must not usurp judicial functions or enact regulations that undermine established Supreme Court rules (such as Rule 138 on Bar Admission and Bar Matter No. 850 on MCLE).</w:t>
              <w:br/>
              <w:t>• Application in Pimentel: Administrative overreach by an agency created by Congress into areas reserved exclusively for the Judiciary violates the fundamental ethical obligation to respect and maintain the constitutional separation of powers.</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FAF5FF"/>
            <w:tcBorders>
              <w:top w:val="none"/>
              <w:bottom w:val="none"/>
              <w:left w:val="single" w:sz="24" w:space="0" w:color="6B21A8"/>
              <w:right w:val="none"/>
            </w:tcBorders>
          </w:tcPr>
          <w:p>
            <w:pPr>
              <w:spacing w:before="60" w:after="40"/>
            </w:pPr>
            <w:r>
              <w:rPr>
                <w:b/>
                <w:color w:val="1E3A8A"/>
                <w:sz w:val="19"/>
              </w:rPr>
              <w:t>3. CPRA CANON III: FIDELITY &amp; UPHOLDING THE CONSTITUTION / CPR CANON 1 (Rules 1.01 &amp; 1.02)</w:t>
              <w:br/>
            </w:r>
            <w:r>
              <w:rPr>
                <w:sz w:val="19"/>
              </w:rPr>
              <w:t>• Canon Violated: Duty of lawyers, educators, and public officials to uphold the Constitution, obey the laws, and promote respect for legal processes.</w:t>
              <w:br/>
              <w:t>• Ethical Principle: An administrative issuance that violates constitutional rights is void ab initio and offends the ethical duty to uphold the Constitution.</w:t>
              <w:br/>
              <w:t>• Application in Pimentel: By issuing LEBMO No. 7-2016 which mandated an absolute exclusionary cutoff score, the LEB violated Article XIV, Section 5(2) (Institutional Academic Freedom) and Article XIV, Section 1 (Right to Accessible Education). Public officers and lawyers heading administrative boards have an affirmative ethical duty to ensure their issuances conform strictly to the Constitution.</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F0FDF4"/>
            <w:tcBorders>
              <w:top w:val="none"/>
              <w:bottom w:val="none"/>
              <w:left w:val="single" w:sz="24" w:space="0" w:color="15803D"/>
              <w:right w:val="none"/>
            </w:tcBorders>
          </w:tcPr>
          <w:p>
            <w:pPr>
              <w:spacing w:before="60" w:after="40"/>
            </w:pPr>
            <w:r>
              <w:rPr>
                <w:b/>
                <w:color w:val="1E3A8A"/>
                <w:sz w:val="19"/>
              </w:rPr>
              <w:t>4. CPRA CANON IV: COMPETENCE AND DILIGENCE (Sections 1, 2, &amp; 3) / CPR CANON 5</w:t>
              <w:br/>
            </w:r>
            <w:r>
              <w:rPr>
                <w:sz w:val="19"/>
              </w:rPr>
              <w:t>• Canon Applied &amp; Clarified: Duty of lawyers and educators to keep abreast of legal developments and participate in improving the legal education system.</w:t>
              <w:br/>
              <w:t>• Ethical Principle: Legal competence is multifaceted; it encompasses rigorous academic learning, extensive courtroom experience, ethical grounding, and judicial service.</w:t>
              <w:br/>
              <w:t>• Application in Pimentel: While Canon IV encourages continuous improvement and high educational standards, the LEB's rigid mandate requiring a formal Master of Laws (LL.M.) for all faculty arbitrarily disregarded the profound practical competence and pedagogical value of seasoned judges and veteran trial advocates. The Court emphasized that true competence in legal education cannot be measured by a single postgraduate degree alone.</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