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2043"/>
            <w:tcMar>
              <w:top w:w="200" w:type="dxa"/>
              <w:bottom w:w="200" w:type="dxa"/>
              <w:left w:w="240" w:type="dxa"/>
              <w:right w:w="240" w:type="dxa"/>
            </w:tcMar>
          </w:tcPr>
          <w:p>
            <w:pPr>
              <w:spacing w:before="80" w:after="40"/>
              <w:jc w:val="center"/>
            </w:pPr>
            <w:r>
              <w:rPr>
                <w:rFonts w:ascii="Arial" w:hAnsi="Arial"/>
                <w:b/>
                <w:color w:val="FFFFFF"/>
                <w:sz w:val="28"/>
              </w:rPr>
              <w:t>MANILA LAW COLLEGE</w:t>
              <w:br/>
            </w:r>
            <w:r>
              <w:rPr>
                <w:rFonts w:ascii="Arial" w:hAnsi="Arial"/>
                <w:color w:val="D2E1F5"/>
                <w:sz w:val="20"/>
              </w:rPr>
              <w:t>MANILA LAW COLLEGE | Statutory Construction (2 units) | Atty. Jason P. Raposas</w:t>
              <w:br/>
            </w:r>
            <w:r>
              <w:rPr>
                <w:rFonts w:ascii="Arial" w:hAnsi="Arial"/>
                <w:b/>
                <w:color w:val="FFD700"/>
                <w:sz w:val="24"/>
              </w:rPr>
              <w:t>CASE DIGESTS IN ALAC FORMAT &amp; STATUTORY CONSTRUCTION ANALYSIS</w:t>
              <w:br/>
            </w:r>
            <w:r>
              <w:rPr>
                <w:rFonts w:ascii="Arial" w:hAnsi="Arial"/>
                <w:i/>
                <w:color w:val="E6EBF5"/>
                <w:sz w:val="19"/>
              </w:rPr>
              <w:t>With Latin Maxims &amp; Inline English Translations: Latin (English Translation)</w:t>
            </w:r>
          </w:p>
        </w:tc>
      </w:tr>
    </w:tbl>
    <w:p>
      <w:pPr>
        <w:keepNext/>
        <w:spacing w:before="320" w:after="80"/>
      </w:pPr>
      <w:r>
        <w:rPr>
          <w:rFonts w:ascii="Arial" w:hAnsi="Arial"/>
          <w:b/>
          <w:color w:val="0F2043"/>
          <w:sz w:val="26"/>
        </w:rPr>
        <w:t>1. People of the Philippines v. Mario Mapa y Mapulong</w:t>
      </w:r>
    </w:p>
    <w:p>
      <w:pPr>
        <w:spacing w:before="40" w:after="80" w:line="276" w:lineRule="auto"/>
      </w:pPr>
      <w:r>
        <w:rPr>
          <w:rFonts w:ascii="Calibri" w:hAnsi="Calibri"/>
          <w:b/>
          <w:color w:val="212529"/>
          <w:sz w:val="21"/>
        </w:rPr>
        <w:t xml:space="preserve">Citation: </w:t>
      </w:r>
      <w:r>
        <w:rPr>
          <w:rFonts w:ascii="Calibri" w:hAnsi="Calibri"/>
          <w:i/>
          <w:color w:val="212529"/>
          <w:sz w:val="21"/>
        </w:rPr>
        <w:t>G.R. No. L-22301 | August 30, 1967 | 20 SCRA 1164 | En Banc | Ponente: J. Fernando</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Plaintiff-Appellee: </w:t>
      </w:r>
      <w:r>
        <w:rPr>
          <w:rFonts w:ascii="Calibri" w:hAnsi="Calibri"/>
          <w:i w:val="0"/>
          <w:color w:val="212529"/>
          <w:sz w:val="21"/>
        </w:rPr>
        <w:t>People of the Philippines (represented by the Solicitor General)</w:t>
      </w:r>
    </w:p>
    <w:p>
      <w:pPr>
        <w:spacing w:before="40" w:after="80" w:line="276" w:lineRule="auto"/>
      </w:pPr>
      <w:r>
        <w:rPr>
          <w:rFonts w:ascii="Calibri" w:hAnsi="Calibri"/>
          <w:b/>
          <w:color w:val="212529"/>
          <w:sz w:val="21"/>
        </w:rPr>
        <w:t xml:space="preserve">• Accused-Appellant: </w:t>
      </w:r>
      <w:r>
        <w:rPr>
          <w:rFonts w:ascii="Calibri" w:hAnsi="Calibri"/>
          <w:i w:val="0"/>
          <w:color w:val="212529"/>
          <w:sz w:val="21"/>
        </w:rPr>
        <w:t>Mario Mapa y Mapulong</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(CFI) of Manila (Branch VII)</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Criminal prosecution for Illegal Possession of Firearm and Ammunition under Section 878 in relation to Section 2692 of the Revised Administrative Code (as amended by R.A. No. 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Mario Mapa was apprehended in Manila and charged with illegal possession of an unlicensed .22 caliber revolver with six (6) rounds of live ammunition. During trial, Mapa admitted possessing the firearm without an official license issued by the Philippine Constabulary. However, he raised an affirmative defense: he presented a certificate and badge issued by Governor Feliciano Leviste of Batangas appointing him as a "Secret Agent" of the Provincial Governor.</w:t>
      </w:r>
    </w:p>
    <w:p>
      <w:pPr>
        <w:spacing w:before="40" w:after="80" w:line="276" w:lineRule="auto"/>
      </w:pPr>
      <w:r>
        <w:rPr>
          <w:rFonts w:ascii="Calibri" w:hAnsi="Calibri"/>
          <w:i w:val="0"/>
          <w:color w:val="212529"/>
          <w:sz w:val="21"/>
        </w:rPr>
        <w:t>Mapa argued that under previous Supreme Court doctrines—specifically People v. Macarandang (1959) and People v. Lucero (1958)—secret agents and special agents appointed by provincial governors or mayors were deemed "peace officers" and were therefore exempt from firearm licensing requirements under Section 879 of the Revised Administrative Code.</w:t>
      </w:r>
    </w:p>
    <w:p>
      <w:pPr>
        <w:spacing w:before="40" w:after="80" w:line="276" w:lineRule="auto"/>
      </w:pPr>
      <w:r>
        <w:rPr>
          <w:rFonts w:ascii="Calibri" w:hAnsi="Calibri"/>
          <w:b/>
          <w:color w:val="212529"/>
          <w:sz w:val="21"/>
        </w:rPr>
        <w:t xml:space="preserve">Plain Meaning Summary: </w:t>
      </w:r>
      <w:r>
        <w:rPr>
          <w:rFonts w:ascii="Calibri" w:hAnsi="Calibri"/>
          <w:i/>
          <w:color w:val="212529"/>
          <w:sz w:val="21"/>
        </w:rPr>
        <w:t>Mario Mapa was caught with an unlicensed gun and bullets. He claimed he could not be convicted because the Batangas Governor appointed him as a "secret agent" and gave him a badge. He argued that prior Supreme Court cases treated secret agents as "peace officers" exempt from gun license laws.</w:t>
      </w:r>
    </w:p>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an appointment as a "secret agent" by a provincial governor exempts the appointee from criminal liability for illegal possession of firearms under Section 879 of the Revised Administrative Code.</w:t>
      </w:r>
    </w:p>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had to decide if a governor's appointment could act as a legal shield against illegal firearm possession. Does being a 'secret agent' make you an exempt 'peace officer', even though the statute never mentions secret agents?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core issue is whether the statutory exemptions under Section 879 of the Revised Administrative Code can be judicially expanded to include 'secret agents' appointed by a provincial governor, despite their absence from the explicit text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An appointment as a "secret agent" does not exempt a person from criminal liability for illegal possession of firearms. The law explicitly enumerates the persons exempt from firearm licensing, and secret agents are not included in the statutory text.</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secret agent has no right to carry an unlicensed gun. The law contains a closed list of exempt officials, and secret agents are completely absent from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 secret agent is NOT exempt from the requirement of a firearm license. The statutory enumeration in Section 879 of the Revised Administrative Code is explicit and exclusive."</w:t>
            </w:r>
          </w:p>
        </w:tc>
      </w:tr>
    </w:tbl>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878, Revised Administrative Code (RAC): </w:t>
            </w:r>
            <w:r>
              <w:rPr>
                <w:rFonts w:ascii="Calibri" w:hAnsi="Calibri"/>
                <w:color w:val="212529"/>
                <w:sz w:val="20"/>
              </w:rPr>
              <w:t>Penalizes unlawful possession of firearms and ammunition without license.</w:t>
            </w:r>
          </w:p>
          <w:p>
            <w:pPr>
              <w:spacing w:before="20" w:after="40" w:line="276" w:lineRule="auto"/>
            </w:pPr>
            <w:r>
              <w:rPr>
                <w:rFonts w:ascii="Calibri" w:hAnsi="Calibri"/>
                <w:b/>
                <w:color w:val="212529"/>
                <w:sz w:val="20"/>
              </w:rPr>
              <w:t xml:space="preserve">2. Section 879, Revised Administrative Code (RAC): </w:t>
            </w:r>
            <w:r>
              <w:rPr>
                <w:rFonts w:ascii="Calibri" w:hAnsi="Calibri"/>
                <w:color w:val="212529"/>
                <w:sz w:val="20"/>
              </w:rPr>
              <w:t>Strictly and explicitly enumerates public officers exempt from firearm licensing requirements (e.g., provincial governors, lieutenant governors, provincial treasurers, municipal mayors, and regular members of municipal police forces).</w:t>
            </w:r>
          </w:p>
          <w:p>
            <w:pPr>
              <w:spacing w:before="20" w:after="40" w:line="276" w:lineRule="auto"/>
            </w:pPr>
            <w:r>
              <w:rPr>
                <w:rFonts w:ascii="Calibri" w:hAnsi="Calibri"/>
                <w:b/>
                <w:color w:val="212529"/>
                <w:sz w:val="20"/>
              </w:rPr>
              <w:t xml:space="preserve">3. Fundamental Canon of Construction: </w:t>
            </w:r>
            <w:r>
              <w:rPr>
                <w:rFonts w:ascii="Calibri" w:hAnsi="Calibri"/>
                <w:color w:val="212529"/>
                <w:sz w:val="20"/>
              </w:rPr>
              <w:t>Verba Legis (the words of the law / plain meaning rule) — The first and fundamental duty of courts is to apply the law as written. When statutory language is plain and unambiguous, construction and interpretation are impermissible.</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Anchored on Section 879 of the Revised Administrative Code and the cardinal rule of Verba Legis (the words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consists of Section 878 and 879 of the Revised Administrative Code, and the doctrine of Verba Legis (the words of the law)—where the law is clear, there is no room for interpretation, only application."</w:t>
            </w:r>
          </w:p>
        </w:tc>
      </w:tr>
    </w:tbl>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Explicit Statutory Enumeration: </w:t>
            </w:r>
            <w:r>
              <w:rPr>
                <w:rFonts w:ascii="Calibri" w:hAnsi="Calibri"/>
                <w:color w:val="212529"/>
                <w:sz w:val="20"/>
              </w:rPr>
              <w:t>Section 879 of the RAC contains a specific and clear list of exempt public officials. "Secret agents" or "special agents" are conspicuously absent from the statutory text.</w:t>
            </w:r>
          </w:p>
          <w:p>
            <w:pPr>
              <w:spacing w:before="20" w:after="40" w:line="276" w:lineRule="auto"/>
            </w:pPr>
            <w:r>
              <w:rPr>
                <w:rFonts w:ascii="Calibri" w:hAnsi="Calibri"/>
                <w:b/>
                <w:color w:val="212529"/>
                <w:sz w:val="20"/>
              </w:rPr>
              <w:t xml:space="preserve">2. Prohibition on Judicial Legislation: </w:t>
            </w:r>
            <w:r>
              <w:rPr>
                <w:rFonts w:ascii="Calibri" w:hAnsi="Calibri"/>
                <w:color w:val="212529"/>
                <w:sz w:val="20"/>
              </w:rPr>
              <w:t>The Supreme Court expressly overruled People v. Macarandang and People v. Lucero. The Court held that interpreting the statute to include "secret agents" constitutes impermissible judicial legislation—inserting an exemption that the legislature itself chose not to provide.</w:t>
            </w:r>
          </w:p>
          <w:p>
            <w:pPr>
              <w:spacing w:before="20" w:after="40" w:line="276" w:lineRule="auto"/>
            </w:pPr>
            <w:r>
              <w:rPr>
                <w:rFonts w:ascii="Calibri" w:hAnsi="Calibri"/>
                <w:b/>
                <w:color w:val="212529"/>
                <w:sz w:val="20"/>
              </w:rPr>
              <w:t xml:space="preserve">3. Duty to Apply the Law: </w:t>
            </w:r>
            <w:r>
              <w:rPr>
                <w:rFonts w:ascii="Calibri" w:hAnsi="Calibri"/>
                <w:color w:val="212529"/>
                <w:sz w:val="20"/>
              </w:rPr>
              <w:t>Verba legis non est recedendum (from the words of the statute there should be no departure). When the statute speaks in clear, definite, and unequivocal terms, the judiciary's only task is strict application. The courts cannot alter, amend, or soften the law out of judicial sympathy.</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checked the words of Sec. 879. It found governors, mayors, and police, but no secret agents. The Court overruled prior cases to stop judicial legislation and applied the literal text.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(the words of the law). First, the text of Section 879 is clear and omits secret agents. Second, the Court overruled Macarandang and Lucero to prevent judicial legislation. Third, courts cannot insert exceptions into clear penal statutes."</w:t>
            </w:r>
          </w:p>
        </w:tc>
      </w:tr>
    </w:tbl>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judgment of conviction of the lower court, sentencing Mario Mapa to imprisonment for illegal possession of firearms and ammunition.</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Conviction upheld. Mapa went to prison because an administrative appointment cannot override a clear penal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conviction of Mario Mapa, holding that lack of a statutory license constitutes illegal possession regardless of any appointment as a secret agent."</w:t>
            </w:r>
          </w:p>
        </w:tc>
      </w:tr>
    </w:tbl>
    <w:p>
      <w:pPr>
        <w:keepNext/>
        <w:spacing w:before="200" w:after="40"/>
      </w:pPr>
      <w:r>
        <w:rPr>
          <w:rFonts w:ascii="Arial" w:hAnsi="Arial"/>
          <w:b/>
          <w:color w:val="781E1E"/>
          <w:sz w:val="22"/>
        </w:rPr>
        <w:t>V. Relation to Statutory Construction</w:t>
      </w:r>
    </w:p>
    <w:tbl>
      <w:tblPr>
        <w:tblW w:type="auto" w:w="0"/>
        <w:jc w:val="center"/>
        <w:tblLook w:firstColumn="1" w:firstRow="1" w:lastColumn="0" w:lastRow="0" w:noHBand="0" w:noVBand="1" w:val="04A0"/>
      </w:tblPr>
      <w:tblGrid>
        <w:gridCol w:w="9360"/>
      </w:tblGrid>
      <w:tr>
        <w:tc>
          <w:tcPr>
            <w:tcW w:type="dxa" w:w="9360"/>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(the words of the law)</w:t>
              <w:br/>
            </w:r>
            <w:r>
              <w:rPr>
                <w:rFonts w:ascii="Calibri" w:hAnsi="Calibri"/>
                <w:b/>
                <w:color w:val="212529"/>
                <w:sz w:val="19"/>
              </w:rPr>
              <w:t xml:space="preserve">   • Literal English Translation: </w:t>
            </w:r>
            <w:r>
              <w:rPr>
                <w:rFonts w:ascii="Calibri" w:hAnsi="Calibri"/>
                <w:i/>
                <w:color w:val="212529"/>
                <w:sz w:val="19"/>
              </w:rPr>
              <w:t>The words of the law.</w:t>
              <w:br/>
            </w:r>
            <w:r>
              <w:rPr>
                <w:rFonts w:ascii="Calibri" w:hAnsi="Calibri"/>
                <w:b/>
                <w:color w:val="212529"/>
                <w:sz w:val="19"/>
              </w:rPr>
              <w:t xml:space="preserve">   • Plain Legal Meaning &amp; StatCon Application: </w:t>
            </w:r>
            <w:r>
              <w:rPr>
                <w:rFonts w:ascii="Calibri" w:hAnsi="Calibri"/>
                <w:color w:val="212529"/>
                <w:sz w:val="19"/>
              </w:rPr>
              <w:t>The Plain Meaning Rule. When the law is clear, courts must adhere strictly to what the text literally states.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The cardinal rule that where the law is clear, courts must follow the exact text without adding or subtracting anything.</w:t>
            </w:r>
          </w:p>
          <w:p>
            <w:pPr>
              <w:spacing w:before="40" w:after="60" w:line="276" w:lineRule="auto"/>
            </w:pPr>
            <w:r>
              <w:rPr>
                <w:rFonts w:ascii="Calibri" w:hAnsi="Calibri"/>
                <w:b/>
                <w:color w:val="8C3200"/>
                <w:sz w:val="20"/>
              </w:rPr>
              <w:t>3. Absoluta sententia expositore non indigent (when language is plain, it needs no interpreter)</w:t>
              <w:br/>
            </w:r>
            <w:r>
              <w:rPr>
                <w:rFonts w:ascii="Calibri" w:hAnsi="Calibri"/>
                <w:b/>
                <w:color w:val="212529"/>
                <w:sz w:val="19"/>
              </w:rPr>
              <w:t xml:space="preserve">   • Literal English Translation: </w:t>
            </w:r>
            <w:r>
              <w:rPr>
                <w:rFonts w:ascii="Calibri" w:hAnsi="Calibri"/>
                <w:i/>
                <w:color w:val="212529"/>
                <w:sz w:val="19"/>
              </w:rPr>
              <w:t>When language is plain and unequivocal, it needs no interpreter.</w:t>
              <w:br/>
            </w:r>
            <w:r>
              <w:rPr>
                <w:rFonts w:ascii="Calibri" w:hAnsi="Calibri"/>
                <w:b/>
                <w:color w:val="212529"/>
                <w:sz w:val="19"/>
              </w:rPr>
              <w:t xml:space="preserve">   • Plain Legal Meaning &amp; StatCon Application: </w:t>
            </w:r>
            <w:r>
              <w:rPr>
                <w:rFonts w:ascii="Calibri" w:hAnsi="Calibri"/>
                <w:color w:val="212529"/>
                <w:sz w:val="19"/>
              </w:rPr>
              <w:t>Clear statutes do not require judicial explanation; their obvious meaning applies automatically.</w:t>
            </w:r>
          </w:p>
          <w:p>
            <w:pPr>
              <w:spacing w:before="40" w:after="60" w:line="276" w:lineRule="auto"/>
            </w:pPr>
            <w:r>
              <w:rPr>
                <w:rFonts w:ascii="Calibri" w:hAnsi="Calibri"/>
                <w:b/>
                <w:color w:val="8C3200"/>
                <w:sz w:val="20"/>
              </w:rPr>
              <w:t>4. Index animi sermo est (speech is the index of intention)</w:t>
              <w:br/>
            </w:r>
            <w:r>
              <w:rPr>
                <w:rFonts w:ascii="Calibri" w:hAnsi="Calibri"/>
                <w:b/>
                <w:color w:val="212529"/>
                <w:sz w:val="19"/>
              </w:rPr>
              <w:t xml:space="preserve">   • Literal English Translation: </w:t>
            </w:r>
            <w:r>
              <w:rPr>
                <w:rFonts w:ascii="Calibri" w:hAnsi="Calibri"/>
                <w:i/>
                <w:color w:val="212529"/>
                <w:sz w:val="19"/>
              </w:rPr>
              <w:t>Speech is the index of intention.</w:t>
              <w:br/>
            </w:r>
            <w:r>
              <w:rPr>
                <w:rFonts w:ascii="Calibri" w:hAnsi="Calibri"/>
                <w:b/>
                <w:color w:val="212529"/>
                <w:sz w:val="19"/>
              </w:rPr>
              <w:t xml:space="preserve">   • Plain Legal Meaning &amp; StatCon Application: </w:t>
            </w:r>
            <w:r>
              <w:rPr>
                <w:rFonts w:ascii="Calibri" w:hAnsi="Calibri"/>
                <w:color w:val="212529"/>
                <w:sz w:val="19"/>
              </w:rPr>
              <w:t>The words chosen by the lawmakers are the most reliable indicator of what they intended.</w:t>
            </w:r>
          </w:p>
          <w:p>
            <w:pPr>
              <w:spacing w:before="40" w:after="60" w:line="276" w:lineRule="auto"/>
            </w:pPr>
            <w:r>
              <w:rPr>
                <w:rFonts w:ascii="Calibri" w:hAnsi="Calibri"/>
                <w:b/>
                <w:color w:val="8C3200"/>
                <w:sz w:val="20"/>
              </w:rPr>
              <w:t>5.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Even if applying a law leads to a strict or painful result (conviction), the court cannot waive the law.</w:t>
            </w:r>
          </w:p>
          <w:p>
            <w:pPr>
              <w:spacing w:before="40" w:after="60" w:line="276" w:lineRule="auto"/>
            </w:pPr>
            <w:r>
              <w:rPr>
                <w:rFonts w:ascii="Calibri" w:hAnsi="Calibri"/>
                <w:b/>
                <w:color w:val="8C3200"/>
                <w:sz w:val="20"/>
              </w:rPr>
              <w:t>6.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is the exclusion of another.</w:t>
              <w:br/>
            </w:r>
            <w:r>
              <w:rPr>
                <w:rFonts w:ascii="Calibri" w:hAnsi="Calibri"/>
                <w:b/>
                <w:color w:val="212529"/>
                <w:sz w:val="19"/>
              </w:rPr>
              <w:t xml:space="preserve">   • Plain Legal Meaning &amp; StatCon Application: </w:t>
            </w:r>
            <w:r>
              <w:rPr>
                <w:rFonts w:ascii="Calibri" w:hAnsi="Calibri"/>
                <w:color w:val="212529"/>
                <w:sz w:val="19"/>
              </w:rPr>
              <w:t>By explicitly listing exempt public officials, Congress intended to exclude all unlisted positions (like secret agents).</w:t>
            </w:r>
          </w:p>
          <w:p>
            <w:pPr>
              <w:spacing w:before="40" w:after="60" w:line="276" w:lineRule="auto"/>
            </w:pPr>
            <w:r>
              <w:rPr>
                <w:rFonts w:ascii="Calibri" w:hAnsi="Calibri"/>
                <w:b/>
                <w:color w:val="8C3200"/>
                <w:sz w:val="20"/>
              </w:rPr>
              <w:t>7. Iudicis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It is the duty of a judge to declare the law, not to make it.</w:t>
              <w:br/>
            </w:r>
            <w:r>
              <w:rPr>
                <w:rFonts w:ascii="Calibri" w:hAnsi="Calibri"/>
                <w:b/>
                <w:color w:val="212529"/>
                <w:sz w:val="19"/>
              </w:rPr>
              <w:t xml:space="preserve">   • Plain Legal Meaning &amp; StatCon Application: </w:t>
            </w:r>
            <w:r>
              <w:rPr>
                <w:rFonts w:ascii="Calibri" w:hAnsi="Calibri"/>
                <w:color w:val="212529"/>
                <w:sz w:val="19"/>
              </w:rPr>
              <w:t>Prohibition against judicial legislation. Judges cannot enact new exceptions.</w:t>
            </w:r>
          </w:p>
        </w:tc>
      </w:tr>
    </w:tbl>
    <w:tbl>
      <w:tblPr>
        <w:tblW w:type="auto" w:w="0"/>
        <w:jc w:val="center"/>
        <w:tblLook w:firstColumn="1" w:firstRow="1" w:lastColumn="0" w:lastRow="0" w:noHBand="0" w:noVBand="1" w:val="04A0"/>
      </w:tblPr>
      <w:tblGrid>
        <w:gridCol w:w="4680"/>
        <w:gridCol w:w="4680"/>
      </w:tblGrid>
      <w:tr>
        <w:tc>
          <w:tcPr>
            <w:tcW w:type="dxa" w:w="4680"/>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 (E. When to construe? / F. Ambiguity / G. Statutory construction v. judicial legislation / J. Extent of power to construe)</w:t>
              <w:br/>
              <w:t>• Chapter II: Prelude to the Exercise of the Power (A. Verba legis non est recedendum / B. Absoluta sententia / C. Dura lex sed lex)</w:t>
            </w:r>
          </w:p>
        </w:tc>
      </w:tr>
      <w:tr>
        <w:tc>
          <w:tcPr>
            <w:tcW w:type="dxa" w:w="4680"/>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Verba legis non est recedendum</w:t>
              <w:br/>
              <w:t>(from the words of the statute there should be no departure)</w:t>
              <w:br/>
              <w:br/>
              <w:t>Secondary:</w:t>
              <w:br/>
              <w:t>• Absoluta sententia expositore non indigent (when language is plain, it needs no interpreter)</w:t>
              <w:br/>
              <w:t>• Index animi sermo est (speech is the index of intention)</w:t>
              <w:br/>
              <w:t>• Dura lex, sed lex (the law is harsh, but it is the law)</w:t>
              <w:br/>
              <w:t>• Expressio unius est exclusio alterius (the express mention of one thing is the exclusion of another)</w:t>
            </w:r>
          </w:p>
        </w:tc>
      </w:tr>
      <w:tr>
        <w:tc>
          <w:tcPr>
            <w:tcW w:type="dxa" w:w="4680"/>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The appellant urged the Court to engage in judicial legislation by expanding the statutory exemptions under Section 879 RAC to insert an unwritten category of 'secret agents'.</w:t>
            </w:r>
          </w:p>
        </w:tc>
      </w:tr>
      <w:tr>
        <w:tc>
          <w:tcPr>
            <w:tcW w:type="dxa" w:w="4680"/>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Defines the exact boundary of 'When to Construe.' Where the law is clear, plain, and free from ambiguity, courts have zero authority to interpret or add words to the statute; the sole judicial duty is direct application.</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#1 textbook case for Verba Legis (the words of the law). It answers 'When to Construe?': Never interpret if the law is already clear.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Chapters I &amp; II of our syllabus: (1) Primary Maxim: Verba legis non est recedendum (from the words of the statute there should be no departure); (2) Trigger: Interpretation is only justified when there is ambiguity; (3) Limitation: Courts cannot commit 'Judicial Legislation' by creating exemptions omitted by Congress."</w:t>
            </w:r>
          </w:p>
        </w:tc>
      </w:tr>
    </w:tbl>
    <w:p>
      <w:r>
        <w:br w:type="page"/>
      </w:r>
    </w:p>
    <w:p>
      <w:pPr>
        <w:keepNext/>
        <w:spacing w:before="320" w:after="80"/>
      </w:pPr>
      <w:r>
        <w:rPr>
          <w:rFonts w:ascii="Arial" w:hAnsi="Arial"/>
          <w:b/>
          <w:color w:val="0F2043"/>
          <w:sz w:val="26"/>
        </w:rPr>
        <w:t>2. Ramon M. Atienza v. Jose T. Villarosa</w:t>
      </w:r>
    </w:p>
    <w:p>
      <w:pPr>
        <w:spacing w:before="40" w:after="80" w:line="276" w:lineRule="auto"/>
      </w:pPr>
      <w:r>
        <w:rPr>
          <w:rFonts w:ascii="Calibri" w:hAnsi="Calibri"/>
          <w:b/>
          <w:color w:val="212529"/>
          <w:sz w:val="21"/>
        </w:rPr>
        <w:t xml:space="preserve">Citation: </w:t>
      </w:r>
      <w:r>
        <w:rPr>
          <w:rFonts w:ascii="Calibri" w:hAnsi="Calibri"/>
          <w:i/>
          <w:color w:val="212529"/>
          <w:sz w:val="21"/>
        </w:rPr>
        <w:t>G.R. No. 161081 | May 10, 2005 | 458 SCRA 385 | Second Division | Ponente: J. Callejo, Sr.</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Petitioner: </w:t>
      </w:r>
      <w:r>
        <w:rPr>
          <w:rFonts w:ascii="Calibri" w:hAnsi="Calibri"/>
          <w:i w:val="0"/>
          <w:color w:val="212529"/>
          <w:sz w:val="21"/>
        </w:rPr>
        <w:t>Ramon M. Atienza (Vice-Governor of Occidental Mindoro)</w:t>
      </w:r>
    </w:p>
    <w:p>
      <w:pPr>
        <w:spacing w:before="40" w:after="80" w:line="276" w:lineRule="auto"/>
      </w:pPr>
      <w:r>
        <w:rPr>
          <w:rFonts w:ascii="Calibri" w:hAnsi="Calibri"/>
          <w:b/>
          <w:color w:val="212529"/>
          <w:sz w:val="21"/>
        </w:rPr>
        <w:t xml:space="preserve">• Respondent: </w:t>
      </w:r>
      <w:r>
        <w:rPr>
          <w:rFonts w:ascii="Calibri" w:hAnsi="Calibri"/>
          <w:i w:val="0"/>
          <w:color w:val="212529"/>
          <w:sz w:val="21"/>
        </w:rPr>
        <w:t>Jose T. Villarosa (Provincial Governor of Occidental Mindoro)</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(Direct Petition for Prohibition and Mandamus under Rule 65)</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Jurisdictional conflict regarding the scope of executive vs. legislative administrative powers under Republic Act No. 7160 (The Local Government Code of 1991).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June 2002, Governor Jose T. Villarosa issued executive memoranda stating that: (1) All Purchase Orders (POs) for supplies, materials, and equipment for all provincial government offices—including the Sangguniang Panlalawigan (SP)—must be approved and signed exclusively by the Provincial Governor; and (2) The Governor possesses the sole authority to terminate, appoint, and reassign casual, temporary, and job-order employees across the entire provincial government, including the legislative staff of the SP.</w:t>
      </w:r>
    </w:p>
    <w:p>
      <w:pPr>
        <w:spacing w:before="40" w:after="80" w:line="276" w:lineRule="auto"/>
      </w:pPr>
      <w:r>
        <w:rPr>
          <w:rFonts w:ascii="Calibri" w:hAnsi="Calibri"/>
          <w:i w:val="0"/>
          <w:color w:val="212529"/>
          <w:sz w:val="21"/>
        </w:rPr>
        <w:t>Vice-Governor Ramon M. Atienza, as Presiding Officer of the SP, challenged these memoranda. He argued that the Local Government Code confers upon the Vice-Governor the exclusive power to appoint employees of the SP and to sign all warrants and disbursement vouchers for expenditures appropriated for the legislative body.</w:t>
      </w:r>
    </w:p>
    <w:p>
      <w:pPr>
        <w:spacing w:before="40" w:after="80" w:line="276" w:lineRule="auto"/>
      </w:pPr>
      <w:r>
        <w:rPr>
          <w:rFonts w:ascii="Calibri" w:hAnsi="Calibri"/>
          <w:b/>
          <w:color w:val="212529"/>
          <w:sz w:val="21"/>
        </w:rPr>
        <w:t xml:space="preserve">Plain Meaning Summary: </w:t>
      </w:r>
      <w:r>
        <w:rPr>
          <w:rFonts w:ascii="Calibri" w:hAnsi="Calibri"/>
          <w:i/>
          <w:color w:val="212529"/>
          <w:sz w:val="21"/>
        </w:rPr>
        <w:t>The Governor tried to take full control over the hiring/firing of provincial board (Sangguniang Panlalawigan) employees and insisted that only the Governor could sign purchase orders for the board's office supplies. The Vice-Governor argued that the law gives the Vice-Governor independent control over the board's personnel and expenses.</w:t>
      </w:r>
    </w:p>
    <w:p>
      <w:pPr>
        <w:keepNext/>
        <w:spacing w:before="200" w:after="40"/>
      </w:pPr>
      <w:r>
        <w:rPr>
          <w:rFonts w:ascii="Arial" w:hAnsi="Arial"/>
          <w:b/>
          <w:color w:val="781E1E"/>
          <w:sz w:val="22"/>
        </w:rPr>
        <w:t>III. The Legal Issues</w:t>
      </w:r>
    </w:p>
    <w:p>
      <w:pPr>
        <w:spacing w:before="40" w:after="80" w:line="276" w:lineRule="auto"/>
      </w:pPr>
      <w:r>
        <w:rPr>
          <w:rFonts w:ascii="Calibri" w:hAnsi="Calibri"/>
          <w:i w:val="0"/>
          <w:color w:val="212529"/>
          <w:sz w:val="21"/>
        </w:rPr>
        <w:t>1. Who between the Governor and the Vice-Governor has the authority to appoint officials and employees of the Sangguniang Panlalawigan?</w:t>
        <w:br/>
        <w:t>2. Who has the authority to approve and sign purchase orders for supplies, materials, and equipment appropriated for the operation of the Sangguniang Panlalawigan?</w:t>
      </w:r>
    </w:p>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power struggle between executive and legislative branches: Does the Governor have total control over all staff and supplies, or does the Vice-Gov have independent power over the Sanggunian's staff and supply purchase orders?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there are two distinct legal issues under RA 7160: First, whether appointing power over Sanggunian personnel belongs to the Governor or to the Vice-Governor under Section 466(a)(2); and Second, whether the Vice-Governor's express authority to sign vouchers and warrants implies the power to approve purchase orders under the Doctrine of Necessary Implication (Ex necessitate legis - from the necessity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1. Appointing Power: The Vice-Governor has the exclusive authority to appoint all officials and employees of the Sangguniang Panlalawigan, except the Secretary to the Sanggunian (appointed under Section 468).</w:t>
            </w:r>
          </w:p>
          <w:p>
            <w:pPr>
              <w:spacing w:before="20" w:after="40" w:line="276" w:lineRule="auto"/>
            </w:pPr>
            <w:r>
              <w:rPr>
                <w:rFonts w:ascii="Calibri" w:hAnsi="Calibri"/>
                <w:color w:val="212529"/>
                <w:sz w:val="20"/>
              </w:rPr>
              <w:t>2. Purchase Orders: The Vice-Governor has the authority to approve and sign purchase orders for supplies, materials, and equipment appropriated for the operation of the Sangguniang Panlalawigan.</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Vice-Governor wins on both counts: he appoints the board's staff and signs the purchase orders for the board's supplies.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Vice-Governor has authority on both matters: (1) Exclusive power to appoint Sangguniang Panlalawigan personnel; and (2) Implied power to approve purchase orders for items funded by legislative appropriations."</w:t>
            </w:r>
          </w:p>
        </w:tc>
      </w:tr>
    </w:tbl>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466(a)(1), R.A. No. 7160: </w:t>
            </w:r>
            <w:r>
              <w:rPr>
                <w:rFonts w:ascii="Calibri" w:hAnsi="Calibri"/>
                <w:color w:val="212529"/>
                <w:sz w:val="20"/>
              </w:rPr>
              <w:t>Confers on the Vice-Governor the power to sign all warrants drawn on the provincial treasury for expenditures appropriated for the operation of the SP.</w:t>
            </w:r>
          </w:p>
          <w:p>
            <w:pPr>
              <w:spacing w:before="20" w:after="40" w:line="276" w:lineRule="auto"/>
            </w:pPr>
            <w:r>
              <w:rPr>
                <w:rFonts w:ascii="Calibri" w:hAnsi="Calibri"/>
                <w:b/>
                <w:color w:val="212529"/>
                <w:sz w:val="20"/>
              </w:rPr>
              <w:t xml:space="preserve">2. Section 466(a)(2), R.A. No. 7160: </w:t>
            </w:r>
            <w:r>
              <w:rPr>
                <w:rFonts w:ascii="Calibri" w:hAnsi="Calibri"/>
                <w:color w:val="212529"/>
                <w:sz w:val="20"/>
              </w:rPr>
              <w:t>Explicitly empowers the Vice-Governor to appoint all officials and employees of the Sangguniang Panlalawigan.</w:t>
            </w:r>
          </w:p>
          <w:p>
            <w:pPr>
              <w:spacing w:before="20" w:after="40" w:line="276" w:lineRule="auto"/>
            </w:pPr>
            <w:r>
              <w:rPr>
                <w:rFonts w:ascii="Calibri" w:hAnsi="Calibri"/>
                <w:b/>
                <w:color w:val="212529"/>
                <w:sz w:val="20"/>
              </w:rPr>
              <w:t xml:space="preserve">3. Section 465(b)(1)(v), R.A. No. 7160: </w:t>
            </w:r>
            <w:r>
              <w:rPr>
                <w:rFonts w:ascii="Calibri" w:hAnsi="Calibri"/>
                <w:color w:val="212529"/>
                <w:sz w:val="20"/>
              </w:rPr>
              <w:t>Grants the Governor general appointing power, but expressly qualifies it with the clause: 'except those whose appointment is specifically provided for in this Code.'</w:t>
            </w:r>
          </w:p>
          <w:p>
            <w:pPr>
              <w:spacing w:before="20" w:after="40" w:line="276" w:lineRule="auto"/>
            </w:pPr>
            <w:r>
              <w:rPr>
                <w:rFonts w:ascii="Calibri" w:hAnsi="Calibri"/>
                <w:b/>
                <w:color w:val="212529"/>
                <w:sz w:val="20"/>
              </w:rPr>
              <w:t xml:space="preserve">4. Ex necessitate legis (from the necessity of the law / doctrine of necessary implication): </w:t>
            </w:r>
            <w:r>
              <w:rPr>
                <w:rFonts w:ascii="Calibri" w:hAnsi="Calibri"/>
                <w:color w:val="212529"/>
                <w:sz w:val="20"/>
              </w:rPr>
              <w:t>What is implied in a statute is as much a part of it as that which is expressed.</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Relies on Section 466 (Vice-Gov powers), Section 465 (Governor exception clause), and Ex necessitate legis (from the necessity of the law / Doctrine of Necessary Implication).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rests on Section 466(a)(2) for express appointing power, Section 465(b)(1)(v) containing the Governor's exception clause, Section 466(a)(1) for warrants/vouchers, and Ex necessitate legis (from the necessity of the law / Doctrine of Necessary Implication)."</w:t>
            </w:r>
          </w:p>
        </w:tc>
      </w:tr>
    </w:tbl>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Specific Prevails Over General (Generalia specialibus non derogant - general provisions do not derogate from special provisions): </w:t>
            </w:r>
            <w:r>
              <w:rPr>
                <w:rFonts w:ascii="Calibri" w:hAnsi="Calibri"/>
                <w:color w:val="212529"/>
                <w:sz w:val="20"/>
              </w:rPr>
              <w:t>Section 465 is a general provision, while Section 466(a)(2) is specific. Reading them harmoniously, the Governor's general appointing power yields to the specific appointing power granted to the Vice-Governor over legislative personnel.</w:t>
            </w:r>
          </w:p>
          <w:p>
            <w:pPr>
              <w:spacing w:before="20" w:after="40" w:line="276" w:lineRule="auto"/>
            </w:pPr>
            <w:r>
              <w:rPr>
                <w:rFonts w:ascii="Calibri" w:hAnsi="Calibri"/>
                <w:b/>
                <w:color w:val="212529"/>
                <w:sz w:val="20"/>
              </w:rPr>
              <w:t xml:space="preserve">2. Doctrine of Necessary Implication (Ex necessitate legis - from the necessity of the law): </w:t>
            </w:r>
            <w:r>
              <w:rPr>
                <w:rFonts w:ascii="Calibri" w:hAnsi="Calibri"/>
                <w:color w:val="212529"/>
                <w:sz w:val="20"/>
              </w:rPr>
              <w:t>Quando aliquid mandatur, mandatur et omne per quod pervenitur ad illud (when anything is authorized, everything by which it is accomplished is also authorized). While RA 7160 does not explicitly mention 'purchase orders' under the Vice-Governor's powers, Section 466(a)(1) expressly grants him authority to approve disbursement vouchers and sign all warrants drawn for SP operational funds. Under the Doctrine of Necessary Implication, the express power to approve disbursement vouchers and sign warrants necessarily carries with it the implied authority to approve purchase orders that create those obligations. Denying this power would render the Vice-Governor's express financial authority ineffective.</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Harmonious construction: Specific appointing power in Sec. 466 beats general power in Sec. 465 (Lex specialis derogat legi generali - special law overrides general law). Necessary implication: Since the Vice-Gov signs vouchers and checks, he must have implied power to sign purchase orders (Ex necessitate legis - from the necessity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First, Generalia specialibus non derogant (general provisions do not derogate from special provisions)—the Governor's general appointing power yields to the specific grant in Sec. 466(a)(2); Second, Ex necessitate legis (from the necessity of the law)—the express power to sign warrants and vouchers under Sec. 466(a)(1) necessarily includes the implied power to approve purchase orders."</w:t>
            </w:r>
          </w:p>
        </w:tc>
      </w:tr>
    </w:tbl>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in part, holding that the Vice-Governor has the authority to appoint employees of the Sangguniang Panlalawigan and to approve purchase orders for expenditures funded by legislative appropriations.</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Vice-Governor won. The Supreme Court preserved the administrative and budgetary independence of the provincial board.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the petition, declaring that the Vice-Governor has the authority to appoint legislative personnel and to approve purchase orders for the Sangguniang Panlalawigan."</w:t>
            </w:r>
          </w:p>
        </w:tc>
      </w:tr>
    </w:tbl>
    <w:p>
      <w:pPr>
        <w:keepNext/>
        <w:spacing w:before="200" w:after="40"/>
      </w:pPr>
      <w:r>
        <w:rPr>
          <w:rFonts w:ascii="Arial" w:hAnsi="Arial"/>
          <w:b/>
          <w:color w:val="781E1E"/>
          <w:sz w:val="22"/>
        </w:rPr>
        <w:t>V. Relation to Statutory Construction</w:t>
      </w:r>
    </w:p>
    <w:tbl>
      <w:tblPr>
        <w:tblW w:type="auto" w:w="0"/>
        <w:jc w:val="center"/>
        <w:tblLook w:firstColumn="1" w:firstRow="1" w:lastColumn="0" w:lastRow="0" w:noHBand="0" w:noVBand="1" w:val="04A0"/>
      </w:tblPr>
      <w:tblGrid>
        <w:gridCol w:w="9360"/>
      </w:tblGrid>
      <w:tr>
        <w:tc>
          <w:tcPr>
            <w:tcW w:type="dxa" w:w="9360"/>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 necessitate legis (from the necessity of the law)</w:t>
              <w:br/>
            </w:r>
            <w:r>
              <w:rPr>
                <w:rFonts w:ascii="Calibri" w:hAnsi="Calibri"/>
                <w:b/>
                <w:color w:val="212529"/>
                <w:sz w:val="19"/>
              </w:rPr>
              <w:t xml:space="preserve">   • Literal English Translation: </w:t>
            </w:r>
            <w:r>
              <w:rPr>
                <w:rFonts w:ascii="Calibri" w:hAnsi="Calibri"/>
                <w:i/>
                <w:color w:val="212529"/>
                <w:sz w:val="19"/>
              </w:rPr>
              <w:t>From the necessity of the law.</w:t>
              <w:br/>
            </w:r>
            <w:r>
              <w:rPr>
                <w:rFonts w:ascii="Calibri" w:hAnsi="Calibri"/>
                <w:b/>
                <w:color w:val="212529"/>
                <w:sz w:val="19"/>
              </w:rPr>
              <w:t xml:space="preserve">   • Plain Legal Meaning &amp; StatCon Application: </w:t>
            </w:r>
            <w:r>
              <w:rPr>
                <w:rFonts w:ascii="Calibri" w:hAnsi="Calibri"/>
                <w:color w:val="212529"/>
                <w:sz w:val="19"/>
              </w:rPr>
              <w:t>The Doctrine of Necessary Implication. Whatever is implied in a statute is as much a part of it as that which is explicitly written.</w:t>
            </w:r>
          </w:p>
          <w:p>
            <w:pPr>
              <w:spacing w:before="40" w:after="60" w:line="276" w:lineRule="auto"/>
            </w:pPr>
            <w:r>
              <w:rPr>
                <w:rFonts w:ascii="Calibri" w:hAnsi="Calibri"/>
                <w:b/>
                <w:color w:val="8C3200"/>
                <w:sz w:val="20"/>
              </w:rPr>
              <w:t>2. Quando aliquid mandatur, mandatur et omne per quod pervenitur ad illud (when anything is authorized, everything by which it is accomplished is also authorized)</w:t>
              <w:br/>
            </w:r>
            <w:r>
              <w:rPr>
                <w:rFonts w:ascii="Calibri" w:hAnsi="Calibri"/>
                <w:b/>
                <w:color w:val="212529"/>
                <w:sz w:val="19"/>
              </w:rPr>
              <w:t xml:space="preserve">   • Literal English Translation: </w:t>
            </w:r>
            <w:r>
              <w:rPr>
                <w:rFonts w:ascii="Calibri" w:hAnsi="Calibri"/>
                <w:i/>
                <w:color w:val="212529"/>
                <w:sz w:val="19"/>
              </w:rPr>
              <w:t>When anything is commanded or authorized, everything by which it is accomplished is also authorized.</w:t>
              <w:br/>
            </w:r>
            <w:r>
              <w:rPr>
                <w:rFonts w:ascii="Calibri" w:hAnsi="Calibri"/>
                <w:b/>
                <w:color w:val="212529"/>
                <w:sz w:val="19"/>
              </w:rPr>
              <w:t xml:space="preserve">   • Plain Legal Meaning &amp; StatCon Application: </w:t>
            </w:r>
            <w:r>
              <w:rPr>
                <w:rFonts w:ascii="Calibri" w:hAnsi="Calibri"/>
                <w:color w:val="212529"/>
                <w:sz w:val="19"/>
              </w:rPr>
              <w:t>If a statute grants a specific power (e.g., signing vouchers), it automatically grants all necessary preliminary powers (e.g., signing purchase orders) to make that power effective.</w:t>
            </w:r>
          </w:p>
          <w:p>
            <w:pPr>
              <w:spacing w:before="40" w:after="60" w:line="276" w:lineRule="auto"/>
            </w:pPr>
            <w:r>
              <w:rPr>
                <w:rFonts w:ascii="Calibri" w:hAnsi="Calibri"/>
                <w:b/>
                <w:color w:val="8C3200"/>
                <w:sz w:val="20"/>
              </w:rPr>
              <w:t>3. Generalia specialibus non derogant (general provisions do not derogate from special provisions)</w:t>
              <w:br/>
            </w:r>
            <w:r>
              <w:rPr>
                <w:rFonts w:ascii="Calibri" w:hAnsi="Calibri"/>
                <w:b/>
                <w:color w:val="212529"/>
                <w:sz w:val="19"/>
              </w:rPr>
              <w:t xml:space="preserve">   • Literal English Translation: </w:t>
            </w:r>
            <w:r>
              <w:rPr>
                <w:rFonts w:ascii="Calibri" w:hAnsi="Calibri"/>
                <w:i/>
                <w:color w:val="212529"/>
                <w:sz w:val="19"/>
              </w:rPr>
              <w:t>General provisions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A general statutory rule yields to a specific statutory exception.</w:t>
            </w:r>
          </w:p>
          <w:p>
            <w:pPr>
              <w:spacing w:before="40" w:after="60" w:line="276" w:lineRule="auto"/>
            </w:pPr>
            <w:r>
              <w:rPr>
                <w:rFonts w:ascii="Calibri" w:hAnsi="Calibri"/>
                <w:b/>
                <w:color w:val="8C3200"/>
                <w:sz w:val="20"/>
              </w:rPr>
              <w:t>4. Lex specialis derogat legi generali (special law overrides general law)</w:t>
              <w:br/>
            </w:r>
            <w:r>
              <w:rPr>
                <w:rFonts w:ascii="Calibri" w:hAnsi="Calibri"/>
                <w:b/>
                <w:color w:val="212529"/>
                <w:sz w:val="19"/>
              </w:rPr>
              <w:t xml:space="preserve">   • Literal English Translation: </w:t>
            </w:r>
            <w:r>
              <w:rPr>
                <w:rFonts w:ascii="Calibri" w:hAnsi="Calibri"/>
                <w:i/>
                <w:color w:val="212529"/>
                <w:sz w:val="19"/>
              </w:rPr>
              <w:t>A special law or provision overrides a general law or provision.</w:t>
              <w:br/>
            </w:r>
            <w:r>
              <w:rPr>
                <w:rFonts w:ascii="Calibri" w:hAnsi="Calibri"/>
                <w:b/>
                <w:color w:val="212529"/>
                <w:sz w:val="19"/>
              </w:rPr>
              <w:t xml:space="preserve">   • Plain Legal Meaning &amp; StatCon Application: </w:t>
            </w:r>
            <w:r>
              <w:rPr>
                <w:rFonts w:ascii="Calibri" w:hAnsi="Calibri"/>
                <w:color w:val="212529"/>
                <w:sz w:val="19"/>
              </w:rPr>
              <w:t>Specific grants of authority govern over broad general grants.</w:t>
            </w:r>
          </w:p>
          <w:p>
            <w:pPr>
              <w:spacing w:before="40" w:after="60" w:line="276" w:lineRule="auto"/>
            </w:pPr>
            <w:r>
              <w:rPr>
                <w:rFonts w:ascii="Calibri" w:hAnsi="Calibri"/>
                <w:b/>
                <w:color w:val="8C3200"/>
                <w:sz w:val="20"/>
              </w:rPr>
              <w:t>5.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rather have effect than perish.</w:t>
              <w:br/>
            </w:r>
            <w:r>
              <w:rPr>
                <w:rFonts w:ascii="Calibri" w:hAnsi="Calibri"/>
                <w:b/>
                <w:color w:val="212529"/>
                <w:sz w:val="19"/>
              </w:rPr>
              <w:t xml:space="preserve">   • Plain Legal Meaning &amp; StatCon Application: </w:t>
            </w:r>
            <w:r>
              <w:rPr>
                <w:rFonts w:ascii="Calibri" w:hAnsi="Calibri"/>
                <w:color w:val="212529"/>
                <w:sz w:val="19"/>
              </w:rPr>
              <w:t>Statutes must be interpreted so that every part is operative, meaningful, and effective, rather than rendered useless.</w:t>
            </w:r>
          </w:p>
          <w:p>
            <w:pPr>
              <w:spacing w:before="40" w:after="60" w:line="276" w:lineRule="auto"/>
            </w:pPr>
            <w:r>
              <w:rPr>
                <w:rFonts w:ascii="Calibri" w:hAnsi="Calibri"/>
                <w:b/>
                <w:color w:val="8C3200"/>
                <w:sz w:val="20"/>
              </w:rPr>
              <w:t>6. Interpretare et concordare leges legibus est optimus interpretandi (to interpret and harmonize laws with laws is the best method of interpretation)</w:t>
              <w:br/>
            </w:r>
            <w:r>
              <w:rPr>
                <w:rFonts w:ascii="Calibri" w:hAnsi="Calibri"/>
                <w:b/>
                <w:color w:val="212529"/>
                <w:sz w:val="19"/>
              </w:rPr>
              <w:t xml:space="preserve">   • Literal English Translation: </w:t>
            </w:r>
            <w:r>
              <w:rPr>
                <w:rFonts w:ascii="Calibri" w:hAnsi="Calibri"/>
                <w:i/>
                <w:color w:val="212529"/>
                <w:sz w:val="19"/>
              </w:rPr>
              <w:t>To interpret and harmonize laws with laws is the best method of interpretation.</w:t>
              <w:br/>
            </w:r>
            <w:r>
              <w:rPr>
                <w:rFonts w:ascii="Calibri" w:hAnsi="Calibri"/>
                <w:b/>
                <w:color w:val="212529"/>
                <w:sz w:val="19"/>
              </w:rPr>
              <w:t xml:space="preserve">   • Plain Legal Meaning &amp; StatCon Application: </w:t>
            </w:r>
            <w:r>
              <w:rPr>
                <w:rFonts w:ascii="Calibri" w:hAnsi="Calibri"/>
                <w:color w:val="212529"/>
                <w:sz w:val="19"/>
              </w:rPr>
              <w:t>Harmonious construction. Provisions must be read together so they complement rather than conflict with each other.</w:t>
            </w:r>
          </w:p>
        </w:tc>
      </w:tr>
    </w:tbl>
    <w:tbl>
      <w:tblPr>
        <w:tblW w:type="auto" w:w="0"/>
        <w:jc w:val="center"/>
        <w:tblLook w:firstColumn="1" w:firstRow="1" w:lastColumn="0" w:lastRow="0" w:noHBand="0" w:noVBand="1" w:val="04A0"/>
      </w:tblPr>
      <w:tblGrid>
        <w:gridCol w:w="4680"/>
        <w:gridCol w:w="4680"/>
      </w:tblGrid>
      <w:tr>
        <w:tc>
          <w:tcPr>
            <w:tcW w:type="dxa" w:w="4680"/>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(d. Doctrine of Necessary Implication / h. Meaning not reflected in language)</w:t>
              <w:br/>
              <w:t xml:space="preserve">  - A. General Guidelines (h. Consideration of statute as a whole / i. Give effect to every word)</w:t>
              <w:br/>
              <w:t xml:space="preserve">  - C. Considerations outside the Statute (a. Generalia specialibus non derogat / f. Interpretare et concordare)</w:t>
            </w:r>
          </w:p>
        </w:tc>
      </w:tr>
      <w:tr>
        <w:tc>
          <w:tcPr>
            <w:tcW w:type="dxa" w:w="4680"/>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 necessitate legis</w:t>
              <w:br/>
              <w:t>(from the necessity of the law / Doctrine of Necessary Implication)</w:t>
              <w:br/>
              <w:br/>
              <w:t>Secondary:</w:t>
              <w:br/>
              <w:t>• Quando aliquid mandatur, mandatur et omne per quod pervenitur ad illud (when anything is authorized, everything by which it is accomplished is also authorized)</w:t>
              <w:br/>
              <w:t>• Generalia specialibus non derogant (general provisions do not derogate from special provisions)</w:t>
              <w:br/>
              <w:t>• Lex specialis derogat legi generali (special law overrides general law)</w:t>
              <w:br/>
              <w:t>• Ut res magis valeat quam pereat (that the thing may rather have effect than perish)</w:t>
              <w:br/>
              <w:t>• Interpretare et concordare leges legibus est optimus interpretandi (to interpret and harmonize laws with laws is the best method of interpretation)</w:t>
            </w:r>
          </w:p>
        </w:tc>
      </w:tr>
      <w:tr>
        <w:tc>
          <w:tcPr>
            <w:tcW w:type="dxa" w:w="4680"/>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The Governor attempted to read Section 465 in total isolation, disregarding the express statutory exception and the systemic legislative independence embedded throughout RA 7160.</w:t>
            </w:r>
          </w:p>
        </w:tc>
      </w:tr>
      <w:tr>
        <w:tc>
          <w:tcPr>
            <w:tcW w:type="dxa" w:w="4680"/>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Leading authority on the Doctrine of Necessary Implication: Statutory powers are not confined to their literal phrasing, but include all implied, incidental authorities essential to make the primary legislative grant effective.</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Leading case on Ex necessitate legis (from the necessity of the law / Doctrine of Necessary Implication). What is implied is as much a part of the statute as what is written.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in Chapter III: (1) Primary Doctrine: Ex necessitate legis (from the necessity of the law)—what is implied in a statute is as much a part of it as that which is expressed; (2) Harmonious Construction: Statutes must be construed as a whole under Ut res magis valeat quam pereat (that the thing may rather have effect than perish) and specific exceptions prevail over general rules under Generalia specialibus non derogant (general provisions do not derogate from special provisions)."</w:t>
            </w:r>
          </w:p>
        </w:tc>
      </w:tr>
    </w:tbl>
    <w:p>
      <w:r>
        <w:br w:type="page"/>
      </w:r>
    </w:p>
    <w:p>
      <w:pPr>
        <w:keepNext/>
        <w:spacing w:before="320" w:after="80"/>
      </w:pPr>
      <w:r>
        <w:rPr>
          <w:rFonts w:ascii="Arial" w:hAnsi="Arial"/>
          <w:b/>
          <w:color w:val="0F2043"/>
          <w:sz w:val="26"/>
        </w:rPr>
        <w:t>3. National Housing Authority (NHA) v. Hon. Pastor P. Reyes and Quirino Austria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L-49439 | June 29, 1983 | 123 SCRA 245 | Second Division | Ponente: J. Fernando</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Petitioner: </w:t>
      </w:r>
      <w:r>
        <w:rPr>
          <w:rFonts w:ascii="Calibri" w:hAnsi="Calibri"/>
          <w:i w:val="0"/>
          <w:color w:val="212529"/>
          <w:sz w:val="21"/>
        </w:rPr>
        <w:t>National Housing Authority (NHA)</w:t>
      </w:r>
    </w:p>
    <w:p>
      <w:pPr>
        <w:spacing w:before="40" w:after="80" w:line="276" w:lineRule="auto"/>
      </w:pPr>
      <w:r>
        <w:rPr>
          <w:rFonts w:ascii="Calibri" w:hAnsi="Calibri"/>
          <w:b/>
          <w:color w:val="212529"/>
          <w:sz w:val="21"/>
        </w:rPr>
        <w:t xml:space="preserve">• Respondents: </w:t>
      </w:r>
      <w:r>
        <w:rPr>
          <w:rFonts w:ascii="Calibri" w:hAnsi="Calibri"/>
          <w:i w:val="0"/>
          <w:color w:val="212529"/>
          <w:sz w:val="21"/>
        </w:rPr>
        <w:t>Hon. Pastor P. Reyes (Presiding Judge, CFI Cavite, Branch VIII) and Quirino Austria</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(CFI) of Cavite (Branch VIII)</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to annul trial court orders departing from statutory compensation ceilings in an expropriation case.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National Housing Authority filed an expropriation complaint before the CFI of Cavite to acquire a 25,000-square-meter parcel of land in Dasmariñas, Cavite, owned by Quirino and Luciano Austria, for the expansion of the Dasmariñas Resettlement Project.</w:t>
      </w:r>
    </w:p>
    <w:p>
      <w:pPr>
        <w:spacing w:before="40" w:after="80" w:line="276" w:lineRule="auto"/>
      </w:pPr>
      <w:r>
        <w:rPr>
          <w:rFonts w:ascii="Calibri" w:hAnsi="Calibri"/>
          <w:i w:val="0"/>
          <w:color w:val="212529"/>
          <w:sz w:val="21"/>
        </w:rPr>
        <w:t>Under Presidential Decree (P.D.) No. 42, as amended by P.D. Nos. 76, 464, and 1224, the NHA deposited the amount representing the assessed value of the property for tax purposes to obtain a writ of possession. Under P.D. No. 1224, just compensation in expropriation for socialized housing and government infrastructure was strictly mandated to be the lower of the market value declared by the owner in their tax declaration or the assessed value determined by the provincial/city assessor.</w:t>
      </w:r>
    </w:p>
    <w:p>
      <w:pPr>
        <w:spacing w:before="40" w:after="80" w:line="276" w:lineRule="auto"/>
      </w:pPr>
      <w:r>
        <w:rPr>
          <w:rFonts w:ascii="Calibri" w:hAnsi="Calibri"/>
          <w:i w:val="0"/>
          <w:color w:val="212529"/>
          <w:sz w:val="21"/>
        </w:rPr>
        <w:t>Despite this explicit statutory formula, respondent Judge Reyes appointed commissioners to determine fair market value and issued an order authorizing the landowners to withdraw provisional compensation far in excess of the statutory ceiling fixed by the presidential decrees.</w:t>
      </w:r>
    </w:p>
    <w:p>
      <w:pPr>
        <w:spacing w:before="40" w:after="80" w:line="276" w:lineRule="auto"/>
      </w:pPr>
      <w:r>
        <w:rPr>
          <w:rFonts w:ascii="Calibri" w:hAnsi="Calibri"/>
          <w:b/>
          <w:color w:val="212529"/>
          <w:sz w:val="21"/>
        </w:rPr>
        <w:t xml:space="preserve">Plain Meaning Summary: </w:t>
      </w:r>
      <w:r>
        <w:rPr>
          <w:rFonts w:ascii="Calibri" w:hAnsi="Calibri"/>
          <w:i/>
          <w:color w:val="212529"/>
          <w:sz w:val="21"/>
        </w:rPr>
        <w:t>The government wanted to expropriate private land for a housing resettlement project. The law (Presidential Decree No. 1224) clearly stated that compensation cannot exceed the lower of the owner's tax declaration or the government's tax assessment. The trial judge refused to follow this formula, appointed commissioners, and ordered the government to pay a higher market value.</w:t>
      </w:r>
    </w:p>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trial court judge committed grave abuse of discretion by disregarding the mandatory statutory formula for just compensation established under Presidential Decree No. 1224 and related decrees.</w:t>
      </w:r>
    </w:p>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valid statute sets a strict mathematical cap on land compensation in housing expropriations, does a trial judge have the power to ignore that formula and award higher compensation based on appraisal commissioners?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trial judge acts with grave abuse of discretion by disregarding the mandatory statutory formula for just compensation under P.D. No. 1224, testing whether courts are bound by Presumptio pro iustitia legis (presumption in favor of the constitutionality of a law) and Verba Legis (the words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trial court judge committed grave abuse of discretion. The judge is bound to apply the clear, mandatory, and unequivocal formula for just compensation prescribed by Presidential Decree No. 1224.</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grave abuse of discretion. Lower courts cannot invent their own compensation rules when an active statute provides a mandatory formula.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trial court committed grave abuse of discretion because judges are duty-bound to apply the mandatory valuation formula prescribed by law."</w:t>
            </w:r>
          </w:p>
        </w:tc>
      </w:tr>
    </w:tbl>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Nos. 42, 76, 464, and 1224: </w:t>
            </w:r>
            <w:r>
              <w:rPr>
                <w:rFonts w:ascii="Calibri" w:hAnsi="Calibri"/>
                <w:color w:val="212529"/>
                <w:sz w:val="20"/>
              </w:rPr>
              <w:t>Substantive decrees setting the statutory ceiling for just compensation in expropriation proceedings.</w:t>
            </w:r>
          </w:p>
          <w:p>
            <w:pPr>
              <w:spacing w:before="20" w:after="40" w:line="276" w:lineRule="auto"/>
            </w:pPr>
            <w:r>
              <w:rPr>
                <w:rFonts w:ascii="Calibri" w:hAnsi="Calibri"/>
                <w:b/>
                <w:color w:val="212529"/>
                <w:sz w:val="20"/>
              </w:rPr>
              <w:t xml:space="preserve">2. Presumptio pro iustitia legis (there is a presumption in favor of the justice and constitutionality of a law): </w:t>
            </w:r>
            <w:r>
              <w:rPr>
                <w:rFonts w:ascii="Calibri" w:hAnsi="Calibri"/>
                <w:color w:val="212529"/>
                <w:sz w:val="20"/>
              </w:rPr>
              <w:t>Every legislative act and presidential decree enjoys the presumption of constitutionality and must be enforced by trial courts unless declared void by the Supreme Court.</w:t>
            </w:r>
          </w:p>
          <w:p>
            <w:pPr>
              <w:spacing w:before="20" w:after="40" w:line="276" w:lineRule="auto"/>
            </w:pPr>
            <w:r>
              <w:rPr>
                <w:rFonts w:ascii="Calibri" w:hAnsi="Calibri"/>
                <w:b/>
                <w:color w:val="212529"/>
                <w:sz w:val="20"/>
              </w:rPr>
              <w:t xml:space="preserve">3. Verba Legis (the words of the law): </w:t>
            </w:r>
            <w:r>
              <w:rPr>
                <w:rFonts w:ascii="Calibri" w:hAnsi="Calibri"/>
                <w:color w:val="212529"/>
                <w:sz w:val="20"/>
              </w:rPr>
              <w:t>Where a statute provides a mandatory mathematical/valuation rule without ambiguity, the judge cannot substitute personal discretion.</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Anchored on P.D. No. 1224, Presumptio pro iustitia legis (presumption in favor of the constitutionality of a law), and Verba Legis (the words of the law) / Dura lex sed lex (the law is harsh, but it is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consists of P.D. No. 1224, Presumptio pro iustitia legis (presumption in favor of the constitutionality of a law), and the doctrines of Verba Legis (the words of the law) and Dura lex, sed lex (the law is harsh, but it is the law)."</w:t>
            </w:r>
          </w:p>
        </w:tc>
      </w:tr>
    </w:tbl>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Language of the Decree: </w:t>
            </w:r>
            <w:r>
              <w:rPr>
                <w:rFonts w:ascii="Calibri" w:hAnsi="Calibri"/>
                <w:color w:val="212529"/>
                <w:sz w:val="20"/>
              </w:rPr>
              <w:t>Absoluta sententia expositore non indigent (when language is plain, it needs no interpreter). The language of P.D. No. 1224 was clear, explicit, and mandatory. It removed the traditional judicial discretion to appoint commissioners for market value estimation in infrastructure and resettlement expropriations.</w:t>
            </w:r>
          </w:p>
          <w:p>
            <w:pPr>
              <w:spacing w:before="20" w:after="40" w:line="276" w:lineRule="auto"/>
            </w:pPr>
            <w:r>
              <w:rPr>
                <w:rFonts w:ascii="Calibri" w:hAnsi="Calibri"/>
                <w:b/>
                <w:color w:val="212529"/>
                <w:sz w:val="20"/>
              </w:rPr>
              <w:t xml:space="preserve">2. Presumption of Validity: </w:t>
            </w:r>
            <w:r>
              <w:rPr>
                <w:rFonts w:ascii="Calibri" w:hAnsi="Calibri"/>
                <w:color w:val="212529"/>
                <w:sz w:val="20"/>
              </w:rPr>
              <w:t>Presumptio pro iustitia legis (presumption in favor of the constitutionality of a law). A trial court cannot simply bypass or refuse to follow a statute on subjective grounds of equity. Until a statute is formally declared unconstitutional by the Supreme Court, lower courts are legally presumed and commanded to execute the law as written.</w:t>
            </w:r>
          </w:p>
          <w:p>
            <w:pPr>
              <w:spacing w:before="20" w:after="40" w:line="276" w:lineRule="auto"/>
            </w:pPr>
            <w:r>
              <w:rPr>
                <w:rFonts w:ascii="Calibri" w:hAnsi="Calibri"/>
                <w:b/>
                <w:color w:val="212529"/>
                <w:sz w:val="20"/>
              </w:rPr>
              <w:t xml:space="preserve">3. Social Justice Objective: </w:t>
            </w:r>
            <w:r>
              <w:rPr>
                <w:rFonts w:ascii="Calibri" w:hAnsi="Calibri"/>
                <w:color w:val="212529"/>
                <w:sz w:val="20"/>
              </w:rPr>
              <w:t>The Supreme Court emphasized that the decree was enacted to eliminate tax evasion (where owners undervalue their property for taxes but claim bloated values in expropriations) and to promote socialized housing for the underprivileged under the state's welfare police power.</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held P.D. 1224 was an active, valid law. A judge cannot substitute personal fairness for the law. The law also served social justice: preventing tax cheats and promoting public housing.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law: First, the decree used mandatory phrasing that eliminated judicial discretion under Absoluta sententia expositore non indigent (when language is plain, it needs no interpreter); Second, statutes carry Presumptio pro iustitia legis (presumption in favor of constitutionality) which lower courts must respect; Third, the law was intended to achieve social justice in housing and prevent tax evasion."</w:t>
            </w:r>
          </w:p>
        </w:tc>
      </w:tr>
    </w:tbl>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certiorari, ANNULLED and SET ASIDE the questioned orders of respondent Judge Reyes, and ordered the trial court to strictly comply with the statutory formula in P.D. No. 1224.</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Supreme Court annulled the trial judge's orders and mandated strict adherence to the statutory compensation ceiling.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the petition for certiorari and set aside the judge's orders, commanding the trial court to apply the statutory formula in P.D. No. 1224."</w:t>
            </w:r>
          </w:p>
        </w:tc>
      </w:tr>
    </w:tbl>
    <w:p>
      <w:pPr>
        <w:keepNext/>
        <w:spacing w:before="200" w:after="40"/>
      </w:pPr>
      <w:r>
        <w:rPr>
          <w:rFonts w:ascii="Arial" w:hAnsi="Arial"/>
          <w:b/>
          <w:color w:val="781E1E"/>
          <w:sz w:val="22"/>
        </w:rPr>
        <w:t>V. Relation to Statutory Construction</w:t>
      </w:r>
    </w:p>
    <w:tbl>
      <w:tblPr>
        <w:tblW w:type="auto" w:w="0"/>
        <w:jc w:val="center"/>
        <w:tblLook w:firstColumn="1" w:firstRow="1" w:lastColumn="0" w:lastRow="0" w:noHBand="0" w:noVBand="1" w:val="04A0"/>
      </w:tblPr>
      <w:tblGrid>
        <w:gridCol w:w="9360"/>
      </w:tblGrid>
      <w:tr>
        <w:tc>
          <w:tcPr>
            <w:tcW w:type="dxa" w:w="9360"/>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Presumptio pro iustitia legis (there is a presumption in favor of the justice and constitutionality of a law)</w:t>
              <w:br/>
            </w:r>
            <w:r>
              <w:rPr>
                <w:rFonts w:ascii="Calibri" w:hAnsi="Calibri"/>
                <w:b/>
                <w:color w:val="212529"/>
                <w:sz w:val="19"/>
              </w:rPr>
              <w:t xml:space="preserve">   • Literal English Translation: </w:t>
            </w:r>
            <w:r>
              <w:rPr>
                <w:rFonts w:ascii="Calibri" w:hAnsi="Calibri"/>
                <w:i/>
                <w:color w:val="212529"/>
                <w:sz w:val="19"/>
              </w:rPr>
              <w:t>There is a presumption in favor of the justice and correctness of the law.</w:t>
              <w:br/>
            </w:r>
            <w:r>
              <w:rPr>
                <w:rFonts w:ascii="Calibri" w:hAnsi="Calibri"/>
                <w:b/>
                <w:color w:val="212529"/>
                <w:sz w:val="19"/>
              </w:rPr>
              <w:t xml:space="preserve">   • Plain Legal Meaning &amp; StatCon Application: </w:t>
            </w:r>
            <w:r>
              <w:rPr>
                <w:rFonts w:ascii="Calibri" w:hAnsi="Calibri"/>
                <w:color w:val="212529"/>
                <w:sz w:val="19"/>
              </w:rPr>
              <w:t>Presumption of Constitutionality and Validity. Courts must presume that laws passed by the legislature or executive decrees are constitutional and valid until proven otherwise.</w:t>
            </w:r>
          </w:p>
          <w:p>
            <w:pPr>
              <w:spacing w:before="40" w:after="60" w:line="276" w:lineRule="auto"/>
            </w:pPr>
            <w:r>
              <w:rPr>
                <w:rFonts w:ascii="Calibri" w:hAnsi="Calibri"/>
                <w:b/>
                <w:color w:val="8C3200"/>
                <w:sz w:val="20"/>
              </w:rPr>
              <w:t>2. Verba legis non est recedendum (from the words of a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The Plain Meaning Rule. When the statute establishes an exact formula, judges must execute that formula without departure.</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Even if a property owner receives a smaller valuation under the statutory cap than market value, the judge must still enforce the statute.</w:t>
            </w:r>
          </w:p>
          <w:p>
            <w:pPr>
              <w:spacing w:before="40" w:after="60" w:line="276" w:lineRule="auto"/>
            </w:pPr>
            <w:r>
              <w:rPr>
                <w:rFonts w:ascii="Calibri" w:hAnsi="Calibri"/>
                <w:b/>
                <w:color w:val="8C3200"/>
                <w:sz w:val="20"/>
              </w:rPr>
              <w:t>4. Absoluta sententia expositore non indigent (when language is plain, it needs no interpreter)</w:t>
              <w:br/>
            </w:r>
            <w:r>
              <w:rPr>
                <w:rFonts w:ascii="Calibri" w:hAnsi="Calibri"/>
                <w:b/>
                <w:color w:val="212529"/>
                <w:sz w:val="19"/>
              </w:rPr>
              <w:t xml:space="preserve">   • Literal English Translation: </w:t>
            </w:r>
            <w:r>
              <w:rPr>
                <w:rFonts w:ascii="Calibri" w:hAnsi="Calibri"/>
                <w:i/>
                <w:color w:val="212529"/>
                <w:sz w:val="19"/>
              </w:rPr>
              <w:t>When language is plain, it needs no exposition.</w:t>
              <w:br/>
            </w:r>
            <w:r>
              <w:rPr>
                <w:rFonts w:ascii="Calibri" w:hAnsi="Calibri"/>
                <w:b/>
                <w:color w:val="212529"/>
                <w:sz w:val="19"/>
              </w:rPr>
              <w:t xml:space="preserve">   • Plain Legal Meaning &amp; StatCon Application: </w:t>
            </w:r>
            <w:r>
              <w:rPr>
                <w:rFonts w:ascii="Calibri" w:hAnsi="Calibri"/>
                <w:color w:val="212529"/>
                <w:sz w:val="19"/>
              </w:rPr>
              <w:t>Mandatory mathematical valuation rules require no judicial interpretation.</w:t>
            </w:r>
          </w:p>
          <w:p>
            <w:pPr>
              <w:spacing w:before="40" w:after="60" w:line="276" w:lineRule="auto"/>
            </w:pPr>
            <w:r>
              <w:rPr>
                <w:rFonts w:ascii="Calibri" w:hAnsi="Calibri"/>
                <w:b/>
                <w:color w:val="8C3200"/>
                <w:sz w:val="20"/>
              </w:rPr>
              <w:t>5. Iudicis est ius dicere, non dare (the judge's duty is to declare what the law is, not to create it)</w:t>
              <w:br/>
            </w:r>
            <w:r>
              <w:rPr>
                <w:rFonts w:ascii="Calibri" w:hAnsi="Calibri"/>
                <w:b/>
                <w:color w:val="212529"/>
                <w:sz w:val="19"/>
              </w:rPr>
              <w:t xml:space="preserve">   • Literal English Translation: </w:t>
            </w:r>
            <w:r>
              <w:rPr>
                <w:rFonts w:ascii="Calibri" w:hAnsi="Calibri"/>
                <w:i/>
                <w:color w:val="212529"/>
                <w:sz w:val="19"/>
              </w:rPr>
              <w:t>The judge's duty is to declare what the law is, not to create it.</w:t>
              <w:br/>
            </w:r>
            <w:r>
              <w:rPr>
                <w:rFonts w:ascii="Calibri" w:hAnsi="Calibri"/>
                <w:b/>
                <w:color w:val="212529"/>
                <w:sz w:val="19"/>
              </w:rPr>
              <w:t xml:space="preserve">   • Plain Legal Meaning &amp; StatCon Application: </w:t>
            </w:r>
            <w:r>
              <w:rPr>
                <w:rFonts w:ascii="Calibri" w:hAnsi="Calibri"/>
                <w:color w:val="212529"/>
                <w:sz w:val="19"/>
              </w:rPr>
              <w:t>Trial judges cannot substitute their preferred valuation methods for the clear formula enacted by the lawmaking authority.</w:t>
            </w:r>
          </w:p>
        </w:tc>
      </w:tr>
    </w:tbl>
    <w:tbl>
      <w:tblPr>
        <w:tblW w:type="auto" w:w="0"/>
        <w:jc w:val="center"/>
        <w:tblLook w:firstColumn="1" w:firstRow="1" w:lastColumn="0" w:lastRow="0" w:noHBand="0" w:noVBand="1" w:val="04A0"/>
      </w:tblPr>
      <w:tblGrid>
        <w:gridCol w:w="4680"/>
        <w:gridCol w:w="4680"/>
      </w:tblGrid>
      <w:tr>
        <w:tc>
          <w:tcPr>
            <w:tcW w:type="dxa" w:w="4680"/>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C. Presumptions (a. Presumption against unconstitutionality / d. Presumption against ineffectiveness)</w:t>
              <w:br/>
              <w:t>• Chapter II: Prelude to the Exercise of the Power (A. Verba legis non est recedendum / C. Dura lex sed lex)</w:t>
            </w:r>
          </w:p>
        </w:tc>
      </w:tr>
      <w:tr>
        <w:tc>
          <w:tcPr>
            <w:tcW w:type="dxa" w:w="4680"/>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Presumptio pro iustitia legis</w:t>
              <w:br/>
              <w:t>(there is a presumption in favor of the justice and constitutionality of a law)</w:t>
              <w:br/>
              <w:br/>
              <w:t>Secondary:</w:t>
              <w:br/>
              <w:t>• Verba legis non est recedendum (from the words of a statute there should be no departure)</w:t>
              <w:br/>
              <w:t>• Dura lex, sed lex (the law is harsh, but it is the law)</w:t>
              <w:br/>
              <w:t>• Absoluta sententia expositore non indigent (when language is plain, it needs no interpreter)</w:t>
              <w:br/>
              <w:t>• Iudicis est ius dicere, non dare (the judge's duty is to declare what the law is, not to create it)</w:t>
            </w:r>
          </w:p>
        </w:tc>
      </w:tr>
      <w:tr>
        <w:tc>
          <w:tcPr>
            <w:tcW w:type="dxa" w:w="4680"/>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The respondent trial judge violated the Presumption of Constitutionality and the Plain Meaning Rule by disregarding an active statute's mandatory valuation formula in favor of subjective judicial discretion.</w:t>
            </w:r>
          </w:p>
        </w:tc>
      </w:tr>
      <w:tr>
        <w:tc>
          <w:tcPr>
            <w:tcW w:type="dxa" w:w="4680"/>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680"/>
            <w:shd w:fill="FAFAFA"/>
            <w:tcMar>
              <w:top w:w="80" w:type="dxa"/>
              <w:bottom w:w="80" w:type="dxa"/>
              <w:left w:w="120" w:type="dxa"/>
              <w:right w:w="120" w:type="dxa"/>
            </w:tcMar>
          </w:tcPr>
          <w:p>
            <w:pPr>
              <w:spacing w:before="40" w:after="40" w:line="276" w:lineRule="auto"/>
            </w:pPr>
            <w:r>
              <w:rPr>
                <w:rFonts w:ascii="Calibri" w:hAnsi="Calibri"/>
                <w:color w:val="212529"/>
                <w:sz w:val="19"/>
              </w:rPr>
              <w:t>Illustrates Presumptions in Statutory Construction: Courts must presume statutes are constitutional and valid, leaving no discretion for lower court judges to bypass an express legislative mandate.</w:t>
            </w:r>
          </w:p>
        </w:tc>
      </w:tr>
    </w:tbl>
    <w:tbl>
      <w:tblPr>
        <w:tblW w:type="auto" w:w="0"/>
        <w:jc w:val="center"/>
        <w:tblLook w:firstColumn="1" w:firstRow="1" w:lastColumn="0" w:lastRow="0" w:noHBand="0" w:noVBand="1" w:val="04A0"/>
      </w:tblPr>
      <w:tblGrid>
        <w:gridCol w:w="9360"/>
      </w:tblGrid>
      <w:tr>
        <w:tc>
          <w:tcPr>
            <w:tcW w:type="dxa" w:w="9360"/>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Falls under Presumptions in StatCon. Every law is presumed valid and constitutional under Presumptio pro iustitia legis (presumption in favor of the constitutionality of a law), and judges must strictly apply the written formula.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under Chapter IV (C. Presumptions): (1) Primary Maxim: Presumptio pro iustitia legis (presumption in favor of the justice and constitutionality of a law); (2) Core Doctrine: Lower courts cannot disregard an active statute on equitable grounds; statutes must be enforced according to their literal terms under Dura lex, sed lex (the law is harsh, but it is the law) and Verba legis non est recedendum (from the words of the statute there should be no departure)."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