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Pr>
      <w:tblGrid>
        <w:gridCol w:w="9648"/>
      </w:tblGrid>
      <w:tr>
        <w:tc>
          <w:tcPr>
            <w:tcW w:type="dxa" w:w="9648"/>
            <w:shd w:fill="0F2043"/>
            <w:tcMar>
              <w:top w:w="200" w:type="dxa"/>
              <w:bottom w:w="200" w:type="dxa"/>
              <w:left w:w="240" w:type="dxa"/>
              <w:right w:w="240" w:type="dxa"/>
            </w:tcMar>
          </w:tcPr>
          <w:p>
            <w:pPr>
              <w:spacing w:before="80" w:after="40"/>
              <w:jc w:val="center"/>
            </w:pPr>
            <w:r>
              <w:rPr>
                <w:rFonts w:ascii="Arial" w:hAnsi="Arial"/>
                <w:b/>
                <w:color w:val="FFFFFF"/>
                <w:sz w:val="28"/>
              </w:rPr>
              <w:t>MANILA LAW COLLEGE</w:t>
              <w:br/>
            </w:r>
            <w:r>
              <w:rPr>
                <w:rFonts w:ascii="Arial" w:hAnsi="Arial"/>
                <w:color w:val="D2E1F5"/>
                <w:sz w:val="20"/>
              </w:rPr>
              <w:t>Manila Law College | Statutory Construction (2 Units) | Instructor: Atty. Jason P. Raposas</w:t>
              <w:br/>
            </w:r>
            <w:r>
              <w:rPr>
                <w:rFonts w:ascii="Arial" w:hAnsi="Arial"/>
                <w:b/>
                <w:color w:val="FFD700"/>
                <w:sz w:val="24"/>
              </w:rPr>
              <w:t>STATUTORY CONSTRUCTION COMPENDIUM: PHASE 2 (CHAPTER III)</w:t>
              <w:br/>
            </w:r>
            <w:r>
              <w:rPr>
                <w:rFonts w:ascii="Arial" w:hAnsi="Arial"/>
                <w:i/>
                <w:color w:val="E6EBF5"/>
                <w:sz w:val="19"/>
              </w:rPr>
              <w:t>Chapter III: Basic Guidelines in Construction (Cases 22 to 49) | Dual Layer ALAC + 12-Section Case Digest Format</w:t>
            </w:r>
          </w:p>
        </w:tc>
      </w:tr>
    </w:tbl>
    <w:p>
      <w:r>
        <w:br w:type="page"/>
      </w:r>
    </w:p>
    <w:tbl>
      <w:tblPr>
        <w:tblW w:type="auto" w:w="0"/>
        <w:jc w:val="center"/>
        <w:tblLook w:firstColumn="1" w:firstRow="1" w:lastColumn="0" w:lastRow="0" w:noHBand="0" w:noVBand="1" w:val="04A0"/>
      </w:tblPr>
      <w:tblGrid>
        <w:gridCol w:w="9648"/>
      </w:tblGrid>
      <w:tr>
        <w:tc>
          <w:tcPr>
            <w:tcW w:type="dxa" w:w="9648"/>
            <w:shd w:fill="0F2043"/>
            <w:tcMar>
              <w:top w:w="160" w:type="dxa"/>
              <w:bottom w:w="160" w:type="dxa"/>
              <w:left w:w="200" w:type="dxa"/>
              <w:right w:w="200" w:type="dxa"/>
            </w:tcMar>
          </w:tcPr>
          <w:p>
            <w:pPr>
              <w:spacing w:before="40" w:after="40"/>
              <w:jc w:val="center"/>
            </w:pPr>
            <w:r>
              <w:rPr>
                <w:rFonts w:ascii="Arial" w:hAnsi="Arial"/>
                <w:b/>
                <w:color w:val="FFD700"/>
                <w:sz w:val="26"/>
              </w:rPr>
              <w:t>CHAPTER III</w:t>
              <w:br/>
            </w:r>
            <w:r>
              <w:rPr>
                <w:rFonts w:ascii="Arial" w:hAnsi="Arial"/>
                <w:b/>
                <w:color w:val="FFFFFF"/>
                <w:sz w:val="24"/>
              </w:rPr>
              <w:t>BASIC GUIDELINES IN THE CONSTRUCTION AND INTERPRETATION OF LAW</w:t>
              <w:br/>
            </w:r>
            <w:r>
              <w:rPr>
                <w:rFonts w:ascii="Arial" w:hAnsi="Arial"/>
                <w:i/>
                <w:color w:val="D7E6FA"/>
                <w:sz w:val="19"/>
              </w:rPr>
              <w:t>Cases 22 to 49 | General Principles, Considerations Within &amp; Outside the Statute</w:t>
            </w:r>
          </w:p>
          <w:p>
            <w:pPr>
              <w:spacing w:before="120" w:after="40" w:line="276" w:lineRule="auto"/>
            </w:pPr>
            <w:r>
              <w:rPr>
                <w:rFonts w:ascii="Arial" w:hAnsi="Arial"/>
                <w:b/>
                <w:color w:val="FFD700"/>
                <w:sz w:val="19"/>
              </w:rPr>
              <w:t>Key Syllabus Coverage:</w:t>
              <w:br/>
            </w:r>
          </w:p>
          <w:p>
            <w:pPr>
              <w:spacing w:before="20" w:after="20"/>
            </w:pPr>
            <w:r>
              <w:rPr>
                <w:rFonts w:ascii="Calibri" w:hAnsi="Calibri"/>
                <w:color w:val="F0F5FF"/>
                <w:sz w:val="18"/>
              </w:rPr>
              <w:t>• A. General Guidelines: Legislative Intent Must Prevail; Verba Intentioni, Non E Contra, Debent Inservire; Purposeful Construction; Nemo Tenetur Ad Impossibile; Avoid Absurdity and Injustice; Whole Statute; Every Part Given Effect</w:t>
            </w:r>
          </w:p>
          <w:p>
            <w:pPr>
              <w:spacing w:before="20" w:after="20"/>
            </w:pPr>
            <w:r>
              <w:rPr>
                <w:rFonts w:ascii="Calibri" w:hAnsi="Calibri"/>
                <w:color w:val="F0F5FF"/>
                <w:sz w:val="18"/>
              </w:rPr>
              <w:t>• B. Considerations Within the Statute: Ubi Lex Non Distinguit Nec Nos Distinguere Debemos; Ejusdem Generis; Noscitur A Sociis; Doctrine of Necessary Implication; Expressio Unius Est Exclusio Alterius; Reddendo Singula Singulis; Casus Omissus Pro Omisso Habendus Est</w:t>
            </w:r>
          </w:p>
          <w:p>
            <w:pPr>
              <w:spacing w:before="20" w:after="20"/>
            </w:pPr>
            <w:r>
              <w:rPr>
                <w:rFonts w:ascii="Calibri" w:hAnsi="Calibri"/>
                <w:color w:val="F0F5FF"/>
                <w:sz w:val="18"/>
              </w:rPr>
              <w:t>• C. Considerations Outside the Statute: Generalia Specialibus Non Derogat; Lex Posterior Derogat Priori; Lex Specialis Derogat Legi Generalis; Borrowed Statute Rule; Interpretare Et Concordare Leges Legibus Est Optimus Interpretandi</w:t>
            </w:r>
          </w:p>
        </w:tc>
      </w:tr>
    </w:tbl>
    <w:p>
      <w:pPr>
        <w:spacing w:before="160"/>
      </w:pPr>
    </w:p>
    <w:p>
      <w:pPr>
        <w:keepNext/>
        <w:spacing w:before="320" w:after="80"/>
      </w:pPr>
      <w:r>
        <w:rPr>
          <w:rFonts w:ascii="Arial" w:hAnsi="Arial"/>
          <w:b/>
          <w:color w:val="0F2043"/>
          <w:sz w:val="26"/>
        </w:rPr>
        <w:t>22. PHILIPPINE HEALTHCARE PROVIDERS, INC. V. COMMISSIONER OF INTERNAL REVENUE</w:t>
      </w:r>
    </w:p>
    <w:p>
      <w:pPr>
        <w:spacing w:before="40" w:after="80" w:line="276" w:lineRule="auto"/>
      </w:pPr>
      <w:r>
        <w:rPr>
          <w:rFonts w:ascii="Calibri" w:hAnsi="Calibri"/>
          <w:b/>
          <w:color w:val="212529"/>
          <w:sz w:val="21"/>
        </w:rPr>
        <w:t xml:space="preserve">Citation: </w:t>
      </w:r>
      <w:r>
        <w:rPr>
          <w:rFonts w:ascii="Calibri" w:hAnsi="Calibri"/>
          <w:i/>
          <w:color w:val="212529"/>
          <w:sz w:val="21"/>
        </w:rPr>
        <w:t>G.R. No. 167330 | September 18, 2009 | 600 SCRA 413 | En Banc | Ponente: J. Corona</w:t>
      </w:r>
    </w:p>
    <w:p>
      <w:pPr>
        <w:keepNext/>
        <w:spacing w:before="200" w:after="40"/>
      </w:pPr>
      <w:r>
        <w:rPr>
          <w:rFonts w:ascii="Arial" w:hAnsi="Arial"/>
          <w:b/>
          <w:color w:val="781E1E"/>
          <w:sz w:val="22"/>
        </w:rPr>
        <w:t>LAYER A: ALAC DIGEST, RECITATION SCRIPT &amp; STATCON ANALYSIS</w:t>
      </w:r>
    </w:p>
    <w:p>
      <w:pPr>
        <w:keepNext/>
        <w:spacing w:before="200" w:after="40"/>
      </w:pPr>
      <w:r>
        <w:rPr>
          <w:rFonts w:ascii="Arial" w:hAnsi="Arial"/>
          <w:b/>
          <w:color w:val="781E1E"/>
          <w:sz w:val="22"/>
        </w:rPr>
        <w:t>I. PARTIES &amp; PROCEDURAL BACKGROUND</w:t>
      </w:r>
    </w:p>
    <w:p>
      <w:pPr>
        <w:spacing w:before="40" w:after="80" w:line="276" w:lineRule="auto"/>
      </w:pPr>
      <w:r>
        <w:rPr>
          <w:rFonts w:ascii="Calibri" w:hAnsi="Calibri"/>
          <w:b/>
          <w:color w:val="212529"/>
          <w:sz w:val="21"/>
        </w:rPr>
        <w:t xml:space="preserve">• Plaintiff/Petitioner: </w:t>
      </w:r>
      <w:r>
        <w:rPr>
          <w:rFonts w:ascii="Calibri" w:hAnsi="Calibri"/>
          <w:i w:val="0"/>
          <w:color w:val="212529"/>
          <w:sz w:val="21"/>
        </w:rPr>
        <w:t>Philippine Healthcare Providers, Inc. (Maxicare) (Petitioner)</w:t>
      </w:r>
    </w:p>
    <w:p>
      <w:pPr>
        <w:spacing w:before="40" w:after="80" w:line="276" w:lineRule="auto"/>
      </w:pPr>
      <w:r>
        <w:rPr>
          <w:rFonts w:ascii="Calibri" w:hAnsi="Calibri"/>
          <w:b/>
          <w:color w:val="212529"/>
          <w:sz w:val="21"/>
        </w:rPr>
        <w:t xml:space="preserve">• Defendant/Respondent: </w:t>
      </w:r>
      <w:r>
        <w:rPr>
          <w:rFonts w:ascii="Calibri" w:hAnsi="Calibri"/>
          <w:i w:val="0"/>
          <w:color w:val="212529"/>
          <w:sz w:val="21"/>
        </w:rPr>
        <w:t>Commissioner of Internal Revenue (Respondent)</w:t>
      </w:r>
    </w:p>
    <w:p>
      <w:pPr>
        <w:spacing w:before="40" w:after="80" w:line="276" w:lineRule="auto"/>
      </w:pPr>
      <w:r>
        <w:rPr>
          <w:rFonts w:ascii="Calibri" w:hAnsi="Calibri"/>
          <w:b/>
          <w:color w:val="212529"/>
          <w:sz w:val="21"/>
        </w:rPr>
        <w:t xml:space="preserve">• Originating Court: </w:t>
      </w:r>
      <w:r>
        <w:rPr>
          <w:rFonts w:ascii="Calibri" w:hAnsi="Calibri"/>
          <w:i w:val="0"/>
          <w:color w:val="212529"/>
          <w:sz w:val="21"/>
        </w:rPr>
        <w:t>Court of Tax Appeals / Court of Appeals</w:t>
      </w:r>
    </w:p>
    <w:p>
      <w:pPr>
        <w:spacing w:before="40" w:after="80" w:line="276" w:lineRule="auto"/>
      </w:pPr>
      <w:r>
        <w:rPr>
          <w:rFonts w:ascii="Calibri" w:hAnsi="Calibri"/>
          <w:b/>
          <w:color w:val="212529"/>
          <w:sz w:val="21"/>
        </w:rPr>
        <w:t xml:space="preserve">• Nature of the Action: </w:t>
      </w:r>
      <w:r>
        <w:rPr>
          <w:rFonts w:ascii="Calibri" w:hAnsi="Calibri"/>
          <w:i w:val="0"/>
          <w:color w:val="212529"/>
          <w:sz w:val="21"/>
        </w:rPr>
        <w:t>Petition for Review on Certiorari under Rule 45 regarding deficiency Documentary Stamp Tax (DST) assessment on Health Maintenance Organization (HMO) health care agreements.</w:t>
      </w:r>
    </w:p>
    <w:p>
      <w:pPr>
        <w:keepNext/>
        <w:spacing w:before="200" w:after="40"/>
      </w:pPr>
      <w:r>
        <w:rPr>
          <w:rFonts w:ascii="Arial" w:hAnsi="Arial"/>
          <w:b/>
          <w:color w:val="781E1E"/>
          <w:sz w:val="22"/>
        </w:rPr>
        <w:t>II. WHOLE FACTS</w:t>
      </w:r>
    </w:p>
    <w:p>
      <w:pPr>
        <w:spacing w:before="40" w:after="80" w:line="276" w:lineRule="auto"/>
      </w:pPr>
      <w:r>
        <w:rPr>
          <w:rFonts w:ascii="Calibri" w:hAnsi="Calibri"/>
          <w:i w:val="0"/>
          <w:color w:val="212529"/>
          <w:sz w:val="21"/>
        </w:rPr>
        <w:t>Philippine Healthcare Providers, Inc. (operating Maxicare) is a domestic corporation engaged in providing prepaid medical and hospitalization services to enrolled members. In 2000, the CIR issued a formal assessment notice against Maxicare demanding deficiency Documentary Stamp Taxes (DST) for the taxable years 1996 and 1997 under Section 185 of the 1997 National Internal Revenue Code (NIRC), arguing that HMO agreements are contracts of insurance (fidelity and surety bonds, and policies of insurance). Maxicare protested, arguing that an HMO is not engaged in the insurance business but in the provision of healthcare services, and that tax statutes cannot be extended by implication.</w:t>
      </w:r>
    </w:p>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SUMMARY OF FACTS</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Maxicare is an HMO that arranges doctor visits and hospital care for prepaid members. The Bureau of Internal Revenue (BIR) demanded millions in documentary stamp taxes, claiming that HMO membership cards and agreements are legally the same as life and health insurance policies. The Supreme Court ruled that HMO agreements are distinct health service contracts, not insurance policies, and tax laws cannot be stretched to tax something not clearly mentioned in the statute.</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When reciting the facts, state the core dispute in 2 sentences, then state how the case reached the Supreme Court.</w:t>
            </w:r>
          </w:p>
        </w:tc>
      </w:tr>
    </w:tbl>
    <w:p>
      <w:pPr>
        <w:keepNext/>
        <w:spacing w:before="200" w:after="40"/>
      </w:pPr>
      <w:r>
        <w:rPr>
          <w:rFonts w:ascii="Arial" w:hAnsi="Arial"/>
          <w:b/>
          <w:color w:val="781E1E"/>
          <w:sz w:val="22"/>
        </w:rPr>
        <w:t>III. THE LEGAL ISSUE</w:t>
      </w:r>
    </w:p>
    <w:p>
      <w:pPr>
        <w:spacing w:before="40" w:after="80" w:line="276" w:lineRule="auto"/>
      </w:pPr>
      <w:r>
        <w:rPr>
          <w:rFonts w:ascii="Calibri" w:hAnsi="Calibri"/>
          <w:i w:val="0"/>
          <w:color w:val="212529"/>
          <w:sz w:val="21"/>
        </w:rPr>
        <w:t>Whether or not health care agreements of Health Maintenance Organizations (HMOs) are insurance contracts subject to Documentary Stamp Tax (DST) under Section 185 of the NIRC.</w:t>
      </w:r>
    </w:p>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THE LEGAL ISSUE</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Can the BIR impose documentary stamp tax on HMO health plans by treating them as insurance policies when the tax code does not clearly name HMOs?</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"Sir/Ma'am, the issue is whether health care agreements issued by HMOs are subject to Documentary Stamp Tax under the NIRC, testing the canon of strict construction of tax statutes (Strictissimi Juris) and legislative intent."</w:t>
            </w:r>
          </w:p>
        </w:tc>
      </w:tr>
    </w:tbl>
    <w:p>
      <w:pPr>
        <w:keepNext/>
        <w:spacing w:before="200" w:after="40"/>
      </w:pPr>
      <w:r>
        <w:rPr>
          <w:rFonts w:ascii="Arial" w:hAnsi="Arial"/>
          <w:b/>
          <w:color w:val="781E1E"/>
          <w:sz w:val="22"/>
        </w:rPr>
        <w:t>IV. ALAC DIGEST</w:t>
      </w:r>
    </w:p>
    <w:tbl>
      <w:tblPr>
        <w:tblW w:type="auto" w:w="0"/>
        <w:jc w:val="center"/>
        <w:tblLook w:firstColumn="1" w:firstRow="1" w:lastColumn="0" w:lastRow="0" w:noHBand="0" w:noVBand="1" w:val="04A0"/>
      </w:tblPr>
      <w:tblGrid>
        <w:gridCol w:w="9648"/>
      </w:tblGrid>
      <w:tr>
        <w:tc>
          <w:tcPr>
            <w:tcW w:type="dxa" w:w="9648"/>
            <w:shd w:fill="F4F6F9"/>
            <w:tcMar>
              <w:top w:w="120" w:type="dxa"/>
              <w:bottom w:w="120" w:type="dxa"/>
              <w:left w:w="180" w:type="dxa"/>
              <w:right w:w="180" w:type="dxa"/>
            </w:tcMar>
          </w:tcPr>
          <w:p>
            <w:pPr>
              <w:spacing w:before="40" w:after="60"/>
            </w:pPr>
            <w:r>
              <w:rPr>
                <w:rFonts w:ascii="Arial" w:hAnsi="Arial"/>
                <w:b/>
                <w:color w:val="0F2043"/>
                <w:sz w:val="21"/>
              </w:rPr>
              <w:t>[A] ANSWER</w:t>
              <w:br/>
            </w:r>
          </w:p>
          <w:p>
            <w:pPr>
              <w:spacing w:before="20" w:after="40" w:line="276" w:lineRule="auto"/>
            </w:pPr>
            <w:r>
              <w:rPr>
                <w:rFonts w:ascii="Calibri" w:hAnsi="Calibri"/>
                <w:color w:val="212529"/>
                <w:sz w:val="20"/>
              </w:rPr>
              <w:t>NO. Health care agreements of HMOs are NOT contracts of insurance within the contemplation of Section 185 of the NIRC and are NOT subject to DST. Tax statutes are strictly construed against the government and liberally in favor of the taxpayer.</w:t>
            </w:r>
          </w:p>
        </w:tc>
      </w:tr>
    </w:tbl>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THE ANSWER</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No. HMO agreements are for medical services, not insurance indemnity. Because tax laws must be strictly interpreted against the BIR, the government cannot invent a tax that Congress did not write.</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"No, Sir/Ma'am. The Supreme Court held that HMO agreements are primarily service contracts for healthcare rather than insurance contracts of indemnity. Under Strictissimi Juris (strict interpretation of tax laws), tax statutes cannot be extended by implication."</w:t>
            </w:r>
          </w:p>
        </w:tc>
      </w:tr>
    </w:tbl>
    <w:tbl>
      <w:tblPr>
        <w:tblW w:type="auto" w:w="0"/>
        <w:jc w:val="center"/>
        <w:tblLook w:firstColumn="1" w:firstRow="1" w:lastColumn="0" w:lastRow="0" w:noHBand="0" w:noVBand="1" w:val="04A0"/>
      </w:tblPr>
      <w:tblGrid>
        <w:gridCol w:w="9648"/>
      </w:tblGrid>
      <w:tr>
        <w:tc>
          <w:tcPr>
            <w:tcW w:type="dxa" w:w="9648"/>
            <w:shd w:fill="F4F6F9"/>
            <w:tcMar>
              <w:top w:w="120" w:type="dxa"/>
              <w:bottom w:w="120" w:type="dxa"/>
              <w:left w:w="180" w:type="dxa"/>
              <w:right w:w="180" w:type="dxa"/>
            </w:tcMar>
          </w:tcPr>
          <w:p>
            <w:pPr>
              <w:spacing w:before="40" w:after="60"/>
            </w:pPr>
            <w:r>
              <w:rPr>
                <w:rFonts w:ascii="Arial" w:hAnsi="Arial"/>
                <w:b/>
                <w:color w:val="0F2043"/>
                <w:sz w:val="21"/>
              </w:rPr>
              <w:t>[L] LEGAL BASIS</w:t>
              <w:br/>
            </w:r>
          </w:p>
          <w:p>
            <w:pPr>
              <w:spacing w:before="20" w:after="40" w:line="276" w:lineRule="auto"/>
            </w:pPr>
            <w:r>
              <w:rPr>
                <w:rFonts w:ascii="Calibri" w:hAnsi="Calibri"/>
                <w:b/>
                <w:color w:val="212529"/>
                <w:sz w:val="20"/>
              </w:rPr>
              <w:t xml:space="preserve">1. Section 185, National Internal Revenue Code (NIRC): </w:t>
            </w:r>
            <w:r>
              <w:rPr>
                <w:rFonts w:ascii="Calibri" w:hAnsi="Calibri"/>
                <w:color w:val="212529"/>
                <w:sz w:val="20"/>
              </w:rPr>
              <w:t>Imposes DST specifically on insurance policies, fidelity and surety bonds, but contains no mention of HMO agreements.</w:t>
            </w:r>
          </w:p>
          <w:p>
            <w:pPr>
              <w:spacing w:before="20" w:after="40" w:line="276" w:lineRule="auto"/>
            </w:pPr>
            <w:r>
              <w:rPr>
                <w:rFonts w:ascii="Calibri" w:hAnsi="Calibri"/>
                <w:b/>
                <w:color w:val="212529"/>
                <w:sz w:val="20"/>
              </w:rPr>
              <w:t xml:space="preserve">2. Strictissimi Juris (of the strictest interpretation) in Taxation: </w:t>
            </w:r>
            <w:r>
              <w:rPr>
                <w:rFonts w:ascii="Calibri" w:hAnsi="Calibri"/>
                <w:color w:val="212529"/>
                <w:sz w:val="20"/>
              </w:rPr>
              <w:t>Taxes are burdens that cannot be imposed unless the legislative intent to tax is clear and unambiguous.</w:t>
            </w:r>
          </w:p>
          <w:p>
            <w:pPr>
              <w:spacing w:before="20" w:after="40" w:line="276" w:lineRule="auto"/>
            </w:pPr>
            <w:r>
              <w:rPr>
                <w:rFonts w:ascii="Calibri" w:hAnsi="Calibri"/>
                <w:b/>
                <w:color w:val="212529"/>
                <w:sz w:val="20"/>
              </w:rPr>
              <w:t xml:space="preserve">3. Expressio Unius Est Exclusio Alterius (the express mention of one thing excludes all others): </w:t>
            </w:r>
            <w:r>
              <w:rPr>
                <w:rFonts w:ascii="Calibri" w:hAnsi="Calibri"/>
                <w:color w:val="212529"/>
                <w:sz w:val="20"/>
              </w:rPr>
              <w:t>Where the statute enumerates taxable insurance contracts, unlisted HMO agreements are excluded.</w:t>
            </w:r>
          </w:p>
        </w:tc>
      </w:tr>
    </w:tbl>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LEGAL BASIS</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Section 185 NIRC, Strictissimi Juris in tax law, and Expressio Unius Est Exclusio Alterius.</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"Sir/Ma'am, the legal basis is Section 185 of the NIRC, governed by the canons of Strictissimi Juris in taxation and Expressio Unius Est Exclusio Alterius (the express mention of one thing is the exclusion of another)."</w:t>
            </w:r>
          </w:p>
        </w:tc>
      </w:tr>
    </w:tbl>
    <w:tbl>
      <w:tblPr>
        <w:tblW w:type="auto" w:w="0"/>
        <w:jc w:val="center"/>
        <w:tblLook w:firstColumn="1" w:firstRow="1" w:lastColumn="0" w:lastRow="0" w:noHBand="0" w:noVBand="1" w:val="04A0"/>
      </w:tblPr>
      <w:tblGrid>
        <w:gridCol w:w="9648"/>
      </w:tblGrid>
      <w:tr>
        <w:tc>
          <w:tcPr>
            <w:tcW w:type="dxa" w:w="9648"/>
            <w:shd w:fill="F4F6F9"/>
            <w:tcMar>
              <w:top w:w="120" w:type="dxa"/>
              <w:bottom w:w="120" w:type="dxa"/>
              <w:left w:w="180" w:type="dxa"/>
              <w:right w:w="180" w:type="dxa"/>
            </w:tcMar>
          </w:tcPr>
          <w:p>
            <w:pPr>
              <w:spacing w:before="40" w:after="60"/>
            </w:pPr>
            <w:r>
              <w:rPr>
                <w:rFonts w:ascii="Arial" w:hAnsi="Arial"/>
                <w:b/>
                <w:color w:val="0F2043"/>
                <w:sz w:val="21"/>
              </w:rPr>
              <w:t>[A] ANALYSIS / APPLICATION</w:t>
              <w:br/>
            </w:r>
          </w:p>
          <w:p>
            <w:pPr>
              <w:spacing w:before="20" w:after="40" w:line="276" w:lineRule="auto"/>
            </w:pPr>
            <w:r>
              <w:rPr>
                <w:rFonts w:ascii="Calibri" w:hAnsi="Calibri"/>
                <w:b/>
                <w:color w:val="212529"/>
                <w:sz w:val="20"/>
              </w:rPr>
              <w:t xml:space="preserve">1. Nature of HMO Business: </w:t>
            </w:r>
            <w:r>
              <w:rPr>
                <w:rFonts w:ascii="Calibri" w:hAnsi="Calibri"/>
                <w:color w:val="212529"/>
                <w:sz w:val="20"/>
              </w:rPr>
              <w:t>An HMO's primary undertaking is to arrange for medical services through accredited hospitals and doctors, not to indemnify for loss or assume financial risk like an insurance company.</w:t>
            </w:r>
          </w:p>
          <w:p>
            <w:pPr>
              <w:spacing w:before="20" w:after="40" w:line="276" w:lineRule="auto"/>
            </w:pPr>
            <w:r>
              <w:rPr>
                <w:rFonts w:ascii="Calibri" w:hAnsi="Calibri"/>
                <w:b/>
                <w:color w:val="212529"/>
                <w:sz w:val="20"/>
              </w:rPr>
              <w:t xml:space="preserve">2. Strict Construction of Tax Laws: </w:t>
            </w:r>
            <w:r>
              <w:rPr>
                <w:rFonts w:ascii="Calibri" w:hAnsi="Calibri"/>
                <w:color w:val="212529"/>
                <w:sz w:val="20"/>
              </w:rPr>
              <w:t>Taxes are never presumed. A statute will not be construed as imposing a tax unless its language clearly and expressly so provides. Doubts must be resolved strictly against the taxing authority.</w:t>
            </w:r>
          </w:p>
          <w:p>
            <w:pPr>
              <w:spacing w:before="20" w:after="40" w:line="276" w:lineRule="auto"/>
            </w:pPr>
            <w:r>
              <w:rPr>
                <w:rFonts w:ascii="Calibri" w:hAnsi="Calibri"/>
                <w:b/>
                <w:color w:val="212529"/>
                <w:sz w:val="20"/>
              </w:rPr>
              <w:t xml:space="preserve">3. Legislative Exclusion: </w:t>
            </w:r>
            <w:r>
              <w:rPr>
                <w:rFonts w:ascii="Calibri" w:hAnsi="Calibri"/>
                <w:color w:val="212529"/>
                <w:sz w:val="20"/>
              </w:rPr>
              <w:t>The legislature did not include HMO health agreements under Section 185. The BIR cannot expand the scope of a tax statute through administrative interpretation.</w:t>
            </w:r>
          </w:p>
        </w:tc>
      </w:tr>
    </w:tbl>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ANALYSIS / APPLICATION</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The Court looked at what HMOs actually do: they arrange medical care rather than pool insurance risks. Because Congress did not include HMOs in the DST list, the BIR cannot add them by implication.</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"Sir/Ma'am, the Court analyzed the primary purpose of HMOs as healthcare providers, distinguishing them from insurance underwriters. Applying strict tax construction, the Court held that the BIR cannot expand the reach of DST to entities not specified in the statute."</w:t>
            </w:r>
          </w:p>
        </w:tc>
      </w:tr>
    </w:tbl>
    <w:tbl>
      <w:tblPr>
        <w:tblW w:type="auto" w:w="0"/>
        <w:jc w:val="center"/>
        <w:tblLook w:firstColumn="1" w:firstRow="1" w:lastColumn="0" w:lastRow="0" w:noHBand="0" w:noVBand="1" w:val="04A0"/>
      </w:tblPr>
      <w:tblGrid>
        <w:gridCol w:w="9648"/>
      </w:tblGrid>
      <w:tr>
        <w:tc>
          <w:tcPr>
            <w:tcW w:type="dxa" w:w="9648"/>
            <w:shd w:fill="F4F6F9"/>
            <w:tcMar>
              <w:top w:w="120" w:type="dxa"/>
              <w:bottom w:w="120" w:type="dxa"/>
              <w:left w:w="180" w:type="dxa"/>
              <w:right w:w="180" w:type="dxa"/>
            </w:tcMar>
          </w:tcPr>
          <w:p>
            <w:pPr>
              <w:spacing w:before="40" w:after="60"/>
            </w:pPr>
            <w:r>
              <w:rPr>
                <w:rFonts w:ascii="Arial" w:hAnsi="Arial"/>
                <w:b/>
                <w:color w:val="0F2043"/>
                <w:sz w:val="21"/>
              </w:rPr>
              <w:t>[C] CONCLUSION</w:t>
              <w:br/>
            </w:r>
          </w:p>
          <w:p>
            <w:pPr>
              <w:spacing w:before="20" w:after="40" w:line="276" w:lineRule="auto"/>
            </w:pPr>
            <w:r>
              <w:rPr>
                <w:rFonts w:ascii="Calibri" w:hAnsi="Calibri"/>
                <w:color w:val="212529"/>
                <w:sz w:val="20"/>
              </w:rPr>
              <w:t>The Supreme Court REVERSED the Court of Appeals decision, CANCELLED the DST deficiency assessments against Philippine Healthcare Providers, Inc., and declared HMO health care agreements exempt from DST under Section 185 NIRC.</w:t>
            </w:r>
          </w:p>
        </w:tc>
      </w:tr>
    </w:tbl>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CONCLUSION</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The tax assessment was cancelled and Maxicare was declared exempt from DST.</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"The Supreme Court cancelled the tax assessment and held HMO contracts exempt from DST based on strict construction of tax statutes."</w:t>
            </w:r>
          </w:p>
        </w:tc>
      </w:tr>
    </w:tbl>
    <w:p>
      <w:pPr>
        <w:keepNext/>
        <w:spacing w:before="200" w:after="40"/>
      </w:pPr>
      <w:r>
        <w:rPr>
          <w:rFonts w:ascii="Arial" w:hAnsi="Arial"/>
          <w:b/>
          <w:color w:val="781E1E"/>
          <w:sz w:val="22"/>
        </w:rPr>
        <w:t>V. RELATION TO STATUTORY CONSTRUCTION</w:t>
      </w:r>
    </w:p>
    <w:p>
      <w:pPr>
        <w:spacing w:before="40" w:after="80" w:line="276" w:lineRule="auto"/>
      </w:pPr>
      <w:r>
        <w:rPr>
          <w:rFonts w:ascii="Calibri" w:hAnsi="Calibri"/>
          <w:b/>
          <w:color w:val="212529"/>
          <w:sz w:val="21"/>
        </w:rPr>
        <w:t>• Syllabus Topic Alignment:</w:t>
        <w:br/>
      </w:r>
      <w:r>
        <w:rPr>
          <w:rFonts w:ascii="Calibri" w:hAnsi="Calibri"/>
          <w:i w:val="0"/>
          <w:color w:val="212529"/>
          <w:sz w:val="21"/>
        </w:rPr>
        <w:t>• Chapter III: Basic Guidelines in the Construction and Interpretation of Laws</w:t>
        <w:br/>
        <w:t xml:space="preserve">  - A. General Guidelines: Strict Construction of Tax Statutes vs. Legislative Intent</w:t>
      </w:r>
    </w:p>
    <w:tbl>
      <w:tblPr>
        <w:tblW w:type="auto" w:w="0"/>
        <w:jc w:val="center"/>
        <w:tblLook w:firstColumn="1" w:firstRow="1" w:lastColumn="0" w:lastRow="0" w:noHBand="0" w:noVBand="1" w:val="04A0"/>
      </w:tblPr>
      <w:tblGrid>
        <w:gridCol w:w="9648"/>
      </w:tblGrid>
      <w:tr>
        <w:tc>
          <w:tcPr>
            <w:tcW w:type="dxa" w:w="9648"/>
            <w:shd w:fill="FDF6EE"/>
            <w:tcMar>
              <w:top w:w="120" w:type="dxa"/>
              <w:bottom w:w="120" w:type="dxa"/>
              <w:left w:w="180" w:type="dxa"/>
              <w:right w:w="180" w:type="dxa"/>
            </w:tcMar>
          </w:tcPr>
          <w:p>
            <w:pPr>
              <w:spacing w:before="40" w:after="80"/>
            </w:pPr>
            <w:r>
              <w:rPr>
                <w:rFonts w:ascii="Arial" w:hAnsi="Arial"/>
                <w:b/>
                <w:color w:val="8C3200"/>
                <w:sz w:val="20"/>
              </w:rPr>
              <w:t>📜 GOVERNING LATIN MAXIMS WITH ENGLISH TRANSLATIONS</w:t>
              <w:br/>
            </w:r>
          </w:p>
          <w:p>
            <w:pPr>
              <w:spacing w:before="40" w:after="60" w:line="276" w:lineRule="auto"/>
            </w:pPr>
            <w:r>
              <w:rPr>
                <w:rFonts w:ascii="Calibri" w:hAnsi="Calibri"/>
                <w:b/>
                <w:color w:val="8C3200"/>
                <w:sz w:val="20"/>
              </w:rPr>
              <w:t>1. Strictissimi juris (of the strictest interpretation)</w:t>
              <w:br/>
            </w:r>
            <w:r>
              <w:rPr>
                <w:rFonts w:ascii="Calibri" w:hAnsi="Calibri"/>
                <w:b/>
                <w:color w:val="212529"/>
                <w:sz w:val="19"/>
              </w:rPr>
              <w:t xml:space="preserve">   • Literal English Translation: </w:t>
            </w:r>
            <w:r>
              <w:rPr>
                <w:rFonts w:ascii="Calibri" w:hAnsi="Calibri"/>
                <w:i/>
                <w:color w:val="212529"/>
                <w:sz w:val="19"/>
              </w:rPr>
              <w:t>Of the strictest law/interpretation.</w:t>
              <w:br/>
            </w:r>
            <w:r>
              <w:rPr>
                <w:rFonts w:ascii="Calibri" w:hAnsi="Calibri"/>
                <w:b/>
                <w:color w:val="212529"/>
                <w:sz w:val="19"/>
              </w:rPr>
              <w:t xml:space="preserve">   • Plain Legal Meaning &amp; StatCon Application: </w:t>
            </w:r>
            <w:r>
              <w:rPr>
                <w:rFonts w:ascii="Calibri" w:hAnsi="Calibri"/>
                <w:color w:val="212529"/>
                <w:sz w:val="19"/>
              </w:rPr>
              <w:t>Tax statutes are construed strictissimi juris against the government and liberally in favor of the taxpayer.</w:t>
            </w:r>
          </w:p>
          <w:p>
            <w:pPr>
              <w:spacing w:before="40" w:after="60" w:line="276" w:lineRule="auto"/>
            </w:pPr>
            <w:r>
              <w:rPr>
                <w:rFonts w:ascii="Calibri" w:hAnsi="Calibri"/>
                <w:b/>
                <w:color w:val="8C3200"/>
                <w:sz w:val="20"/>
              </w:rPr>
              <w:t>2. Expressio unius est exclusio alterius (the express mention of one thing is the exclusion of another)</w:t>
              <w:br/>
            </w:r>
            <w:r>
              <w:rPr>
                <w:rFonts w:ascii="Calibri" w:hAnsi="Calibri"/>
                <w:b/>
                <w:color w:val="212529"/>
                <w:sz w:val="19"/>
              </w:rPr>
              <w:t xml:space="preserve">   • Literal English Translation: </w:t>
            </w:r>
            <w:r>
              <w:rPr>
                <w:rFonts w:ascii="Calibri" w:hAnsi="Calibri"/>
                <w:i/>
                <w:color w:val="212529"/>
                <w:sz w:val="19"/>
              </w:rPr>
              <w:t>The express mention of one thing implies the exclusion of others.</w:t>
              <w:br/>
            </w:r>
            <w:r>
              <w:rPr>
                <w:rFonts w:ascii="Calibri" w:hAnsi="Calibri"/>
                <w:b/>
                <w:color w:val="212529"/>
                <w:sz w:val="19"/>
              </w:rPr>
              <w:t xml:space="preserve">   • Plain Legal Meaning &amp; StatCon Application: </w:t>
            </w:r>
            <w:r>
              <w:rPr>
                <w:rFonts w:ascii="Calibri" w:hAnsi="Calibri"/>
                <w:color w:val="212529"/>
                <w:sz w:val="19"/>
              </w:rPr>
              <w:t>The explicit statutory enumeration of taxable insurance policies excludes unmentioned HMO service agreements.</w:t>
            </w:r>
          </w:p>
          <w:p>
            <w:pPr>
              <w:spacing w:before="40" w:after="60" w:line="276" w:lineRule="auto"/>
            </w:pPr>
            <w:r>
              <w:rPr>
                <w:rFonts w:ascii="Calibri" w:hAnsi="Calibri"/>
                <w:b/>
                <w:color w:val="8C3200"/>
                <w:sz w:val="20"/>
              </w:rPr>
              <w:t>3. Ubi lex non distinguit, nec nos distinguere debemus (where the law does not distinguish, we should not distinguish)</w:t>
              <w:br/>
            </w:r>
            <w:r>
              <w:rPr>
                <w:rFonts w:ascii="Calibri" w:hAnsi="Calibri"/>
                <w:b/>
                <w:color w:val="212529"/>
                <w:sz w:val="19"/>
              </w:rPr>
              <w:t xml:space="preserve">   • Literal English Translation: </w:t>
            </w:r>
            <w:r>
              <w:rPr>
                <w:rFonts w:ascii="Calibri" w:hAnsi="Calibri"/>
                <w:i/>
                <w:color w:val="212529"/>
                <w:sz w:val="19"/>
              </w:rPr>
              <w:t>Where the law makes no distinctions, courts must make none.</w:t>
              <w:br/>
            </w:r>
            <w:r>
              <w:rPr>
                <w:rFonts w:ascii="Calibri" w:hAnsi="Calibri"/>
                <w:b/>
                <w:color w:val="212529"/>
                <w:sz w:val="19"/>
              </w:rPr>
              <w:t xml:space="preserve">   • Plain Legal Meaning &amp; StatCon Application: </w:t>
            </w:r>
            <w:r>
              <w:rPr>
                <w:rFonts w:ascii="Calibri" w:hAnsi="Calibri"/>
                <w:color w:val="212529"/>
                <w:sz w:val="19"/>
              </w:rPr>
              <w:t>Judicial interpretation cannot insert distinctions or categories not found in the tax code.</w:t>
            </w:r>
          </w:p>
        </w:tc>
      </w:tr>
    </w:tbl>
    <w:tbl>
      <w:tblPr>
        <w:tblW w:type="auto" w:w="0"/>
        <w:jc w:val="center"/>
        <w:tblLook w:firstColumn="1" w:firstRow="1" w:lastColumn="0" w:lastRow="0" w:noHBand="0" w:noVBand="1" w:val="04A0"/>
      </w:tblPr>
      <w:tblGrid>
        <w:gridCol w:w="4824"/>
        <w:gridCol w:w="4824"/>
      </w:tblGrid>
      <w:tr>
        <w:tc>
          <w:tcPr>
            <w:tcW w:type="dxa" w:w="4824"/>
            <w:shd w:fill="EAEFF5"/>
            <w:tcMar>
              <w:top w:w="80" w:type="dxa"/>
              <w:bottom w:w="80" w:type="dxa"/>
              <w:left w:w="120" w:type="dxa"/>
              <w:right w:w="120" w:type="dxa"/>
            </w:tcMar>
          </w:tcPr>
          <w:p>
            <w:pPr>
              <w:spacing w:before="40" w:after="40"/>
            </w:pPr>
            <w:r>
              <w:rPr>
                <w:rFonts w:ascii="Arial" w:hAnsi="Arial"/>
                <w:b/>
                <w:color w:val="0F2043"/>
                <w:sz w:val="18"/>
              </w:rPr>
              <w:t>Syllabus Topic Alignment</w:t>
              <w:br/>
              <w:t>(StatCon_Syllabus_JPR.pdf)</w:t>
            </w:r>
          </w:p>
        </w:tc>
        <w:tc>
          <w:tcPr>
            <w:tcW w:type="dxa" w:w="4824"/>
            <w:shd w:fill="FAFAFA"/>
            <w:tcMar>
              <w:top w:w="80" w:type="dxa"/>
              <w:bottom w:w="80" w:type="dxa"/>
              <w:left w:w="120" w:type="dxa"/>
              <w:right w:w="120" w:type="dxa"/>
            </w:tcMar>
          </w:tcPr>
          <w:p>
            <w:pPr>
              <w:spacing w:before="40" w:after="40" w:line="276" w:lineRule="auto"/>
            </w:pPr>
            <w:r>
              <w:rPr>
                <w:rFonts w:ascii="Calibri" w:hAnsi="Calibri"/>
                <w:color w:val="212529"/>
                <w:sz w:val="19"/>
              </w:rPr>
              <w:t>• Chapter III: Basic Guidelines in the Construction and Interpretation of Laws</w:t>
              <w:br/>
              <w:t xml:space="preserve">  - A. General Guidelines: Strict Construction of Tax Statutes vs. Legislative Intent</w:t>
            </w:r>
          </w:p>
        </w:tc>
      </w:tr>
      <w:tr>
        <w:tc>
          <w:tcPr>
            <w:tcW w:type="dxa" w:w="4824"/>
            <w:shd w:fill="EAEFF5"/>
            <w:tcMar>
              <w:top w:w="80" w:type="dxa"/>
              <w:bottom w:w="80" w:type="dxa"/>
              <w:left w:w="120" w:type="dxa"/>
              <w:right w:w="120" w:type="dxa"/>
            </w:tcMar>
          </w:tcPr>
          <w:p>
            <w:pPr>
              <w:spacing w:before="40" w:after="40"/>
            </w:pPr>
            <w:r>
              <w:rPr>
                <w:rFonts w:ascii="Arial" w:hAnsi="Arial"/>
                <w:b/>
                <w:color w:val="0F2043"/>
                <w:sz w:val="18"/>
              </w:rPr>
              <w:t>Governing Latin Maxims &amp; English</w:t>
            </w:r>
          </w:p>
        </w:tc>
        <w:tc>
          <w:tcPr>
            <w:tcW w:type="dxa" w:w="4824"/>
            <w:shd w:fill="FAFAFA"/>
            <w:tcMar>
              <w:top w:w="80" w:type="dxa"/>
              <w:bottom w:w="80" w:type="dxa"/>
              <w:left w:w="120" w:type="dxa"/>
              <w:right w:w="120" w:type="dxa"/>
            </w:tcMar>
          </w:tcPr>
          <w:p>
            <w:pPr>
              <w:spacing w:before="40" w:after="40" w:line="276" w:lineRule="auto"/>
            </w:pPr>
            <w:r>
              <w:rPr>
                <w:rFonts w:ascii="Calibri" w:hAnsi="Calibri"/>
                <w:color w:val="212529"/>
                <w:sz w:val="19"/>
              </w:rPr>
              <w:t>Primary:</w:t>
              <w:br/>
              <w:t>Strictissimi juris</w:t>
              <w:br/>
              <w:t>(of the strictest interpretation / tax burdens must be expressly authorized by the clear letter of the statute)</w:t>
              <w:br/>
              <w:br/>
              <w:t>Secondary:</w:t>
              <w:br/>
              <w:t>• Expressio unius est exclusio alterius (the express mention of one thing excludes another)</w:t>
              <w:br/>
              <w:t>• Ubi lex non distinguit (where the law does not distinguish)</w:t>
            </w:r>
          </w:p>
        </w:tc>
      </w:tr>
      <w:tr>
        <w:tc>
          <w:tcPr>
            <w:tcW w:type="dxa" w:w="4824"/>
            <w:shd w:fill="EAEFF5"/>
            <w:tcMar>
              <w:top w:w="80" w:type="dxa"/>
              <w:bottom w:w="80" w:type="dxa"/>
              <w:left w:w="120" w:type="dxa"/>
              <w:right w:w="120" w:type="dxa"/>
            </w:tcMar>
          </w:tcPr>
          <w:p>
            <w:pPr>
              <w:spacing w:before="40" w:after="40"/>
            </w:pPr>
            <w:r>
              <w:rPr>
                <w:rFonts w:ascii="Arial" w:hAnsi="Arial"/>
                <w:b/>
                <w:color w:val="0F2043"/>
                <w:sz w:val="18"/>
              </w:rPr>
              <w:t>Case Violation in StatCon</w:t>
            </w:r>
          </w:p>
        </w:tc>
        <w:tc>
          <w:tcPr>
            <w:tcW w:type="dxa" w:w="4824"/>
            <w:shd w:fill="FAFAFA"/>
            <w:tcMar>
              <w:top w:w="80" w:type="dxa"/>
              <w:bottom w:w="80" w:type="dxa"/>
              <w:left w:w="120" w:type="dxa"/>
              <w:right w:w="120" w:type="dxa"/>
            </w:tcMar>
          </w:tcPr>
          <w:p>
            <w:pPr>
              <w:spacing w:before="40" w:after="40" w:line="276" w:lineRule="auto"/>
            </w:pPr>
            <w:r>
              <w:rPr>
                <w:rFonts w:ascii="Calibri" w:hAnsi="Calibri"/>
                <w:color w:val="212529"/>
                <w:sz w:val="19"/>
              </w:rPr>
              <w:t>The BIR violated the rule of strict construction of tax statutes by stretching the definition of insurance policies to cover HMO service agreements.</w:t>
            </w:r>
          </w:p>
        </w:tc>
      </w:tr>
      <w:tr>
        <w:tc>
          <w:tcPr>
            <w:tcW w:type="dxa" w:w="4824"/>
            <w:shd w:fill="EAEFF5"/>
            <w:tcMar>
              <w:top w:w="80" w:type="dxa"/>
              <w:bottom w:w="80" w:type="dxa"/>
              <w:left w:w="120" w:type="dxa"/>
              <w:right w:w="120" w:type="dxa"/>
            </w:tcMar>
          </w:tcPr>
          <w:p>
            <w:pPr>
              <w:spacing w:before="40" w:after="40"/>
            </w:pPr>
            <w:r>
              <w:rPr>
                <w:rFonts w:ascii="Arial" w:hAnsi="Arial"/>
                <w:b/>
                <w:color w:val="0F2043"/>
                <w:sz w:val="18"/>
              </w:rPr>
              <w:t>Doctrinal Execution / Principle</w:t>
            </w:r>
          </w:p>
        </w:tc>
        <w:tc>
          <w:tcPr>
            <w:tcW w:type="dxa" w:w="4824"/>
            <w:shd w:fill="FAFAFA"/>
            <w:tcMar>
              <w:top w:w="80" w:type="dxa"/>
              <w:bottom w:w="80" w:type="dxa"/>
              <w:left w:w="120" w:type="dxa"/>
              <w:right w:w="120" w:type="dxa"/>
            </w:tcMar>
          </w:tcPr>
          <w:p>
            <w:pPr>
              <w:spacing w:before="40" w:after="40" w:line="276" w:lineRule="auto"/>
            </w:pPr>
            <w:r>
              <w:rPr>
                <w:rFonts w:ascii="Calibri" w:hAnsi="Calibri"/>
                <w:color w:val="212529"/>
                <w:sz w:val="19"/>
              </w:rPr>
              <w:t>Strict Construction of Revenue Laws: In dubio pro tributario (in doubt, rule in favor of the taxpayer); tax burdens cannot be extended beyond the express terms of the statute.</w:t>
            </w:r>
          </w:p>
        </w:tc>
      </w:tr>
    </w:tbl>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RELATION TO STATUTORY CONSTRUCTION</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Taxes cannot be imposed by guesswork or stretching definitions; if the statute does not explicitly name it, it cannot be taxed.</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"Sir/Ma'am, Philippine Healthcare Providers establishes that tax statutes are strictly construed against the State—administrative agencies cannot expand tax liability by implication."</w:t>
            </w:r>
          </w:p>
        </w:tc>
      </w:tr>
    </w:tbl>
    <w:p>
      <w:pPr>
        <w:spacing w:before="160" w:after="80"/>
      </w:pPr>
    </w:p>
    <w:tbl>
      <w:tblPr>
        <w:tblW w:type="auto" w:w="0"/>
        <w:jc w:val="center"/>
        <w:tblLook w:firstColumn="1" w:firstRow="1" w:lastColumn="0" w:lastRow="0" w:noHBand="0" w:noVBand="1" w:val="04A0"/>
      </w:tblPr>
      <w:tblGrid>
        <w:gridCol w:w="9648"/>
      </w:tblGrid>
      <w:tr>
        <w:tc>
          <w:tcPr>
            <w:tcW w:type="dxa" w:w="9648"/>
            <w:shd w:fill="1E3A5F"/>
            <w:tcMar>
              <w:top w:w="140" w:type="dxa"/>
              <w:bottom w:w="140" w:type="dxa"/>
              <w:left w:w="200" w:type="dxa"/>
              <w:right w:w="200" w:type="dxa"/>
            </w:tcMar>
          </w:tcPr>
          <w:p>
            <w:pPr>
              <w:spacing w:before="40" w:after="40"/>
              <w:jc w:val="center"/>
            </w:pPr>
            <w:r>
              <w:rPr>
                <w:rFonts w:ascii="Arial" w:hAnsi="Arial"/>
                <w:b/>
                <w:color w:val="FFD700"/>
                <w:sz w:val="22"/>
              </w:rPr>
              <w:t>⚖ STANDARDIZED CASE DIGEST: STATUTORY CONSTRUCTION FORMAT</w:t>
              <w:br/>
            </w:r>
            <w:r>
              <w:rPr>
                <w:rFonts w:ascii="Arial" w:hAnsi="Arial"/>
                <w:i/>
                <w:color w:val="DCEBFF"/>
                <w:sz w:val="18"/>
              </w:rPr>
              <w:t>(Complete 12-Section Academic &amp; Judicial Construction Analysis)</w:t>
            </w:r>
          </w:p>
        </w:tc>
      </w:tr>
    </w:tbl>
    <w:p>
      <w:pPr>
        <w:spacing w:before="80" w:after="80"/>
      </w:pPr>
    </w:p>
    <w:tbl>
      <w:tblPr>
        <w:tblW w:type="auto" w:w="0"/>
        <w:jc w:val="center"/>
        <w:tblLook w:firstColumn="1" w:firstRow="1" w:lastColumn="0" w:lastRow="0" w:noHBand="0" w:noVBand="1" w:val="04A0"/>
      </w:tblPr>
      <w:tblGrid>
        <w:gridCol w:w="4824"/>
        <w:gridCol w:w="4824"/>
      </w:tblGrid>
      <w:tr>
        <w:tc>
          <w:tcPr>
            <w:tcW w:type="dxa" w:w="4824"/>
            <w:shd w:fill="EBF0F7"/>
            <w:tcMar>
              <w:top w:w="60" w:type="dxa"/>
              <w:bottom w:w="60" w:type="dxa"/>
              <w:left w:w="120" w:type="dxa"/>
              <w:right w:w="120" w:type="dxa"/>
            </w:tcMar>
          </w:tcPr>
          <w:p>
            <w:pPr>
              <w:spacing w:before="20" w:after="20"/>
            </w:pPr>
            <w:r>
              <w:rPr>
                <w:rFonts w:ascii="Arial" w:hAnsi="Arial"/>
                <w:b/>
                <w:color w:val="0F2043"/>
                <w:sz w:val="19"/>
              </w:rPr>
              <w:t>Case Title:</w:t>
            </w:r>
          </w:p>
        </w:tc>
        <w:tc>
          <w:tcPr>
            <w:tcW w:type="dxa" w:w="4824"/>
            <w:shd w:fill="FAFCFF"/>
            <w:tcMar>
              <w:top w:w="60" w:type="dxa"/>
              <w:bottom w:w="60" w:type="dxa"/>
              <w:left w:w="120" w:type="dxa"/>
              <w:right w:w="120" w:type="dxa"/>
            </w:tcMar>
          </w:tcPr>
          <w:p>
            <w:pPr>
              <w:spacing w:before="20" w:after="20"/>
            </w:pPr>
            <w:r>
              <w:rPr>
                <w:rFonts w:ascii="Calibri" w:hAnsi="Calibri"/>
                <w:b/>
                <w:color w:val="212529"/>
                <w:sz w:val="19"/>
              </w:rPr>
              <w:t>Philippine Healthcare Providers, Inc. v. Commissioner of Internal Revenue</w:t>
            </w:r>
          </w:p>
        </w:tc>
      </w:tr>
      <w:tr>
        <w:tc>
          <w:tcPr>
            <w:tcW w:type="dxa" w:w="4824"/>
            <w:shd w:fill="EBF0F7"/>
            <w:tcMar>
              <w:top w:w="60" w:type="dxa"/>
              <w:bottom w:w="60" w:type="dxa"/>
              <w:left w:w="120" w:type="dxa"/>
              <w:right w:w="120" w:type="dxa"/>
            </w:tcMar>
          </w:tcPr>
          <w:p>
            <w:pPr>
              <w:spacing w:before="20" w:after="20"/>
            </w:pPr>
            <w:r>
              <w:rPr>
                <w:rFonts w:ascii="Arial" w:hAnsi="Arial"/>
                <w:b/>
                <w:color w:val="0F2043"/>
                <w:sz w:val="19"/>
              </w:rPr>
              <w:t>G.R. No. / Record:</w:t>
            </w:r>
          </w:p>
        </w:tc>
        <w:tc>
          <w:tcPr>
            <w:tcW w:type="dxa" w:w="4824"/>
            <w:shd w:fill="FAFCFF"/>
            <w:tcMar>
              <w:top w:w="60" w:type="dxa"/>
              <w:bottom w:w="60" w:type="dxa"/>
              <w:left w:w="120" w:type="dxa"/>
              <w:right w:w="120" w:type="dxa"/>
            </w:tcMar>
          </w:tcPr>
          <w:p>
            <w:pPr>
              <w:spacing w:before="20" w:after="20"/>
            </w:pPr>
            <w:r>
              <w:rPr>
                <w:rFonts w:ascii="Calibri" w:hAnsi="Calibri"/>
                <w:b w:val="0"/>
                <w:color w:val="212529"/>
                <w:sz w:val="19"/>
              </w:rPr>
              <w:t>G.R. No. 167330</w:t>
            </w:r>
          </w:p>
        </w:tc>
      </w:tr>
      <w:tr>
        <w:tc>
          <w:tcPr>
            <w:tcW w:type="dxa" w:w="4824"/>
            <w:shd w:fill="EBF0F7"/>
            <w:tcMar>
              <w:top w:w="60" w:type="dxa"/>
              <w:bottom w:w="60" w:type="dxa"/>
              <w:left w:w="120" w:type="dxa"/>
              <w:right w:w="120" w:type="dxa"/>
            </w:tcMar>
          </w:tcPr>
          <w:p>
            <w:pPr>
              <w:spacing w:before="20" w:after="20"/>
            </w:pPr>
            <w:r>
              <w:rPr>
                <w:rFonts w:ascii="Arial" w:hAnsi="Arial"/>
                <w:b/>
                <w:color w:val="0F2043"/>
                <w:sz w:val="19"/>
              </w:rPr>
              <w:t>Date of Promulgation:</w:t>
            </w:r>
          </w:p>
        </w:tc>
        <w:tc>
          <w:tcPr>
            <w:tcW w:type="dxa" w:w="4824"/>
            <w:shd w:fill="FAFCFF"/>
            <w:tcMar>
              <w:top w:w="60" w:type="dxa"/>
              <w:bottom w:w="60" w:type="dxa"/>
              <w:left w:w="120" w:type="dxa"/>
              <w:right w:w="120" w:type="dxa"/>
            </w:tcMar>
          </w:tcPr>
          <w:p>
            <w:pPr>
              <w:spacing w:before="20" w:after="20"/>
            </w:pPr>
            <w:r>
              <w:rPr>
                <w:rFonts w:ascii="Calibri" w:hAnsi="Calibri"/>
                <w:b w:val="0"/>
                <w:color w:val="212529"/>
                <w:sz w:val="19"/>
              </w:rPr>
              <w:t>September 18, 2009</w:t>
            </w:r>
          </w:p>
        </w:tc>
      </w:tr>
      <w:tr>
        <w:tc>
          <w:tcPr>
            <w:tcW w:type="dxa" w:w="4824"/>
            <w:shd w:fill="EBF0F7"/>
            <w:tcMar>
              <w:top w:w="60" w:type="dxa"/>
              <w:bottom w:w="60" w:type="dxa"/>
              <w:left w:w="120" w:type="dxa"/>
              <w:right w:w="120" w:type="dxa"/>
            </w:tcMar>
          </w:tcPr>
          <w:p>
            <w:pPr>
              <w:spacing w:before="20" w:after="20"/>
            </w:pPr>
            <w:r>
              <w:rPr>
                <w:rFonts w:ascii="Arial" w:hAnsi="Arial"/>
                <w:b/>
                <w:color w:val="0F2043"/>
                <w:sz w:val="19"/>
              </w:rPr>
              <w:t>Ponente / Court:</w:t>
            </w:r>
          </w:p>
        </w:tc>
        <w:tc>
          <w:tcPr>
            <w:tcW w:type="dxa" w:w="4824"/>
            <w:shd w:fill="FAFCFF"/>
            <w:tcMar>
              <w:top w:w="60" w:type="dxa"/>
              <w:bottom w:w="60" w:type="dxa"/>
              <w:left w:w="120" w:type="dxa"/>
              <w:right w:w="120" w:type="dxa"/>
            </w:tcMar>
          </w:tcPr>
          <w:p>
            <w:pPr>
              <w:spacing w:before="20" w:after="20"/>
            </w:pPr>
            <w:r>
              <w:rPr>
                <w:rFonts w:ascii="Calibri" w:hAnsi="Calibri"/>
                <w:b w:val="0"/>
                <w:color w:val="212529"/>
                <w:sz w:val="19"/>
              </w:rPr>
              <w:t>En Banc</w:t>
            </w:r>
          </w:p>
        </w:tc>
      </w:tr>
    </w:tbl>
    <w:p>
      <w:pPr>
        <w:keepNext/>
        <w:spacing w:before="240" w:after="60"/>
      </w:pPr>
      <w:r>
        <w:rPr>
          <w:rFonts w:ascii="Arial" w:hAnsi="Arial"/>
          <w:b/>
          <w:color w:val="0F2043"/>
          <w:sz w:val="21"/>
        </w:rPr>
        <w:t>I. FACTS OF THE CASE</w:t>
      </w:r>
    </w:p>
    <w:tbl>
      <w:tblPr>
        <w:tblW w:type="auto" w:w="0"/>
        <w:jc w:val="center"/>
        <w:tblLook w:firstColumn="1" w:firstRow="1" w:lastColumn="0" w:lastRow="0" w:noHBand="0" w:noVBand="1" w:val="04A0"/>
      </w:tblPr>
      <w:tblGrid>
        <w:gridCol w:w="9648"/>
      </w:tblGrid>
      <w:tr>
        <w:tc>
          <w:tcPr>
            <w:tcW w:type="dxa" w:w="9648"/>
            <w:shd w:fill="F8F9FB"/>
            <w:tcMar>
              <w:top w:w="100" w:type="dxa"/>
              <w:bottom w:w="100" w:type="dxa"/>
              <w:left w:w="160" w:type="dxa"/>
              <w:right w:w="160" w:type="dxa"/>
            </w:tcMar>
          </w:tcPr>
          <w:p>
            <w:pPr>
              <w:spacing w:before="20" w:after="40"/>
            </w:pPr>
            <w:r>
              <w:rPr>
                <w:rFonts w:ascii="Arial" w:hAnsi="Arial"/>
                <w:b/>
                <w:color w:val="0F2043"/>
                <w:sz w:val="19"/>
              </w:rPr>
              <w:t>Material Facts of Controversy</w:t>
              <w:br/>
            </w:r>
          </w:p>
          <w:p>
            <w:pPr>
              <w:spacing w:before="20" w:after="40" w:line="276" w:lineRule="auto"/>
            </w:pPr>
            <w:r>
              <w:rPr>
                <w:rFonts w:ascii="Calibri" w:hAnsi="Calibri"/>
                <w:color w:val="212529"/>
                <w:sz w:val="19"/>
              </w:rPr>
              <w:t>Philippine Healthcare Providers, Inc. (operating Maxicare) is a domestic corporation engaged in providing prepaid medical and hospitalization services to enrolled members. In 2000, the CIR issued a formal assessment notice against Maxicare demanding deficiency Documentary Stamp Taxes (DST) for the taxable years 1996 and 1997 under Section 185 of the 1997 National Internal Revenue Code (NIRC), arguing that HMO agreements are contracts of insurance (fidelity and surety bonds, and policies of insurance). Maxicare protested, arguing that an HMO is not engaged in the insurance business but in the provision of healthcare services, and that tax statutes cannot be extended by implication.</w:t>
            </w:r>
          </w:p>
        </w:tc>
      </w:tr>
    </w:tbl>
    <w:p>
      <w:pPr>
        <w:keepNext/>
        <w:spacing w:before="240" w:after="60"/>
      </w:pPr>
      <w:r>
        <w:rPr>
          <w:rFonts w:ascii="Arial" w:hAnsi="Arial"/>
          <w:b/>
          <w:color w:val="0F2043"/>
          <w:sz w:val="21"/>
        </w:rPr>
        <w:t>II. FACTS RELEVANT TO STATUTORY CONSTRUCTION</w:t>
      </w:r>
    </w:p>
    <w:tbl>
      <w:tblPr>
        <w:tblW w:type="auto" w:w="0"/>
        <w:jc w:val="center"/>
        <w:tblLook w:firstColumn="1" w:firstRow="1" w:lastColumn="0" w:lastRow="0" w:noHBand="0" w:noVBand="1" w:val="04A0"/>
      </w:tblPr>
      <w:tblGrid>
        <w:gridCol w:w="9648"/>
      </w:tblGrid>
      <w:tr>
        <w:tc>
          <w:tcPr>
            <w:tcW w:type="dxa" w:w="9648"/>
            <w:shd w:fill="F8F9FB"/>
            <w:tcMar>
              <w:top w:w="100" w:type="dxa"/>
              <w:bottom w:w="100" w:type="dxa"/>
              <w:left w:w="160" w:type="dxa"/>
              <w:right w:w="160" w:type="dxa"/>
            </w:tcMar>
          </w:tcPr>
          <w:p>
            <w:pPr>
              <w:spacing w:before="20" w:after="40"/>
            </w:pPr>
            <w:r>
              <w:rPr>
                <w:rFonts w:ascii="Arial" w:hAnsi="Arial"/>
                <w:b/>
                <w:color w:val="0F2043"/>
                <w:sz w:val="19"/>
              </w:rPr>
              <w:t>Facts Giving Rise to Need for Interpretation</w:t>
              <w:br/>
            </w:r>
          </w:p>
          <w:p>
            <w:pPr>
              <w:spacing w:before="20" w:after="40" w:line="276" w:lineRule="auto"/>
            </w:pPr>
            <w:r>
              <w:rPr>
                <w:rFonts w:ascii="Calibri" w:hAnsi="Calibri"/>
                <w:b/>
                <w:color w:val="212529"/>
                <w:sz w:val="19"/>
              </w:rPr>
              <w:t xml:space="preserve">• What provision of law or rule became relevant? </w:t>
            </w:r>
            <w:r>
              <w:rPr>
                <w:rFonts w:ascii="Calibri" w:hAnsi="Calibri"/>
                <w:color w:val="212529"/>
                <w:sz w:val="19"/>
              </w:rPr>
              <w:t>1. Section 185, National Internal Revenue Code (NIRC): Imposes DST specifically on insurance policies, fidelity and surety bonds, but contains no mention of HMO agreements.</w:t>
              <w:br/>
              <w:t>2. Strictissimi Juris (of the strictest interpretation) in Taxation: Taxes are burdens that cannot be imposed unless the legislative intent to tax is clear and unambiguous.</w:t>
            </w:r>
          </w:p>
          <w:p>
            <w:pPr>
              <w:spacing w:before="20" w:after="40" w:line="276" w:lineRule="auto"/>
            </w:pPr>
            <w:r>
              <w:rPr>
                <w:rFonts w:ascii="Calibri" w:hAnsi="Calibri"/>
                <w:b/>
                <w:color w:val="212529"/>
                <w:sz w:val="19"/>
              </w:rPr>
              <w:t xml:space="preserve">• What circumstance made interpretation necessary? </w:t>
            </w:r>
            <w:r>
              <w:rPr>
                <w:rFonts w:ascii="Calibri" w:hAnsi="Calibri"/>
                <w:color w:val="212529"/>
                <w:sz w:val="19"/>
              </w:rPr>
              <w:t>The BIR violated the rule of strict construction of tax statutes by stretching the definition of insurance policies to cover HMO service agreements.</w:t>
            </w:r>
          </w:p>
          <w:p>
            <w:pPr>
              <w:spacing w:before="20" w:after="40" w:line="276" w:lineRule="auto"/>
            </w:pPr>
            <w:r>
              <w:rPr>
                <w:rFonts w:ascii="Calibri" w:hAnsi="Calibri"/>
                <w:b/>
                <w:color w:val="212529"/>
                <w:sz w:val="19"/>
              </w:rPr>
              <w:t xml:space="preserve">• What competing interpretations were presented? </w:t>
            </w:r>
            <w:r>
              <w:rPr>
                <w:rFonts w:ascii="Calibri" w:hAnsi="Calibri"/>
                <w:color w:val="212529"/>
                <w:sz w:val="19"/>
              </w:rPr>
              <w:t>Petitioner argued for a favorable interpretation based on statutory intent, while Respondent contended for a literal or restrictive application.</w:t>
            </w:r>
          </w:p>
        </w:tc>
      </w:tr>
    </w:tbl>
    <w:p>
      <w:pPr>
        <w:keepNext/>
        <w:spacing w:before="240" w:after="60"/>
      </w:pPr>
      <w:r>
        <w:rPr>
          <w:rFonts w:ascii="Arial" w:hAnsi="Arial"/>
          <w:b/>
          <w:color w:val="0F2043"/>
          <w:sz w:val="21"/>
        </w:rPr>
        <w:t>III. ISSUES</w:t>
      </w:r>
    </w:p>
    <w:p>
      <w:pPr>
        <w:keepNext/>
        <w:spacing w:before="120" w:after="40"/>
      </w:pPr>
      <w:r>
        <w:rPr>
          <w:rFonts w:ascii="Arial" w:hAnsi="Arial"/>
          <w:b/>
          <w:color w:val="781E1E"/>
          <w:sz w:val="20"/>
        </w:rPr>
        <w:t>A. General Legal Issues</w:t>
      </w:r>
    </w:p>
    <w:p>
      <w:pPr>
        <w:spacing w:before="40" w:after="80" w:line="276" w:lineRule="auto"/>
      </w:pPr>
      <w:r>
        <w:rPr>
          <w:rFonts w:ascii="Calibri" w:hAnsi="Calibri"/>
          <w:i w:val="0"/>
          <w:color w:val="212529"/>
          <w:sz w:val="21"/>
        </w:rPr>
        <w:t>Whether or not health care agreements of Health Maintenance Organizations (HMOs) are insurance contracts subject to Documentary Stamp Tax (DST) under Section 185 of the NIRC.</w:t>
      </w:r>
    </w:p>
    <w:p>
      <w:pPr>
        <w:keepNext/>
        <w:spacing w:before="120" w:after="40"/>
      </w:pPr>
      <w:r>
        <w:rPr>
          <w:rFonts w:ascii="Arial" w:hAnsi="Arial"/>
          <w:b/>
          <w:color w:val="781E1E"/>
          <w:sz w:val="20"/>
        </w:rPr>
        <w:t>B. Statutory-Construction Issue/s</w:t>
      </w:r>
    </w:p>
    <w:tbl>
      <w:tblPr>
        <w:tblW w:type="auto" w:w="0"/>
        <w:jc w:val="center"/>
        <w:tblLook w:firstColumn="1" w:firstRow="1" w:lastColumn="0" w:lastRow="0" w:noHBand="0" w:noVBand="1" w:val="04A0"/>
      </w:tblPr>
      <w:tblGrid>
        <w:gridCol w:w="9648"/>
      </w:tblGrid>
      <w:tr>
        <w:tc>
          <w:tcPr>
            <w:tcW w:type="dxa" w:w="9648"/>
            <w:shd w:fill="EBF3FA"/>
            <w:tcMar>
              <w:top w:w="100" w:type="dxa"/>
              <w:bottom w:w="100" w:type="dxa"/>
              <w:left w:w="160" w:type="dxa"/>
              <w:right w:w="160" w:type="dxa"/>
            </w:tcMar>
          </w:tcPr>
          <w:p>
            <w:pPr>
              <w:spacing w:before="20" w:after="40"/>
            </w:pPr>
            <w:r>
              <w:rPr>
                <w:rFonts w:ascii="Arial" w:hAnsi="Arial"/>
                <w:b/>
                <w:color w:val="0F2043"/>
                <w:sz w:val="19"/>
              </w:rPr>
              <w:t>Standardized StatCon Issue Statement</w:t>
              <w:br/>
            </w:r>
          </w:p>
          <w:p>
            <w:pPr>
              <w:spacing w:before="20" w:after="40" w:line="276" w:lineRule="auto"/>
            </w:pPr>
            <w:r>
              <w:rPr>
                <w:rFonts w:ascii="Calibri" w:hAnsi="Calibri"/>
                <w:color w:val="212529"/>
                <w:sz w:val="19"/>
              </w:rPr>
              <w:t>Whether the subject statutory act, classification, or terminology under the governing statute/rule means, includes, or applies to the factual controversy in Philippine Healthcare Providers, Inc. v. Commissioner of Internal Revenue, under the canon of Strictissimi juris.</w:t>
            </w:r>
          </w:p>
        </w:tc>
      </w:tr>
    </w:tbl>
    <w:p>
      <w:pPr>
        <w:keepNext/>
        <w:spacing w:before="240" w:after="60"/>
      </w:pPr>
      <w:r>
        <w:rPr>
          <w:rFonts w:ascii="Arial" w:hAnsi="Arial"/>
          <w:b/>
          <w:color w:val="0F2043"/>
          <w:sz w:val="21"/>
        </w:rPr>
        <w:t>IV. PROVISION/S OF LAW CONSTRUED</w:t>
      </w:r>
    </w:p>
    <w:tbl>
      <w:tblPr>
        <w:tblW w:type="auto" w:w="0"/>
        <w:jc w:val="center"/>
        <w:tblLook w:firstColumn="1" w:firstRow="1" w:lastColumn="0" w:lastRow="0" w:noHBand="0" w:noVBand="1" w:val="04A0"/>
      </w:tblPr>
      <w:tblGrid>
        <w:gridCol w:w="9648"/>
      </w:tblGrid>
      <w:tr>
        <w:tc>
          <w:tcPr>
            <w:tcW w:type="dxa" w:w="9648"/>
            <w:shd w:fill="F8F9FB"/>
            <w:tcMar>
              <w:top w:w="100" w:type="dxa"/>
              <w:bottom w:w="100" w:type="dxa"/>
              <w:left w:w="160" w:type="dxa"/>
              <w:right w:w="160" w:type="dxa"/>
            </w:tcMar>
          </w:tcPr>
          <w:p>
            <w:pPr>
              <w:spacing w:before="20" w:after="40"/>
            </w:pPr>
            <w:r>
              <w:rPr>
                <w:rFonts w:ascii="Arial" w:hAnsi="Arial"/>
                <w:b/>
                <w:color w:val="0F2043"/>
                <w:sz w:val="19"/>
              </w:rPr>
              <w:t>Statutory / Constitutional Text &amp; Problem</w:t>
              <w:br/>
            </w:r>
          </w:p>
          <w:p>
            <w:pPr>
              <w:spacing w:before="20" w:after="40" w:line="276" w:lineRule="auto"/>
            </w:pPr>
            <w:r>
              <w:rPr>
                <w:rFonts w:ascii="Calibri" w:hAnsi="Calibri"/>
                <w:b/>
                <w:color w:val="212529"/>
                <w:sz w:val="19"/>
              </w:rPr>
              <w:t xml:space="preserve">• Quoted Provision: </w:t>
            </w:r>
            <w:r>
              <w:rPr>
                <w:rFonts w:ascii="Calibri" w:hAnsi="Calibri"/>
                <w:color w:val="212529"/>
                <w:sz w:val="19"/>
              </w:rPr>
              <w:t>1. Section 185, National Internal Revenue Code (NIRC): Imposes DST specifically on insurance policies, fidelity and surety bonds, but contains no mention of HMO agreements.</w:t>
              <w:br/>
              <w:t>2. Strictissimi Juris (of the strictest interpretation) in Taxation: Taxes are burdens that cannot be imposed unless the legislative intent to tax is clear and unambiguous.</w:t>
            </w:r>
          </w:p>
          <w:p>
            <w:pPr>
              <w:spacing w:before="20" w:after="40" w:line="276" w:lineRule="auto"/>
            </w:pPr>
            <w:r>
              <w:rPr>
                <w:rFonts w:ascii="Calibri" w:hAnsi="Calibri"/>
                <w:b/>
                <w:color w:val="212529"/>
                <w:sz w:val="19"/>
              </w:rPr>
              <w:t xml:space="preserve">• Interpretive Problem: </w:t>
            </w:r>
            <w:r>
              <w:rPr>
                <w:rFonts w:ascii="Calibri" w:hAnsi="Calibri"/>
                <w:color w:val="212529"/>
                <w:sz w:val="19"/>
              </w:rPr>
              <w:t>Determining the precise legislative intent and boundary of the statutory terms in light of: The BIR violated the rule of strict construction of tax statutes by stretching the definition of insurance policies to c...</w:t>
            </w:r>
          </w:p>
        </w:tc>
      </w:tr>
    </w:tbl>
    <w:p>
      <w:pPr>
        <w:keepNext/>
        <w:spacing w:before="240" w:after="60"/>
      </w:pPr>
      <w:r>
        <w:rPr>
          <w:rFonts w:ascii="Arial" w:hAnsi="Arial"/>
          <w:b/>
          <w:color w:val="0F2043"/>
          <w:sz w:val="21"/>
        </w:rPr>
        <w:t>V. RULING OF THE SUPREME COURT</w:t>
      </w:r>
    </w:p>
    <w:p>
      <w:pPr>
        <w:keepNext/>
        <w:spacing w:before="120" w:after="40"/>
      </w:pPr>
      <w:r>
        <w:rPr>
          <w:rFonts w:ascii="Arial" w:hAnsi="Arial"/>
          <w:b/>
          <w:color w:val="781E1E"/>
          <w:sz w:val="20"/>
        </w:rPr>
        <w:t>A. General Ruling</w:t>
      </w:r>
    </w:p>
    <w:p>
      <w:pPr>
        <w:spacing w:before="40" w:after="80" w:line="276" w:lineRule="auto"/>
      </w:pPr>
      <w:r>
        <w:rPr>
          <w:rFonts w:ascii="Calibri" w:hAnsi="Calibri"/>
          <w:i w:val="0"/>
          <w:color w:val="212529"/>
          <w:sz w:val="21"/>
        </w:rPr>
        <w:t>The Supreme Court REVERSED the Court of Appeals decision, CANCELLED the DST deficiency assessments against Philippine Healthcare Providers, Inc., and declared HMO health care agreements exempt from DST under Section 185 NIRC.</w:t>
      </w:r>
    </w:p>
    <w:p>
      <w:pPr>
        <w:keepNext/>
        <w:spacing w:before="120" w:after="40"/>
      </w:pPr>
      <w:r>
        <w:rPr>
          <w:rFonts w:ascii="Arial" w:hAnsi="Arial"/>
          <w:b/>
          <w:color w:val="781E1E"/>
          <w:sz w:val="20"/>
        </w:rPr>
        <w:t>B. Ruling on the Statutory-Construction Issue</w:t>
      </w:r>
    </w:p>
    <w:tbl>
      <w:tblPr>
        <w:tblW w:type="auto" w:w="0"/>
        <w:jc w:val="center"/>
        <w:tblLook w:firstColumn="1" w:firstRow="1" w:lastColumn="0" w:lastRow="0" w:noHBand="0" w:noVBand="1" w:val="04A0"/>
      </w:tblPr>
      <w:tblGrid>
        <w:gridCol w:w="9648"/>
      </w:tblGrid>
      <w:tr>
        <w:tc>
          <w:tcPr>
            <w:tcW w:type="dxa" w:w="9648"/>
            <w:shd w:fill="F4FAF5"/>
            <w:tcMar>
              <w:top w:w="100" w:type="dxa"/>
              <w:bottom w:w="100" w:type="dxa"/>
              <w:left w:w="160" w:type="dxa"/>
              <w:right w:w="160" w:type="dxa"/>
            </w:tcMar>
          </w:tcPr>
          <w:p>
            <w:pPr>
              <w:spacing w:before="20" w:after="40"/>
            </w:pPr>
            <w:r>
              <w:rPr>
                <w:rFonts w:ascii="Arial" w:hAnsi="Arial"/>
                <w:b/>
                <w:color w:val="0F2043"/>
                <w:sz w:val="19"/>
              </w:rPr>
              <w:t>Statutory Meaning Established by Court</w:t>
              <w:br/>
            </w:r>
          </w:p>
          <w:p>
            <w:pPr>
              <w:spacing w:before="20" w:after="40" w:line="276" w:lineRule="auto"/>
            </w:pPr>
            <w:r>
              <w:rPr>
                <w:rFonts w:ascii="Calibri" w:hAnsi="Calibri"/>
                <w:color w:val="212529"/>
                <w:sz w:val="19"/>
              </w:rPr>
              <w:t>NO. Health care agreements of HMOs are NOT contracts of insurance within the contemplation of Section 185 of the NIRC and are NOT subject to DST. Tax statutes are strictly construed against the government and liberally in favor of the taxpayer.</w:t>
            </w:r>
          </w:p>
        </w:tc>
      </w:tr>
    </w:tbl>
    <w:p>
      <w:pPr>
        <w:keepNext/>
        <w:spacing w:before="240" w:after="60"/>
      </w:pPr>
      <w:r>
        <w:rPr>
          <w:rFonts w:ascii="Arial" w:hAnsi="Arial"/>
          <w:b/>
          <w:color w:val="0F2043"/>
          <w:sz w:val="21"/>
        </w:rPr>
        <w:t>VI. HOW THE COURT CONSTRUED THE LAW</w:t>
      </w:r>
    </w:p>
    <w:tbl>
      <w:tblPr>
        <w:tblW w:type="auto" w:w="0"/>
        <w:jc w:val="center"/>
        <w:tblLook w:firstColumn="1" w:firstRow="1" w:lastColumn="0" w:lastRow="0" w:noHBand="0" w:noVBand="1" w:val="04A0"/>
      </w:tblPr>
      <w:tblGrid>
        <w:gridCol w:w="9648"/>
      </w:tblGrid>
      <w:tr>
        <w:tc>
          <w:tcPr>
            <w:tcW w:type="dxa" w:w="9648"/>
            <w:shd w:fill="F8F9FB"/>
            <w:tcMar>
              <w:top w:w="100" w:type="dxa"/>
              <w:bottom w:w="100" w:type="dxa"/>
              <w:left w:w="160" w:type="dxa"/>
              <w:right w:w="160" w:type="dxa"/>
            </w:tcMar>
          </w:tcPr>
          <w:p>
            <w:pPr>
              <w:spacing w:before="20" w:after="40"/>
            </w:pPr>
            <w:r>
              <w:rPr>
                <w:rFonts w:ascii="Arial" w:hAnsi="Arial"/>
                <w:b/>
                <w:color w:val="0F2043"/>
                <w:sz w:val="19"/>
              </w:rPr>
              <w:t>Methodological &amp; Doctrinal Analysis</w:t>
              <w:br/>
            </w:r>
          </w:p>
          <w:p>
            <w:pPr>
              <w:spacing w:before="20" w:after="40" w:line="276" w:lineRule="auto"/>
            </w:pPr>
            <w:r>
              <w:rPr>
                <w:rFonts w:ascii="Calibri" w:hAnsi="Calibri"/>
                <w:b/>
                <w:color w:val="212529"/>
                <w:sz w:val="19"/>
              </w:rPr>
              <w:t xml:space="preserve">A. Why Was Construction Necessary? </w:t>
            </w:r>
            <w:r>
              <w:rPr>
                <w:rFonts w:ascii="Calibri" w:hAnsi="Calibri"/>
                <w:color w:val="212529"/>
                <w:sz w:val="19"/>
              </w:rPr>
              <w:t>Ambiguity in the application and scope of the statute: The BIR violated the rule of strict construction of tax statutes by stretching the definition of insurance policies to cover HMO service agr.</w:t>
            </w:r>
          </w:p>
          <w:p>
            <w:pPr>
              <w:spacing w:before="20" w:after="40" w:line="276" w:lineRule="auto"/>
            </w:pPr>
            <w:r>
              <w:rPr>
                <w:rFonts w:ascii="Calibri" w:hAnsi="Calibri"/>
                <w:b/>
                <w:color w:val="212529"/>
                <w:sz w:val="19"/>
              </w:rPr>
              <w:t xml:space="preserve">B. Purpose of Construction: </w:t>
            </w:r>
            <w:r>
              <w:rPr>
                <w:rFonts w:ascii="Calibri" w:hAnsi="Calibri"/>
                <w:color w:val="212529"/>
                <w:sz w:val="19"/>
              </w:rPr>
              <w:t>To ascertain and give full effect to the true intent, spirit, and purpose of the lawmaking body.</w:t>
            </w:r>
          </w:p>
          <w:p>
            <w:pPr>
              <w:spacing w:before="20" w:after="40" w:line="276" w:lineRule="auto"/>
            </w:pPr>
            <w:r>
              <w:rPr>
                <w:rFonts w:ascii="Calibri" w:hAnsi="Calibri"/>
                <w:b/>
                <w:color w:val="212529"/>
                <w:sz w:val="19"/>
              </w:rPr>
              <w:t xml:space="preserve">C. Method, Canon, or Rule Applied: </w:t>
            </w:r>
            <w:r>
              <w:rPr>
                <w:rFonts w:ascii="Calibri" w:hAnsi="Calibri"/>
                <w:color w:val="212529"/>
                <w:sz w:val="19"/>
              </w:rPr>
              <w:t>Strictissimi juris</w:t>
              <w:br/>
              <w:t xml:space="preserve">   - Application: Strict Construction of Revenue Laws: In dubio pro tributario (in doubt, rule in favor of the taxpayer); tax burdens cannot be extended beyond the express terms of the statute.</w:t>
              <w:br/>
              <w:t xml:space="preserve">   - Result: No. HMO agreements are for medical services, not insurance indemnity. Because tax laws must be strictly interpreted against the BIR, the government cannot invent a tax that Congress did not write.</w:t>
            </w:r>
          </w:p>
          <w:p>
            <w:pPr>
              <w:spacing w:before="20" w:after="40" w:line="276" w:lineRule="auto"/>
            </w:pPr>
            <w:r>
              <w:rPr>
                <w:rFonts w:ascii="Calibri" w:hAnsi="Calibri"/>
                <w:b/>
                <w:color w:val="212529"/>
                <w:sz w:val="19"/>
              </w:rPr>
              <w:t xml:space="preserve">D. Other Sources Used: </w:t>
            </w:r>
            <w:r>
              <w:rPr>
                <w:rFonts w:ascii="Calibri" w:hAnsi="Calibri"/>
                <w:color w:val="212529"/>
                <w:sz w:val="19"/>
              </w:rPr>
              <w:t>Ordinary meaning of words, statute considered as a whole, legislative history, and established Supreme Court jurisprudence.</w:t>
            </w:r>
          </w:p>
        </w:tc>
      </w:tr>
    </w:tbl>
    <w:p>
      <w:pPr>
        <w:keepNext/>
        <w:spacing w:before="240" w:after="60"/>
      </w:pPr>
      <w:r>
        <w:rPr>
          <w:rFonts w:ascii="Arial" w:hAnsi="Arial"/>
          <w:b/>
          <w:color w:val="0F2043"/>
          <w:sz w:val="21"/>
        </w:rPr>
        <w:t>VII. RELEVANT STATUTORY-CONSTRUCTION CONCEPTS (A–L EVALUATION)</w:t>
      </w:r>
    </w:p>
    <w:tbl>
      <w:tblPr>
        <w:tblW w:type="auto" w:w="0"/>
        <w:jc w:val="center"/>
        <w:tblLook w:firstColumn="1" w:firstRow="1" w:lastColumn="0" w:lastRow="0" w:noHBand="0" w:noVBand="1" w:val="04A0"/>
      </w:tblPr>
      <w:tblGrid>
        <w:gridCol w:w="4824"/>
        <w:gridCol w:w="4824"/>
      </w:tblGrid>
      <w:tr>
        <w:tc>
          <w:tcPr>
            <w:tcW w:type="dxa" w:w="4824"/>
            <w:shd w:fill="EBF0F8"/>
            <w:tcMar>
              <w:top w:w="70" w:type="dxa"/>
              <w:bottom w:w="70" w:type="dxa"/>
              <w:left w:w="100" w:type="dxa"/>
              <w:right w:w="100" w:type="dxa"/>
            </w:tcMar>
          </w:tcPr>
          <w:p>
            <w:pPr>
              <w:spacing w:before="20" w:after="20"/>
            </w:pPr>
            <w:r>
              <w:rPr>
                <w:rFonts w:ascii="Arial" w:hAnsi="Arial"/>
                <w:b/>
                <w:color w:val="0F2043"/>
                <w:sz w:val="18"/>
              </w:rPr>
              <w:t>A. Situs of Statutory Construction</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Supreme Court of the Philippines, exercising its constitutional judicial power under Article VIII of the Constitution, serves as the ultimate situs and final arbiter for interpreting and construing the disputed provision.</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B. Purpose of Statutory Construction</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purpose of construction is to discover and effectuate the true legislative intent and will of the lawmaking body, preventing injustice and ensuring the statute operates harmoniously.</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C. When to Construe</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Construction became imperative because the text contained an ambiguity, competing interpretations, or conflicting statutory provisions that required judicial determination of legislative intent.</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D. Ambiguity or Vagueness</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controversy centered on the ambiguity, silence, or conflicting scope of the statutory language, which the Court resolved by examining legislative intent and governing maxims.</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E. Verba Legis Non Est Recedendum</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781E1E"/>
                <w:sz w:val="17"/>
              </w:rPr>
              <w:t xml:space="preserve"> [NOT APPLICABLE] </w:t>
            </w:r>
            <w:r>
              <w:rPr>
                <w:rFonts w:ascii="Calibri" w:hAnsi="Calibri"/>
                <w:color w:val="212529"/>
                <w:sz w:val="18"/>
              </w:rPr>
              <w:t>Not Applicable. The Court looked beyond literal words to discover the underlying legislative spirit, context, and intent.</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F. Absoluta Sententia Expositore Non Indigent</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781E1E"/>
                <w:sz w:val="17"/>
              </w:rPr>
              <w:t xml:space="preserve"> [NOT APPLICABLE] </w:t>
            </w:r>
            <w:r>
              <w:rPr>
                <w:rFonts w:ascii="Calibri" w:hAnsi="Calibri"/>
                <w:color w:val="212529"/>
                <w:sz w:val="18"/>
              </w:rPr>
              <w:t>Not Applicable. The statutory language required expository interpretation due to textual gaps, broad phrasing, or conflicting provisions.</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G. Legislative Intent</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Court analyzed the true intent and policy of the lawmaking authority, ensuring that the statutory purpose is preserved and not defeated by erroneous administrative or private interpretations.</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H. Strict or Liberal Construction</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Court applied the recognized standard of construction tailored to the nature of the statute (e.g., penal and tax statutes are strictly construed against the State, whereas social legislation and remedial rules are liberally construed).</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I. Prospective or Retrospective Construction</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781E1E"/>
                <w:sz w:val="17"/>
              </w:rPr>
              <w:t xml:space="preserve"> [NOT APPLICABLE] </w:t>
            </w:r>
            <w:r>
              <w:rPr>
                <w:rFonts w:ascii="Calibri" w:hAnsi="Calibri"/>
                <w:color w:val="212529"/>
                <w:sz w:val="18"/>
              </w:rPr>
              <w:t>Not Applicable. The case involved only the contemporaneous, prospective application of the governing law.</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J. Statutory Construction vs. Judicial Legislation</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Court underscored the constitutional boundary of judicial power: Courts are empowered solely to interpret (jus dicere), not to enact or amend laws (jus dare). Supplying unwritten terms or expanding clear prohibitions constitutes prohibited judicial legislation.</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K. Legis Interpretatio Legis Vim Obtinet</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Under Article 8 of the Civil Code, the Supreme Court's authoritative interpretation of the statute forms part of the legal system of the Philippines and acquires the force of law (*legis interpretatio legis vim obtinet*).</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L. Extent and Limits of the Power to Construe</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Court respected the constitutional limits of its authority by applying the law as written and refusing to invade the legislative domain under the guise of equity or expediency.</w:t>
            </w:r>
          </w:p>
        </w:tc>
      </w:tr>
    </w:tbl>
    <w:p>
      <w:pPr>
        <w:keepNext/>
        <w:spacing w:before="240" w:after="60"/>
      </w:pPr>
      <w:r>
        <w:rPr>
          <w:rFonts w:ascii="Arial" w:hAnsi="Arial"/>
          <w:b/>
          <w:color w:val="0F2043"/>
          <w:sz w:val="21"/>
        </w:rPr>
        <w:t>VIII. OTHER CANONS OR METHODS OF CONSTRUCTION</w:t>
      </w:r>
    </w:p>
    <w:tbl>
      <w:tblPr>
        <w:tblW w:type="auto" w:w="0"/>
        <w:jc w:val="center"/>
        <w:tblLook w:firstColumn="1" w:firstRow="1" w:lastColumn="0" w:lastRow="0" w:noHBand="0" w:noVBand="1" w:val="04A0"/>
      </w:tblPr>
      <w:tblGrid>
        <w:gridCol w:w="9648"/>
      </w:tblGrid>
      <w:tr>
        <w:tc>
          <w:tcPr>
            <w:tcW w:type="dxa" w:w="9648"/>
            <w:shd w:fill="F8F9FB"/>
            <w:tcMar>
              <w:top w:w="100" w:type="dxa"/>
              <w:bottom w:w="100" w:type="dxa"/>
              <w:left w:w="160" w:type="dxa"/>
              <w:right w:w="160" w:type="dxa"/>
            </w:tcMar>
          </w:tcPr>
          <w:p>
            <w:pPr>
              <w:spacing w:before="20" w:after="40"/>
            </w:pPr>
            <w:r>
              <w:rPr>
                <w:rFonts w:ascii="Arial" w:hAnsi="Arial"/>
                <w:b/>
                <w:color w:val="0F2043"/>
                <w:sz w:val="19"/>
              </w:rPr>
              <w:t>Secondary Rules &amp; Canons Applied</w:t>
              <w:br/>
            </w:r>
          </w:p>
          <w:p>
            <w:pPr>
              <w:spacing w:before="20" w:after="40" w:line="276" w:lineRule="auto"/>
            </w:pPr>
            <w:r>
              <w:rPr>
                <w:rFonts w:ascii="Calibri" w:hAnsi="Calibri"/>
                <w:b/>
                <w:color w:val="212529"/>
                <w:sz w:val="19"/>
              </w:rPr>
              <w:t xml:space="preserve">• Canon / Maxim: </w:t>
            </w:r>
            <w:r>
              <w:rPr>
                <w:rFonts w:ascii="Calibri" w:hAnsi="Calibri"/>
                <w:color w:val="212529"/>
                <w:sz w:val="19"/>
              </w:rPr>
              <w:t>• Expressio unius est exclusio alterius (the express mention of one thing excludes another)</w:t>
              <w:br/>
              <w:t>• Ubi lex non distinguit (where the law does not distinguish)</w:t>
            </w:r>
          </w:p>
          <w:p>
            <w:pPr>
              <w:spacing w:before="20" w:after="40" w:line="276" w:lineRule="auto"/>
            </w:pPr>
            <w:r>
              <w:rPr>
                <w:rFonts w:ascii="Calibri" w:hAnsi="Calibri"/>
                <w:b/>
                <w:color w:val="212529"/>
                <w:sz w:val="19"/>
              </w:rPr>
              <w:t xml:space="preserve">• How Applied: </w:t>
            </w:r>
            <w:r>
              <w:rPr>
                <w:rFonts w:ascii="Calibri" w:hAnsi="Calibri"/>
                <w:color w:val="212529"/>
                <w:sz w:val="19"/>
              </w:rPr>
              <w:t>Applied as corroborative canons to reinforce the primary rule of construction.</w:t>
            </w:r>
          </w:p>
          <w:p>
            <w:pPr>
              <w:spacing w:before="20" w:after="40" w:line="276" w:lineRule="auto"/>
            </w:pPr>
            <w:r>
              <w:rPr>
                <w:rFonts w:ascii="Calibri" w:hAnsi="Calibri"/>
                <w:b/>
                <w:color w:val="212529"/>
                <w:sz w:val="19"/>
              </w:rPr>
              <w:t xml:space="preserve">• Effect on Interpretation: </w:t>
            </w:r>
            <w:r>
              <w:rPr>
                <w:rFonts w:ascii="Calibri" w:hAnsi="Calibri"/>
                <w:color w:val="212529"/>
                <w:sz w:val="19"/>
              </w:rPr>
              <w:t>Harmonized the statute and prevented an absurd or unjust result.</w:t>
            </w:r>
          </w:p>
        </w:tc>
      </w:tr>
    </w:tbl>
    <w:p>
      <w:pPr>
        <w:keepNext/>
        <w:spacing w:before="240" w:after="60"/>
      </w:pPr>
      <w:r>
        <w:rPr>
          <w:rFonts w:ascii="Arial" w:hAnsi="Arial"/>
          <w:b/>
          <w:color w:val="0F2043"/>
          <w:sz w:val="21"/>
        </w:rPr>
        <w:t>IX. THE CONSTRUCTION MADE BY THE COURT</w:t>
      </w:r>
    </w:p>
    <w:tbl>
      <w:tblPr>
        <w:tblW w:type="auto" w:w="0"/>
        <w:jc w:val="center"/>
        <w:tblLook w:firstColumn="1" w:firstRow="1" w:lastColumn="0" w:lastRow="0" w:noHBand="0" w:noVBand="1" w:val="04A0"/>
      </w:tblPr>
      <w:tblGrid>
        <w:gridCol w:w="9648"/>
      </w:tblGrid>
      <w:tr>
        <w:tc>
          <w:tcPr>
            <w:tcW w:type="dxa" w:w="9648"/>
            <w:shd w:fill="F9F8F5"/>
            <w:tcMar>
              <w:top w:w="100" w:type="dxa"/>
              <w:bottom w:w="100" w:type="dxa"/>
              <w:left w:w="160" w:type="dxa"/>
              <w:right w:w="160" w:type="dxa"/>
            </w:tcMar>
          </w:tcPr>
          <w:p>
            <w:pPr>
              <w:spacing w:before="20" w:after="40"/>
            </w:pPr>
            <w:r>
              <w:rPr>
                <w:rFonts w:ascii="Arial" w:hAnsi="Arial"/>
                <w:b/>
                <w:color w:val="0F2043"/>
                <w:sz w:val="19"/>
              </w:rPr>
              <w:t>Actual Judicial Construction &amp; Ratio</w:t>
              <w:br/>
            </w:r>
          </w:p>
          <w:p>
            <w:pPr>
              <w:spacing w:before="20" w:after="40" w:line="276" w:lineRule="auto"/>
            </w:pPr>
            <w:r>
              <w:rPr>
                <w:rFonts w:ascii="Calibri" w:hAnsi="Calibri"/>
                <w:b/>
                <w:color w:val="212529"/>
                <w:sz w:val="19"/>
              </w:rPr>
              <w:t xml:space="preserve">• Construction Summary: </w:t>
            </w:r>
            <w:r>
              <w:rPr>
                <w:rFonts w:ascii="Calibri" w:hAnsi="Calibri"/>
                <w:color w:val="212529"/>
                <w:sz w:val="19"/>
              </w:rPr>
              <w:t>The Court construed the disputed statutory provisions in Philippine Healthcare Providers, Inc. v. Commissioner of Internal Revenue to mean and apply strictly in accordance with Strictissimi juris, holding that No. HMO agreements are for medical services, not insurance indemnity. Because tax laws must be strictly interpreted against the BIR, the government cannot inven.</w:t>
            </w:r>
          </w:p>
          <w:p>
            <w:pPr>
              <w:spacing w:before="20" w:after="40" w:line="276" w:lineRule="auto"/>
            </w:pPr>
            <w:r>
              <w:rPr>
                <w:rFonts w:ascii="Calibri" w:hAnsi="Calibri"/>
                <w:b/>
                <w:color w:val="212529"/>
                <w:sz w:val="19"/>
              </w:rPr>
              <w:t xml:space="preserve">• Principal Reasoning: </w:t>
            </w:r>
            <w:r>
              <w:rPr>
                <w:rFonts w:ascii="Calibri" w:hAnsi="Calibri"/>
                <w:color w:val="212529"/>
                <w:sz w:val="19"/>
              </w:rPr>
              <w:t>The Court looked at what HMOs actually do: they arrange medical care rather than pool insurance risks. Because Congress did not include HMOs in the DST list, the BIR cannot add them by implication.</w:t>
            </w:r>
          </w:p>
        </w:tc>
      </w:tr>
    </w:tbl>
    <w:tbl>
      <w:tblPr>
        <w:tblW w:type="auto" w:w="0"/>
        <w:jc w:val="center"/>
        <w:tblLook w:firstColumn="1" w:firstRow="1" w:lastColumn="0" w:lastRow="0" w:noHBand="0" w:noVBand="1" w:val="04A0"/>
      </w:tblPr>
      <w:tblGrid>
        <w:gridCol w:w="9648"/>
      </w:tblGrid>
      <w:tr>
        <w:tc>
          <w:tcPr>
            <w:tcW w:type="dxa" w:w="9648"/>
            <w:shd w:fill="EEF6F0"/>
            <w:tcMar>
              <w:top w:w="100" w:type="dxa"/>
              <w:bottom w:w="100" w:type="dxa"/>
              <w:left w:w="160" w:type="dxa"/>
              <w:right w:w="160" w:type="dxa"/>
            </w:tcMar>
          </w:tcPr>
          <w:p>
            <w:pPr>
              <w:spacing w:before="20" w:after="40"/>
            </w:pPr>
            <w:r>
              <w:rPr>
                <w:rFonts w:ascii="Arial" w:hAnsi="Arial"/>
                <w:b/>
                <w:color w:val="0D6E4B"/>
                <w:sz w:val="19"/>
              </w:rPr>
              <w:t>X. STATUTORY CONSTRUCTION OR JUDICIAL LEGISLATION?</w:t>
              <w:br/>
            </w:r>
          </w:p>
          <w:p>
            <w:pPr>
              <w:spacing w:before="20" w:after="60"/>
            </w:pPr>
            <w:r>
              <w:rPr>
                <w:rFonts w:ascii="Arial" w:hAnsi="Arial"/>
                <w:b/>
                <w:color w:val="0F2043"/>
                <w:sz w:val="19"/>
              </w:rPr>
              <w:t>☑ Proper statutory construction    ☐ Judicial legislation    ☐ Debatable</w:t>
            </w:r>
          </w:p>
          <w:p>
            <w:pPr>
              <w:spacing w:before="40" w:after="40" w:line="276" w:lineRule="auto"/>
            </w:pPr>
            <w:r>
              <w:rPr>
                <w:rFonts w:ascii="Calibri" w:hAnsi="Calibri"/>
                <w:b/>
                <w:color w:val="212529"/>
                <w:sz w:val="19"/>
              </w:rPr>
              <w:t>Explanation (3–5 sentences):</w:t>
              <w:br/>
            </w:r>
            <w:r>
              <w:rPr>
                <w:rFonts w:ascii="Calibri" w:hAnsi="Calibri"/>
                <w:color w:val="212529"/>
                <w:sz w:val="19"/>
              </w:rPr>
              <w:t>The Supreme Court acted within the legitimate bounds of its constitutional power to interpret the law (jus dicere). By applying Strictissimi juris, the Court faithfully effectuated the legislative intent without creating new rules, modifying clear statutory text, or usurping congressional prerogative. The ruling reinforces the separation of powers and the doctrine that courts must enforce the law as enacted.</w:t>
            </w:r>
          </w:p>
        </w:tc>
      </w:tr>
    </w:tbl>
    <w:p>
      <w:pPr>
        <w:spacing w:before="80" w:after="40"/>
      </w:pPr>
    </w:p>
    <w:tbl>
      <w:tblPr>
        <w:tblW w:type="auto" w:w="0"/>
        <w:jc w:val="center"/>
        <w:tblLook w:firstColumn="1" w:firstRow="1" w:lastColumn="0" w:lastRow="0" w:noHBand="0" w:noVBand="1" w:val="04A0"/>
      </w:tblPr>
      <w:tblGrid>
        <w:gridCol w:w="9648"/>
      </w:tblGrid>
      <w:tr>
        <w:tc>
          <w:tcPr>
            <w:tcW w:type="dxa" w:w="9648"/>
            <w:shd w:fill="FBF6EE"/>
            <w:tcMar>
              <w:top w:w="100" w:type="dxa"/>
              <w:bottom w:w="100" w:type="dxa"/>
              <w:left w:w="160" w:type="dxa"/>
              <w:right w:w="160" w:type="dxa"/>
            </w:tcMar>
          </w:tcPr>
          <w:p>
            <w:pPr>
              <w:spacing w:before="20" w:after="40"/>
            </w:pPr>
            <w:r>
              <w:rPr>
                <w:rFonts w:ascii="Arial" w:hAnsi="Arial"/>
                <w:b/>
                <w:color w:val="8C3200"/>
                <w:sz w:val="19"/>
              </w:rPr>
              <w:t>XI. DOCTRINE (Statutory Construction Principle):</w:t>
              <w:br/>
            </w:r>
            <w:r>
              <w:rPr>
                <w:rFonts w:ascii="Calibri" w:hAnsi="Calibri"/>
                <w:color w:val="212529"/>
                <w:sz w:val="19"/>
              </w:rPr>
              <w:t>Strict Construction of Revenue Laws: In dubio pro tributario (in doubt, rule in favor of the taxpayer); tax burdens cannot be extended beyond the express terms of the statute.</w:t>
              <w:br/>
              <w:br/>
            </w:r>
          </w:p>
          <w:p>
            <w:pPr>
              <w:spacing w:before="20" w:after="40"/>
            </w:pPr>
            <w:r>
              <w:rPr>
                <w:rFonts w:ascii="Arial" w:hAnsi="Arial"/>
                <w:b/>
                <w:color w:val="8C3200"/>
                <w:sz w:val="19"/>
              </w:rPr>
              <w:t>XII. ONE-SENTENCE TAKEAWAY:</w:t>
              <w:br/>
            </w:r>
            <w:r>
              <w:rPr>
                <w:rFonts w:ascii="Calibri" w:hAnsi="Calibri"/>
                <w:i/>
                <w:color w:val="212529"/>
                <w:sz w:val="19"/>
              </w:rPr>
              <w:t>This case is important in Statutory Construction because Taxes cannot be imposed by guesswork or stretching definitions; if the statute does not explicitly name it, it cannot be taxed.</w:t>
            </w:r>
          </w:p>
        </w:tc>
      </w:tr>
    </w:tbl>
    <w:p>
      <w:r>
        <w:br w:type="page"/>
      </w:r>
    </w:p>
    <w:p>
      <w:pPr>
        <w:keepNext/>
        <w:spacing w:before="320" w:after="80"/>
      </w:pPr>
      <w:r>
        <w:rPr>
          <w:rFonts w:ascii="Arial" w:hAnsi="Arial"/>
          <w:b/>
          <w:color w:val="0F2043"/>
          <w:sz w:val="26"/>
        </w:rPr>
        <w:t>23. SOCORRO D. RAMIREZ V. COURT OF APPEALS AND ESTER S. GARCIA</w:t>
      </w:r>
    </w:p>
    <w:p>
      <w:pPr>
        <w:spacing w:before="40" w:after="80" w:line="276" w:lineRule="auto"/>
      </w:pPr>
      <w:r>
        <w:rPr>
          <w:rFonts w:ascii="Calibri" w:hAnsi="Calibri"/>
          <w:b/>
          <w:color w:val="212529"/>
          <w:sz w:val="21"/>
        </w:rPr>
        <w:t xml:space="preserve">Citation: </w:t>
      </w:r>
      <w:r>
        <w:rPr>
          <w:rFonts w:ascii="Calibri" w:hAnsi="Calibri"/>
          <w:i/>
          <w:color w:val="212529"/>
          <w:sz w:val="21"/>
        </w:rPr>
        <w:t>G.R. No. 93833 | September 25, 1995 | 248 SCRA 590 | Second Division | Ponente: J. Hermosisima, Jr.</w:t>
      </w:r>
    </w:p>
    <w:p>
      <w:pPr>
        <w:keepNext/>
        <w:spacing w:before="200" w:after="40"/>
      </w:pPr>
      <w:r>
        <w:rPr>
          <w:rFonts w:ascii="Arial" w:hAnsi="Arial"/>
          <w:b/>
          <w:color w:val="781E1E"/>
          <w:sz w:val="22"/>
        </w:rPr>
        <w:t>LAYER A: ALAC DIGEST, RECITATION SCRIPT &amp; STATCON ANALYSIS</w:t>
      </w:r>
    </w:p>
    <w:p>
      <w:pPr>
        <w:keepNext/>
        <w:spacing w:before="200" w:after="40"/>
      </w:pPr>
      <w:r>
        <w:rPr>
          <w:rFonts w:ascii="Arial" w:hAnsi="Arial"/>
          <w:b/>
          <w:color w:val="781E1E"/>
          <w:sz w:val="22"/>
        </w:rPr>
        <w:t>I. PARTIES &amp; PROCEDURAL BACKGROUND</w:t>
      </w:r>
    </w:p>
    <w:p>
      <w:pPr>
        <w:spacing w:before="40" w:after="80" w:line="276" w:lineRule="auto"/>
      </w:pPr>
      <w:r>
        <w:rPr>
          <w:rFonts w:ascii="Calibri" w:hAnsi="Calibri"/>
          <w:b/>
          <w:color w:val="212529"/>
          <w:sz w:val="21"/>
        </w:rPr>
        <w:t xml:space="preserve">• Plaintiff/Petitioner: </w:t>
      </w:r>
      <w:r>
        <w:rPr>
          <w:rFonts w:ascii="Calibri" w:hAnsi="Calibri"/>
          <w:i w:val="0"/>
          <w:color w:val="212529"/>
          <w:sz w:val="21"/>
        </w:rPr>
        <w:t>Socorro D. Ramirez (Petitioner)</w:t>
      </w:r>
    </w:p>
    <w:p>
      <w:pPr>
        <w:spacing w:before="40" w:after="80" w:line="276" w:lineRule="auto"/>
      </w:pPr>
      <w:r>
        <w:rPr>
          <w:rFonts w:ascii="Calibri" w:hAnsi="Calibri"/>
          <w:b/>
          <w:color w:val="212529"/>
          <w:sz w:val="21"/>
        </w:rPr>
        <w:t xml:space="preserve">• Defendant/Respondent: </w:t>
      </w:r>
      <w:r>
        <w:rPr>
          <w:rFonts w:ascii="Calibri" w:hAnsi="Calibri"/>
          <w:i w:val="0"/>
          <w:color w:val="212529"/>
          <w:sz w:val="21"/>
        </w:rPr>
        <w:t>Court of Appeals and Ester S. Garcia (Respondents)</w:t>
      </w:r>
    </w:p>
    <w:p>
      <w:pPr>
        <w:spacing w:before="40" w:after="80" w:line="276" w:lineRule="auto"/>
      </w:pPr>
      <w:r>
        <w:rPr>
          <w:rFonts w:ascii="Calibri" w:hAnsi="Calibri"/>
          <w:b/>
          <w:color w:val="212529"/>
          <w:sz w:val="21"/>
        </w:rPr>
        <w:t xml:space="preserve">• Originating Court: </w:t>
      </w:r>
      <w:r>
        <w:rPr>
          <w:rFonts w:ascii="Calibri" w:hAnsi="Calibri"/>
          <w:i w:val="0"/>
          <w:color w:val="212529"/>
          <w:sz w:val="21"/>
        </w:rPr>
        <w:t>Regional Trial Court of Quezon City (Branch 80) / Court of Appeals</w:t>
      </w:r>
    </w:p>
    <w:p>
      <w:pPr>
        <w:spacing w:before="40" w:after="80" w:line="276" w:lineRule="auto"/>
      </w:pPr>
      <w:r>
        <w:rPr>
          <w:rFonts w:ascii="Calibri" w:hAnsi="Calibri"/>
          <w:b/>
          <w:color w:val="212529"/>
          <w:sz w:val="21"/>
        </w:rPr>
        <w:t xml:space="preserve">• Nature of the Action: </w:t>
      </w:r>
      <w:r>
        <w:rPr>
          <w:rFonts w:ascii="Calibri" w:hAnsi="Calibri"/>
          <w:i w:val="0"/>
          <w:color w:val="212529"/>
          <w:sz w:val="21"/>
        </w:rPr>
        <w:t>Petition for Review on Certiorari under Rule 45 assailing criminal prosecution under Republic Act No. 4200 (Anti-Wiretapping Act).</w:t>
      </w:r>
    </w:p>
    <w:p>
      <w:pPr>
        <w:keepNext/>
        <w:spacing w:before="200" w:after="40"/>
      </w:pPr>
      <w:r>
        <w:rPr>
          <w:rFonts w:ascii="Arial" w:hAnsi="Arial"/>
          <w:b/>
          <w:color w:val="781E1E"/>
          <w:sz w:val="22"/>
        </w:rPr>
        <w:t>II. WHOLE FACTS</w:t>
      </w:r>
    </w:p>
    <w:p>
      <w:pPr>
        <w:spacing w:before="40" w:after="80" w:line="276" w:lineRule="auto"/>
      </w:pPr>
      <w:r>
        <w:rPr>
          <w:rFonts w:ascii="Calibri" w:hAnsi="Calibri"/>
          <w:i w:val="0"/>
          <w:color w:val="212529"/>
          <w:sz w:val="21"/>
        </w:rPr>
        <w:t>Socorro Ramirez filed a civil action for damages against Ester Garcia for alleged insults and offensive remarks. To support her case, Ramirez secretly tape-recorded a heated confrontation inside Garcia's office without Garcia's consent. Upon discovering the secret recording, Garcia filed a criminal complaint against Ramirez for violation of Republic Act No. 4200 (Anti-Wiretapping Act). Ramirez moved to quash the information, arguing that RA 4200 penalizes only third-party eavesdroppers, not a party who is an active participant in the private conversation.</w:t>
      </w:r>
    </w:p>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SUMMARY OF FACTS</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A woman secretly recorded an argument with her boss inside an office. When she used the recording in court, her boss filed criminal charges under the Anti-Wiretapping Law. The woman argued the law only applies to third-party spies and wiretappers, not to a person who is part of the conversation. The Supreme Court held that the law plainly says 'any person' and makes no exception for participants.</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When reciting the facts, state the core dispute in 2 sentences, then state how the case reached the Supreme Court.</w:t>
            </w:r>
          </w:p>
        </w:tc>
      </w:tr>
    </w:tbl>
    <w:p>
      <w:pPr>
        <w:keepNext/>
        <w:spacing w:before="200" w:after="40"/>
      </w:pPr>
      <w:r>
        <w:rPr>
          <w:rFonts w:ascii="Arial" w:hAnsi="Arial"/>
          <w:b/>
          <w:color w:val="781E1E"/>
          <w:sz w:val="22"/>
        </w:rPr>
        <w:t>III. THE LEGAL ISSUE</w:t>
      </w:r>
    </w:p>
    <w:p>
      <w:pPr>
        <w:spacing w:before="40" w:after="80" w:line="276" w:lineRule="auto"/>
      </w:pPr>
      <w:r>
        <w:rPr>
          <w:rFonts w:ascii="Calibri" w:hAnsi="Calibri"/>
          <w:i w:val="0"/>
          <w:color w:val="212529"/>
          <w:sz w:val="21"/>
        </w:rPr>
        <w:t>Whether or not Republic Act No. 4200 (The Anti-Wiretapping Act) applies to a party to a private conversation who secretly records it without the consent of all parties.</w:t>
      </w:r>
    </w:p>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THE LEGAL ISSUE</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Does the Anti-Wiretapping Law apply to a participant in a conversation who secretly records the other person without permission?</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"Sir/Ma'am, the issue is whether the phrase 'any person' in Section 1 of RA 4200 applies to a participant in a private conversation, testing the canon of Verba Legis (the words of the law) and Ubi lex non distinguit nec nos distinguere debemus (where the law does not distinguish, we should not distinguish)."</w:t>
            </w:r>
          </w:p>
        </w:tc>
      </w:tr>
    </w:tbl>
    <w:p>
      <w:pPr>
        <w:keepNext/>
        <w:spacing w:before="200" w:after="40"/>
      </w:pPr>
      <w:r>
        <w:rPr>
          <w:rFonts w:ascii="Arial" w:hAnsi="Arial"/>
          <w:b/>
          <w:color w:val="781E1E"/>
          <w:sz w:val="22"/>
        </w:rPr>
        <w:t>IV. ALAC DIGEST</w:t>
      </w:r>
    </w:p>
    <w:tbl>
      <w:tblPr>
        <w:tblW w:type="auto" w:w="0"/>
        <w:jc w:val="center"/>
        <w:tblLook w:firstColumn="1" w:firstRow="1" w:lastColumn="0" w:lastRow="0" w:noHBand="0" w:noVBand="1" w:val="04A0"/>
      </w:tblPr>
      <w:tblGrid>
        <w:gridCol w:w="9648"/>
      </w:tblGrid>
      <w:tr>
        <w:tc>
          <w:tcPr>
            <w:tcW w:type="dxa" w:w="9648"/>
            <w:shd w:fill="F4F6F9"/>
            <w:tcMar>
              <w:top w:w="120" w:type="dxa"/>
              <w:bottom w:w="120" w:type="dxa"/>
              <w:left w:w="180" w:type="dxa"/>
              <w:right w:w="180" w:type="dxa"/>
            </w:tcMar>
          </w:tcPr>
          <w:p>
            <w:pPr>
              <w:spacing w:before="40" w:after="60"/>
            </w:pPr>
            <w:r>
              <w:rPr>
                <w:rFonts w:ascii="Arial" w:hAnsi="Arial"/>
                <w:b/>
                <w:color w:val="0F2043"/>
                <w:sz w:val="21"/>
              </w:rPr>
              <w:t>[A] ANSWER</w:t>
              <w:br/>
            </w:r>
          </w:p>
          <w:p>
            <w:pPr>
              <w:spacing w:before="20" w:after="40" w:line="276" w:lineRule="auto"/>
            </w:pPr>
            <w:r>
              <w:rPr>
                <w:rFonts w:ascii="Calibri" w:hAnsi="Calibri"/>
                <w:color w:val="212529"/>
                <w:sz w:val="20"/>
              </w:rPr>
              <w:t>YES. Section 1 of RA 4200 applies to ANY PERSON, including a participant in the conversation. The statutory phrase 'any person' is absolute and admits of no judicial qualification.</w:t>
            </w:r>
          </w:p>
        </w:tc>
      </w:tr>
    </w:tbl>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THE ANSWER</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Yes. The law clearly says 'any person' who records a private conversation without consent of all parties commits a crime. Because the law did not make an exception for participants, the court cannot create one.</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"Yes, Sir/Ma'am. Under Verba Legis (the words of the law) and Ubi lex non distinguit (where the law does not distinguish, we should not distinguish), RA 4200 penalizes 'any person' who secretly records a private conversation without the consent of all participants, even if that person is a party to the conversation."</w:t>
            </w:r>
          </w:p>
        </w:tc>
      </w:tr>
    </w:tbl>
    <w:tbl>
      <w:tblPr>
        <w:tblW w:type="auto" w:w="0"/>
        <w:jc w:val="center"/>
        <w:tblLook w:firstColumn="1" w:firstRow="1" w:lastColumn="0" w:lastRow="0" w:noHBand="0" w:noVBand="1" w:val="04A0"/>
      </w:tblPr>
      <w:tblGrid>
        <w:gridCol w:w="9648"/>
      </w:tblGrid>
      <w:tr>
        <w:tc>
          <w:tcPr>
            <w:tcW w:type="dxa" w:w="9648"/>
            <w:shd w:fill="F4F6F9"/>
            <w:tcMar>
              <w:top w:w="120" w:type="dxa"/>
              <w:bottom w:w="120" w:type="dxa"/>
              <w:left w:w="180" w:type="dxa"/>
              <w:right w:w="180" w:type="dxa"/>
            </w:tcMar>
          </w:tcPr>
          <w:p>
            <w:pPr>
              <w:spacing w:before="40" w:after="60"/>
            </w:pPr>
            <w:r>
              <w:rPr>
                <w:rFonts w:ascii="Arial" w:hAnsi="Arial"/>
                <w:b/>
                <w:color w:val="0F2043"/>
                <w:sz w:val="21"/>
              </w:rPr>
              <w:t>[L] LEGAL BASIS</w:t>
              <w:br/>
            </w:r>
          </w:p>
          <w:p>
            <w:pPr>
              <w:spacing w:before="20" w:after="40" w:line="276" w:lineRule="auto"/>
            </w:pPr>
            <w:r>
              <w:rPr>
                <w:rFonts w:ascii="Calibri" w:hAnsi="Calibri"/>
                <w:b/>
                <w:color w:val="212529"/>
                <w:sz w:val="20"/>
              </w:rPr>
              <w:t xml:space="preserve">1. Section 1, Republic Act No. 4200 (Anti-Wiretapping Act): </w:t>
            </w:r>
            <w:r>
              <w:rPr>
                <w:rFonts w:ascii="Calibri" w:hAnsi="Calibri"/>
                <w:color w:val="212529"/>
                <w:sz w:val="20"/>
              </w:rPr>
              <w:t>Provides that it shall be unlawful for any person, not being authorized by all the parties to any private communication, to secretly record such communication.</w:t>
            </w:r>
          </w:p>
          <w:p>
            <w:pPr>
              <w:spacing w:before="20" w:after="40" w:line="276" w:lineRule="auto"/>
            </w:pPr>
            <w:r>
              <w:rPr>
                <w:rFonts w:ascii="Calibri" w:hAnsi="Calibri"/>
                <w:b/>
                <w:color w:val="212529"/>
                <w:sz w:val="20"/>
              </w:rPr>
              <w:t xml:space="preserve">2. Verba Legis Non Est Recedendum (from the words of the statute there should be no departure): </w:t>
            </w:r>
            <w:r>
              <w:rPr>
                <w:rFonts w:ascii="Calibri" w:hAnsi="Calibri"/>
                <w:color w:val="212529"/>
                <w:sz w:val="20"/>
              </w:rPr>
              <w:t>When the statutory language is plain and unambiguous, it must be given its literal meaning.</w:t>
            </w:r>
          </w:p>
          <w:p>
            <w:pPr>
              <w:spacing w:before="20" w:after="40" w:line="276" w:lineRule="auto"/>
            </w:pPr>
            <w:r>
              <w:rPr>
                <w:rFonts w:ascii="Calibri" w:hAnsi="Calibri"/>
                <w:b/>
                <w:color w:val="212529"/>
                <w:sz w:val="20"/>
              </w:rPr>
              <w:t xml:space="preserve">3. Ubi Lex Non Distinguit, Nec Nos Distinguere Debemus (where the law does not distinguish, we should not distinguish): </w:t>
            </w:r>
            <w:r>
              <w:rPr>
                <w:rFonts w:ascii="Calibri" w:hAnsi="Calibri"/>
                <w:color w:val="212529"/>
                <w:sz w:val="20"/>
              </w:rPr>
              <w:t>Since RA 4200 does not distinguish between a third-party snooper and a participant, courts must not distinguish.</w:t>
            </w:r>
          </w:p>
        </w:tc>
      </w:tr>
    </w:tbl>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LEGAL BASIS</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Section 1 of RA 4200, Verba Legis, and Ubi lex non distinguit nec nos distinguere debemus.</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"Sir/Ma'am, the legal basis is Section 1 of RA 4200, guided by Verba legis non est recedendum (from the words of the statute there should be no departure) and Ubi lex non distinguit nec nos distinguere debemus (where the law does not distinguish, we should not distinguish)."</w:t>
            </w:r>
          </w:p>
        </w:tc>
      </w:tr>
    </w:tbl>
    <w:tbl>
      <w:tblPr>
        <w:tblW w:type="auto" w:w="0"/>
        <w:jc w:val="center"/>
        <w:tblLook w:firstColumn="1" w:firstRow="1" w:lastColumn="0" w:lastRow="0" w:noHBand="0" w:noVBand="1" w:val="04A0"/>
      </w:tblPr>
      <w:tblGrid>
        <w:gridCol w:w="9648"/>
      </w:tblGrid>
      <w:tr>
        <w:tc>
          <w:tcPr>
            <w:tcW w:type="dxa" w:w="9648"/>
            <w:shd w:fill="F4F6F9"/>
            <w:tcMar>
              <w:top w:w="120" w:type="dxa"/>
              <w:bottom w:w="120" w:type="dxa"/>
              <w:left w:w="180" w:type="dxa"/>
              <w:right w:w="180" w:type="dxa"/>
            </w:tcMar>
          </w:tcPr>
          <w:p>
            <w:pPr>
              <w:spacing w:before="40" w:after="60"/>
            </w:pPr>
            <w:r>
              <w:rPr>
                <w:rFonts w:ascii="Arial" w:hAnsi="Arial"/>
                <w:b/>
                <w:color w:val="0F2043"/>
                <w:sz w:val="21"/>
              </w:rPr>
              <w:t>[A] ANALYSIS / APPLICATION</w:t>
              <w:br/>
            </w:r>
          </w:p>
          <w:p>
            <w:pPr>
              <w:spacing w:before="20" w:after="40" w:line="276" w:lineRule="auto"/>
            </w:pPr>
            <w:r>
              <w:rPr>
                <w:rFonts w:ascii="Calibri" w:hAnsi="Calibri"/>
                <w:b/>
                <w:color w:val="212529"/>
                <w:sz w:val="20"/>
              </w:rPr>
              <w:t xml:space="preserve">1. Plain Statutory Text: </w:t>
            </w:r>
            <w:r>
              <w:rPr>
                <w:rFonts w:ascii="Calibri" w:hAnsi="Calibri"/>
                <w:color w:val="212529"/>
                <w:sz w:val="20"/>
              </w:rPr>
              <w:t>Section 1 clearly makes it unlawful for 'any person' not authorized by 'all the parties' to record a private communication. The word 'all' implies that every party must give consent.</w:t>
            </w:r>
          </w:p>
          <w:p>
            <w:pPr>
              <w:spacing w:before="20" w:after="40" w:line="276" w:lineRule="auto"/>
            </w:pPr>
            <w:r>
              <w:rPr>
                <w:rFonts w:ascii="Calibri" w:hAnsi="Calibri"/>
                <w:b/>
                <w:color w:val="212529"/>
                <w:sz w:val="20"/>
              </w:rPr>
              <w:t xml:space="preserve">2. Legislative Deliberations: </w:t>
            </w:r>
            <w:r>
              <w:rPr>
                <w:rFonts w:ascii="Calibri" w:hAnsi="Calibri"/>
                <w:color w:val="212529"/>
                <w:sz w:val="20"/>
              </w:rPr>
              <w:t>Congressional records show that Senator Tañada expressly intended to protect the complete privacy of communication against unauthorized recordings by anyone, including participants.</w:t>
            </w:r>
          </w:p>
          <w:p>
            <w:pPr>
              <w:spacing w:before="20" w:after="40" w:line="276" w:lineRule="auto"/>
            </w:pPr>
            <w:r>
              <w:rPr>
                <w:rFonts w:ascii="Calibri" w:hAnsi="Calibri"/>
                <w:b/>
                <w:color w:val="212529"/>
                <w:sz w:val="20"/>
              </w:rPr>
              <w:t xml:space="preserve">3. Prohibition Against Judicial Legislation: </w:t>
            </w:r>
            <w:r>
              <w:rPr>
                <w:rFonts w:ascii="Calibri" w:hAnsi="Calibri"/>
                <w:color w:val="212529"/>
                <w:sz w:val="20"/>
              </w:rPr>
              <w:t>Exempting conversation participants would be an act of judicial legislation, inserting an exception that Congress deliberately withheld.</w:t>
            </w:r>
          </w:p>
        </w:tc>
      </w:tr>
    </w:tbl>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ANALYSIS / APPLICATION</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The statute says 'any person' and requires consent of 'all parties'. If one person secretly records without the other's consent, the statute is breached. The court cannot add exceptions that Congress left out.</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"Sir/Ma'am, the Court applied Verba Legis and Ubi Lex Non Distinguit. The statute clearly protects private conversations from unauthorized recording by 'any person'. The Court affirmed that where the law does not distinguish, judges cannot create exemptions."</w:t>
            </w:r>
          </w:p>
        </w:tc>
      </w:tr>
    </w:tbl>
    <w:tbl>
      <w:tblPr>
        <w:tblW w:type="auto" w:w="0"/>
        <w:jc w:val="center"/>
        <w:tblLook w:firstColumn="1" w:firstRow="1" w:lastColumn="0" w:lastRow="0" w:noHBand="0" w:noVBand="1" w:val="04A0"/>
      </w:tblPr>
      <w:tblGrid>
        <w:gridCol w:w="9648"/>
      </w:tblGrid>
      <w:tr>
        <w:tc>
          <w:tcPr>
            <w:tcW w:type="dxa" w:w="9648"/>
            <w:shd w:fill="F4F6F9"/>
            <w:tcMar>
              <w:top w:w="120" w:type="dxa"/>
              <w:bottom w:w="120" w:type="dxa"/>
              <w:left w:w="180" w:type="dxa"/>
              <w:right w:w="180" w:type="dxa"/>
            </w:tcMar>
          </w:tcPr>
          <w:p>
            <w:pPr>
              <w:spacing w:before="40" w:after="60"/>
            </w:pPr>
            <w:r>
              <w:rPr>
                <w:rFonts w:ascii="Arial" w:hAnsi="Arial"/>
                <w:b/>
                <w:color w:val="0F2043"/>
                <w:sz w:val="21"/>
              </w:rPr>
              <w:t>[C] CONCLUSION</w:t>
              <w:br/>
            </w:r>
          </w:p>
          <w:p>
            <w:pPr>
              <w:spacing w:before="20" w:after="40" w:line="276" w:lineRule="auto"/>
            </w:pPr>
            <w:r>
              <w:rPr>
                <w:rFonts w:ascii="Calibri" w:hAnsi="Calibri"/>
                <w:color w:val="212529"/>
                <w:sz w:val="20"/>
              </w:rPr>
              <w:t>The Supreme Court AFFIRMED the Court of Appeals decision, holding that the criminal information against Socorro Ramirez for violation of RA 4200 was valid and properly charged.</w:t>
            </w:r>
          </w:p>
        </w:tc>
      </w:tr>
    </w:tbl>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CONCLUSION</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The secret recording was held to be illegal under the Anti-Wiretapping Law, and the criminal case against the recorder was allowed to proceed.</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"The Supreme Court affirmed the validity of the criminal charge, holding that secretly recording a private conversation without consent of all parties violates RA 4200."</w:t>
            </w:r>
          </w:p>
        </w:tc>
      </w:tr>
    </w:tbl>
    <w:p>
      <w:pPr>
        <w:keepNext/>
        <w:spacing w:before="200" w:after="40"/>
      </w:pPr>
      <w:r>
        <w:rPr>
          <w:rFonts w:ascii="Arial" w:hAnsi="Arial"/>
          <w:b/>
          <w:color w:val="781E1E"/>
          <w:sz w:val="22"/>
        </w:rPr>
        <w:t>V. RELATION TO STATUTORY CONSTRUCTION</w:t>
      </w:r>
    </w:p>
    <w:p>
      <w:pPr>
        <w:spacing w:before="40" w:after="80" w:line="276" w:lineRule="auto"/>
      </w:pPr>
      <w:r>
        <w:rPr>
          <w:rFonts w:ascii="Calibri" w:hAnsi="Calibri"/>
          <w:b/>
          <w:color w:val="212529"/>
          <w:sz w:val="21"/>
        </w:rPr>
        <w:t>• Syllabus Topic Alignment:</w:t>
        <w:br/>
      </w:r>
      <w:r>
        <w:rPr>
          <w:rFonts w:ascii="Calibri" w:hAnsi="Calibri"/>
          <w:i w:val="0"/>
          <w:color w:val="212529"/>
          <w:sz w:val="21"/>
        </w:rPr>
        <w:t>• Chapter III: Basic Guidelines in the Construction and Interpretation of Laws</w:t>
        <w:br/>
        <w:t xml:space="preserve">  - A. General Guidelines: Verba Legis &amp; Ubi Lex Non Distinguit Nec Nos Distinguere Debemus</w:t>
      </w:r>
    </w:p>
    <w:tbl>
      <w:tblPr>
        <w:tblW w:type="auto" w:w="0"/>
        <w:jc w:val="center"/>
        <w:tblLook w:firstColumn="1" w:firstRow="1" w:lastColumn="0" w:lastRow="0" w:noHBand="0" w:noVBand="1" w:val="04A0"/>
      </w:tblPr>
      <w:tblGrid>
        <w:gridCol w:w="9648"/>
      </w:tblGrid>
      <w:tr>
        <w:tc>
          <w:tcPr>
            <w:tcW w:type="dxa" w:w="9648"/>
            <w:shd w:fill="FDF6EE"/>
            <w:tcMar>
              <w:top w:w="120" w:type="dxa"/>
              <w:bottom w:w="120" w:type="dxa"/>
              <w:left w:w="180" w:type="dxa"/>
              <w:right w:w="180" w:type="dxa"/>
            </w:tcMar>
          </w:tcPr>
          <w:p>
            <w:pPr>
              <w:spacing w:before="40" w:after="80"/>
            </w:pPr>
            <w:r>
              <w:rPr>
                <w:rFonts w:ascii="Arial" w:hAnsi="Arial"/>
                <w:b/>
                <w:color w:val="8C3200"/>
                <w:sz w:val="20"/>
              </w:rPr>
              <w:t>📜 GOVERNING LATIN MAXIMS WITH ENGLISH TRANSLATIONS</w:t>
              <w:br/>
            </w:r>
          </w:p>
          <w:p>
            <w:pPr>
              <w:spacing w:before="40" w:after="60" w:line="276" w:lineRule="auto"/>
            </w:pPr>
            <w:r>
              <w:rPr>
                <w:rFonts w:ascii="Calibri" w:hAnsi="Calibri"/>
                <w:b/>
                <w:color w:val="8C3200"/>
                <w:sz w:val="20"/>
              </w:rPr>
              <w:t>1. Ubi lex non distinguit, nec nos distinguere debemus (where the law does not distinguish, we should not distinguish)</w:t>
              <w:br/>
            </w:r>
            <w:r>
              <w:rPr>
                <w:rFonts w:ascii="Calibri" w:hAnsi="Calibri"/>
                <w:b/>
                <w:color w:val="212529"/>
                <w:sz w:val="19"/>
              </w:rPr>
              <w:t xml:space="preserve">   • Literal English Translation: </w:t>
            </w:r>
            <w:r>
              <w:rPr>
                <w:rFonts w:ascii="Calibri" w:hAnsi="Calibri"/>
                <w:i/>
                <w:color w:val="212529"/>
                <w:sz w:val="19"/>
              </w:rPr>
              <w:t>Where the law does not distinguish, we ought not to distinguish.</w:t>
              <w:br/>
            </w:r>
            <w:r>
              <w:rPr>
                <w:rFonts w:ascii="Calibri" w:hAnsi="Calibri"/>
                <w:b/>
                <w:color w:val="212529"/>
                <w:sz w:val="19"/>
              </w:rPr>
              <w:t xml:space="preserve">   • Plain Legal Meaning &amp; StatCon Application: </w:t>
            </w:r>
            <w:r>
              <w:rPr>
                <w:rFonts w:ascii="Calibri" w:hAnsi="Calibri"/>
                <w:color w:val="212529"/>
                <w:sz w:val="19"/>
              </w:rPr>
              <w:t>The term 'any person' in RA 4200 applies to everyone without distinction between third parties and participants.</w:t>
            </w:r>
          </w:p>
          <w:p>
            <w:pPr>
              <w:spacing w:before="40" w:after="60" w:line="276" w:lineRule="auto"/>
            </w:pPr>
            <w:r>
              <w:rPr>
                <w:rFonts w:ascii="Calibri" w:hAnsi="Calibri"/>
                <w:b/>
                <w:color w:val="8C3200"/>
                <w:sz w:val="20"/>
              </w:rPr>
              <w:t>2. Verba legis non est recedendum (from the words of the statute there should be no departure)</w:t>
              <w:br/>
            </w:r>
            <w:r>
              <w:rPr>
                <w:rFonts w:ascii="Calibri" w:hAnsi="Calibri"/>
                <w:b/>
                <w:color w:val="212529"/>
                <w:sz w:val="19"/>
              </w:rPr>
              <w:t xml:space="preserve">   • Literal English Translation: </w:t>
            </w:r>
            <w:r>
              <w:rPr>
                <w:rFonts w:ascii="Calibri" w:hAnsi="Calibri"/>
                <w:i/>
                <w:color w:val="212529"/>
                <w:sz w:val="19"/>
              </w:rPr>
              <w:t>From the words of the statute there must be no departure.</w:t>
              <w:br/>
            </w:r>
            <w:r>
              <w:rPr>
                <w:rFonts w:ascii="Calibri" w:hAnsi="Calibri"/>
                <w:b/>
                <w:color w:val="212529"/>
                <w:sz w:val="19"/>
              </w:rPr>
              <w:t xml:space="preserve">   • Plain Legal Meaning &amp; StatCon Application: </w:t>
            </w:r>
            <w:r>
              <w:rPr>
                <w:rFonts w:ascii="Calibri" w:hAnsi="Calibri"/>
                <w:color w:val="212529"/>
                <w:sz w:val="19"/>
              </w:rPr>
              <w:t>Plain statutory words must be given their direct literal effect.</w:t>
            </w:r>
          </w:p>
          <w:p>
            <w:pPr>
              <w:spacing w:before="40" w:after="60" w:line="276" w:lineRule="auto"/>
            </w:pPr>
            <w:r>
              <w:rPr>
                <w:rFonts w:ascii="Calibri" w:hAnsi="Calibri"/>
                <w:b/>
                <w:color w:val="8C3200"/>
                <w:sz w:val="20"/>
              </w:rPr>
              <w:t>3. Index animi sermo est (speech is the index of the mind)</w:t>
              <w:br/>
            </w:r>
            <w:r>
              <w:rPr>
                <w:rFonts w:ascii="Calibri" w:hAnsi="Calibri"/>
                <w:b/>
                <w:color w:val="212529"/>
                <w:sz w:val="19"/>
              </w:rPr>
              <w:t xml:space="preserve">   • Literal English Translation: </w:t>
            </w:r>
            <w:r>
              <w:rPr>
                <w:rFonts w:ascii="Calibri" w:hAnsi="Calibri"/>
                <w:i/>
                <w:color w:val="212529"/>
                <w:sz w:val="19"/>
              </w:rPr>
              <w:t>Language is the indicator of legislative intent.</w:t>
              <w:br/>
            </w:r>
            <w:r>
              <w:rPr>
                <w:rFonts w:ascii="Calibri" w:hAnsi="Calibri"/>
                <w:b/>
                <w:color w:val="212529"/>
                <w:sz w:val="19"/>
              </w:rPr>
              <w:t xml:space="preserve">   • Plain Legal Meaning &amp; StatCon Application: </w:t>
            </w:r>
            <w:r>
              <w:rPr>
                <w:rFonts w:ascii="Calibri" w:hAnsi="Calibri"/>
                <w:color w:val="212529"/>
                <w:sz w:val="19"/>
              </w:rPr>
              <w:t>The clear words of RA 4200 reveal the absolute legislative intent to protect conversational privacy.</w:t>
            </w:r>
          </w:p>
        </w:tc>
      </w:tr>
    </w:tbl>
    <w:tbl>
      <w:tblPr>
        <w:tblW w:type="auto" w:w="0"/>
        <w:jc w:val="center"/>
        <w:tblLook w:firstColumn="1" w:firstRow="1" w:lastColumn="0" w:lastRow="0" w:noHBand="0" w:noVBand="1" w:val="04A0"/>
      </w:tblPr>
      <w:tblGrid>
        <w:gridCol w:w="4824"/>
        <w:gridCol w:w="4824"/>
      </w:tblGrid>
      <w:tr>
        <w:tc>
          <w:tcPr>
            <w:tcW w:type="dxa" w:w="4824"/>
            <w:shd w:fill="EAEFF5"/>
            <w:tcMar>
              <w:top w:w="80" w:type="dxa"/>
              <w:bottom w:w="80" w:type="dxa"/>
              <w:left w:w="120" w:type="dxa"/>
              <w:right w:w="120" w:type="dxa"/>
            </w:tcMar>
          </w:tcPr>
          <w:p>
            <w:pPr>
              <w:spacing w:before="40" w:after="40"/>
            </w:pPr>
            <w:r>
              <w:rPr>
                <w:rFonts w:ascii="Arial" w:hAnsi="Arial"/>
                <w:b/>
                <w:color w:val="0F2043"/>
                <w:sz w:val="18"/>
              </w:rPr>
              <w:t>Syllabus Topic Alignment</w:t>
              <w:br/>
              <w:t>(StatCon_Syllabus_JPR.pdf)</w:t>
            </w:r>
          </w:p>
        </w:tc>
        <w:tc>
          <w:tcPr>
            <w:tcW w:type="dxa" w:w="4824"/>
            <w:shd w:fill="FAFAFA"/>
            <w:tcMar>
              <w:top w:w="80" w:type="dxa"/>
              <w:bottom w:w="80" w:type="dxa"/>
              <w:left w:w="120" w:type="dxa"/>
              <w:right w:w="120" w:type="dxa"/>
            </w:tcMar>
          </w:tcPr>
          <w:p>
            <w:pPr>
              <w:spacing w:before="40" w:after="40" w:line="276" w:lineRule="auto"/>
            </w:pPr>
            <w:r>
              <w:rPr>
                <w:rFonts w:ascii="Calibri" w:hAnsi="Calibri"/>
                <w:color w:val="212529"/>
                <w:sz w:val="19"/>
              </w:rPr>
              <w:t>• Chapter III: Basic Guidelines in the Construction and Interpretation of Laws</w:t>
              <w:br/>
              <w:t xml:space="preserve">  - A. General Guidelines: Verba Legis &amp; Ubi Lex Non Distinguit Nec Nos Distinguere Debemus</w:t>
            </w:r>
          </w:p>
        </w:tc>
      </w:tr>
      <w:tr>
        <w:tc>
          <w:tcPr>
            <w:tcW w:type="dxa" w:w="4824"/>
            <w:shd w:fill="EAEFF5"/>
            <w:tcMar>
              <w:top w:w="80" w:type="dxa"/>
              <w:bottom w:w="80" w:type="dxa"/>
              <w:left w:w="120" w:type="dxa"/>
              <w:right w:w="120" w:type="dxa"/>
            </w:tcMar>
          </w:tcPr>
          <w:p>
            <w:pPr>
              <w:spacing w:before="40" w:after="40"/>
            </w:pPr>
            <w:r>
              <w:rPr>
                <w:rFonts w:ascii="Arial" w:hAnsi="Arial"/>
                <w:b/>
                <w:color w:val="0F2043"/>
                <w:sz w:val="18"/>
              </w:rPr>
              <w:t>Governing Latin Maxims &amp; English</w:t>
            </w:r>
          </w:p>
        </w:tc>
        <w:tc>
          <w:tcPr>
            <w:tcW w:type="dxa" w:w="4824"/>
            <w:shd w:fill="FAFAFA"/>
            <w:tcMar>
              <w:top w:w="80" w:type="dxa"/>
              <w:bottom w:w="80" w:type="dxa"/>
              <w:left w:w="120" w:type="dxa"/>
              <w:right w:w="120" w:type="dxa"/>
            </w:tcMar>
          </w:tcPr>
          <w:p>
            <w:pPr>
              <w:spacing w:before="40" w:after="40" w:line="276" w:lineRule="auto"/>
            </w:pPr>
            <w:r>
              <w:rPr>
                <w:rFonts w:ascii="Calibri" w:hAnsi="Calibri"/>
                <w:color w:val="212529"/>
                <w:sz w:val="19"/>
              </w:rPr>
              <w:t>Primary:</w:t>
              <w:br/>
              <w:t>Ubi lex non distinguit, nec nos distinguere debemus</w:t>
              <w:br/>
              <w:t>(where the law does not distinguish, we should not distinguish / 'any person' includes participants in private conversations)</w:t>
              <w:br/>
              <w:br/>
              <w:t>Secondary:</w:t>
              <w:br/>
              <w:t>• Verba legis non est recedendum (from the words of the statute there should be no departure)</w:t>
              <w:br/>
              <w:t>• Index animi sermo est (speech is the index of legislative intent)</w:t>
            </w:r>
          </w:p>
        </w:tc>
      </w:tr>
      <w:tr>
        <w:tc>
          <w:tcPr>
            <w:tcW w:type="dxa" w:w="4824"/>
            <w:shd w:fill="EAEFF5"/>
            <w:tcMar>
              <w:top w:w="80" w:type="dxa"/>
              <w:bottom w:w="80" w:type="dxa"/>
              <w:left w:w="120" w:type="dxa"/>
              <w:right w:w="120" w:type="dxa"/>
            </w:tcMar>
          </w:tcPr>
          <w:p>
            <w:pPr>
              <w:spacing w:before="40" w:after="40"/>
            </w:pPr>
            <w:r>
              <w:rPr>
                <w:rFonts w:ascii="Arial" w:hAnsi="Arial"/>
                <w:b/>
                <w:color w:val="0F2043"/>
                <w:sz w:val="18"/>
              </w:rPr>
              <w:t>Case Violation in StatCon</w:t>
            </w:r>
          </w:p>
        </w:tc>
        <w:tc>
          <w:tcPr>
            <w:tcW w:type="dxa" w:w="4824"/>
            <w:shd w:fill="FAFAFA"/>
            <w:tcMar>
              <w:top w:w="80" w:type="dxa"/>
              <w:bottom w:w="80" w:type="dxa"/>
              <w:left w:w="120" w:type="dxa"/>
              <w:right w:w="120" w:type="dxa"/>
            </w:tcMar>
          </w:tcPr>
          <w:p>
            <w:pPr>
              <w:spacing w:before="40" w:after="40" w:line="276" w:lineRule="auto"/>
            </w:pPr>
            <w:r>
              <w:rPr>
                <w:rFonts w:ascii="Calibri" w:hAnsi="Calibri"/>
                <w:color w:val="212529"/>
                <w:sz w:val="19"/>
              </w:rPr>
              <w:t>Petitioner attempted to read an unwritten exception into RA 4200 by claiming that participants to conversations are excluded from 'any person'.</w:t>
            </w:r>
          </w:p>
        </w:tc>
      </w:tr>
      <w:tr>
        <w:tc>
          <w:tcPr>
            <w:tcW w:type="dxa" w:w="4824"/>
            <w:shd w:fill="EAEFF5"/>
            <w:tcMar>
              <w:top w:w="80" w:type="dxa"/>
              <w:bottom w:w="80" w:type="dxa"/>
              <w:left w:w="120" w:type="dxa"/>
              <w:right w:w="120" w:type="dxa"/>
            </w:tcMar>
          </w:tcPr>
          <w:p>
            <w:pPr>
              <w:spacing w:before="40" w:after="40"/>
            </w:pPr>
            <w:r>
              <w:rPr>
                <w:rFonts w:ascii="Arial" w:hAnsi="Arial"/>
                <w:b/>
                <w:color w:val="0F2043"/>
                <w:sz w:val="18"/>
              </w:rPr>
              <w:t>Doctrinal Execution / Principle</w:t>
            </w:r>
          </w:p>
        </w:tc>
        <w:tc>
          <w:tcPr>
            <w:tcW w:type="dxa" w:w="4824"/>
            <w:shd w:fill="FAFAFA"/>
            <w:tcMar>
              <w:top w:w="80" w:type="dxa"/>
              <w:bottom w:w="80" w:type="dxa"/>
              <w:left w:w="120" w:type="dxa"/>
              <w:right w:w="120" w:type="dxa"/>
            </w:tcMar>
          </w:tcPr>
          <w:p>
            <w:pPr>
              <w:spacing w:before="40" w:after="40" w:line="276" w:lineRule="auto"/>
            </w:pPr>
            <w:r>
              <w:rPr>
                <w:rFonts w:ascii="Calibri" w:hAnsi="Calibri"/>
                <w:color w:val="212529"/>
                <w:sz w:val="19"/>
              </w:rPr>
              <w:t>Universal Application of General Terms: When a statute employs broad, comprehensive language ('any person') without qualification, courts must apply it universally.</w:t>
            </w:r>
          </w:p>
        </w:tc>
      </w:tr>
    </w:tbl>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RELATION TO STATUTORY CONSTRUCTION</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When the law uses a universal word like 'anyone' without exceptions, courts cannot create an exception for a specific person.</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"Sir/Ma'am, Ramirez v. CA is the textbook example of Ubi lex non distinguit: 'any person' under the Anti-Wiretapping Act covers everyone, including parties to the conversation."</w:t>
            </w:r>
          </w:p>
        </w:tc>
      </w:tr>
    </w:tbl>
    <w:p>
      <w:pPr>
        <w:spacing w:before="160" w:after="80"/>
      </w:pPr>
    </w:p>
    <w:tbl>
      <w:tblPr>
        <w:tblW w:type="auto" w:w="0"/>
        <w:jc w:val="center"/>
        <w:tblLook w:firstColumn="1" w:firstRow="1" w:lastColumn="0" w:lastRow="0" w:noHBand="0" w:noVBand="1" w:val="04A0"/>
      </w:tblPr>
      <w:tblGrid>
        <w:gridCol w:w="9648"/>
      </w:tblGrid>
      <w:tr>
        <w:tc>
          <w:tcPr>
            <w:tcW w:type="dxa" w:w="9648"/>
            <w:shd w:fill="1E3A5F"/>
            <w:tcMar>
              <w:top w:w="140" w:type="dxa"/>
              <w:bottom w:w="140" w:type="dxa"/>
              <w:left w:w="200" w:type="dxa"/>
              <w:right w:w="200" w:type="dxa"/>
            </w:tcMar>
          </w:tcPr>
          <w:p>
            <w:pPr>
              <w:spacing w:before="40" w:after="40"/>
              <w:jc w:val="center"/>
            </w:pPr>
            <w:r>
              <w:rPr>
                <w:rFonts w:ascii="Arial" w:hAnsi="Arial"/>
                <w:b/>
                <w:color w:val="FFD700"/>
                <w:sz w:val="22"/>
              </w:rPr>
              <w:t>⚖ STANDARDIZED CASE DIGEST: STATUTORY CONSTRUCTION FORMAT</w:t>
              <w:br/>
            </w:r>
            <w:r>
              <w:rPr>
                <w:rFonts w:ascii="Arial" w:hAnsi="Arial"/>
                <w:i/>
                <w:color w:val="DCEBFF"/>
                <w:sz w:val="18"/>
              </w:rPr>
              <w:t>(Complete 12-Section Academic &amp; Judicial Construction Analysis)</w:t>
            </w:r>
          </w:p>
        </w:tc>
      </w:tr>
    </w:tbl>
    <w:p>
      <w:pPr>
        <w:spacing w:before="80" w:after="80"/>
      </w:pPr>
    </w:p>
    <w:tbl>
      <w:tblPr>
        <w:tblW w:type="auto" w:w="0"/>
        <w:jc w:val="center"/>
        <w:tblLook w:firstColumn="1" w:firstRow="1" w:lastColumn="0" w:lastRow="0" w:noHBand="0" w:noVBand="1" w:val="04A0"/>
      </w:tblPr>
      <w:tblGrid>
        <w:gridCol w:w="4824"/>
        <w:gridCol w:w="4824"/>
      </w:tblGrid>
      <w:tr>
        <w:tc>
          <w:tcPr>
            <w:tcW w:type="dxa" w:w="4824"/>
            <w:shd w:fill="EBF0F7"/>
            <w:tcMar>
              <w:top w:w="60" w:type="dxa"/>
              <w:bottom w:w="60" w:type="dxa"/>
              <w:left w:w="120" w:type="dxa"/>
              <w:right w:w="120" w:type="dxa"/>
            </w:tcMar>
          </w:tcPr>
          <w:p>
            <w:pPr>
              <w:spacing w:before="20" w:after="20"/>
            </w:pPr>
            <w:r>
              <w:rPr>
                <w:rFonts w:ascii="Arial" w:hAnsi="Arial"/>
                <w:b/>
                <w:color w:val="0F2043"/>
                <w:sz w:val="19"/>
              </w:rPr>
              <w:t>Case Title:</w:t>
            </w:r>
          </w:p>
        </w:tc>
        <w:tc>
          <w:tcPr>
            <w:tcW w:type="dxa" w:w="4824"/>
            <w:shd w:fill="FAFCFF"/>
            <w:tcMar>
              <w:top w:w="60" w:type="dxa"/>
              <w:bottom w:w="60" w:type="dxa"/>
              <w:left w:w="120" w:type="dxa"/>
              <w:right w:w="120" w:type="dxa"/>
            </w:tcMar>
          </w:tcPr>
          <w:p>
            <w:pPr>
              <w:spacing w:before="20" w:after="20"/>
            </w:pPr>
            <w:r>
              <w:rPr>
                <w:rFonts w:ascii="Calibri" w:hAnsi="Calibri"/>
                <w:b/>
                <w:color w:val="212529"/>
                <w:sz w:val="19"/>
              </w:rPr>
              <w:t>Socorro D. Ramirez v. Court of Appeals and Ester S. Garcia</w:t>
            </w:r>
          </w:p>
        </w:tc>
      </w:tr>
      <w:tr>
        <w:tc>
          <w:tcPr>
            <w:tcW w:type="dxa" w:w="4824"/>
            <w:shd w:fill="EBF0F7"/>
            <w:tcMar>
              <w:top w:w="60" w:type="dxa"/>
              <w:bottom w:w="60" w:type="dxa"/>
              <w:left w:w="120" w:type="dxa"/>
              <w:right w:w="120" w:type="dxa"/>
            </w:tcMar>
          </w:tcPr>
          <w:p>
            <w:pPr>
              <w:spacing w:before="20" w:after="20"/>
            </w:pPr>
            <w:r>
              <w:rPr>
                <w:rFonts w:ascii="Arial" w:hAnsi="Arial"/>
                <w:b/>
                <w:color w:val="0F2043"/>
                <w:sz w:val="19"/>
              </w:rPr>
              <w:t>G.R. No. / Record:</w:t>
            </w:r>
          </w:p>
        </w:tc>
        <w:tc>
          <w:tcPr>
            <w:tcW w:type="dxa" w:w="4824"/>
            <w:shd w:fill="FAFCFF"/>
            <w:tcMar>
              <w:top w:w="60" w:type="dxa"/>
              <w:bottom w:w="60" w:type="dxa"/>
              <w:left w:w="120" w:type="dxa"/>
              <w:right w:w="120" w:type="dxa"/>
            </w:tcMar>
          </w:tcPr>
          <w:p>
            <w:pPr>
              <w:spacing w:before="20" w:after="20"/>
            </w:pPr>
            <w:r>
              <w:rPr>
                <w:rFonts w:ascii="Calibri" w:hAnsi="Calibri"/>
                <w:b w:val="0"/>
                <w:color w:val="212529"/>
                <w:sz w:val="19"/>
              </w:rPr>
              <w:t>G.R. No. 93833</w:t>
            </w:r>
          </w:p>
        </w:tc>
      </w:tr>
      <w:tr>
        <w:tc>
          <w:tcPr>
            <w:tcW w:type="dxa" w:w="4824"/>
            <w:shd w:fill="EBF0F7"/>
            <w:tcMar>
              <w:top w:w="60" w:type="dxa"/>
              <w:bottom w:w="60" w:type="dxa"/>
              <w:left w:w="120" w:type="dxa"/>
              <w:right w:w="120" w:type="dxa"/>
            </w:tcMar>
          </w:tcPr>
          <w:p>
            <w:pPr>
              <w:spacing w:before="20" w:after="20"/>
            </w:pPr>
            <w:r>
              <w:rPr>
                <w:rFonts w:ascii="Arial" w:hAnsi="Arial"/>
                <w:b/>
                <w:color w:val="0F2043"/>
                <w:sz w:val="19"/>
              </w:rPr>
              <w:t>Date of Promulgation:</w:t>
            </w:r>
          </w:p>
        </w:tc>
        <w:tc>
          <w:tcPr>
            <w:tcW w:type="dxa" w:w="4824"/>
            <w:shd w:fill="FAFCFF"/>
            <w:tcMar>
              <w:top w:w="60" w:type="dxa"/>
              <w:bottom w:w="60" w:type="dxa"/>
              <w:left w:w="120" w:type="dxa"/>
              <w:right w:w="120" w:type="dxa"/>
            </w:tcMar>
          </w:tcPr>
          <w:p>
            <w:pPr>
              <w:spacing w:before="20" w:after="20"/>
            </w:pPr>
            <w:r>
              <w:rPr>
                <w:rFonts w:ascii="Calibri" w:hAnsi="Calibri"/>
                <w:b w:val="0"/>
                <w:color w:val="212529"/>
                <w:sz w:val="19"/>
              </w:rPr>
              <w:t>September 25, 1995</w:t>
            </w:r>
          </w:p>
        </w:tc>
      </w:tr>
      <w:tr>
        <w:tc>
          <w:tcPr>
            <w:tcW w:type="dxa" w:w="4824"/>
            <w:shd w:fill="EBF0F7"/>
            <w:tcMar>
              <w:top w:w="60" w:type="dxa"/>
              <w:bottom w:w="60" w:type="dxa"/>
              <w:left w:w="120" w:type="dxa"/>
              <w:right w:w="120" w:type="dxa"/>
            </w:tcMar>
          </w:tcPr>
          <w:p>
            <w:pPr>
              <w:spacing w:before="20" w:after="20"/>
            </w:pPr>
            <w:r>
              <w:rPr>
                <w:rFonts w:ascii="Arial" w:hAnsi="Arial"/>
                <w:b/>
                <w:color w:val="0F2043"/>
                <w:sz w:val="19"/>
              </w:rPr>
              <w:t>Ponente / Court:</w:t>
            </w:r>
          </w:p>
        </w:tc>
        <w:tc>
          <w:tcPr>
            <w:tcW w:type="dxa" w:w="4824"/>
            <w:shd w:fill="FAFCFF"/>
            <w:tcMar>
              <w:top w:w="60" w:type="dxa"/>
              <w:bottom w:w="60" w:type="dxa"/>
              <w:left w:w="120" w:type="dxa"/>
              <w:right w:w="120" w:type="dxa"/>
            </w:tcMar>
          </w:tcPr>
          <w:p>
            <w:pPr>
              <w:spacing w:before="20" w:after="20"/>
            </w:pPr>
            <w:r>
              <w:rPr>
                <w:rFonts w:ascii="Calibri" w:hAnsi="Calibri"/>
                <w:b w:val="0"/>
                <w:color w:val="212529"/>
                <w:sz w:val="19"/>
              </w:rPr>
              <w:t>Second Division</w:t>
            </w:r>
          </w:p>
        </w:tc>
      </w:tr>
    </w:tbl>
    <w:p>
      <w:pPr>
        <w:keepNext/>
        <w:spacing w:before="240" w:after="60"/>
      </w:pPr>
      <w:r>
        <w:rPr>
          <w:rFonts w:ascii="Arial" w:hAnsi="Arial"/>
          <w:b/>
          <w:color w:val="0F2043"/>
          <w:sz w:val="21"/>
        </w:rPr>
        <w:t>I. FACTS OF THE CASE</w:t>
      </w:r>
    </w:p>
    <w:tbl>
      <w:tblPr>
        <w:tblW w:type="auto" w:w="0"/>
        <w:jc w:val="center"/>
        <w:tblLook w:firstColumn="1" w:firstRow="1" w:lastColumn="0" w:lastRow="0" w:noHBand="0" w:noVBand="1" w:val="04A0"/>
      </w:tblPr>
      <w:tblGrid>
        <w:gridCol w:w="9648"/>
      </w:tblGrid>
      <w:tr>
        <w:tc>
          <w:tcPr>
            <w:tcW w:type="dxa" w:w="9648"/>
            <w:shd w:fill="F8F9FB"/>
            <w:tcMar>
              <w:top w:w="100" w:type="dxa"/>
              <w:bottom w:w="100" w:type="dxa"/>
              <w:left w:w="160" w:type="dxa"/>
              <w:right w:w="160" w:type="dxa"/>
            </w:tcMar>
          </w:tcPr>
          <w:p>
            <w:pPr>
              <w:spacing w:before="20" w:after="40"/>
            </w:pPr>
            <w:r>
              <w:rPr>
                <w:rFonts w:ascii="Arial" w:hAnsi="Arial"/>
                <w:b/>
                <w:color w:val="0F2043"/>
                <w:sz w:val="19"/>
              </w:rPr>
              <w:t>Material Facts of Controversy</w:t>
              <w:br/>
            </w:r>
          </w:p>
          <w:p>
            <w:pPr>
              <w:spacing w:before="20" w:after="40" w:line="276" w:lineRule="auto"/>
            </w:pPr>
            <w:r>
              <w:rPr>
                <w:rFonts w:ascii="Calibri" w:hAnsi="Calibri"/>
                <w:color w:val="212529"/>
                <w:sz w:val="19"/>
              </w:rPr>
              <w:t>Socorro Ramirez filed a civil action for damages against Ester Garcia for alleged insults and offensive remarks. To support her case, Ramirez secretly tape-recorded a heated confrontation inside Garcia's office without Garcia's consent. Upon discovering the secret recording, Garcia filed a criminal complaint against Ramirez for violation of Republic Act No. 4200 (Anti-Wiretapping Act). Ramirez moved to quash the information, arguing that RA 4200 penalizes only third-party eavesdroppers, not a party who is an active participant in the private conversation.</w:t>
            </w:r>
          </w:p>
        </w:tc>
      </w:tr>
    </w:tbl>
    <w:p>
      <w:pPr>
        <w:keepNext/>
        <w:spacing w:before="240" w:after="60"/>
      </w:pPr>
      <w:r>
        <w:rPr>
          <w:rFonts w:ascii="Arial" w:hAnsi="Arial"/>
          <w:b/>
          <w:color w:val="0F2043"/>
          <w:sz w:val="21"/>
        </w:rPr>
        <w:t>II. FACTS RELEVANT TO STATUTORY CONSTRUCTION</w:t>
      </w:r>
    </w:p>
    <w:tbl>
      <w:tblPr>
        <w:tblW w:type="auto" w:w="0"/>
        <w:jc w:val="center"/>
        <w:tblLook w:firstColumn="1" w:firstRow="1" w:lastColumn="0" w:lastRow="0" w:noHBand="0" w:noVBand="1" w:val="04A0"/>
      </w:tblPr>
      <w:tblGrid>
        <w:gridCol w:w="9648"/>
      </w:tblGrid>
      <w:tr>
        <w:tc>
          <w:tcPr>
            <w:tcW w:type="dxa" w:w="9648"/>
            <w:shd w:fill="F8F9FB"/>
            <w:tcMar>
              <w:top w:w="100" w:type="dxa"/>
              <w:bottom w:w="100" w:type="dxa"/>
              <w:left w:w="160" w:type="dxa"/>
              <w:right w:w="160" w:type="dxa"/>
            </w:tcMar>
          </w:tcPr>
          <w:p>
            <w:pPr>
              <w:spacing w:before="20" w:after="40"/>
            </w:pPr>
            <w:r>
              <w:rPr>
                <w:rFonts w:ascii="Arial" w:hAnsi="Arial"/>
                <w:b/>
                <w:color w:val="0F2043"/>
                <w:sz w:val="19"/>
              </w:rPr>
              <w:t>Facts Giving Rise to Need for Interpretation</w:t>
              <w:br/>
            </w:r>
          </w:p>
          <w:p>
            <w:pPr>
              <w:spacing w:before="20" w:after="40" w:line="276" w:lineRule="auto"/>
            </w:pPr>
            <w:r>
              <w:rPr>
                <w:rFonts w:ascii="Calibri" w:hAnsi="Calibri"/>
                <w:b/>
                <w:color w:val="212529"/>
                <w:sz w:val="19"/>
              </w:rPr>
              <w:t xml:space="preserve">• What provision of law or rule became relevant? </w:t>
            </w:r>
            <w:r>
              <w:rPr>
                <w:rFonts w:ascii="Calibri" w:hAnsi="Calibri"/>
                <w:color w:val="212529"/>
                <w:sz w:val="19"/>
              </w:rPr>
              <w:t>1. Section 1, Republic Act No. 4200 (Anti-Wiretapping Act): Provides that it shall be unlawful for any person, not being authorized by all the parties to any private communication, to secretly record such communication.</w:t>
              <w:br/>
              <w:t>2. Verba Legis Non Est Recedendum (from the words of the statute there should be no departure): When the statutory language is plain and unambiguous, it must be given its literal meaning.</w:t>
            </w:r>
          </w:p>
          <w:p>
            <w:pPr>
              <w:spacing w:before="20" w:after="40" w:line="276" w:lineRule="auto"/>
            </w:pPr>
            <w:r>
              <w:rPr>
                <w:rFonts w:ascii="Calibri" w:hAnsi="Calibri"/>
                <w:b/>
                <w:color w:val="212529"/>
                <w:sz w:val="19"/>
              </w:rPr>
              <w:t xml:space="preserve">• What circumstance made interpretation necessary? </w:t>
            </w:r>
            <w:r>
              <w:rPr>
                <w:rFonts w:ascii="Calibri" w:hAnsi="Calibri"/>
                <w:color w:val="212529"/>
                <w:sz w:val="19"/>
              </w:rPr>
              <w:t>Petitioner attempted to read an unwritten exception into RA 4200 by claiming that participants to conversations are excluded from 'any person'.</w:t>
            </w:r>
          </w:p>
          <w:p>
            <w:pPr>
              <w:spacing w:before="20" w:after="40" w:line="276" w:lineRule="auto"/>
            </w:pPr>
            <w:r>
              <w:rPr>
                <w:rFonts w:ascii="Calibri" w:hAnsi="Calibri"/>
                <w:b/>
                <w:color w:val="212529"/>
                <w:sz w:val="19"/>
              </w:rPr>
              <w:t xml:space="preserve">• What competing interpretations were presented? </w:t>
            </w:r>
            <w:r>
              <w:rPr>
                <w:rFonts w:ascii="Calibri" w:hAnsi="Calibri"/>
                <w:color w:val="212529"/>
                <w:sz w:val="19"/>
              </w:rPr>
              <w:t>Petitioner argued for a favorable interpretation based on statutory intent, while Respondent contended for a literal or restrictive application.</w:t>
            </w:r>
          </w:p>
        </w:tc>
      </w:tr>
    </w:tbl>
    <w:p>
      <w:pPr>
        <w:keepNext/>
        <w:spacing w:before="240" w:after="60"/>
      </w:pPr>
      <w:r>
        <w:rPr>
          <w:rFonts w:ascii="Arial" w:hAnsi="Arial"/>
          <w:b/>
          <w:color w:val="0F2043"/>
          <w:sz w:val="21"/>
        </w:rPr>
        <w:t>III. ISSUES</w:t>
      </w:r>
    </w:p>
    <w:p>
      <w:pPr>
        <w:keepNext/>
        <w:spacing w:before="120" w:after="40"/>
      </w:pPr>
      <w:r>
        <w:rPr>
          <w:rFonts w:ascii="Arial" w:hAnsi="Arial"/>
          <w:b/>
          <w:color w:val="781E1E"/>
          <w:sz w:val="20"/>
        </w:rPr>
        <w:t>A. General Legal Issues</w:t>
      </w:r>
    </w:p>
    <w:p>
      <w:pPr>
        <w:spacing w:before="40" w:after="80" w:line="276" w:lineRule="auto"/>
      </w:pPr>
      <w:r>
        <w:rPr>
          <w:rFonts w:ascii="Calibri" w:hAnsi="Calibri"/>
          <w:i w:val="0"/>
          <w:color w:val="212529"/>
          <w:sz w:val="21"/>
        </w:rPr>
        <w:t>Whether or not Republic Act No. 4200 (The Anti-Wiretapping Act) applies to a party to a private conversation who secretly records it without the consent of all parties.</w:t>
      </w:r>
    </w:p>
    <w:p>
      <w:pPr>
        <w:keepNext/>
        <w:spacing w:before="120" w:after="40"/>
      </w:pPr>
      <w:r>
        <w:rPr>
          <w:rFonts w:ascii="Arial" w:hAnsi="Arial"/>
          <w:b/>
          <w:color w:val="781E1E"/>
          <w:sz w:val="20"/>
        </w:rPr>
        <w:t>B. Statutory-Construction Issue/s</w:t>
      </w:r>
    </w:p>
    <w:tbl>
      <w:tblPr>
        <w:tblW w:type="auto" w:w="0"/>
        <w:jc w:val="center"/>
        <w:tblLook w:firstColumn="1" w:firstRow="1" w:lastColumn="0" w:lastRow="0" w:noHBand="0" w:noVBand="1" w:val="04A0"/>
      </w:tblPr>
      <w:tblGrid>
        <w:gridCol w:w="9648"/>
      </w:tblGrid>
      <w:tr>
        <w:tc>
          <w:tcPr>
            <w:tcW w:type="dxa" w:w="9648"/>
            <w:shd w:fill="EBF3FA"/>
            <w:tcMar>
              <w:top w:w="100" w:type="dxa"/>
              <w:bottom w:w="100" w:type="dxa"/>
              <w:left w:w="160" w:type="dxa"/>
              <w:right w:w="160" w:type="dxa"/>
            </w:tcMar>
          </w:tcPr>
          <w:p>
            <w:pPr>
              <w:spacing w:before="20" w:after="40"/>
            </w:pPr>
            <w:r>
              <w:rPr>
                <w:rFonts w:ascii="Arial" w:hAnsi="Arial"/>
                <w:b/>
                <w:color w:val="0F2043"/>
                <w:sz w:val="19"/>
              </w:rPr>
              <w:t>Standardized StatCon Issue Statement</w:t>
              <w:br/>
            </w:r>
          </w:p>
          <w:p>
            <w:pPr>
              <w:spacing w:before="20" w:after="40" w:line="276" w:lineRule="auto"/>
            </w:pPr>
            <w:r>
              <w:rPr>
                <w:rFonts w:ascii="Calibri" w:hAnsi="Calibri"/>
                <w:color w:val="212529"/>
                <w:sz w:val="19"/>
              </w:rPr>
              <w:t>Whether the subject statutory act, classification, or terminology under the governing statute/rule means, includes, or applies to the factual controversy in Socorro D. Ramirez v. Court of Appeals and Ester S. Garcia, under the canon of Ubi lex non distinguit, nec nos distinguere debemus.</w:t>
            </w:r>
          </w:p>
        </w:tc>
      </w:tr>
    </w:tbl>
    <w:p>
      <w:pPr>
        <w:keepNext/>
        <w:spacing w:before="240" w:after="60"/>
      </w:pPr>
      <w:r>
        <w:rPr>
          <w:rFonts w:ascii="Arial" w:hAnsi="Arial"/>
          <w:b/>
          <w:color w:val="0F2043"/>
          <w:sz w:val="21"/>
        </w:rPr>
        <w:t>IV. PROVISION/S OF LAW CONSTRUED</w:t>
      </w:r>
    </w:p>
    <w:tbl>
      <w:tblPr>
        <w:tblW w:type="auto" w:w="0"/>
        <w:jc w:val="center"/>
        <w:tblLook w:firstColumn="1" w:firstRow="1" w:lastColumn="0" w:lastRow="0" w:noHBand="0" w:noVBand="1" w:val="04A0"/>
      </w:tblPr>
      <w:tblGrid>
        <w:gridCol w:w="9648"/>
      </w:tblGrid>
      <w:tr>
        <w:tc>
          <w:tcPr>
            <w:tcW w:type="dxa" w:w="9648"/>
            <w:shd w:fill="F8F9FB"/>
            <w:tcMar>
              <w:top w:w="100" w:type="dxa"/>
              <w:bottom w:w="100" w:type="dxa"/>
              <w:left w:w="160" w:type="dxa"/>
              <w:right w:w="160" w:type="dxa"/>
            </w:tcMar>
          </w:tcPr>
          <w:p>
            <w:pPr>
              <w:spacing w:before="20" w:after="40"/>
            </w:pPr>
            <w:r>
              <w:rPr>
                <w:rFonts w:ascii="Arial" w:hAnsi="Arial"/>
                <w:b/>
                <w:color w:val="0F2043"/>
                <w:sz w:val="19"/>
              </w:rPr>
              <w:t>Statutory / Constitutional Text &amp; Problem</w:t>
              <w:br/>
            </w:r>
          </w:p>
          <w:p>
            <w:pPr>
              <w:spacing w:before="20" w:after="40" w:line="276" w:lineRule="auto"/>
            </w:pPr>
            <w:r>
              <w:rPr>
                <w:rFonts w:ascii="Calibri" w:hAnsi="Calibri"/>
                <w:b/>
                <w:color w:val="212529"/>
                <w:sz w:val="19"/>
              </w:rPr>
              <w:t xml:space="preserve">• Quoted Provision: </w:t>
            </w:r>
            <w:r>
              <w:rPr>
                <w:rFonts w:ascii="Calibri" w:hAnsi="Calibri"/>
                <w:color w:val="212529"/>
                <w:sz w:val="19"/>
              </w:rPr>
              <w:t>1. Section 1, Republic Act No. 4200 (Anti-Wiretapping Act): Provides that it shall be unlawful for any person, not being authorized by all the parties to any private communication, to secretly record such communication.</w:t>
              <w:br/>
              <w:t>2. Verba Legis Non Est Recedendum (from the words of the statute there should be no departure): When the statutory language is plain and unambiguous, it must be given its literal meaning.</w:t>
            </w:r>
          </w:p>
          <w:p>
            <w:pPr>
              <w:spacing w:before="20" w:after="40" w:line="276" w:lineRule="auto"/>
            </w:pPr>
            <w:r>
              <w:rPr>
                <w:rFonts w:ascii="Calibri" w:hAnsi="Calibri"/>
                <w:b/>
                <w:color w:val="212529"/>
                <w:sz w:val="19"/>
              </w:rPr>
              <w:t xml:space="preserve">• Interpretive Problem: </w:t>
            </w:r>
            <w:r>
              <w:rPr>
                <w:rFonts w:ascii="Calibri" w:hAnsi="Calibri"/>
                <w:color w:val="212529"/>
                <w:sz w:val="19"/>
              </w:rPr>
              <w:t>The statutory language makes no distinction or exception, presenting the problem of whether administrative or judicial distinctions can be legally imported.</w:t>
            </w:r>
          </w:p>
        </w:tc>
      </w:tr>
    </w:tbl>
    <w:p>
      <w:pPr>
        <w:keepNext/>
        <w:spacing w:before="240" w:after="60"/>
      </w:pPr>
      <w:r>
        <w:rPr>
          <w:rFonts w:ascii="Arial" w:hAnsi="Arial"/>
          <w:b/>
          <w:color w:val="0F2043"/>
          <w:sz w:val="21"/>
        </w:rPr>
        <w:t>V. RULING OF THE SUPREME COURT</w:t>
      </w:r>
    </w:p>
    <w:p>
      <w:pPr>
        <w:keepNext/>
        <w:spacing w:before="120" w:after="40"/>
      </w:pPr>
      <w:r>
        <w:rPr>
          <w:rFonts w:ascii="Arial" w:hAnsi="Arial"/>
          <w:b/>
          <w:color w:val="781E1E"/>
          <w:sz w:val="20"/>
        </w:rPr>
        <w:t>A. General Ruling</w:t>
      </w:r>
    </w:p>
    <w:p>
      <w:pPr>
        <w:spacing w:before="40" w:after="80" w:line="276" w:lineRule="auto"/>
      </w:pPr>
      <w:r>
        <w:rPr>
          <w:rFonts w:ascii="Calibri" w:hAnsi="Calibri"/>
          <w:i w:val="0"/>
          <w:color w:val="212529"/>
          <w:sz w:val="21"/>
        </w:rPr>
        <w:t>The Supreme Court AFFIRMED the Court of Appeals decision, holding that the criminal information against Socorro Ramirez for violation of RA 4200 was valid and properly charged.</w:t>
      </w:r>
    </w:p>
    <w:p>
      <w:pPr>
        <w:keepNext/>
        <w:spacing w:before="120" w:after="40"/>
      </w:pPr>
      <w:r>
        <w:rPr>
          <w:rFonts w:ascii="Arial" w:hAnsi="Arial"/>
          <w:b/>
          <w:color w:val="781E1E"/>
          <w:sz w:val="20"/>
        </w:rPr>
        <w:t>B. Ruling on the Statutory-Construction Issue</w:t>
      </w:r>
    </w:p>
    <w:tbl>
      <w:tblPr>
        <w:tblW w:type="auto" w:w="0"/>
        <w:jc w:val="center"/>
        <w:tblLook w:firstColumn="1" w:firstRow="1" w:lastColumn="0" w:lastRow="0" w:noHBand="0" w:noVBand="1" w:val="04A0"/>
      </w:tblPr>
      <w:tblGrid>
        <w:gridCol w:w="9648"/>
      </w:tblGrid>
      <w:tr>
        <w:tc>
          <w:tcPr>
            <w:tcW w:type="dxa" w:w="9648"/>
            <w:shd w:fill="F4FAF5"/>
            <w:tcMar>
              <w:top w:w="100" w:type="dxa"/>
              <w:bottom w:w="100" w:type="dxa"/>
              <w:left w:w="160" w:type="dxa"/>
              <w:right w:w="160" w:type="dxa"/>
            </w:tcMar>
          </w:tcPr>
          <w:p>
            <w:pPr>
              <w:spacing w:before="20" w:after="40"/>
            </w:pPr>
            <w:r>
              <w:rPr>
                <w:rFonts w:ascii="Arial" w:hAnsi="Arial"/>
                <w:b/>
                <w:color w:val="0F2043"/>
                <w:sz w:val="19"/>
              </w:rPr>
              <w:t>Statutory Meaning Established by Court</w:t>
              <w:br/>
            </w:r>
          </w:p>
          <w:p>
            <w:pPr>
              <w:spacing w:before="20" w:after="40" w:line="276" w:lineRule="auto"/>
            </w:pPr>
            <w:r>
              <w:rPr>
                <w:rFonts w:ascii="Calibri" w:hAnsi="Calibri"/>
                <w:color w:val="212529"/>
                <w:sz w:val="19"/>
              </w:rPr>
              <w:t>YES. Section 1 of RA 4200 applies to ANY PERSON, including a participant in the conversation. The statutory phrase 'any person' is absolute and admits of no judicial qualification.</w:t>
            </w:r>
          </w:p>
        </w:tc>
      </w:tr>
    </w:tbl>
    <w:p>
      <w:pPr>
        <w:keepNext/>
        <w:spacing w:before="240" w:after="60"/>
      </w:pPr>
      <w:r>
        <w:rPr>
          <w:rFonts w:ascii="Arial" w:hAnsi="Arial"/>
          <w:b/>
          <w:color w:val="0F2043"/>
          <w:sz w:val="21"/>
        </w:rPr>
        <w:t>VI. HOW THE COURT CONSTRUED THE LAW</w:t>
      </w:r>
    </w:p>
    <w:tbl>
      <w:tblPr>
        <w:tblW w:type="auto" w:w="0"/>
        <w:jc w:val="center"/>
        <w:tblLook w:firstColumn="1" w:firstRow="1" w:lastColumn="0" w:lastRow="0" w:noHBand="0" w:noVBand="1" w:val="04A0"/>
      </w:tblPr>
      <w:tblGrid>
        <w:gridCol w:w="9648"/>
      </w:tblGrid>
      <w:tr>
        <w:tc>
          <w:tcPr>
            <w:tcW w:type="dxa" w:w="9648"/>
            <w:shd w:fill="F8F9FB"/>
            <w:tcMar>
              <w:top w:w="100" w:type="dxa"/>
              <w:bottom w:w="100" w:type="dxa"/>
              <w:left w:w="160" w:type="dxa"/>
              <w:right w:w="160" w:type="dxa"/>
            </w:tcMar>
          </w:tcPr>
          <w:p>
            <w:pPr>
              <w:spacing w:before="20" w:after="40"/>
            </w:pPr>
            <w:r>
              <w:rPr>
                <w:rFonts w:ascii="Arial" w:hAnsi="Arial"/>
                <w:b/>
                <w:color w:val="0F2043"/>
                <w:sz w:val="19"/>
              </w:rPr>
              <w:t>Methodological &amp; Doctrinal Analysis</w:t>
              <w:br/>
            </w:r>
          </w:p>
          <w:p>
            <w:pPr>
              <w:spacing w:before="20" w:after="40" w:line="276" w:lineRule="auto"/>
            </w:pPr>
            <w:r>
              <w:rPr>
                <w:rFonts w:ascii="Calibri" w:hAnsi="Calibri"/>
                <w:b/>
                <w:color w:val="212529"/>
                <w:sz w:val="19"/>
              </w:rPr>
              <w:t xml:space="preserve">A. Why Was Construction Necessary? </w:t>
            </w:r>
            <w:r>
              <w:rPr>
                <w:rFonts w:ascii="Calibri" w:hAnsi="Calibri"/>
                <w:color w:val="212529"/>
                <w:sz w:val="19"/>
              </w:rPr>
              <w:t>Ambiguity in the application and scope of the statute: Petitioner attempted to read an unwritten exception into RA 4200 by claiming that participants to conversations are excluded from 'any perso.</w:t>
            </w:r>
          </w:p>
          <w:p>
            <w:pPr>
              <w:spacing w:before="20" w:after="40" w:line="276" w:lineRule="auto"/>
            </w:pPr>
            <w:r>
              <w:rPr>
                <w:rFonts w:ascii="Calibri" w:hAnsi="Calibri"/>
                <w:b/>
                <w:color w:val="212529"/>
                <w:sz w:val="19"/>
              </w:rPr>
              <w:t xml:space="preserve">B. Purpose of Construction: </w:t>
            </w:r>
            <w:r>
              <w:rPr>
                <w:rFonts w:ascii="Calibri" w:hAnsi="Calibri"/>
                <w:color w:val="212529"/>
                <w:sz w:val="19"/>
              </w:rPr>
              <w:t>To ascertain and give full effect to the true intent, spirit, and purpose of the lawmaking body.</w:t>
            </w:r>
          </w:p>
          <w:p>
            <w:pPr>
              <w:spacing w:before="20" w:after="40" w:line="276" w:lineRule="auto"/>
            </w:pPr>
            <w:r>
              <w:rPr>
                <w:rFonts w:ascii="Calibri" w:hAnsi="Calibri"/>
                <w:b/>
                <w:color w:val="212529"/>
                <w:sz w:val="19"/>
              </w:rPr>
              <w:t xml:space="preserve">C. Method, Canon, or Rule Applied: </w:t>
            </w:r>
            <w:r>
              <w:rPr>
                <w:rFonts w:ascii="Calibri" w:hAnsi="Calibri"/>
                <w:color w:val="212529"/>
                <w:sz w:val="19"/>
              </w:rPr>
              <w:t>Ubi lex non distinguit, nec nos distinguere debemus</w:t>
              <w:br/>
              <w:t xml:space="preserve">   - Application: Universal Application of General Terms: When a statute employs broad, comprehensive language ('any person') without qualification, courts must apply it universally.</w:t>
              <w:br/>
              <w:t xml:space="preserve">   - Result: Yes. The law clearly says 'any person' who records a private conversation without consent of all parties commits a crime. Because the law did not make an exception for participants, the court cannot create one.</w:t>
            </w:r>
          </w:p>
          <w:p>
            <w:pPr>
              <w:spacing w:before="20" w:after="40" w:line="276" w:lineRule="auto"/>
            </w:pPr>
            <w:r>
              <w:rPr>
                <w:rFonts w:ascii="Calibri" w:hAnsi="Calibri"/>
                <w:b/>
                <w:color w:val="212529"/>
                <w:sz w:val="19"/>
              </w:rPr>
              <w:t xml:space="preserve">D. Other Sources Used: </w:t>
            </w:r>
            <w:r>
              <w:rPr>
                <w:rFonts w:ascii="Calibri" w:hAnsi="Calibri"/>
                <w:color w:val="212529"/>
                <w:sz w:val="19"/>
              </w:rPr>
              <w:t>Ordinary meaning of words, statute considered as a whole, legislative history, and established Supreme Court jurisprudence.</w:t>
            </w:r>
          </w:p>
        </w:tc>
      </w:tr>
    </w:tbl>
    <w:p>
      <w:pPr>
        <w:keepNext/>
        <w:spacing w:before="240" w:after="60"/>
      </w:pPr>
      <w:r>
        <w:rPr>
          <w:rFonts w:ascii="Arial" w:hAnsi="Arial"/>
          <w:b/>
          <w:color w:val="0F2043"/>
          <w:sz w:val="21"/>
        </w:rPr>
        <w:t>VII. RELEVANT STATUTORY-CONSTRUCTION CONCEPTS (A–L EVALUATION)</w:t>
      </w:r>
    </w:p>
    <w:tbl>
      <w:tblPr>
        <w:tblW w:type="auto" w:w="0"/>
        <w:jc w:val="center"/>
        <w:tblLook w:firstColumn="1" w:firstRow="1" w:lastColumn="0" w:lastRow="0" w:noHBand="0" w:noVBand="1" w:val="04A0"/>
      </w:tblPr>
      <w:tblGrid>
        <w:gridCol w:w="4824"/>
        <w:gridCol w:w="4824"/>
      </w:tblGrid>
      <w:tr>
        <w:tc>
          <w:tcPr>
            <w:tcW w:type="dxa" w:w="4824"/>
            <w:shd w:fill="EBF0F8"/>
            <w:tcMar>
              <w:top w:w="70" w:type="dxa"/>
              <w:bottom w:w="70" w:type="dxa"/>
              <w:left w:w="100" w:type="dxa"/>
              <w:right w:w="100" w:type="dxa"/>
            </w:tcMar>
          </w:tcPr>
          <w:p>
            <w:pPr>
              <w:spacing w:before="20" w:after="20"/>
            </w:pPr>
            <w:r>
              <w:rPr>
                <w:rFonts w:ascii="Arial" w:hAnsi="Arial"/>
                <w:b/>
                <w:color w:val="0F2043"/>
                <w:sz w:val="18"/>
              </w:rPr>
              <w:t>A. Situs of Statutory Construction</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Supreme Court of the Philippines, exercising its constitutional judicial power under Article VIII of the Constitution, serves as the ultimate situs and final arbiter for interpreting and construing the disputed provision.</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B. Purpose of Statutory Construction</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purpose of construction is to discover and effectuate the true legislative intent and will of the lawmaking body, preventing injustice and ensuring the statute operates harmoniously.</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C. When to Construe</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Court reaffirmed the cardinal threshold rule: Construction and interpretation are proper only where the statute is ambiguous, doubtful, or susceptible of multiple meanings. Where the law is clear, no construction is warranted.</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D. Ambiguity or Vagueness</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781E1E"/>
                <w:sz w:val="17"/>
              </w:rPr>
              <w:t xml:space="preserve"> [NOT APPLICABLE] </w:t>
            </w:r>
            <w:r>
              <w:rPr>
                <w:rFonts w:ascii="Calibri" w:hAnsi="Calibri"/>
                <w:color w:val="212529"/>
                <w:sz w:val="18"/>
              </w:rPr>
              <w:t>Not Applicable. The statutory language was clear and unambiguous; the Court declined to find ambiguity where none existed in the text.</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E. Verba Legis Non Est Recedendum</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Court adhered strictly to the literal wording of the statute, holding that from the words of a statute there should be no departure.</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F. Absoluta Sententia Expositore Non Indigent</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Court held that when the language of the law is clear and unequivocal, it requires no interpreter and leaves no room for judicial construction.</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G. Legislative Intent</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Court analyzed the true intent and policy of the lawmaking authority, ensuring that the statutory purpose is preserved and not defeated by erroneous administrative or private interpretations.</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H. Strict or Liberal Construction</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781E1E"/>
                <w:sz w:val="17"/>
              </w:rPr>
              <w:t xml:space="preserve"> [NOT APPLICABLE] </w:t>
            </w:r>
            <w:r>
              <w:rPr>
                <w:rFonts w:ascii="Calibri" w:hAnsi="Calibri"/>
                <w:color w:val="212529"/>
                <w:sz w:val="18"/>
              </w:rPr>
              <w:t>Not Applicable. The Court applied standard ordinary rules of statutory interpretation without resorting to special strict or liberal construction doctrines.</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I. Prospective or Retrospective Construction</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781E1E"/>
                <w:sz w:val="17"/>
              </w:rPr>
              <w:t xml:space="preserve"> [NOT APPLICABLE] </w:t>
            </w:r>
            <w:r>
              <w:rPr>
                <w:rFonts w:ascii="Calibri" w:hAnsi="Calibri"/>
                <w:color w:val="212529"/>
                <w:sz w:val="18"/>
              </w:rPr>
              <w:t>Not Applicable. The case involved only the contemporaneous, prospective application of the governing law.</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J. Statutory Construction vs. Judicial Legislation</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Court underscored the constitutional boundary of judicial power: Courts are empowered solely to interpret (jus dicere), not to enact or amend laws (jus dare). Supplying unwritten terms or expanding clear prohibitions constitutes prohibited judicial legislation.</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K. Legis Interpretatio Legis Vim Obtinet</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Under Article 8 of the Civil Code, the Supreme Court's authoritative interpretation of the statute forms part of the legal system of the Philippines and acquires the force of law (*legis interpretatio legis vim obtinet*).</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L. Extent and Limits of the Power to Construe</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Court respected the constitutional limits of its authority by applying the law as written and refusing to invade the legislative domain under the guise of equity or expediency.</w:t>
            </w:r>
          </w:p>
        </w:tc>
      </w:tr>
    </w:tbl>
    <w:p>
      <w:pPr>
        <w:keepNext/>
        <w:spacing w:before="240" w:after="60"/>
      </w:pPr>
      <w:r>
        <w:rPr>
          <w:rFonts w:ascii="Arial" w:hAnsi="Arial"/>
          <w:b/>
          <w:color w:val="0F2043"/>
          <w:sz w:val="21"/>
        </w:rPr>
        <w:t>VIII. OTHER CANONS OR METHODS OF CONSTRUCTION</w:t>
      </w:r>
    </w:p>
    <w:tbl>
      <w:tblPr>
        <w:tblW w:type="auto" w:w="0"/>
        <w:jc w:val="center"/>
        <w:tblLook w:firstColumn="1" w:firstRow="1" w:lastColumn="0" w:lastRow="0" w:noHBand="0" w:noVBand="1" w:val="04A0"/>
      </w:tblPr>
      <w:tblGrid>
        <w:gridCol w:w="9648"/>
      </w:tblGrid>
      <w:tr>
        <w:tc>
          <w:tcPr>
            <w:tcW w:type="dxa" w:w="9648"/>
            <w:shd w:fill="F8F9FB"/>
            <w:tcMar>
              <w:top w:w="100" w:type="dxa"/>
              <w:bottom w:w="100" w:type="dxa"/>
              <w:left w:w="160" w:type="dxa"/>
              <w:right w:w="160" w:type="dxa"/>
            </w:tcMar>
          </w:tcPr>
          <w:p>
            <w:pPr>
              <w:spacing w:before="20" w:after="40"/>
            </w:pPr>
            <w:r>
              <w:rPr>
                <w:rFonts w:ascii="Arial" w:hAnsi="Arial"/>
                <w:b/>
                <w:color w:val="0F2043"/>
                <w:sz w:val="19"/>
              </w:rPr>
              <w:t>Secondary Rules &amp; Canons Applied</w:t>
              <w:br/>
            </w:r>
          </w:p>
          <w:p>
            <w:pPr>
              <w:spacing w:before="20" w:after="40" w:line="276" w:lineRule="auto"/>
            </w:pPr>
            <w:r>
              <w:rPr>
                <w:rFonts w:ascii="Calibri" w:hAnsi="Calibri"/>
                <w:b/>
                <w:color w:val="212529"/>
                <w:sz w:val="19"/>
              </w:rPr>
              <w:t xml:space="preserve">• Canon / Maxim: </w:t>
            </w:r>
            <w:r>
              <w:rPr>
                <w:rFonts w:ascii="Calibri" w:hAnsi="Calibri"/>
                <w:color w:val="212529"/>
                <w:sz w:val="19"/>
              </w:rPr>
              <w:t>• Verba legis non est recedendum (from the words of the statute there should be no departure)</w:t>
              <w:br/>
              <w:t>• Index animi sermo est (speech is the index of legislative intent)</w:t>
            </w:r>
          </w:p>
          <w:p>
            <w:pPr>
              <w:spacing w:before="20" w:after="40" w:line="276" w:lineRule="auto"/>
            </w:pPr>
            <w:r>
              <w:rPr>
                <w:rFonts w:ascii="Calibri" w:hAnsi="Calibri"/>
                <w:b/>
                <w:color w:val="212529"/>
                <w:sz w:val="19"/>
              </w:rPr>
              <w:t xml:space="preserve">• How Applied: </w:t>
            </w:r>
            <w:r>
              <w:rPr>
                <w:rFonts w:ascii="Calibri" w:hAnsi="Calibri"/>
                <w:color w:val="212529"/>
                <w:sz w:val="19"/>
              </w:rPr>
              <w:t>Applied as corroborative canons to reinforce the primary rule of construction.</w:t>
            </w:r>
          </w:p>
          <w:p>
            <w:pPr>
              <w:spacing w:before="20" w:after="40" w:line="276" w:lineRule="auto"/>
            </w:pPr>
            <w:r>
              <w:rPr>
                <w:rFonts w:ascii="Calibri" w:hAnsi="Calibri"/>
                <w:b/>
                <w:color w:val="212529"/>
                <w:sz w:val="19"/>
              </w:rPr>
              <w:t xml:space="preserve">• Effect on Interpretation: </w:t>
            </w:r>
            <w:r>
              <w:rPr>
                <w:rFonts w:ascii="Calibri" w:hAnsi="Calibri"/>
                <w:color w:val="212529"/>
                <w:sz w:val="19"/>
              </w:rPr>
              <w:t>Harmonized the statute and prevented an absurd or unjust result.</w:t>
            </w:r>
          </w:p>
        </w:tc>
      </w:tr>
    </w:tbl>
    <w:p>
      <w:pPr>
        <w:keepNext/>
        <w:spacing w:before="240" w:after="60"/>
      </w:pPr>
      <w:r>
        <w:rPr>
          <w:rFonts w:ascii="Arial" w:hAnsi="Arial"/>
          <w:b/>
          <w:color w:val="0F2043"/>
          <w:sz w:val="21"/>
        </w:rPr>
        <w:t>IX. THE CONSTRUCTION MADE BY THE COURT</w:t>
      </w:r>
    </w:p>
    <w:tbl>
      <w:tblPr>
        <w:tblW w:type="auto" w:w="0"/>
        <w:jc w:val="center"/>
        <w:tblLook w:firstColumn="1" w:firstRow="1" w:lastColumn="0" w:lastRow="0" w:noHBand="0" w:noVBand="1" w:val="04A0"/>
      </w:tblPr>
      <w:tblGrid>
        <w:gridCol w:w="9648"/>
      </w:tblGrid>
      <w:tr>
        <w:tc>
          <w:tcPr>
            <w:tcW w:type="dxa" w:w="9648"/>
            <w:shd w:fill="F9F8F5"/>
            <w:tcMar>
              <w:top w:w="100" w:type="dxa"/>
              <w:bottom w:w="100" w:type="dxa"/>
              <w:left w:w="160" w:type="dxa"/>
              <w:right w:w="160" w:type="dxa"/>
            </w:tcMar>
          </w:tcPr>
          <w:p>
            <w:pPr>
              <w:spacing w:before="20" w:after="40"/>
            </w:pPr>
            <w:r>
              <w:rPr>
                <w:rFonts w:ascii="Arial" w:hAnsi="Arial"/>
                <w:b/>
                <w:color w:val="0F2043"/>
                <w:sz w:val="19"/>
              </w:rPr>
              <w:t>Actual Judicial Construction &amp; Ratio</w:t>
              <w:br/>
            </w:r>
          </w:p>
          <w:p>
            <w:pPr>
              <w:spacing w:before="20" w:after="40" w:line="276" w:lineRule="auto"/>
            </w:pPr>
            <w:r>
              <w:rPr>
                <w:rFonts w:ascii="Calibri" w:hAnsi="Calibri"/>
                <w:b/>
                <w:color w:val="212529"/>
                <w:sz w:val="19"/>
              </w:rPr>
              <w:t xml:space="preserve">• Construction Summary: </w:t>
            </w:r>
            <w:r>
              <w:rPr>
                <w:rFonts w:ascii="Calibri" w:hAnsi="Calibri"/>
                <w:color w:val="212529"/>
                <w:sz w:val="19"/>
              </w:rPr>
              <w:t>The Court construed the disputed statutory provisions in Socorro D. Ramirez v. Court of Appeals and Ester S. Garcia to mean and apply strictly in accordance with Ubi lex non distinguit, nec nos distinguere debemus, holding that Yes. The law clearly says 'any person' who records a private conversation without consent of all parties commits a crime. Because the law did not make an except.</w:t>
            </w:r>
          </w:p>
          <w:p>
            <w:pPr>
              <w:spacing w:before="20" w:after="40" w:line="276" w:lineRule="auto"/>
            </w:pPr>
            <w:r>
              <w:rPr>
                <w:rFonts w:ascii="Calibri" w:hAnsi="Calibri"/>
                <w:b/>
                <w:color w:val="212529"/>
                <w:sz w:val="19"/>
              </w:rPr>
              <w:t xml:space="preserve">• Principal Reasoning: </w:t>
            </w:r>
            <w:r>
              <w:rPr>
                <w:rFonts w:ascii="Calibri" w:hAnsi="Calibri"/>
                <w:color w:val="212529"/>
                <w:sz w:val="19"/>
              </w:rPr>
              <w:t>The statute says 'any person' and requires consent of 'all parties'. If one person secretly records without the other's consent, the statute is breached. The court cannot add exceptions that Congress left out.</w:t>
            </w:r>
          </w:p>
        </w:tc>
      </w:tr>
    </w:tbl>
    <w:tbl>
      <w:tblPr>
        <w:tblW w:type="auto" w:w="0"/>
        <w:jc w:val="center"/>
        <w:tblLook w:firstColumn="1" w:firstRow="1" w:lastColumn="0" w:lastRow="0" w:noHBand="0" w:noVBand="1" w:val="04A0"/>
      </w:tblPr>
      <w:tblGrid>
        <w:gridCol w:w="9648"/>
      </w:tblGrid>
      <w:tr>
        <w:tc>
          <w:tcPr>
            <w:tcW w:type="dxa" w:w="9648"/>
            <w:shd w:fill="EEF6F0"/>
            <w:tcMar>
              <w:top w:w="100" w:type="dxa"/>
              <w:bottom w:w="100" w:type="dxa"/>
              <w:left w:w="160" w:type="dxa"/>
              <w:right w:w="160" w:type="dxa"/>
            </w:tcMar>
          </w:tcPr>
          <w:p>
            <w:pPr>
              <w:spacing w:before="20" w:after="40"/>
            </w:pPr>
            <w:r>
              <w:rPr>
                <w:rFonts w:ascii="Arial" w:hAnsi="Arial"/>
                <w:b/>
                <w:color w:val="0D6E4B"/>
                <w:sz w:val="19"/>
              </w:rPr>
              <w:t>X. STATUTORY CONSTRUCTION OR JUDICIAL LEGISLATION?</w:t>
              <w:br/>
            </w:r>
          </w:p>
          <w:p>
            <w:pPr>
              <w:spacing w:before="20" w:after="60"/>
            </w:pPr>
            <w:r>
              <w:rPr>
                <w:rFonts w:ascii="Arial" w:hAnsi="Arial"/>
                <w:b/>
                <w:color w:val="0F2043"/>
                <w:sz w:val="19"/>
              </w:rPr>
              <w:t>☑ Proper statutory construction    ☐ Judicial legislation    ☐ Debatable</w:t>
            </w:r>
          </w:p>
          <w:p>
            <w:pPr>
              <w:spacing w:before="40" w:after="40" w:line="276" w:lineRule="auto"/>
            </w:pPr>
            <w:r>
              <w:rPr>
                <w:rFonts w:ascii="Calibri" w:hAnsi="Calibri"/>
                <w:b/>
                <w:color w:val="212529"/>
                <w:sz w:val="19"/>
              </w:rPr>
              <w:t>Explanation (3–5 sentences):</w:t>
              <w:br/>
            </w:r>
            <w:r>
              <w:rPr>
                <w:rFonts w:ascii="Calibri" w:hAnsi="Calibri"/>
                <w:color w:val="212529"/>
                <w:sz w:val="19"/>
              </w:rPr>
              <w:t>The Supreme Court acted within the legitimate bounds of its constitutional power to interpret the law (jus dicere). By applying Ubi lex non distinguit, nec nos distinguere debemus, the Court faithfully effectuated the legislative intent without creating new rules, modifying clear statutory text, or usurping congressional prerogative. The ruling reinforces the separation of powers and the doctrine that courts must enforce the law as enacted.</w:t>
            </w:r>
          </w:p>
        </w:tc>
      </w:tr>
    </w:tbl>
    <w:p>
      <w:pPr>
        <w:spacing w:before="80" w:after="40"/>
      </w:pPr>
    </w:p>
    <w:tbl>
      <w:tblPr>
        <w:tblW w:type="auto" w:w="0"/>
        <w:jc w:val="center"/>
        <w:tblLook w:firstColumn="1" w:firstRow="1" w:lastColumn="0" w:lastRow="0" w:noHBand="0" w:noVBand="1" w:val="04A0"/>
      </w:tblPr>
      <w:tblGrid>
        <w:gridCol w:w="9648"/>
      </w:tblGrid>
      <w:tr>
        <w:tc>
          <w:tcPr>
            <w:tcW w:type="dxa" w:w="9648"/>
            <w:shd w:fill="FBF6EE"/>
            <w:tcMar>
              <w:top w:w="100" w:type="dxa"/>
              <w:bottom w:w="100" w:type="dxa"/>
              <w:left w:w="160" w:type="dxa"/>
              <w:right w:w="160" w:type="dxa"/>
            </w:tcMar>
          </w:tcPr>
          <w:p>
            <w:pPr>
              <w:spacing w:before="20" w:after="40"/>
            </w:pPr>
            <w:r>
              <w:rPr>
                <w:rFonts w:ascii="Arial" w:hAnsi="Arial"/>
                <w:b/>
                <w:color w:val="8C3200"/>
                <w:sz w:val="19"/>
              </w:rPr>
              <w:t>XI. DOCTRINE (Statutory Construction Principle):</w:t>
              <w:br/>
            </w:r>
            <w:r>
              <w:rPr>
                <w:rFonts w:ascii="Calibri" w:hAnsi="Calibri"/>
                <w:color w:val="212529"/>
                <w:sz w:val="19"/>
              </w:rPr>
              <w:t>Universal Application of General Terms: When a statute employs broad, comprehensive language ('any person') without qualification, courts must apply it universally.</w:t>
              <w:br/>
              <w:br/>
            </w:r>
          </w:p>
          <w:p>
            <w:pPr>
              <w:spacing w:before="20" w:after="40"/>
            </w:pPr>
            <w:r>
              <w:rPr>
                <w:rFonts w:ascii="Arial" w:hAnsi="Arial"/>
                <w:b/>
                <w:color w:val="8C3200"/>
                <w:sz w:val="19"/>
              </w:rPr>
              <w:t>XII. ONE-SENTENCE TAKEAWAY:</w:t>
              <w:br/>
            </w:r>
            <w:r>
              <w:rPr>
                <w:rFonts w:ascii="Calibri" w:hAnsi="Calibri"/>
                <w:i/>
                <w:color w:val="212529"/>
                <w:sz w:val="19"/>
              </w:rPr>
              <w:t>This case is important in Statutory Construction because When the law uses a universal word like 'anyone' without exceptions, courts cannot create an exception for a specific person.</w:t>
            </w:r>
          </w:p>
        </w:tc>
      </w:tr>
    </w:tbl>
    <w:p>
      <w:r>
        <w:br w:type="page"/>
      </w:r>
    </w:p>
    <w:p>
      <w:pPr>
        <w:keepNext/>
        <w:spacing w:before="320" w:after="80"/>
      </w:pPr>
      <w:r>
        <w:rPr>
          <w:rFonts w:ascii="Arial" w:hAnsi="Arial"/>
          <w:b/>
          <w:color w:val="0F2043"/>
          <w:sz w:val="26"/>
        </w:rPr>
        <w:t>24. ANA TORRES V. JOSE LIMJAP</w:t>
      </w:r>
    </w:p>
    <w:p>
      <w:pPr>
        <w:spacing w:before="40" w:after="80" w:line="276" w:lineRule="auto"/>
      </w:pPr>
      <w:r>
        <w:rPr>
          <w:rFonts w:ascii="Calibri" w:hAnsi="Calibri"/>
          <w:b/>
          <w:color w:val="212529"/>
          <w:sz w:val="21"/>
        </w:rPr>
        <w:t xml:space="preserve">Citation: </w:t>
      </w:r>
      <w:r>
        <w:rPr>
          <w:rFonts w:ascii="Calibri" w:hAnsi="Calibri"/>
          <w:i/>
          <w:color w:val="212529"/>
          <w:sz w:val="21"/>
        </w:rPr>
        <w:t>G.R. No. 34385-86 | September 21, 1931 | 56 Phil. 141 | En Banc | Ponente: J. Johnson</w:t>
      </w:r>
    </w:p>
    <w:p>
      <w:pPr>
        <w:keepNext/>
        <w:spacing w:before="200" w:after="40"/>
      </w:pPr>
      <w:r>
        <w:rPr>
          <w:rFonts w:ascii="Arial" w:hAnsi="Arial"/>
          <w:b/>
          <w:color w:val="781E1E"/>
          <w:sz w:val="22"/>
        </w:rPr>
        <w:t>LAYER A: ALAC DIGEST, RECITATION SCRIPT &amp; STATCON ANALYSIS</w:t>
      </w:r>
    </w:p>
    <w:p>
      <w:pPr>
        <w:keepNext/>
        <w:spacing w:before="200" w:after="40"/>
      </w:pPr>
      <w:r>
        <w:rPr>
          <w:rFonts w:ascii="Arial" w:hAnsi="Arial"/>
          <w:b/>
          <w:color w:val="781E1E"/>
          <w:sz w:val="22"/>
        </w:rPr>
        <w:t>I. PARTIES &amp; PROCEDURAL BACKGROUND</w:t>
      </w:r>
    </w:p>
    <w:p>
      <w:pPr>
        <w:spacing w:before="40" w:after="80" w:line="276" w:lineRule="auto"/>
      </w:pPr>
      <w:r>
        <w:rPr>
          <w:rFonts w:ascii="Calibri" w:hAnsi="Calibri"/>
          <w:b/>
          <w:color w:val="212529"/>
          <w:sz w:val="21"/>
        </w:rPr>
        <w:t xml:space="preserve">• Plaintiff/Petitioner: </w:t>
      </w:r>
      <w:r>
        <w:rPr>
          <w:rFonts w:ascii="Calibri" w:hAnsi="Calibri"/>
          <w:i w:val="0"/>
          <w:color w:val="212529"/>
          <w:sz w:val="21"/>
        </w:rPr>
        <w:t>Ana Torres (Plaintiff-Appellee)</w:t>
      </w:r>
    </w:p>
    <w:p>
      <w:pPr>
        <w:spacing w:before="40" w:after="80" w:line="276" w:lineRule="auto"/>
      </w:pPr>
      <w:r>
        <w:rPr>
          <w:rFonts w:ascii="Calibri" w:hAnsi="Calibri"/>
          <w:b/>
          <w:color w:val="212529"/>
          <w:sz w:val="21"/>
        </w:rPr>
        <w:t xml:space="preserve">• Defendant/Respondent: </w:t>
      </w:r>
      <w:r>
        <w:rPr>
          <w:rFonts w:ascii="Calibri" w:hAnsi="Calibri"/>
          <w:i w:val="0"/>
          <w:color w:val="212529"/>
          <w:sz w:val="21"/>
        </w:rPr>
        <w:t>Jose Limjap (Defendant-Appellant)</w:t>
      </w:r>
    </w:p>
    <w:p>
      <w:pPr>
        <w:spacing w:before="40" w:after="80" w:line="276" w:lineRule="auto"/>
      </w:pPr>
      <w:r>
        <w:rPr>
          <w:rFonts w:ascii="Calibri" w:hAnsi="Calibri"/>
          <w:b/>
          <w:color w:val="212529"/>
          <w:sz w:val="21"/>
        </w:rPr>
        <w:t xml:space="preserve">• Originating Court: </w:t>
      </w:r>
      <w:r>
        <w:rPr>
          <w:rFonts w:ascii="Calibri" w:hAnsi="Calibri"/>
          <w:i w:val="0"/>
          <w:color w:val="212529"/>
          <w:sz w:val="21"/>
        </w:rPr>
        <w:t>Court of First Instance of Manila</w:t>
      </w:r>
    </w:p>
    <w:p>
      <w:pPr>
        <w:spacing w:before="40" w:after="80" w:line="276" w:lineRule="auto"/>
      </w:pPr>
      <w:r>
        <w:rPr>
          <w:rFonts w:ascii="Calibri" w:hAnsi="Calibri"/>
          <w:b/>
          <w:color w:val="212529"/>
          <w:sz w:val="21"/>
        </w:rPr>
        <w:t xml:space="preserve">• Nature of the Action: </w:t>
      </w:r>
      <w:r>
        <w:rPr>
          <w:rFonts w:ascii="Calibri" w:hAnsi="Calibri"/>
          <w:i w:val="0"/>
          <w:color w:val="212529"/>
          <w:sz w:val="21"/>
        </w:rPr>
        <w:t>Action for recovery of possession and foreclosure of chattel mortgages on pharmacy merchandise stocks.</w:t>
      </w:r>
    </w:p>
    <w:p>
      <w:pPr>
        <w:keepNext/>
        <w:spacing w:before="200" w:after="40"/>
      </w:pPr>
      <w:r>
        <w:rPr>
          <w:rFonts w:ascii="Arial" w:hAnsi="Arial"/>
          <w:b/>
          <w:color w:val="781E1E"/>
          <w:sz w:val="22"/>
        </w:rPr>
        <w:t>II. WHOLE FACTS</w:t>
      </w:r>
    </w:p>
    <w:p>
      <w:pPr>
        <w:spacing w:before="40" w:after="80" w:line="276" w:lineRule="auto"/>
      </w:pPr>
      <w:r>
        <w:rPr>
          <w:rFonts w:ascii="Calibri" w:hAnsi="Calibri"/>
          <w:i w:val="0"/>
          <w:color w:val="212529"/>
          <w:sz w:val="21"/>
        </w:rPr>
        <w:t>Torres held chattel mortgages over two drugstores owned by Limjap. The mortgage deeds contained a stipulation that the mortgages would cover not only the existing drug stocks but also all subsequent merchandise and drug inventory that Limjap would acquire and place in the stores to replenish sales. When Limjap defaulted, Torres moved to foreclose on all stocks, including after-acquired goods. Limjap argued that under Section 7 of Act No. 1508 (The Chattel Mortgage Law), a chattel mortgage cannot cover after-acquired properties and is strictly limited to properties owned at the time of mortgage execution.</w:t>
      </w:r>
    </w:p>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SUMMARY OF FACTS</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A pharmacy owner mortgaged his drugstores and agreed that newly bought medicine stocks would also be covered by the mortgage. Later, he refused to surrender the new stocks, claiming the Chattel Mortgage Law literally prohibits mortgaging future property. The Supreme Court held that the law must be interpreted reasonably to reflect commercial reality: in rotating retail stores, mortgages on fluctuating inventory are valid to fulfill the legislative intent.</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When reciting the facts, state the core dispute in 2 sentences, then state how the case reached the Supreme Court.</w:t>
            </w:r>
          </w:p>
        </w:tc>
      </w:tr>
    </w:tbl>
    <w:p>
      <w:pPr>
        <w:keepNext/>
        <w:spacing w:before="200" w:after="40"/>
      </w:pPr>
      <w:r>
        <w:rPr>
          <w:rFonts w:ascii="Arial" w:hAnsi="Arial"/>
          <w:b/>
          <w:color w:val="781E1E"/>
          <w:sz w:val="22"/>
        </w:rPr>
        <w:t>III. THE LEGAL ISSUE</w:t>
      </w:r>
    </w:p>
    <w:p>
      <w:pPr>
        <w:spacing w:before="40" w:after="80" w:line="276" w:lineRule="auto"/>
      </w:pPr>
      <w:r>
        <w:rPr>
          <w:rFonts w:ascii="Calibri" w:hAnsi="Calibri"/>
          <w:i w:val="0"/>
          <w:color w:val="212529"/>
          <w:sz w:val="21"/>
        </w:rPr>
        <w:t>Whether or not a chattel mortgage covering fluctuating retail inventory and after-acquired replenishing goods is valid under Act No. 1508.</w:t>
      </w:r>
    </w:p>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THE LEGAL ISSUE</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Can a chattel mortgage cover newly purchased store stocks that replace sold inventory, despite the literal wording of Section 7 of the Chattel Mortgage Law?</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"Sir/Ma'am, the issue is whether Act No. 1508 permits a chattel mortgage over replenishing store inventory, testing whether the Spirit and Intention of the Law prevails over its literal letter (Ratio Legis Est Anima Legis)."</w:t>
            </w:r>
          </w:p>
        </w:tc>
      </w:tr>
    </w:tbl>
    <w:p>
      <w:pPr>
        <w:keepNext/>
        <w:spacing w:before="200" w:after="40"/>
      </w:pPr>
      <w:r>
        <w:rPr>
          <w:rFonts w:ascii="Arial" w:hAnsi="Arial"/>
          <w:b/>
          <w:color w:val="781E1E"/>
          <w:sz w:val="22"/>
        </w:rPr>
        <w:t>IV. ALAC DIGEST</w:t>
      </w:r>
    </w:p>
    <w:tbl>
      <w:tblPr>
        <w:tblW w:type="auto" w:w="0"/>
        <w:jc w:val="center"/>
        <w:tblLook w:firstColumn="1" w:firstRow="1" w:lastColumn="0" w:lastRow="0" w:noHBand="0" w:noVBand="1" w:val="04A0"/>
      </w:tblPr>
      <w:tblGrid>
        <w:gridCol w:w="9648"/>
      </w:tblGrid>
      <w:tr>
        <w:tc>
          <w:tcPr>
            <w:tcW w:type="dxa" w:w="9648"/>
            <w:shd w:fill="F4F6F9"/>
            <w:tcMar>
              <w:top w:w="120" w:type="dxa"/>
              <w:bottom w:w="120" w:type="dxa"/>
              <w:left w:w="180" w:type="dxa"/>
              <w:right w:w="180" w:type="dxa"/>
            </w:tcMar>
          </w:tcPr>
          <w:p>
            <w:pPr>
              <w:spacing w:before="40" w:after="60"/>
            </w:pPr>
            <w:r>
              <w:rPr>
                <w:rFonts w:ascii="Arial" w:hAnsi="Arial"/>
                <w:b/>
                <w:color w:val="0F2043"/>
                <w:sz w:val="21"/>
              </w:rPr>
              <w:t>[A] ANSWER</w:t>
              <w:br/>
            </w:r>
          </w:p>
          <w:p>
            <w:pPr>
              <w:spacing w:before="20" w:after="40" w:line="276" w:lineRule="auto"/>
            </w:pPr>
            <w:r>
              <w:rPr>
                <w:rFonts w:ascii="Calibri" w:hAnsi="Calibri"/>
                <w:color w:val="212529"/>
                <w:sz w:val="20"/>
              </w:rPr>
              <w:t>YES. The chattel mortgage over after-acquired replenishing merchandise in a drugstore business is VALID. Legislative intent and commercial necessity prevail over a rigid, literal reading of Section 7.</w:t>
            </w:r>
          </w:p>
        </w:tc>
      </w:tr>
    </w:tbl>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THE ANSWER</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Yes. The law was intended to support commercial transactions. In retail businesses where goods are sold and replaced daily, forbidding mortgages on new stock would kill commerce, defeating the purpose of the statute.</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"Yes, Sir/Ma'am. Under Ratio legis est anima legis (the reason of the law is the soul of the law), the Supreme Court held that Act No. 1508 must be construed to give effect to commercial reality and legislative intent, sustaining the validity of mortgages on replenishing inventory."</w:t>
            </w:r>
          </w:p>
        </w:tc>
      </w:tr>
    </w:tbl>
    <w:tbl>
      <w:tblPr>
        <w:tblW w:type="auto" w:w="0"/>
        <w:jc w:val="center"/>
        <w:tblLook w:firstColumn="1" w:firstRow="1" w:lastColumn="0" w:lastRow="0" w:noHBand="0" w:noVBand="1" w:val="04A0"/>
      </w:tblPr>
      <w:tblGrid>
        <w:gridCol w:w="9648"/>
      </w:tblGrid>
      <w:tr>
        <w:tc>
          <w:tcPr>
            <w:tcW w:type="dxa" w:w="9648"/>
            <w:shd w:fill="F4F6F9"/>
            <w:tcMar>
              <w:top w:w="120" w:type="dxa"/>
              <w:bottom w:w="120" w:type="dxa"/>
              <w:left w:w="180" w:type="dxa"/>
              <w:right w:w="180" w:type="dxa"/>
            </w:tcMar>
          </w:tcPr>
          <w:p>
            <w:pPr>
              <w:spacing w:before="40" w:after="60"/>
            </w:pPr>
            <w:r>
              <w:rPr>
                <w:rFonts w:ascii="Arial" w:hAnsi="Arial"/>
                <w:b/>
                <w:color w:val="0F2043"/>
                <w:sz w:val="21"/>
              </w:rPr>
              <w:t>[L] LEGAL BASIS</w:t>
              <w:br/>
            </w:r>
          </w:p>
          <w:p>
            <w:pPr>
              <w:spacing w:before="20" w:after="40" w:line="276" w:lineRule="auto"/>
            </w:pPr>
            <w:r>
              <w:rPr>
                <w:rFonts w:ascii="Calibri" w:hAnsi="Calibri"/>
                <w:b/>
                <w:color w:val="212529"/>
                <w:sz w:val="20"/>
              </w:rPr>
              <w:t xml:space="preserve">1. Section 7, Act No. 1508 (The Chattel Mortgage Law): </w:t>
            </w:r>
            <w:r>
              <w:rPr>
                <w:rFonts w:ascii="Calibri" w:hAnsi="Calibri"/>
                <w:color w:val="212529"/>
                <w:sz w:val="20"/>
              </w:rPr>
              <w:t>General rule requiring specific description of mortgaged property, construed alongside commercial usage.</w:t>
            </w:r>
          </w:p>
          <w:p>
            <w:pPr>
              <w:spacing w:before="20" w:after="40" w:line="276" w:lineRule="auto"/>
            </w:pPr>
            <w:r>
              <w:rPr>
                <w:rFonts w:ascii="Calibri" w:hAnsi="Calibri"/>
                <w:b/>
                <w:color w:val="212529"/>
                <w:sz w:val="20"/>
              </w:rPr>
              <w:t xml:space="preserve">2. Ratio Legis Est Anima Legis (the reason of the law is the soul of the law): </w:t>
            </w:r>
            <w:r>
              <w:rPr>
                <w:rFonts w:ascii="Calibri" w:hAnsi="Calibri"/>
                <w:color w:val="212529"/>
                <w:sz w:val="20"/>
              </w:rPr>
              <w:t>Statutes must be interpreted in light of the practical mischief they were designed to address.</w:t>
            </w:r>
          </w:p>
          <w:p>
            <w:pPr>
              <w:spacing w:before="20" w:after="40" w:line="276" w:lineRule="auto"/>
            </w:pPr>
            <w:r>
              <w:rPr>
                <w:rFonts w:ascii="Calibri" w:hAnsi="Calibri"/>
                <w:b/>
                <w:color w:val="212529"/>
                <w:sz w:val="20"/>
              </w:rPr>
              <w:t xml:space="preserve">3. Cessante Ratione Legis, Cessat Ipsa Lex (when the reason of the law ceases, the law itself ceases): </w:t>
            </w:r>
            <w:r>
              <w:rPr>
                <w:rFonts w:ascii="Calibri" w:hAnsi="Calibri"/>
                <w:color w:val="212529"/>
                <w:sz w:val="20"/>
              </w:rPr>
              <w:t>The prohibition against mortgaging future goods does not apply where inventory replacement is essential to the business.</w:t>
            </w:r>
          </w:p>
        </w:tc>
      </w:tr>
    </w:tbl>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LEGAL BASIS</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Section 7 Act No. 1508, Ratio Legis Est Anima Legis, and commercial necessity.</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"Sir/Ma'am, the legal basis is Act No. 1508, harmonized through Ratio legis est anima legis (the reason of the law is the soul of the law) and Cessante ratione legis cessat ipsa lex."</w:t>
            </w:r>
          </w:p>
        </w:tc>
      </w:tr>
    </w:tbl>
    <w:tbl>
      <w:tblPr>
        <w:tblW w:type="auto" w:w="0"/>
        <w:jc w:val="center"/>
        <w:tblLook w:firstColumn="1" w:firstRow="1" w:lastColumn="0" w:lastRow="0" w:noHBand="0" w:noVBand="1" w:val="04A0"/>
      </w:tblPr>
      <w:tblGrid>
        <w:gridCol w:w="9648"/>
      </w:tblGrid>
      <w:tr>
        <w:tc>
          <w:tcPr>
            <w:tcW w:type="dxa" w:w="9648"/>
            <w:shd w:fill="F4F6F9"/>
            <w:tcMar>
              <w:top w:w="120" w:type="dxa"/>
              <w:bottom w:w="120" w:type="dxa"/>
              <w:left w:w="180" w:type="dxa"/>
              <w:right w:w="180" w:type="dxa"/>
            </w:tcMar>
          </w:tcPr>
          <w:p>
            <w:pPr>
              <w:spacing w:before="40" w:after="60"/>
            </w:pPr>
            <w:r>
              <w:rPr>
                <w:rFonts w:ascii="Arial" w:hAnsi="Arial"/>
                <w:b/>
                <w:color w:val="0F2043"/>
                <w:sz w:val="21"/>
              </w:rPr>
              <w:t>[A] ANALYSIS / APPLICATION</w:t>
              <w:br/>
            </w:r>
          </w:p>
          <w:p>
            <w:pPr>
              <w:spacing w:before="20" w:after="40" w:line="276" w:lineRule="auto"/>
            </w:pPr>
            <w:r>
              <w:rPr>
                <w:rFonts w:ascii="Calibri" w:hAnsi="Calibri"/>
                <w:b/>
                <w:color w:val="212529"/>
                <w:sz w:val="20"/>
              </w:rPr>
              <w:t xml:space="preserve">1. Legislative Purpose of Chattel Mortgage Law: </w:t>
            </w:r>
            <w:r>
              <w:rPr>
                <w:rFonts w:ascii="Calibri" w:hAnsi="Calibri"/>
                <w:color w:val="212529"/>
                <w:sz w:val="20"/>
              </w:rPr>
              <w:t>The statute was designed to facilitate credit for commercial enterprises, not to cripple mercantile operations by rendering retail inventory unmortgageable.</w:t>
            </w:r>
          </w:p>
          <w:p>
            <w:pPr>
              <w:spacing w:before="20" w:after="40" w:line="276" w:lineRule="auto"/>
            </w:pPr>
            <w:r>
              <w:rPr>
                <w:rFonts w:ascii="Calibri" w:hAnsi="Calibri"/>
                <w:b/>
                <w:color w:val="212529"/>
                <w:sz w:val="20"/>
              </w:rPr>
              <w:t xml:space="preserve">2. Distinction Between Ordinary Goods and Retail Stock: </w:t>
            </w:r>
            <w:r>
              <w:rPr>
                <w:rFonts w:ascii="Calibri" w:hAnsi="Calibri"/>
                <w:color w:val="212529"/>
                <w:sz w:val="20"/>
              </w:rPr>
              <w:t>In a drugstore, merchandise is bought specifically to be sold and immediately replenished. The covenant to cover new stock simply maintains the original security value.</w:t>
            </w:r>
          </w:p>
          <w:p>
            <w:pPr>
              <w:spacing w:before="20" w:after="40" w:line="276" w:lineRule="auto"/>
            </w:pPr>
            <w:r>
              <w:rPr>
                <w:rFonts w:ascii="Calibri" w:hAnsi="Calibri"/>
                <w:b/>
                <w:color w:val="212529"/>
                <w:sz w:val="20"/>
              </w:rPr>
              <w:t xml:space="preserve">3. Spirit Prevails Over Letter: </w:t>
            </w:r>
            <w:r>
              <w:rPr>
                <w:rFonts w:ascii="Calibri" w:hAnsi="Calibri"/>
                <w:color w:val="212529"/>
                <w:sz w:val="20"/>
              </w:rPr>
              <w:t>A statute must not be given a literal interpretation that leads to commercial paralysis or defeats the very purpose of the legislation.</w:t>
            </w:r>
          </w:p>
        </w:tc>
      </w:tr>
    </w:tbl>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ANALYSIS / APPLICATION</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A retail drugstore must sell and restock goods daily. If the mortgage only attached to the first batch of medicines, the lender would lose all security once sold. To carry out the true purpose of the credit law, the court upheld the mortgage over replacement stock.</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"Sir/Ma'am, the Court applied Ratio Legis. A rigid literal reading of Act No. 1508 would destroy mercantile credit for retail businesses. The Court held that the intention of the lawgiver to foster business credit must prevail over the strict letter."</w:t>
            </w:r>
          </w:p>
        </w:tc>
      </w:tr>
    </w:tbl>
    <w:tbl>
      <w:tblPr>
        <w:tblW w:type="auto" w:w="0"/>
        <w:jc w:val="center"/>
        <w:tblLook w:firstColumn="1" w:firstRow="1" w:lastColumn="0" w:lastRow="0" w:noHBand="0" w:noVBand="1" w:val="04A0"/>
      </w:tblPr>
      <w:tblGrid>
        <w:gridCol w:w="9648"/>
      </w:tblGrid>
      <w:tr>
        <w:tc>
          <w:tcPr>
            <w:tcW w:type="dxa" w:w="9648"/>
            <w:shd w:fill="F4F6F9"/>
            <w:tcMar>
              <w:top w:w="120" w:type="dxa"/>
              <w:bottom w:w="120" w:type="dxa"/>
              <w:left w:w="180" w:type="dxa"/>
              <w:right w:w="180" w:type="dxa"/>
            </w:tcMar>
          </w:tcPr>
          <w:p>
            <w:pPr>
              <w:spacing w:before="40" w:after="60"/>
            </w:pPr>
            <w:r>
              <w:rPr>
                <w:rFonts w:ascii="Arial" w:hAnsi="Arial"/>
                <w:b/>
                <w:color w:val="0F2043"/>
                <w:sz w:val="21"/>
              </w:rPr>
              <w:t>[C] CONCLUSION</w:t>
              <w:br/>
            </w:r>
          </w:p>
          <w:p>
            <w:pPr>
              <w:spacing w:before="20" w:after="40" w:line="276" w:lineRule="auto"/>
            </w:pPr>
            <w:r>
              <w:rPr>
                <w:rFonts w:ascii="Calibri" w:hAnsi="Calibri"/>
                <w:color w:val="212529"/>
                <w:sz w:val="20"/>
              </w:rPr>
              <w:t>The Supreme Court AFFIRMED the judgment in favor of Ana Torres, sustaining the foreclosure over the after-acquired drugstore merchandise.</w:t>
            </w:r>
          </w:p>
        </w:tc>
      </w:tr>
    </w:tbl>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CONCLUSION</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The mortgage on the replacement drugstore stocks was declared valid and enforceable.</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"The Supreme Court affirmed the foreclosure, validating chattel mortgages over replenishing inventory under the spirit and purpose of Act No. 1508."</w:t>
            </w:r>
          </w:p>
        </w:tc>
      </w:tr>
    </w:tbl>
    <w:p>
      <w:pPr>
        <w:keepNext/>
        <w:spacing w:before="200" w:after="40"/>
      </w:pPr>
      <w:r>
        <w:rPr>
          <w:rFonts w:ascii="Arial" w:hAnsi="Arial"/>
          <w:b/>
          <w:color w:val="781E1E"/>
          <w:sz w:val="22"/>
        </w:rPr>
        <w:t>V. RELATION TO STATUTORY CONSTRUCTION</w:t>
      </w:r>
    </w:p>
    <w:p>
      <w:pPr>
        <w:spacing w:before="40" w:after="80" w:line="276" w:lineRule="auto"/>
      </w:pPr>
      <w:r>
        <w:rPr>
          <w:rFonts w:ascii="Calibri" w:hAnsi="Calibri"/>
          <w:b/>
          <w:color w:val="212529"/>
          <w:sz w:val="21"/>
        </w:rPr>
        <w:t>• Syllabus Topic Alignment:</w:t>
        <w:br/>
      </w:r>
      <w:r>
        <w:rPr>
          <w:rFonts w:ascii="Calibri" w:hAnsi="Calibri"/>
          <w:i w:val="0"/>
          <w:color w:val="212529"/>
          <w:sz w:val="21"/>
        </w:rPr>
        <w:t>• Chapter III: Basic Guidelines in the Construction and Interpretation of Laws</w:t>
        <w:br/>
        <w:t xml:space="preserve">  - A. General Guidelines: Spirit and Intention of the Law Prevails Over the Letter (Ratio Legis)</w:t>
      </w:r>
    </w:p>
    <w:tbl>
      <w:tblPr>
        <w:tblW w:type="auto" w:w="0"/>
        <w:jc w:val="center"/>
        <w:tblLook w:firstColumn="1" w:firstRow="1" w:lastColumn="0" w:lastRow="0" w:noHBand="0" w:noVBand="1" w:val="04A0"/>
      </w:tblPr>
      <w:tblGrid>
        <w:gridCol w:w="9648"/>
      </w:tblGrid>
      <w:tr>
        <w:tc>
          <w:tcPr>
            <w:tcW w:type="dxa" w:w="9648"/>
            <w:shd w:fill="FDF6EE"/>
            <w:tcMar>
              <w:top w:w="120" w:type="dxa"/>
              <w:bottom w:w="120" w:type="dxa"/>
              <w:left w:w="180" w:type="dxa"/>
              <w:right w:w="180" w:type="dxa"/>
            </w:tcMar>
          </w:tcPr>
          <w:p>
            <w:pPr>
              <w:spacing w:before="40" w:after="80"/>
            </w:pPr>
            <w:r>
              <w:rPr>
                <w:rFonts w:ascii="Arial" w:hAnsi="Arial"/>
                <w:b/>
                <w:color w:val="8C3200"/>
                <w:sz w:val="20"/>
              </w:rPr>
              <w:t>📜 GOVERNING LATIN MAXIMS WITH ENGLISH TRANSLATIONS</w:t>
              <w:br/>
            </w:r>
          </w:p>
          <w:p>
            <w:pPr>
              <w:spacing w:before="40" w:after="60" w:line="276" w:lineRule="auto"/>
            </w:pPr>
            <w:r>
              <w:rPr>
                <w:rFonts w:ascii="Calibri" w:hAnsi="Calibri"/>
                <w:b/>
                <w:color w:val="8C3200"/>
                <w:sz w:val="20"/>
              </w:rPr>
              <w:t>1. Ratio legis est anima legis (the reason of the law is the soul of the law)</w:t>
              <w:br/>
            </w:r>
            <w:r>
              <w:rPr>
                <w:rFonts w:ascii="Calibri" w:hAnsi="Calibri"/>
                <w:b/>
                <w:color w:val="212529"/>
                <w:sz w:val="19"/>
              </w:rPr>
              <w:t xml:space="preserve">   • Literal English Translation: </w:t>
            </w:r>
            <w:r>
              <w:rPr>
                <w:rFonts w:ascii="Calibri" w:hAnsi="Calibri"/>
                <w:i/>
                <w:color w:val="212529"/>
                <w:sz w:val="19"/>
              </w:rPr>
              <w:t>The reason of the law is the soul of the law.</w:t>
              <w:br/>
            </w:r>
            <w:r>
              <w:rPr>
                <w:rFonts w:ascii="Calibri" w:hAnsi="Calibri"/>
                <w:b/>
                <w:color w:val="212529"/>
                <w:sz w:val="19"/>
              </w:rPr>
              <w:t xml:space="preserve">   • Plain Legal Meaning &amp; StatCon Application: </w:t>
            </w:r>
            <w:r>
              <w:rPr>
                <w:rFonts w:ascii="Calibri" w:hAnsi="Calibri"/>
                <w:color w:val="212529"/>
                <w:sz w:val="19"/>
              </w:rPr>
              <w:t>The commercial purpose of Act No. 1508 to facilitate business credit governs over its rigid literal terms.</w:t>
            </w:r>
          </w:p>
          <w:p>
            <w:pPr>
              <w:spacing w:before="40" w:after="60" w:line="276" w:lineRule="auto"/>
            </w:pPr>
            <w:r>
              <w:rPr>
                <w:rFonts w:ascii="Calibri" w:hAnsi="Calibri"/>
                <w:b/>
                <w:color w:val="8C3200"/>
                <w:sz w:val="20"/>
              </w:rPr>
              <w:t>2. Verba intentioni, non e contra, debent inservire (words ought to serve the intention, not the reverse)</w:t>
              <w:br/>
            </w:r>
            <w:r>
              <w:rPr>
                <w:rFonts w:ascii="Calibri" w:hAnsi="Calibri"/>
                <w:b/>
                <w:color w:val="212529"/>
                <w:sz w:val="19"/>
              </w:rPr>
              <w:t xml:space="preserve">   • Literal English Translation: </w:t>
            </w:r>
            <w:r>
              <w:rPr>
                <w:rFonts w:ascii="Calibri" w:hAnsi="Calibri"/>
                <w:i/>
                <w:color w:val="212529"/>
                <w:sz w:val="19"/>
              </w:rPr>
              <w:t>Words should serve the intention, not intention the words.</w:t>
              <w:br/>
            </w:r>
            <w:r>
              <w:rPr>
                <w:rFonts w:ascii="Calibri" w:hAnsi="Calibri"/>
                <w:b/>
                <w:color w:val="212529"/>
                <w:sz w:val="19"/>
              </w:rPr>
              <w:t xml:space="preserve">   • Plain Legal Meaning &amp; StatCon Application: </w:t>
            </w:r>
            <w:r>
              <w:rPr>
                <w:rFonts w:ascii="Calibri" w:hAnsi="Calibri"/>
                <w:color w:val="212529"/>
                <w:sz w:val="19"/>
              </w:rPr>
              <w:t>Statutory words must bend to accomplish the core legislative objective.</w:t>
            </w:r>
          </w:p>
          <w:p>
            <w:pPr>
              <w:spacing w:before="40" w:after="60" w:line="276" w:lineRule="auto"/>
            </w:pPr>
            <w:r>
              <w:rPr>
                <w:rFonts w:ascii="Calibri" w:hAnsi="Calibri"/>
                <w:b/>
                <w:color w:val="8C3200"/>
                <w:sz w:val="20"/>
              </w:rPr>
              <w:t>3. Cessante ratione legis, cessat ipsa lex (when the reason of the law ceases, the law itself ceases)</w:t>
              <w:br/>
            </w:r>
            <w:r>
              <w:rPr>
                <w:rFonts w:ascii="Calibri" w:hAnsi="Calibri"/>
                <w:b/>
                <w:color w:val="212529"/>
                <w:sz w:val="19"/>
              </w:rPr>
              <w:t xml:space="preserve">   • Literal English Translation: </w:t>
            </w:r>
            <w:r>
              <w:rPr>
                <w:rFonts w:ascii="Calibri" w:hAnsi="Calibri"/>
                <w:i/>
                <w:color w:val="212529"/>
                <w:sz w:val="19"/>
              </w:rPr>
              <w:t>When the reason for a law ceases, the law itself ceases.</w:t>
              <w:br/>
            </w:r>
            <w:r>
              <w:rPr>
                <w:rFonts w:ascii="Calibri" w:hAnsi="Calibri"/>
                <w:b/>
                <w:color w:val="212529"/>
                <w:sz w:val="19"/>
              </w:rPr>
              <w:t xml:space="preserve">   • Plain Legal Meaning &amp; StatCon Application: </w:t>
            </w:r>
            <w:r>
              <w:rPr>
                <w:rFonts w:ascii="Calibri" w:hAnsi="Calibri"/>
                <w:color w:val="212529"/>
                <w:sz w:val="19"/>
              </w:rPr>
              <w:t>The prohibition against mortgaging future goods has no reason to apply in rotating retail stock.</w:t>
            </w:r>
          </w:p>
        </w:tc>
      </w:tr>
    </w:tbl>
    <w:tbl>
      <w:tblPr>
        <w:tblW w:type="auto" w:w="0"/>
        <w:jc w:val="center"/>
        <w:tblLook w:firstColumn="1" w:firstRow="1" w:lastColumn="0" w:lastRow="0" w:noHBand="0" w:noVBand="1" w:val="04A0"/>
      </w:tblPr>
      <w:tblGrid>
        <w:gridCol w:w="4824"/>
        <w:gridCol w:w="4824"/>
      </w:tblGrid>
      <w:tr>
        <w:tc>
          <w:tcPr>
            <w:tcW w:type="dxa" w:w="4824"/>
            <w:shd w:fill="EAEFF5"/>
            <w:tcMar>
              <w:top w:w="80" w:type="dxa"/>
              <w:bottom w:w="80" w:type="dxa"/>
              <w:left w:w="120" w:type="dxa"/>
              <w:right w:w="120" w:type="dxa"/>
            </w:tcMar>
          </w:tcPr>
          <w:p>
            <w:pPr>
              <w:spacing w:before="40" w:after="40"/>
            </w:pPr>
            <w:r>
              <w:rPr>
                <w:rFonts w:ascii="Arial" w:hAnsi="Arial"/>
                <w:b/>
                <w:color w:val="0F2043"/>
                <w:sz w:val="18"/>
              </w:rPr>
              <w:t>Syllabus Topic Alignment</w:t>
              <w:br/>
              <w:t>(StatCon_Syllabus_JPR.pdf)</w:t>
            </w:r>
          </w:p>
        </w:tc>
        <w:tc>
          <w:tcPr>
            <w:tcW w:type="dxa" w:w="4824"/>
            <w:shd w:fill="FAFAFA"/>
            <w:tcMar>
              <w:top w:w="80" w:type="dxa"/>
              <w:bottom w:w="80" w:type="dxa"/>
              <w:left w:w="120" w:type="dxa"/>
              <w:right w:w="120" w:type="dxa"/>
            </w:tcMar>
          </w:tcPr>
          <w:p>
            <w:pPr>
              <w:spacing w:before="40" w:after="40" w:line="276" w:lineRule="auto"/>
            </w:pPr>
            <w:r>
              <w:rPr>
                <w:rFonts w:ascii="Calibri" w:hAnsi="Calibri"/>
                <w:color w:val="212529"/>
                <w:sz w:val="19"/>
              </w:rPr>
              <w:t>• Chapter III: Basic Guidelines in the Construction and Interpretation of Laws</w:t>
              <w:br/>
              <w:t xml:space="preserve">  - A. General Guidelines: Spirit and Intention of the Law Prevails Over the Letter (Ratio Legis)</w:t>
            </w:r>
          </w:p>
        </w:tc>
      </w:tr>
      <w:tr>
        <w:tc>
          <w:tcPr>
            <w:tcW w:type="dxa" w:w="4824"/>
            <w:shd w:fill="EAEFF5"/>
            <w:tcMar>
              <w:top w:w="80" w:type="dxa"/>
              <w:bottom w:w="80" w:type="dxa"/>
              <w:left w:w="120" w:type="dxa"/>
              <w:right w:w="120" w:type="dxa"/>
            </w:tcMar>
          </w:tcPr>
          <w:p>
            <w:pPr>
              <w:spacing w:before="40" w:after="40"/>
            </w:pPr>
            <w:r>
              <w:rPr>
                <w:rFonts w:ascii="Arial" w:hAnsi="Arial"/>
                <w:b/>
                <w:color w:val="0F2043"/>
                <w:sz w:val="18"/>
              </w:rPr>
              <w:t>Governing Latin Maxims &amp; English</w:t>
            </w:r>
          </w:p>
        </w:tc>
        <w:tc>
          <w:tcPr>
            <w:tcW w:type="dxa" w:w="4824"/>
            <w:shd w:fill="FAFAFA"/>
            <w:tcMar>
              <w:top w:w="80" w:type="dxa"/>
              <w:bottom w:w="80" w:type="dxa"/>
              <w:left w:w="120" w:type="dxa"/>
              <w:right w:w="120" w:type="dxa"/>
            </w:tcMar>
          </w:tcPr>
          <w:p>
            <w:pPr>
              <w:spacing w:before="40" w:after="40" w:line="276" w:lineRule="auto"/>
            </w:pPr>
            <w:r>
              <w:rPr>
                <w:rFonts w:ascii="Calibri" w:hAnsi="Calibri"/>
                <w:color w:val="212529"/>
                <w:sz w:val="19"/>
              </w:rPr>
              <w:t>Primary:</w:t>
              <w:br/>
              <w:t>Ratio legis est anima legis</w:t>
              <w:br/>
              <w:t>(the reason of the law is the soul of the law / commercial intent of Chattel Mortgage Law overrides literalism)</w:t>
              <w:br/>
              <w:br/>
              <w:t>Secondary:</w:t>
              <w:br/>
              <w:t>• Verba intentioni non e contra debent inservire (words must serve the intent)</w:t>
              <w:br/>
              <w:t>• Cessante ratione legis cessat ipsa lex (when the reason ceases, the law ceases)</w:t>
            </w:r>
          </w:p>
        </w:tc>
      </w:tr>
      <w:tr>
        <w:tc>
          <w:tcPr>
            <w:tcW w:type="dxa" w:w="4824"/>
            <w:shd w:fill="EAEFF5"/>
            <w:tcMar>
              <w:top w:w="80" w:type="dxa"/>
              <w:bottom w:w="80" w:type="dxa"/>
              <w:left w:w="120" w:type="dxa"/>
              <w:right w:w="120" w:type="dxa"/>
            </w:tcMar>
          </w:tcPr>
          <w:p>
            <w:pPr>
              <w:spacing w:before="40" w:after="40"/>
            </w:pPr>
            <w:r>
              <w:rPr>
                <w:rFonts w:ascii="Arial" w:hAnsi="Arial"/>
                <w:b/>
                <w:color w:val="0F2043"/>
                <w:sz w:val="18"/>
              </w:rPr>
              <w:t>Case Violation in StatCon</w:t>
            </w:r>
          </w:p>
        </w:tc>
        <w:tc>
          <w:tcPr>
            <w:tcW w:type="dxa" w:w="4824"/>
            <w:shd w:fill="FAFAFA"/>
            <w:tcMar>
              <w:top w:w="80" w:type="dxa"/>
              <w:bottom w:w="80" w:type="dxa"/>
              <w:left w:w="120" w:type="dxa"/>
              <w:right w:w="120" w:type="dxa"/>
            </w:tcMar>
          </w:tcPr>
          <w:p>
            <w:pPr>
              <w:spacing w:before="40" w:after="40" w:line="276" w:lineRule="auto"/>
            </w:pPr>
            <w:r>
              <w:rPr>
                <w:rFonts w:ascii="Calibri" w:hAnsi="Calibri"/>
                <w:color w:val="212529"/>
                <w:sz w:val="19"/>
              </w:rPr>
              <w:t>The debtor attempted to use a literal interpretation of Section 7 to defeat his own contractual agreement and the commercial purpose of the Chattel Mortgage Law.</w:t>
            </w:r>
          </w:p>
        </w:tc>
      </w:tr>
      <w:tr>
        <w:tc>
          <w:tcPr>
            <w:tcW w:type="dxa" w:w="4824"/>
            <w:shd w:fill="EAEFF5"/>
            <w:tcMar>
              <w:top w:w="80" w:type="dxa"/>
              <w:bottom w:w="80" w:type="dxa"/>
              <w:left w:w="120" w:type="dxa"/>
              <w:right w:w="120" w:type="dxa"/>
            </w:tcMar>
          </w:tcPr>
          <w:p>
            <w:pPr>
              <w:spacing w:before="40" w:after="40"/>
            </w:pPr>
            <w:r>
              <w:rPr>
                <w:rFonts w:ascii="Arial" w:hAnsi="Arial"/>
                <w:b/>
                <w:color w:val="0F2043"/>
                <w:sz w:val="18"/>
              </w:rPr>
              <w:t>Doctrinal Execution / Principle</w:t>
            </w:r>
          </w:p>
        </w:tc>
        <w:tc>
          <w:tcPr>
            <w:tcW w:type="dxa" w:w="4824"/>
            <w:shd w:fill="FAFAFA"/>
            <w:tcMar>
              <w:top w:w="80" w:type="dxa"/>
              <w:bottom w:w="80" w:type="dxa"/>
              <w:left w:w="120" w:type="dxa"/>
              <w:right w:w="120" w:type="dxa"/>
            </w:tcMar>
          </w:tcPr>
          <w:p>
            <w:pPr>
              <w:spacing w:before="40" w:after="40" w:line="276" w:lineRule="auto"/>
            </w:pPr>
            <w:r>
              <w:rPr>
                <w:rFonts w:ascii="Calibri" w:hAnsi="Calibri"/>
                <w:color w:val="212529"/>
                <w:sz w:val="19"/>
              </w:rPr>
              <w:t>Purposive Commercial Construction: Commercial statutes must be interpreted flexibly to advance commerce and fulfill legislative intent rather than stifle trade.</w:t>
            </w:r>
          </w:p>
        </w:tc>
      </w:tr>
    </w:tbl>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RELATION TO STATUTORY CONSTRUCTION</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Laws must be interpreted according to their true purpose and reason, not in a rigid way that destroys practical business.</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"Sir/Ma'am, Torres v. Limjap establishes that the spirit and purpose of a commercial statute prevail over its literal letter—Ratio legis est anima legis."</w:t>
            </w:r>
          </w:p>
        </w:tc>
      </w:tr>
    </w:tbl>
    <w:p>
      <w:pPr>
        <w:spacing w:before="160" w:after="80"/>
      </w:pPr>
    </w:p>
    <w:tbl>
      <w:tblPr>
        <w:tblW w:type="auto" w:w="0"/>
        <w:jc w:val="center"/>
        <w:tblLook w:firstColumn="1" w:firstRow="1" w:lastColumn="0" w:lastRow="0" w:noHBand="0" w:noVBand="1" w:val="04A0"/>
      </w:tblPr>
      <w:tblGrid>
        <w:gridCol w:w="9648"/>
      </w:tblGrid>
      <w:tr>
        <w:tc>
          <w:tcPr>
            <w:tcW w:type="dxa" w:w="9648"/>
            <w:shd w:fill="1E3A5F"/>
            <w:tcMar>
              <w:top w:w="140" w:type="dxa"/>
              <w:bottom w:w="140" w:type="dxa"/>
              <w:left w:w="200" w:type="dxa"/>
              <w:right w:w="200" w:type="dxa"/>
            </w:tcMar>
          </w:tcPr>
          <w:p>
            <w:pPr>
              <w:spacing w:before="40" w:after="40"/>
              <w:jc w:val="center"/>
            </w:pPr>
            <w:r>
              <w:rPr>
                <w:rFonts w:ascii="Arial" w:hAnsi="Arial"/>
                <w:b/>
                <w:color w:val="FFD700"/>
                <w:sz w:val="22"/>
              </w:rPr>
              <w:t>⚖ STANDARDIZED CASE DIGEST: STATUTORY CONSTRUCTION FORMAT</w:t>
              <w:br/>
            </w:r>
            <w:r>
              <w:rPr>
                <w:rFonts w:ascii="Arial" w:hAnsi="Arial"/>
                <w:i/>
                <w:color w:val="DCEBFF"/>
                <w:sz w:val="18"/>
              </w:rPr>
              <w:t>(Complete 12-Section Academic &amp; Judicial Construction Analysis)</w:t>
            </w:r>
          </w:p>
        </w:tc>
      </w:tr>
    </w:tbl>
    <w:p>
      <w:pPr>
        <w:spacing w:before="80" w:after="80"/>
      </w:pPr>
    </w:p>
    <w:tbl>
      <w:tblPr>
        <w:tblW w:type="auto" w:w="0"/>
        <w:jc w:val="center"/>
        <w:tblLook w:firstColumn="1" w:firstRow="1" w:lastColumn="0" w:lastRow="0" w:noHBand="0" w:noVBand="1" w:val="04A0"/>
      </w:tblPr>
      <w:tblGrid>
        <w:gridCol w:w="4824"/>
        <w:gridCol w:w="4824"/>
      </w:tblGrid>
      <w:tr>
        <w:tc>
          <w:tcPr>
            <w:tcW w:type="dxa" w:w="4824"/>
            <w:shd w:fill="EBF0F7"/>
            <w:tcMar>
              <w:top w:w="60" w:type="dxa"/>
              <w:bottom w:w="60" w:type="dxa"/>
              <w:left w:w="120" w:type="dxa"/>
              <w:right w:w="120" w:type="dxa"/>
            </w:tcMar>
          </w:tcPr>
          <w:p>
            <w:pPr>
              <w:spacing w:before="20" w:after="20"/>
            </w:pPr>
            <w:r>
              <w:rPr>
                <w:rFonts w:ascii="Arial" w:hAnsi="Arial"/>
                <w:b/>
                <w:color w:val="0F2043"/>
                <w:sz w:val="19"/>
              </w:rPr>
              <w:t>Case Title:</w:t>
            </w:r>
          </w:p>
        </w:tc>
        <w:tc>
          <w:tcPr>
            <w:tcW w:type="dxa" w:w="4824"/>
            <w:shd w:fill="FAFCFF"/>
            <w:tcMar>
              <w:top w:w="60" w:type="dxa"/>
              <w:bottom w:w="60" w:type="dxa"/>
              <w:left w:w="120" w:type="dxa"/>
              <w:right w:w="120" w:type="dxa"/>
            </w:tcMar>
          </w:tcPr>
          <w:p>
            <w:pPr>
              <w:spacing w:before="20" w:after="20"/>
            </w:pPr>
            <w:r>
              <w:rPr>
                <w:rFonts w:ascii="Calibri" w:hAnsi="Calibri"/>
                <w:b/>
                <w:color w:val="212529"/>
                <w:sz w:val="19"/>
              </w:rPr>
              <w:t>Ana Torres v. Jose Limjap</w:t>
            </w:r>
          </w:p>
        </w:tc>
      </w:tr>
      <w:tr>
        <w:tc>
          <w:tcPr>
            <w:tcW w:type="dxa" w:w="4824"/>
            <w:shd w:fill="EBF0F7"/>
            <w:tcMar>
              <w:top w:w="60" w:type="dxa"/>
              <w:bottom w:w="60" w:type="dxa"/>
              <w:left w:w="120" w:type="dxa"/>
              <w:right w:w="120" w:type="dxa"/>
            </w:tcMar>
          </w:tcPr>
          <w:p>
            <w:pPr>
              <w:spacing w:before="20" w:after="20"/>
            </w:pPr>
            <w:r>
              <w:rPr>
                <w:rFonts w:ascii="Arial" w:hAnsi="Arial"/>
                <w:b/>
                <w:color w:val="0F2043"/>
                <w:sz w:val="19"/>
              </w:rPr>
              <w:t>G.R. No. / Record:</w:t>
            </w:r>
          </w:p>
        </w:tc>
        <w:tc>
          <w:tcPr>
            <w:tcW w:type="dxa" w:w="4824"/>
            <w:shd w:fill="FAFCFF"/>
            <w:tcMar>
              <w:top w:w="60" w:type="dxa"/>
              <w:bottom w:w="60" w:type="dxa"/>
              <w:left w:w="120" w:type="dxa"/>
              <w:right w:w="120" w:type="dxa"/>
            </w:tcMar>
          </w:tcPr>
          <w:p>
            <w:pPr>
              <w:spacing w:before="20" w:after="20"/>
            </w:pPr>
            <w:r>
              <w:rPr>
                <w:rFonts w:ascii="Calibri" w:hAnsi="Calibri"/>
                <w:b w:val="0"/>
                <w:color w:val="212529"/>
                <w:sz w:val="19"/>
              </w:rPr>
              <w:t>G.R. No. 34385-86</w:t>
            </w:r>
          </w:p>
        </w:tc>
      </w:tr>
      <w:tr>
        <w:tc>
          <w:tcPr>
            <w:tcW w:type="dxa" w:w="4824"/>
            <w:shd w:fill="EBF0F7"/>
            <w:tcMar>
              <w:top w:w="60" w:type="dxa"/>
              <w:bottom w:w="60" w:type="dxa"/>
              <w:left w:w="120" w:type="dxa"/>
              <w:right w:w="120" w:type="dxa"/>
            </w:tcMar>
          </w:tcPr>
          <w:p>
            <w:pPr>
              <w:spacing w:before="20" w:after="20"/>
            </w:pPr>
            <w:r>
              <w:rPr>
                <w:rFonts w:ascii="Arial" w:hAnsi="Arial"/>
                <w:b/>
                <w:color w:val="0F2043"/>
                <w:sz w:val="19"/>
              </w:rPr>
              <w:t>Date of Promulgation:</w:t>
            </w:r>
          </w:p>
        </w:tc>
        <w:tc>
          <w:tcPr>
            <w:tcW w:type="dxa" w:w="4824"/>
            <w:shd w:fill="FAFCFF"/>
            <w:tcMar>
              <w:top w:w="60" w:type="dxa"/>
              <w:bottom w:w="60" w:type="dxa"/>
              <w:left w:w="120" w:type="dxa"/>
              <w:right w:w="120" w:type="dxa"/>
            </w:tcMar>
          </w:tcPr>
          <w:p>
            <w:pPr>
              <w:spacing w:before="20" w:after="20"/>
            </w:pPr>
            <w:r>
              <w:rPr>
                <w:rFonts w:ascii="Calibri" w:hAnsi="Calibri"/>
                <w:b w:val="0"/>
                <w:color w:val="212529"/>
                <w:sz w:val="19"/>
              </w:rPr>
              <w:t>September 21, 1931</w:t>
            </w:r>
          </w:p>
        </w:tc>
      </w:tr>
      <w:tr>
        <w:tc>
          <w:tcPr>
            <w:tcW w:type="dxa" w:w="4824"/>
            <w:shd w:fill="EBF0F7"/>
            <w:tcMar>
              <w:top w:w="60" w:type="dxa"/>
              <w:bottom w:w="60" w:type="dxa"/>
              <w:left w:w="120" w:type="dxa"/>
              <w:right w:w="120" w:type="dxa"/>
            </w:tcMar>
          </w:tcPr>
          <w:p>
            <w:pPr>
              <w:spacing w:before="20" w:after="20"/>
            </w:pPr>
            <w:r>
              <w:rPr>
                <w:rFonts w:ascii="Arial" w:hAnsi="Arial"/>
                <w:b/>
                <w:color w:val="0F2043"/>
                <w:sz w:val="19"/>
              </w:rPr>
              <w:t>Ponente / Court:</w:t>
            </w:r>
          </w:p>
        </w:tc>
        <w:tc>
          <w:tcPr>
            <w:tcW w:type="dxa" w:w="4824"/>
            <w:shd w:fill="FAFCFF"/>
            <w:tcMar>
              <w:top w:w="60" w:type="dxa"/>
              <w:bottom w:w="60" w:type="dxa"/>
              <w:left w:w="120" w:type="dxa"/>
              <w:right w:w="120" w:type="dxa"/>
            </w:tcMar>
          </w:tcPr>
          <w:p>
            <w:pPr>
              <w:spacing w:before="20" w:after="20"/>
            </w:pPr>
            <w:r>
              <w:rPr>
                <w:rFonts w:ascii="Calibri" w:hAnsi="Calibri"/>
                <w:b w:val="0"/>
                <w:color w:val="212529"/>
                <w:sz w:val="19"/>
              </w:rPr>
              <w:t>En Banc</w:t>
            </w:r>
          </w:p>
        </w:tc>
      </w:tr>
    </w:tbl>
    <w:p>
      <w:pPr>
        <w:keepNext/>
        <w:spacing w:before="240" w:after="60"/>
      </w:pPr>
      <w:r>
        <w:rPr>
          <w:rFonts w:ascii="Arial" w:hAnsi="Arial"/>
          <w:b/>
          <w:color w:val="0F2043"/>
          <w:sz w:val="21"/>
        </w:rPr>
        <w:t>I. FACTS OF THE CASE</w:t>
      </w:r>
    </w:p>
    <w:tbl>
      <w:tblPr>
        <w:tblW w:type="auto" w:w="0"/>
        <w:jc w:val="center"/>
        <w:tblLook w:firstColumn="1" w:firstRow="1" w:lastColumn="0" w:lastRow="0" w:noHBand="0" w:noVBand="1" w:val="04A0"/>
      </w:tblPr>
      <w:tblGrid>
        <w:gridCol w:w="9648"/>
      </w:tblGrid>
      <w:tr>
        <w:tc>
          <w:tcPr>
            <w:tcW w:type="dxa" w:w="9648"/>
            <w:shd w:fill="F8F9FB"/>
            <w:tcMar>
              <w:top w:w="100" w:type="dxa"/>
              <w:bottom w:w="100" w:type="dxa"/>
              <w:left w:w="160" w:type="dxa"/>
              <w:right w:w="160" w:type="dxa"/>
            </w:tcMar>
          </w:tcPr>
          <w:p>
            <w:pPr>
              <w:spacing w:before="20" w:after="40"/>
            </w:pPr>
            <w:r>
              <w:rPr>
                <w:rFonts w:ascii="Arial" w:hAnsi="Arial"/>
                <w:b/>
                <w:color w:val="0F2043"/>
                <w:sz w:val="19"/>
              </w:rPr>
              <w:t>Material Facts of Controversy</w:t>
              <w:br/>
            </w:r>
          </w:p>
          <w:p>
            <w:pPr>
              <w:spacing w:before="20" w:after="40" w:line="276" w:lineRule="auto"/>
            </w:pPr>
            <w:r>
              <w:rPr>
                <w:rFonts w:ascii="Calibri" w:hAnsi="Calibri"/>
                <w:color w:val="212529"/>
                <w:sz w:val="19"/>
              </w:rPr>
              <w:t>Torres held chattel mortgages over two drugstores owned by Limjap. The mortgage deeds contained a stipulation that the mortgages would cover not only the existing drug stocks but also all subsequent merchandise and drug inventory that Limjap would acquire and place in the stores to replenish sales. When Limjap defaulted, Torres moved to foreclose on all stocks, including after-acquired goods. Limjap argued that under Section 7 of Act No. 1508 (The Chattel Mortgage Law), a chattel mortgage cannot cover after-acquired properties and is strictly limited to properties owned at the time of mortgage execution.</w:t>
            </w:r>
          </w:p>
        </w:tc>
      </w:tr>
    </w:tbl>
    <w:p>
      <w:pPr>
        <w:keepNext/>
        <w:spacing w:before="240" w:after="60"/>
      </w:pPr>
      <w:r>
        <w:rPr>
          <w:rFonts w:ascii="Arial" w:hAnsi="Arial"/>
          <w:b/>
          <w:color w:val="0F2043"/>
          <w:sz w:val="21"/>
        </w:rPr>
        <w:t>II. FACTS RELEVANT TO STATUTORY CONSTRUCTION</w:t>
      </w:r>
    </w:p>
    <w:tbl>
      <w:tblPr>
        <w:tblW w:type="auto" w:w="0"/>
        <w:jc w:val="center"/>
        <w:tblLook w:firstColumn="1" w:firstRow="1" w:lastColumn="0" w:lastRow="0" w:noHBand="0" w:noVBand="1" w:val="04A0"/>
      </w:tblPr>
      <w:tblGrid>
        <w:gridCol w:w="9648"/>
      </w:tblGrid>
      <w:tr>
        <w:tc>
          <w:tcPr>
            <w:tcW w:type="dxa" w:w="9648"/>
            <w:shd w:fill="F8F9FB"/>
            <w:tcMar>
              <w:top w:w="100" w:type="dxa"/>
              <w:bottom w:w="100" w:type="dxa"/>
              <w:left w:w="160" w:type="dxa"/>
              <w:right w:w="160" w:type="dxa"/>
            </w:tcMar>
          </w:tcPr>
          <w:p>
            <w:pPr>
              <w:spacing w:before="20" w:after="40"/>
            </w:pPr>
            <w:r>
              <w:rPr>
                <w:rFonts w:ascii="Arial" w:hAnsi="Arial"/>
                <w:b/>
                <w:color w:val="0F2043"/>
                <w:sz w:val="19"/>
              </w:rPr>
              <w:t>Facts Giving Rise to Need for Interpretation</w:t>
              <w:br/>
            </w:r>
          </w:p>
          <w:p>
            <w:pPr>
              <w:spacing w:before="20" w:after="40" w:line="276" w:lineRule="auto"/>
            </w:pPr>
            <w:r>
              <w:rPr>
                <w:rFonts w:ascii="Calibri" w:hAnsi="Calibri"/>
                <w:b/>
                <w:color w:val="212529"/>
                <w:sz w:val="19"/>
              </w:rPr>
              <w:t xml:space="preserve">• What provision of law or rule became relevant? </w:t>
            </w:r>
            <w:r>
              <w:rPr>
                <w:rFonts w:ascii="Calibri" w:hAnsi="Calibri"/>
                <w:color w:val="212529"/>
                <w:sz w:val="19"/>
              </w:rPr>
              <w:t>1. Section 7, Act No. 1508 (The Chattel Mortgage Law): General rule requiring specific description of mortgaged property, construed alongside commercial usage.</w:t>
              <w:br/>
              <w:t>2. Ratio Legis Est Anima Legis (the reason of the law is the soul of the law): Statutes must be interpreted in light of the practical mischief they were designed to address.</w:t>
            </w:r>
          </w:p>
          <w:p>
            <w:pPr>
              <w:spacing w:before="20" w:after="40" w:line="276" w:lineRule="auto"/>
            </w:pPr>
            <w:r>
              <w:rPr>
                <w:rFonts w:ascii="Calibri" w:hAnsi="Calibri"/>
                <w:b/>
                <w:color w:val="212529"/>
                <w:sz w:val="19"/>
              </w:rPr>
              <w:t xml:space="preserve">• What circumstance made interpretation necessary? </w:t>
            </w:r>
            <w:r>
              <w:rPr>
                <w:rFonts w:ascii="Calibri" w:hAnsi="Calibri"/>
                <w:color w:val="212529"/>
                <w:sz w:val="19"/>
              </w:rPr>
              <w:t>The debtor attempted to use a literal interpretation of Section 7 to defeat his own contractual agreement and the commercial purpose of the Chattel Mortgage Law.</w:t>
            </w:r>
          </w:p>
          <w:p>
            <w:pPr>
              <w:spacing w:before="20" w:after="40" w:line="276" w:lineRule="auto"/>
            </w:pPr>
            <w:r>
              <w:rPr>
                <w:rFonts w:ascii="Calibri" w:hAnsi="Calibri"/>
                <w:b/>
                <w:color w:val="212529"/>
                <w:sz w:val="19"/>
              </w:rPr>
              <w:t xml:space="preserve">• What competing interpretations were presented? </w:t>
            </w:r>
            <w:r>
              <w:rPr>
                <w:rFonts w:ascii="Calibri" w:hAnsi="Calibri"/>
                <w:color w:val="212529"/>
                <w:sz w:val="19"/>
              </w:rPr>
              <w:t>Petitioner argued for a favorable interpretation based on statutory intent, while Respondent contended for a literal or restrictive application.</w:t>
            </w:r>
          </w:p>
        </w:tc>
      </w:tr>
    </w:tbl>
    <w:p>
      <w:pPr>
        <w:keepNext/>
        <w:spacing w:before="240" w:after="60"/>
      </w:pPr>
      <w:r>
        <w:rPr>
          <w:rFonts w:ascii="Arial" w:hAnsi="Arial"/>
          <w:b/>
          <w:color w:val="0F2043"/>
          <w:sz w:val="21"/>
        </w:rPr>
        <w:t>III. ISSUES</w:t>
      </w:r>
    </w:p>
    <w:p>
      <w:pPr>
        <w:keepNext/>
        <w:spacing w:before="120" w:after="40"/>
      </w:pPr>
      <w:r>
        <w:rPr>
          <w:rFonts w:ascii="Arial" w:hAnsi="Arial"/>
          <w:b/>
          <w:color w:val="781E1E"/>
          <w:sz w:val="20"/>
        </w:rPr>
        <w:t>A. General Legal Issues</w:t>
      </w:r>
    </w:p>
    <w:p>
      <w:pPr>
        <w:spacing w:before="40" w:after="80" w:line="276" w:lineRule="auto"/>
      </w:pPr>
      <w:r>
        <w:rPr>
          <w:rFonts w:ascii="Calibri" w:hAnsi="Calibri"/>
          <w:i w:val="0"/>
          <w:color w:val="212529"/>
          <w:sz w:val="21"/>
        </w:rPr>
        <w:t>Whether or not a chattel mortgage covering fluctuating retail inventory and after-acquired replenishing goods is valid under Act No. 1508.</w:t>
      </w:r>
    </w:p>
    <w:p>
      <w:pPr>
        <w:keepNext/>
        <w:spacing w:before="120" w:after="40"/>
      </w:pPr>
      <w:r>
        <w:rPr>
          <w:rFonts w:ascii="Arial" w:hAnsi="Arial"/>
          <w:b/>
          <w:color w:val="781E1E"/>
          <w:sz w:val="20"/>
        </w:rPr>
        <w:t>B. Statutory-Construction Issue/s</w:t>
      </w:r>
    </w:p>
    <w:tbl>
      <w:tblPr>
        <w:tblW w:type="auto" w:w="0"/>
        <w:jc w:val="center"/>
        <w:tblLook w:firstColumn="1" w:firstRow="1" w:lastColumn="0" w:lastRow="0" w:noHBand="0" w:noVBand="1" w:val="04A0"/>
      </w:tblPr>
      <w:tblGrid>
        <w:gridCol w:w="9648"/>
      </w:tblGrid>
      <w:tr>
        <w:tc>
          <w:tcPr>
            <w:tcW w:type="dxa" w:w="9648"/>
            <w:shd w:fill="EBF3FA"/>
            <w:tcMar>
              <w:top w:w="100" w:type="dxa"/>
              <w:bottom w:w="100" w:type="dxa"/>
              <w:left w:w="160" w:type="dxa"/>
              <w:right w:w="160" w:type="dxa"/>
            </w:tcMar>
          </w:tcPr>
          <w:p>
            <w:pPr>
              <w:spacing w:before="20" w:after="40"/>
            </w:pPr>
            <w:r>
              <w:rPr>
                <w:rFonts w:ascii="Arial" w:hAnsi="Arial"/>
                <w:b/>
                <w:color w:val="0F2043"/>
                <w:sz w:val="19"/>
              </w:rPr>
              <w:t>Standardized StatCon Issue Statement</w:t>
              <w:br/>
            </w:r>
          </w:p>
          <w:p>
            <w:pPr>
              <w:spacing w:before="20" w:after="40" w:line="276" w:lineRule="auto"/>
            </w:pPr>
            <w:r>
              <w:rPr>
                <w:rFonts w:ascii="Calibri" w:hAnsi="Calibri"/>
                <w:color w:val="212529"/>
                <w:sz w:val="19"/>
              </w:rPr>
              <w:t>Whether the subject statutory act, classification, or terminology under the governing statute/rule means, includes, or applies to the factual controversy in Ana Torres v. Jose Limjap, under the canon of Ratio legis est anima legis.</w:t>
            </w:r>
          </w:p>
        </w:tc>
      </w:tr>
    </w:tbl>
    <w:p>
      <w:pPr>
        <w:keepNext/>
        <w:spacing w:before="240" w:after="60"/>
      </w:pPr>
      <w:r>
        <w:rPr>
          <w:rFonts w:ascii="Arial" w:hAnsi="Arial"/>
          <w:b/>
          <w:color w:val="0F2043"/>
          <w:sz w:val="21"/>
        </w:rPr>
        <w:t>IV. PROVISION/S OF LAW CONSTRUED</w:t>
      </w:r>
    </w:p>
    <w:tbl>
      <w:tblPr>
        <w:tblW w:type="auto" w:w="0"/>
        <w:jc w:val="center"/>
        <w:tblLook w:firstColumn="1" w:firstRow="1" w:lastColumn="0" w:lastRow="0" w:noHBand="0" w:noVBand="1" w:val="04A0"/>
      </w:tblPr>
      <w:tblGrid>
        <w:gridCol w:w="9648"/>
      </w:tblGrid>
      <w:tr>
        <w:tc>
          <w:tcPr>
            <w:tcW w:type="dxa" w:w="9648"/>
            <w:shd w:fill="F8F9FB"/>
            <w:tcMar>
              <w:top w:w="100" w:type="dxa"/>
              <w:bottom w:w="100" w:type="dxa"/>
              <w:left w:w="160" w:type="dxa"/>
              <w:right w:w="160" w:type="dxa"/>
            </w:tcMar>
          </w:tcPr>
          <w:p>
            <w:pPr>
              <w:spacing w:before="20" w:after="40"/>
            </w:pPr>
            <w:r>
              <w:rPr>
                <w:rFonts w:ascii="Arial" w:hAnsi="Arial"/>
                <w:b/>
                <w:color w:val="0F2043"/>
                <w:sz w:val="19"/>
              </w:rPr>
              <w:t>Statutory / Constitutional Text &amp; Problem</w:t>
              <w:br/>
            </w:r>
          </w:p>
          <w:p>
            <w:pPr>
              <w:spacing w:before="20" w:after="40" w:line="276" w:lineRule="auto"/>
            </w:pPr>
            <w:r>
              <w:rPr>
                <w:rFonts w:ascii="Calibri" w:hAnsi="Calibri"/>
                <w:b/>
                <w:color w:val="212529"/>
                <w:sz w:val="19"/>
              </w:rPr>
              <w:t xml:space="preserve">• Quoted Provision: </w:t>
            </w:r>
            <w:r>
              <w:rPr>
                <w:rFonts w:ascii="Calibri" w:hAnsi="Calibri"/>
                <w:color w:val="212529"/>
                <w:sz w:val="19"/>
              </w:rPr>
              <w:t>1. Section 7, Act No. 1508 (The Chattel Mortgage Law): General rule requiring specific description of mortgaged property, construed alongside commercial usage.</w:t>
              <w:br/>
              <w:t>2. Ratio Legis Est Anima Legis (the reason of the law is the soul of the law): Statutes must be interpreted in light of the practical mischief they were designed to address.</w:t>
            </w:r>
          </w:p>
          <w:p>
            <w:pPr>
              <w:spacing w:before="20" w:after="40" w:line="276" w:lineRule="auto"/>
            </w:pPr>
            <w:r>
              <w:rPr>
                <w:rFonts w:ascii="Calibri" w:hAnsi="Calibri"/>
                <w:b/>
                <w:color w:val="212529"/>
                <w:sz w:val="19"/>
              </w:rPr>
              <w:t xml:space="preserve">• Interpretive Problem: </w:t>
            </w:r>
            <w:r>
              <w:rPr>
                <w:rFonts w:ascii="Calibri" w:hAnsi="Calibri"/>
                <w:color w:val="212529"/>
                <w:sz w:val="19"/>
              </w:rPr>
              <w:t>Determining the precise legislative intent and boundary of the statutory terms in light of: The debtor attempted to use a literal interpretation of Section 7 to defeat his own contractual agreement and the commer...</w:t>
            </w:r>
          </w:p>
        </w:tc>
      </w:tr>
    </w:tbl>
    <w:p>
      <w:pPr>
        <w:keepNext/>
        <w:spacing w:before="240" w:after="60"/>
      </w:pPr>
      <w:r>
        <w:rPr>
          <w:rFonts w:ascii="Arial" w:hAnsi="Arial"/>
          <w:b/>
          <w:color w:val="0F2043"/>
          <w:sz w:val="21"/>
        </w:rPr>
        <w:t>V. RULING OF THE SUPREME COURT</w:t>
      </w:r>
    </w:p>
    <w:p>
      <w:pPr>
        <w:keepNext/>
        <w:spacing w:before="120" w:after="40"/>
      </w:pPr>
      <w:r>
        <w:rPr>
          <w:rFonts w:ascii="Arial" w:hAnsi="Arial"/>
          <w:b/>
          <w:color w:val="781E1E"/>
          <w:sz w:val="20"/>
        </w:rPr>
        <w:t>A. General Ruling</w:t>
      </w:r>
    </w:p>
    <w:p>
      <w:pPr>
        <w:spacing w:before="40" w:after="80" w:line="276" w:lineRule="auto"/>
      </w:pPr>
      <w:r>
        <w:rPr>
          <w:rFonts w:ascii="Calibri" w:hAnsi="Calibri"/>
          <w:i w:val="0"/>
          <w:color w:val="212529"/>
          <w:sz w:val="21"/>
        </w:rPr>
        <w:t>The Supreme Court AFFIRMED the judgment in favor of Ana Torres, sustaining the foreclosure over the after-acquired drugstore merchandise.</w:t>
      </w:r>
    </w:p>
    <w:p>
      <w:pPr>
        <w:keepNext/>
        <w:spacing w:before="120" w:after="40"/>
      </w:pPr>
      <w:r>
        <w:rPr>
          <w:rFonts w:ascii="Arial" w:hAnsi="Arial"/>
          <w:b/>
          <w:color w:val="781E1E"/>
          <w:sz w:val="20"/>
        </w:rPr>
        <w:t>B. Ruling on the Statutory-Construction Issue</w:t>
      </w:r>
    </w:p>
    <w:tbl>
      <w:tblPr>
        <w:tblW w:type="auto" w:w="0"/>
        <w:jc w:val="center"/>
        <w:tblLook w:firstColumn="1" w:firstRow="1" w:lastColumn="0" w:lastRow="0" w:noHBand="0" w:noVBand="1" w:val="04A0"/>
      </w:tblPr>
      <w:tblGrid>
        <w:gridCol w:w="9648"/>
      </w:tblGrid>
      <w:tr>
        <w:tc>
          <w:tcPr>
            <w:tcW w:type="dxa" w:w="9648"/>
            <w:shd w:fill="F4FAF5"/>
            <w:tcMar>
              <w:top w:w="100" w:type="dxa"/>
              <w:bottom w:w="100" w:type="dxa"/>
              <w:left w:w="160" w:type="dxa"/>
              <w:right w:w="160" w:type="dxa"/>
            </w:tcMar>
          </w:tcPr>
          <w:p>
            <w:pPr>
              <w:spacing w:before="20" w:after="40"/>
            </w:pPr>
            <w:r>
              <w:rPr>
                <w:rFonts w:ascii="Arial" w:hAnsi="Arial"/>
                <w:b/>
                <w:color w:val="0F2043"/>
                <w:sz w:val="19"/>
              </w:rPr>
              <w:t>Statutory Meaning Established by Court</w:t>
              <w:br/>
            </w:r>
          </w:p>
          <w:p>
            <w:pPr>
              <w:spacing w:before="20" w:after="40" w:line="276" w:lineRule="auto"/>
            </w:pPr>
            <w:r>
              <w:rPr>
                <w:rFonts w:ascii="Calibri" w:hAnsi="Calibri"/>
                <w:color w:val="212529"/>
                <w:sz w:val="19"/>
              </w:rPr>
              <w:t>YES. The chattel mortgage over after-acquired replenishing merchandise in a drugstore business is VALID. Legislative intent and commercial necessity prevail over a rigid, literal reading of Section 7.</w:t>
            </w:r>
          </w:p>
        </w:tc>
      </w:tr>
    </w:tbl>
    <w:p>
      <w:pPr>
        <w:keepNext/>
        <w:spacing w:before="240" w:after="60"/>
      </w:pPr>
      <w:r>
        <w:rPr>
          <w:rFonts w:ascii="Arial" w:hAnsi="Arial"/>
          <w:b/>
          <w:color w:val="0F2043"/>
          <w:sz w:val="21"/>
        </w:rPr>
        <w:t>VI. HOW THE COURT CONSTRUED THE LAW</w:t>
      </w:r>
    </w:p>
    <w:tbl>
      <w:tblPr>
        <w:tblW w:type="auto" w:w="0"/>
        <w:jc w:val="center"/>
        <w:tblLook w:firstColumn="1" w:firstRow="1" w:lastColumn="0" w:lastRow="0" w:noHBand="0" w:noVBand="1" w:val="04A0"/>
      </w:tblPr>
      <w:tblGrid>
        <w:gridCol w:w="9648"/>
      </w:tblGrid>
      <w:tr>
        <w:tc>
          <w:tcPr>
            <w:tcW w:type="dxa" w:w="9648"/>
            <w:shd w:fill="F8F9FB"/>
            <w:tcMar>
              <w:top w:w="100" w:type="dxa"/>
              <w:bottom w:w="100" w:type="dxa"/>
              <w:left w:w="160" w:type="dxa"/>
              <w:right w:w="160" w:type="dxa"/>
            </w:tcMar>
          </w:tcPr>
          <w:p>
            <w:pPr>
              <w:spacing w:before="20" w:after="40"/>
            </w:pPr>
            <w:r>
              <w:rPr>
                <w:rFonts w:ascii="Arial" w:hAnsi="Arial"/>
                <w:b/>
                <w:color w:val="0F2043"/>
                <w:sz w:val="19"/>
              </w:rPr>
              <w:t>Methodological &amp; Doctrinal Analysis</w:t>
              <w:br/>
            </w:r>
          </w:p>
          <w:p>
            <w:pPr>
              <w:spacing w:before="20" w:after="40" w:line="276" w:lineRule="auto"/>
            </w:pPr>
            <w:r>
              <w:rPr>
                <w:rFonts w:ascii="Calibri" w:hAnsi="Calibri"/>
                <w:b/>
                <w:color w:val="212529"/>
                <w:sz w:val="19"/>
              </w:rPr>
              <w:t xml:space="preserve">A. Why Was Construction Necessary? </w:t>
            </w:r>
            <w:r>
              <w:rPr>
                <w:rFonts w:ascii="Calibri" w:hAnsi="Calibri"/>
                <w:color w:val="212529"/>
                <w:sz w:val="19"/>
              </w:rPr>
              <w:t>Ambiguity in the application and scope of the statute: The debtor attempted to use a literal interpretation of Section 7 to defeat his own contractual agreement and the commercial purpose of the .</w:t>
            </w:r>
          </w:p>
          <w:p>
            <w:pPr>
              <w:spacing w:before="20" w:after="40" w:line="276" w:lineRule="auto"/>
            </w:pPr>
            <w:r>
              <w:rPr>
                <w:rFonts w:ascii="Calibri" w:hAnsi="Calibri"/>
                <w:b/>
                <w:color w:val="212529"/>
                <w:sz w:val="19"/>
              </w:rPr>
              <w:t xml:space="preserve">B. Purpose of Construction: </w:t>
            </w:r>
            <w:r>
              <w:rPr>
                <w:rFonts w:ascii="Calibri" w:hAnsi="Calibri"/>
                <w:color w:val="212529"/>
                <w:sz w:val="19"/>
              </w:rPr>
              <w:t>To ascertain and give full effect to the true intent, spirit, and purpose of the lawmaking body.</w:t>
            </w:r>
          </w:p>
          <w:p>
            <w:pPr>
              <w:spacing w:before="20" w:after="40" w:line="276" w:lineRule="auto"/>
            </w:pPr>
            <w:r>
              <w:rPr>
                <w:rFonts w:ascii="Calibri" w:hAnsi="Calibri"/>
                <w:b/>
                <w:color w:val="212529"/>
                <w:sz w:val="19"/>
              </w:rPr>
              <w:t xml:space="preserve">C. Method, Canon, or Rule Applied: </w:t>
            </w:r>
            <w:r>
              <w:rPr>
                <w:rFonts w:ascii="Calibri" w:hAnsi="Calibri"/>
                <w:color w:val="212529"/>
                <w:sz w:val="19"/>
              </w:rPr>
              <w:t>Ratio legis est anima legis</w:t>
              <w:br/>
              <w:t xml:space="preserve">   - Application: Purposive Commercial Construction: Commercial statutes must be interpreted flexibly to advance commerce and fulfill legislative intent rather than stifle trade.</w:t>
              <w:br/>
              <w:t xml:space="preserve">   - Result: Yes. The law was intended to support commercial transactions. In retail businesses where goods are sold and replaced daily, forbidding mortgages on new stock would kill commerce, defeating the purpose of the statute.</w:t>
            </w:r>
          </w:p>
          <w:p>
            <w:pPr>
              <w:spacing w:before="20" w:after="40" w:line="276" w:lineRule="auto"/>
            </w:pPr>
            <w:r>
              <w:rPr>
                <w:rFonts w:ascii="Calibri" w:hAnsi="Calibri"/>
                <w:b/>
                <w:color w:val="212529"/>
                <w:sz w:val="19"/>
              </w:rPr>
              <w:t xml:space="preserve">D. Other Sources Used: </w:t>
            </w:r>
            <w:r>
              <w:rPr>
                <w:rFonts w:ascii="Calibri" w:hAnsi="Calibri"/>
                <w:color w:val="212529"/>
                <w:sz w:val="19"/>
              </w:rPr>
              <w:t>Ordinary meaning of words, statute considered as a whole, legislative history, and established Supreme Court jurisprudence.</w:t>
            </w:r>
          </w:p>
        </w:tc>
      </w:tr>
    </w:tbl>
    <w:p>
      <w:pPr>
        <w:keepNext/>
        <w:spacing w:before="240" w:after="60"/>
      </w:pPr>
      <w:r>
        <w:rPr>
          <w:rFonts w:ascii="Arial" w:hAnsi="Arial"/>
          <w:b/>
          <w:color w:val="0F2043"/>
          <w:sz w:val="21"/>
        </w:rPr>
        <w:t>VII. RELEVANT STATUTORY-CONSTRUCTION CONCEPTS (A–L EVALUATION)</w:t>
      </w:r>
    </w:p>
    <w:tbl>
      <w:tblPr>
        <w:tblW w:type="auto" w:w="0"/>
        <w:jc w:val="center"/>
        <w:tblLook w:firstColumn="1" w:firstRow="1" w:lastColumn="0" w:lastRow="0" w:noHBand="0" w:noVBand="1" w:val="04A0"/>
      </w:tblPr>
      <w:tblGrid>
        <w:gridCol w:w="4824"/>
        <w:gridCol w:w="4824"/>
      </w:tblGrid>
      <w:tr>
        <w:tc>
          <w:tcPr>
            <w:tcW w:type="dxa" w:w="4824"/>
            <w:shd w:fill="EBF0F8"/>
            <w:tcMar>
              <w:top w:w="70" w:type="dxa"/>
              <w:bottom w:w="70" w:type="dxa"/>
              <w:left w:w="100" w:type="dxa"/>
              <w:right w:w="100" w:type="dxa"/>
            </w:tcMar>
          </w:tcPr>
          <w:p>
            <w:pPr>
              <w:spacing w:before="20" w:after="20"/>
            </w:pPr>
            <w:r>
              <w:rPr>
                <w:rFonts w:ascii="Arial" w:hAnsi="Arial"/>
                <w:b/>
                <w:color w:val="0F2043"/>
                <w:sz w:val="18"/>
              </w:rPr>
              <w:t>A. Situs of Statutory Construction</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Supreme Court of the Philippines, exercising its constitutional judicial power under Article VIII of the Constitution, serves as the ultimate situs and final arbiter for interpreting and construing the disputed provision.</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B. Purpose of Statutory Construction</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purpose of construction is to discover and effectuate the true legislative intent and will of the lawmaking body, preventing injustice and ensuring the statute operates harmoniously.</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C. When to Construe</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Construction became imperative because the text contained an ambiguity, competing interpretations, or conflicting statutory provisions that required judicial determination of legislative intent.</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D. Ambiguity or Vagueness</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controversy centered on the ambiguity, silence, or conflicting scope of the statutory language, which the Court resolved by examining legislative intent and governing maxims.</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E. Verba Legis Non Est Recedendum</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781E1E"/>
                <w:sz w:val="17"/>
              </w:rPr>
              <w:t xml:space="preserve"> [NOT APPLICABLE] </w:t>
            </w:r>
            <w:r>
              <w:rPr>
                <w:rFonts w:ascii="Calibri" w:hAnsi="Calibri"/>
                <w:color w:val="212529"/>
                <w:sz w:val="18"/>
              </w:rPr>
              <w:t>Not Applicable. The Court looked beyond literal words to discover the underlying legislative spirit, context, and intent.</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F. Absoluta Sententia Expositore Non Indigent</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781E1E"/>
                <w:sz w:val="17"/>
              </w:rPr>
              <w:t xml:space="preserve"> [NOT APPLICABLE] </w:t>
            </w:r>
            <w:r>
              <w:rPr>
                <w:rFonts w:ascii="Calibri" w:hAnsi="Calibri"/>
                <w:color w:val="212529"/>
                <w:sz w:val="18"/>
              </w:rPr>
              <w:t>Not Applicable. The statutory language required expository interpretation due to textual gaps, broad phrasing, or conflicting provisions.</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G. Legislative Intent</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Court analyzed the true intent and policy of the lawmaking authority, ensuring that the statutory purpose is preserved and not defeated by erroneous administrative or private interpretations.</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H. Strict or Liberal Construction</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781E1E"/>
                <w:sz w:val="17"/>
              </w:rPr>
              <w:t xml:space="preserve"> [NOT APPLICABLE] </w:t>
            </w:r>
            <w:r>
              <w:rPr>
                <w:rFonts w:ascii="Calibri" w:hAnsi="Calibri"/>
                <w:color w:val="212529"/>
                <w:sz w:val="18"/>
              </w:rPr>
              <w:t>Not Applicable. The Court applied standard ordinary rules of statutory interpretation without resorting to special strict or liberal construction doctrines.</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I. Prospective or Retrospective Construction</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781E1E"/>
                <w:sz w:val="17"/>
              </w:rPr>
              <w:t xml:space="preserve"> [NOT APPLICABLE] </w:t>
            </w:r>
            <w:r>
              <w:rPr>
                <w:rFonts w:ascii="Calibri" w:hAnsi="Calibri"/>
                <w:color w:val="212529"/>
                <w:sz w:val="18"/>
              </w:rPr>
              <w:t>Not Applicable. The case involved only the contemporaneous, prospective application of the governing law.</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J. Statutory Construction vs. Judicial Legislation</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Court underscored the constitutional boundary of judicial power: Courts are empowered solely to interpret (jus dicere), not to enact or amend laws (jus dare). Supplying unwritten terms or expanding clear prohibitions constitutes prohibited judicial legislation.</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K. Legis Interpretatio Legis Vim Obtinet</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Under Article 8 of the Civil Code, the Supreme Court's authoritative interpretation of the statute forms part of the legal system of the Philippines and acquires the force of law (*legis interpretatio legis vim obtinet*).</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L. Extent and Limits of the Power to Construe</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Court respected the constitutional limits of its authority by applying the law as written and refusing to invade the legislative domain under the guise of equity or expediency.</w:t>
            </w:r>
          </w:p>
        </w:tc>
      </w:tr>
    </w:tbl>
    <w:p>
      <w:pPr>
        <w:keepNext/>
        <w:spacing w:before="240" w:after="60"/>
      </w:pPr>
      <w:r>
        <w:rPr>
          <w:rFonts w:ascii="Arial" w:hAnsi="Arial"/>
          <w:b/>
          <w:color w:val="0F2043"/>
          <w:sz w:val="21"/>
        </w:rPr>
        <w:t>VIII. OTHER CANONS OR METHODS OF CONSTRUCTION</w:t>
      </w:r>
    </w:p>
    <w:tbl>
      <w:tblPr>
        <w:tblW w:type="auto" w:w="0"/>
        <w:jc w:val="center"/>
        <w:tblLook w:firstColumn="1" w:firstRow="1" w:lastColumn="0" w:lastRow="0" w:noHBand="0" w:noVBand="1" w:val="04A0"/>
      </w:tblPr>
      <w:tblGrid>
        <w:gridCol w:w="9648"/>
      </w:tblGrid>
      <w:tr>
        <w:tc>
          <w:tcPr>
            <w:tcW w:type="dxa" w:w="9648"/>
            <w:shd w:fill="F8F9FB"/>
            <w:tcMar>
              <w:top w:w="100" w:type="dxa"/>
              <w:bottom w:w="100" w:type="dxa"/>
              <w:left w:w="160" w:type="dxa"/>
              <w:right w:w="160" w:type="dxa"/>
            </w:tcMar>
          </w:tcPr>
          <w:p>
            <w:pPr>
              <w:spacing w:before="20" w:after="40"/>
            </w:pPr>
            <w:r>
              <w:rPr>
                <w:rFonts w:ascii="Arial" w:hAnsi="Arial"/>
                <w:b/>
                <w:color w:val="0F2043"/>
                <w:sz w:val="19"/>
              </w:rPr>
              <w:t>Secondary Rules &amp; Canons Applied</w:t>
              <w:br/>
            </w:r>
          </w:p>
          <w:p>
            <w:pPr>
              <w:spacing w:before="20" w:after="40" w:line="276" w:lineRule="auto"/>
            </w:pPr>
            <w:r>
              <w:rPr>
                <w:rFonts w:ascii="Calibri" w:hAnsi="Calibri"/>
                <w:b/>
                <w:color w:val="212529"/>
                <w:sz w:val="19"/>
              </w:rPr>
              <w:t xml:space="preserve">• Canon / Maxim: </w:t>
            </w:r>
            <w:r>
              <w:rPr>
                <w:rFonts w:ascii="Calibri" w:hAnsi="Calibri"/>
                <w:color w:val="212529"/>
                <w:sz w:val="19"/>
              </w:rPr>
              <w:t>• Verba intentioni non e contra debent inservire (words must serve the intent)</w:t>
              <w:br/>
              <w:t>• Cessante ratione legis cessat ipsa lex (when the reason ceases, the law ceases)</w:t>
            </w:r>
          </w:p>
          <w:p>
            <w:pPr>
              <w:spacing w:before="20" w:after="40" w:line="276" w:lineRule="auto"/>
            </w:pPr>
            <w:r>
              <w:rPr>
                <w:rFonts w:ascii="Calibri" w:hAnsi="Calibri"/>
                <w:b/>
                <w:color w:val="212529"/>
                <w:sz w:val="19"/>
              </w:rPr>
              <w:t xml:space="preserve">• How Applied: </w:t>
            </w:r>
            <w:r>
              <w:rPr>
                <w:rFonts w:ascii="Calibri" w:hAnsi="Calibri"/>
                <w:color w:val="212529"/>
                <w:sz w:val="19"/>
              </w:rPr>
              <w:t>Applied as corroborative canons to reinforce the primary rule of construction.</w:t>
            </w:r>
          </w:p>
          <w:p>
            <w:pPr>
              <w:spacing w:before="20" w:after="40" w:line="276" w:lineRule="auto"/>
            </w:pPr>
            <w:r>
              <w:rPr>
                <w:rFonts w:ascii="Calibri" w:hAnsi="Calibri"/>
                <w:b/>
                <w:color w:val="212529"/>
                <w:sz w:val="19"/>
              </w:rPr>
              <w:t xml:space="preserve">• Effect on Interpretation: </w:t>
            </w:r>
            <w:r>
              <w:rPr>
                <w:rFonts w:ascii="Calibri" w:hAnsi="Calibri"/>
                <w:color w:val="212529"/>
                <w:sz w:val="19"/>
              </w:rPr>
              <w:t>Harmonized the statute and prevented an absurd or unjust result.</w:t>
            </w:r>
          </w:p>
        </w:tc>
      </w:tr>
    </w:tbl>
    <w:p>
      <w:pPr>
        <w:keepNext/>
        <w:spacing w:before="240" w:after="60"/>
      </w:pPr>
      <w:r>
        <w:rPr>
          <w:rFonts w:ascii="Arial" w:hAnsi="Arial"/>
          <w:b/>
          <w:color w:val="0F2043"/>
          <w:sz w:val="21"/>
        </w:rPr>
        <w:t>IX. THE CONSTRUCTION MADE BY THE COURT</w:t>
      </w:r>
    </w:p>
    <w:tbl>
      <w:tblPr>
        <w:tblW w:type="auto" w:w="0"/>
        <w:jc w:val="center"/>
        <w:tblLook w:firstColumn="1" w:firstRow="1" w:lastColumn="0" w:lastRow="0" w:noHBand="0" w:noVBand="1" w:val="04A0"/>
      </w:tblPr>
      <w:tblGrid>
        <w:gridCol w:w="9648"/>
      </w:tblGrid>
      <w:tr>
        <w:tc>
          <w:tcPr>
            <w:tcW w:type="dxa" w:w="9648"/>
            <w:shd w:fill="F9F8F5"/>
            <w:tcMar>
              <w:top w:w="100" w:type="dxa"/>
              <w:bottom w:w="100" w:type="dxa"/>
              <w:left w:w="160" w:type="dxa"/>
              <w:right w:w="160" w:type="dxa"/>
            </w:tcMar>
          </w:tcPr>
          <w:p>
            <w:pPr>
              <w:spacing w:before="20" w:after="40"/>
            </w:pPr>
            <w:r>
              <w:rPr>
                <w:rFonts w:ascii="Arial" w:hAnsi="Arial"/>
                <w:b/>
                <w:color w:val="0F2043"/>
                <w:sz w:val="19"/>
              </w:rPr>
              <w:t>Actual Judicial Construction &amp; Ratio</w:t>
              <w:br/>
            </w:r>
          </w:p>
          <w:p>
            <w:pPr>
              <w:spacing w:before="20" w:after="40" w:line="276" w:lineRule="auto"/>
            </w:pPr>
            <w:r>
              <w:rPr>
                <w:rFonts w:ascii="Calibri" w:hAnsi="Calibri"/>
                <w:b/>
                <w:color w:val="212529"/>
                <w:sz w:val="19"/>
              </w:rPr>
              <w:t xml:space="preserve">• Construction Summary: </w:t>
            </w:r>
            <w:r>
              <w:rPr>
                <w:rFonts w:ascii="Calibri" w:hAnsi="Calibri"/>
                <w:color w:val="212529"/>
                <w:sz w:val="19"/>
              </w:rPr>
              <w:t>The Court construed the disputed statutory provisions in Ana Torres v. Jose Limjap to mean and apply strictly in accordance with Ratio legis est anima legis, holding that Yes. The law was intended to support commercial transactions. In retail businesses where goods are sold and replaced daily, forbidding mortgages on new stock wo.</w:t>
            </w:r>
          </w:p>
          <w:p>
            <w:pPr>
              <w:spacing w:before="20" w:after="40" w:line="276" w:lineRule="auto"/>
            </w:pPr>
            <w:r>
              <w:rPr>
                <w:rFonts w:ascii="Calibri" w:hAnsi="Calibri"/>
                <w:b/>
                <w:color w:val="212529"/>
                <w:sz w:val="19"/>
              </w:rPr>
              <w:t xml:space="preserve">• Principal Reasoning: </w:t>
            </w:r>
            <w:r>
              <w:rPr>
                <w:rFonts w:ascii="Calibri" w:hAnsi="Calibri"/>
                <w:color w:val="212529"/>
                <w:sz w:val="19"/>
              </w:rPr>
              <w:t>A retail drugstore must sell and restock goods daily. If the mortgage only attached to the first batch of medicines, the lender would lose all security once sold. To carry out the true purpose of the credit law, the court upheld the mortgage over replacement stock.</w:t>
            </w:r>
          </w:p>
        </w:tc>
      </w:tr>
    </w:tbl>
    <w:tbl>
      <w:tblPr>
        <w:tblW w:type="auto" w:w="0"/>
        <w:jc w:val="center"/>
        <w:tblLook w:firstColumn="1" w:firstRow="1" w:lastColumn="0" w:lastRow="0" w:noHBand="0" w:noVBand="1" w:val="04A0"/>
      </w:tblPr>
      <w:tblGrid>
        <w:gridCol w:w="9648"/>
      </w:tblGrid>
      <w:tr>
        <w:tc>
          <w:tcPr>
            <w:tcW w:type="dxa" w:w="9648"/>
            <w:shd w:fill="EEF6F0"/>
            <w:tcMar>
              <w:top w:w="100" w:type="dxa"/>
              <w:bottom w:w="100" w:type="dxa"/>
              <w:left w:w="160" w:type="dxa"/>
              <w:right w:w="160" w:type="dxa"/>
            </w:tcMar>
          </w:tcPr>
          <w:p>
            <w:pPr>
              <w:spacing w:before="20" w:after="40"/>
            </w:pPr>
            <w:r>
              <w:rPr>
                <w:rFonts w:ascii="Arial" w:hAnsi="Arial"/>
                <w:b/>
                <w:color w:val="0D6E4B"/>
                <w:sz w:val="19"/>
              </w:rPr>
              <w:t>X. STATUTORY CONSTRUCTION OR JUDICIAL LEGISLATION?</w:t>
              <w:br/>
            </w:r>
          </w:p>
          <w:p>
            <w:pPr>
              <w:spacing w:before="20" w:after="60"/>
            </w:pPr>
            <w:r>
              <w:rPr>
                <w:rFonts w:ascii="Arial" w:hAnsi="Arial"/>
                <w:b/>
                <w:color w:val="0F2043"/>
                <w:sz w:val="19"/>
              </w:rPr>
              <w:t>☑ Proper statutory construction    ☐ Judicial legislation    ☐ Debatable</w:t>
            </w:r>
          </w:p>
          <w:p>
            <w:pPr>
              <w:spacing w:before="40" w:after="40" w:line="276" w:lineRule="auto"/>
            </w:pPr>
            <w:r>
              <w:rPr>
                <w:rFonts w:ascii="Calibri" w:hAnsi="Calibri"/>
                <w:b/>
                <w:color w:val="212529"/>
                <w:sz w:val="19"/>
              </w:rPr>
              <w:t>Explanation (3–5 sentences):</w:t>
              <w:br/>
            </w:r>
            <w:r>
              <w:rPr>
                <w:rFonts w:ascii="Calibri" w:hAnsi="Calibri"/>
                <w:color w:val="212529"/>
                <w:sz w:val="19"/>
              </w:rPr>
              <w:t>The Supreme Court acted within the legitimate bounds of its constitutional power to interpret the law (jus dicere). By applying Ratio legis est anima legis, the Court faithfully effectuated the legislative intent without creating new rules, modifying clear statutory text, or usurping congressional prerogative. The ruling reinforces the separation of powers and the doctrine that courts must enforce the law as enacted.</w:t>
            </w:r>
          </w:p>
        </w:tc>
      </w:tr>
    </w:tbl>
    <w:p>
      <w:pPr>
        <w:spacing w:before="80" w:after="40"/>
      </w:pPr>
    </w:p>
    <w:tbl>
      <w:tblPr>
        <w:tblW w:type="auto" w:w="0"/>
        <w:jc w:val="center"/>
        <w:tblLook w:firstColumn="1" w:firstRow="1" w:lastColumn="0" w:lastRow="0" w:noHBand="0" w:noVBand="1" w:val="04A0"/>
      </w:tblPr>
      <w:tblGrid>
        <w:gridCol w:w="9648"/>
      </w:tblGrid>
      <w:tr>
        <w:tc>
          <w:tcPr>
            <w:tcW w:type="dxa" w:w="9648"/>
            <w:shd w:fill="FBF6EE"/>
            <w:tcMar>
              <w:top w:w="100" w:type="dxa"/>
              <w:bottom w:w="100" w:type="dxa"/>
              <w:left w:w="160" w:type="dxa"/>
              <w:right w:w="160" w:type="dxa"/>
            </w:tcMar>
          </w:tcPr>
          <w:p>
            <w:pPr>
              <w:spacing w:before="20" w:after="40"/>
            </w:pPr>
            <w:r>
              <w:rPr>
                <w:rFonts w:ascii="Arial" w:hAnsi="Arial"/>
                <w:b/>
                <w:color w:val="8C3200"/>
                <w:sz w:val="19"/>
              </w:rPr>
              <w:t>XI. DOCTRINE (Statutory Construction Principle):</w:t>
              <w:br/>
            </w:r>
            <w:r>
              <w:rPr>
                <w:rFonts w:ascii="Calibri" w:hAnsi="Calibri"/>
                <w:color w:val="212529"/>
                <w:sz w:val="19"/>
              </w:rPr>
              <w:t>Purposive Commercial Construction: Commercial statutes must be interpreted flexibly to advance commerce and fulfill legislative intent rather than stifle trade.</w:t>
              <w:br/>
              <w:br/>
            </w:r>
          </w:p>
          <w:p>
            <w:pPr>
              <w:spacing w:before="20" w:after="40"/>
            </w:pPr>
            <w:r>
              <w:rPr>
                <w:rFonts w:ascii="Arial" w:hAnsi="Arial"/>
                <w:b/>
                <w:color w:val="8C3200"/>
                <w:sz w:val="19"/>
              </w:rPr>
              <w:t>XII. ONE-SENTENCE TAKEAWAY:</w:t>
              <w:br/>
            </w:r>
            <w:r>
              <w:rPr>
                <w:rFonts w:ascii="Calibri" w:hAnsi="Calibri"/>
                <w:i/>
                <w:color w:val="212529"/>
                <w:sz w:val="19"/>
              </w:rPr>
              <w:t>This case is important in Statutory Construction because Laws must be interpreted according to their true purpose and reason, not in a rigid way that destroys practical business.</w:t>
            </w:r>
          </w:p>
        </w:tc>
      </w:tr>
    </w:tbl>
    <w:p>
      <w:r>
        <w:br w:type="page"/>
      </w:r>
    </w:p>
    <w:p>
      <w:pPr>
        <w:keepNext/>
        <w:spacing w:before="320" w:after="80"/>
      </w:pPr>
      <w:r>
        <w:rPr>
          <w:rFonts w:ascii="Arial" w:hAnsi="Arial"/>
          <w:b/>
          <w:color w:val="0F2043"/>
          <w:sz w:val="26"/>
        </w:rPr>
        <w:t>25. JUAN LLORIN, JR. V. COURT OF APPEALS AND MAXIMO MALICSI</w:t>
      </w:r>
    </w:p>
    <w:p>
      <w:pPr>
        <w:spacing w:before="40" w:after="80" w:line="276" w:lineRule="auto"/>
      </w:pPr>
      <w:r>
        <w:rPr>
          <w:rFonts w:ascii="Calibri" w:hAnsi="Calibri"/>
          <w:b/>
          <w:color w:val="212529"/>
          <w:sz w:val="21"/>
        </w:rPr>
        <w:t xml:space="preserve">Citation: </w:t>
      </w:r>
      <w:r>
        <w:rPr>
          <w:rFonts w:ascii="Calibri" w:hAnsi="Calibri"/>
          <w:i/>
          <w:color w:val="212529"/>
          <w:sz w:val="21"/>
        </w:rPr>
        <w:t>G.R. No. 103592 | February 4, 1993 | 218 SCRA 436 | Third Division | Ponente: J. Bidin</w:t>
      </w:r>
    </w:p>
    <w:p>
      <w:pPr>
        <w:keepNext/>
        <w:spacing w:before="200" w:after="40"/>
      </w:pPr>
      <w:r>
        <w:rPr>
          <w:rFonts w:ascii="Arial" w:hAnsi="Arial"/>
          <w:b/>
          <w:color w:val="781E1E"/>
          <w:sz w:val="22"/>
        </w:rPr>
        <w:t>LAYER A: ALAC DIGEST, RECITATION SCRIPT &amp; STATCON ANALYSIS</w:t>
      </w:r>
    </w:p>
    <w:p>
      <w:pPr>
        <w:keepNext/>
        <w:spacing w:before="200" w:after="40"/>
      </w:pPr>
      <w:r>
        <w:rPr>
          <w:rFonts w:ascii="Arial" w:hAnsi="Arial"/>
          <w:b/>
          <w:color w:val="781E1E"/>
          <w:sz w:val="22"/>
        </w:rPr>
        <w:t>I. PARTIES &amp; PROCEDURAL BACKGROUND</w:t>
      </w:r>
    </w:p>
    <w:p>
      <w:pPr>
        <w:spacing w:before="40" w:after="80" w:line="276" w:lineRule="auto"/>
      </w:pPr>
      <w:r>
        <w:rPr>
          <w:rFonts w:ascii="Calibri" w:hAnsi="Calibri"/>
          <w:b/>
          <w:color w:val="212529"/>
          <w:sz w:val="21"/>
        </w:rPr>
        <w:t xml:space="preserve">• Plaintiff/Petitioner: </w:t>
      </w:r>
      <w:r>
        <w:rPr>
          <w:rFonts w:ascii="Calibri" w:hAnsi="Calibri"/>
          <w:i w:val="0"/>
          <w:color w:val="212529"/>
          <w:sz w:val="21"/>
        </w:rPr>
        <w:t>Juan Llorin, Jr. (Petitioner)</w:t>
      </w:r>
    </w:p>
    <w:p>
      <w:pPr>
        <w:spacing w:before="40" w:after="80" w:line="276" w:lineRule="auto"/>
      </w:pPr>
      <w:r>
        <w:rPr>
          <w:rFonts w:ascii="Calibri" w:hAnsi="Calibri"/>
          <w:b/>
          <w:color w:val="212529"/>
          <w:sz w:val="21"/>
        </w:rPr>
        <w:t xml:space="preserve">• Defendant/Respondent: </w:t>
      </w:r>
      <w:r>
        <w:rPr>
          <w:rFonts w:ascii="Calibri" w:hAnsi="Calibri"/>
          <w:i w:val="0"/>
          <w:color w:val="212529"/>
          <w:sz w:val="21"/>
        </w:rPr>
        <w:t>Court of Appeals and Maximo Malicsi (Respondents)</w:t>
      </w:r>
    </w:p>
    <w:p>
      <w:pPr>
        <w:spacing w:before="40" w:after="80" w:line="276" w:lineRule="auto"/>
      </w:pPr>
      <w:r>
        <w:rPr>
          <w:rFonts w:ascii="Calibri" w:hAnsi="Calibri"/>
          <w:b/>
          <w:color w:val="212529"/>
          <w:sz w:val="21"/>
        </w:rPr>
        <w:t xml:space="preserve">• Originating Court: </w:t>
      </w:r>
      <w:r>
        <w:rPr>
          <w:rFonts w:ascii="Calibri" w:hAnsi="Calibri"/>
          <w:i w:val="0"/>
          <w:color w:val="212529"/>
          <w:sz w:val="21"/>
        </w:rPr>
        <w:t>Metropolitan Trial Court of Manila (Branch 27) / Regional Trial Court / Court of Appeals</w:t>
      </w:r>
    </w:p>
    <w:p>
      <w:pPr>
        <w:spacing w:before="40" w:after="80" w:line="276" w:lineRule="auto"/>
      </w:pPr>
      <w:r>
        <w:rPr>
          <w:rFonts w:ascii="Calibri" w:hAnsi="Calibri"/>
          <w:b/>
          <w:color w:val="212529"/>
          <w:sz w:val="21"/>
        </w:rPr>
        <w:t xml:space="preserve">• Nature of the Action: </w:t>
      </w:r>
      <w:r>
        <w:rPr>
          <w:rFonts w:ascii="Calibri" w:hAnsi="Calibri"/>
          <w:i w:val="0"/>
          <w:color w:val="212529"/>
          <w:sz w:val="21"/>
        </w:rPr>
        <w:t>Petition for Review on Certiorari under Rule 45 concerning jurisdictional requirement of Barangay conciliation under Presidential Decree No. 1508 (Katarungang Pambarangay Law).</w:t>
      </w:r>
    </w:p>
    <w:p>
      <w:pPr>
        <w:keepNext/>
        <w:spacing w:before="200" w:after="40"/>
      </w:pPr>
      <w:r>
        <w:rPr>
          <w:rFonts w:ascii="Arial" w:hAnsi="Arial"/>
          <w:b/>
          <w:color w:val="781E1E"/>
          <w:sz w:val="22"/>
        </w:rPr>
        <w:t>II. WHOLE FACTS</w:t>
      </w:r>
    </w:p>
    <w:p>
      <w:pPr>
        <w:spacing w:before="40" w:after="80" w:line="276" w:lineRule="auto"/>
      </w:pPr>
      <w:r>
        <w:rPr>
          <w:rFonts w:ascii="Calibri" w:hAnsi="Calibri"/>
          <w:i w:val="0"/>
          <w:color w:val="212529"/>
          <w:sz w:val="21"/>
        </w:rPr>
        <w:t>Juan Llorin filed an ejectment complaint against his tenant Maximo Malicsi before the MTC of Manila. Malicsi moved to dismiss the complaint on the ground of non-compliance with P.D. No. 1508 (Katarungang Pambarangay Law), because the confrontation before the Lupon Tagapayapa occurred before the Barangay Captain of a neighboring barangay rather than the exact barangay where the leased property was situated. Llorin showed that both parties voluntarily appeared and participated in multiple mediation sessions before the Barangay Captain without objection, but failed to reach an amicable settlement, leading to the issuance of a Certification to File Action.</w:t>
      </w:r>
    </w:p>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SUMMARY OF FACTS</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A landlord sued to evict a tenant after both tried and failed to settle their dispute before a barangay captain. In court, the tenant asked to dismiss the case because they went to the neighboring barangay hall instead of the exact barangay where the house stood. The Supreme Court ruled that since the parties actively tried to settle, the spirit of the Katarungang Pambarangay Law was fully satisfied, and procedural technicalities cannot derail the case.</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When reciting the facts, state the core dispute in 2 sentences, then state how the case reached the Supreme Court.</w:t>
            </w:r>
          </w:p>
        </w:tc>
      </w:tr>
    </w:tbl>
    <w:p>
      <w:pPr>
        <w:keepNext/>
        <w:spacing w:before="200" w:after="40"/>
      </w:pPr>
      <w:r>
        <w:rPr>
          <w:rFonts w:ascii="Arial" w:hAnsi="Arial"/>
          <w:b/>
          <w:color w:val="781E1E"/>
          <w:sz w:val="22"/>
        </w:rPr>
        <w:t>III. THE LEGAL ISSUE</w:t>
      </w:r>
    </w:p>
    <w:p>
      <w:pPr>
        <w:spacing w:before="40" w:after="80" w:line="276" w:lineRule="auto"/>
      </w:pPr>
      <w:r>
        <w:rPr>
          <w:rFonts w:ascii="Calibri" w:hAnsi="Calibri"/>
          <w:i w:val="0"/>
          <w:color w:val="212529"/>
          <w:sz w:val="21"/>
        </w:rPr>
        <w:t>Whether or not the ejectment suit should be dismissed for lack of jurisdiction due to technical venue defect under P.D. No. 1508 despite actual conciliation proceedings.</w:t>
      </w:r>
    </w:p>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THE LEGAL ISSUE</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Should a case be dismissed because the parties held their barangay settlement talks in the wrong barangay hall even though they fully participated in mediation?</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"Sir/Ma'am, the issue is whether substantial compliance with the conciliation process satisfies PD 1508, testing whether the Spirit and Purpose of the Law prevails over strict literal technicalities (Ratio Legis / Ut Res Magis Valeat Quam Pereat)."</w:t>
            </w:r>
          </w:p>
        </w:tc>
      </w:tr>
    </w:tbl>
    <w:p>
      <w:pPr>
        <w:keepNext/>
        <w:spacing w:before="200" w:after="40"/>
      </w:pPr>
      <w:r>
        <w:rPr>
          <w:rFonts w:ascii="Arial" w:hAnsi="Arial"/>
          <w:b/>
          <w:color w:val="781E1E"/>
          <w:sz w:val="22"/>
        </w:rPr>
        <w:t>IV. ALAC DIGEST</w:t>
      </w:r>
    </w:p>
    <w:tbl>
      <w:tblPr>
        <w:tblW w:type="auto" w:w="0"/>
        <w:jc w:val="center"/>
        <w:tblLook w:firstColumn="1" w:firstRow="1" w:lastColumn="0" w:lastRow="0" w:noHBand="0" w:noVBand="1" w:val="04A0"/>
      </w:tblPr>
      <w:tblGrid>
        <w:gridCol w:w="9648"/>
      </w:tblGrid>
      <w:tr>
        <w:tc>
          <w:tcPr>
            <w:tcW w:type="dxa" w:w="9648"/>
            <w:shd w:fill="F4F6F9"/>
            <w:tcMar>
              <w:top w:w="120" w:type="dxa"/>
              <w:bottom w:w="120" w:type="dxa"/>
              <w:left w:w="180" w:type="dxa"/>
              <w:right w:w="180" w:type="dxa"/>
            </w:tcMar>
          </w:tcPr>
          <w:p>
            <w:pPr>
              <w:spacing w:before="40" w:after="60"/>
            </w:pPr>
            <w:r>
              <w:rPr>
                <w:rFonts w:ascii="Arial" w:hAnsi="Arial"/>
                <w:b/>
                <w:color w:val="0F2043"/>
                <w:sz w:val="21"/>
              </w:rPr>
              <w:t>[A] ANSWER</w:t>
              <w:br/>
            </w:r>
          </w:p>
          <w:p>
            <w:pPr>
              <w:spacing w:before="20" w:after="40" w:line="276" w:lineRule="auto"/>
            </w:pPr>
            <w:r>
              <w:rPr>
                <w:rFonts w:ascii="Calibri" w:hAnsi="Calibri"/>
                <w:color w:val="212529"/>
                <w:sz w:val="20"/>
              </w:rPr>
              <w:t>NO. The suit should NOT be dismissed. The primary objective of P.D. No. 1508 is to encourage amicable settlement of disputes at the community level. Since the parties actually underwent mediation and failed to settle, the purpose of the law was achieved.</w:t>
            </w:r>
          </w:p>
        </w:tc>
      </w:tr>
    </w:tbl>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THE ANSWER</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No. The main goal of the Barangay law is to make neighbors talk and try to settle. Because they actually did talk and could not agree, the purpose of the law was fulfilled. Technical venue errors were waived by their active participation.</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"No, Sir/Ma'am. The Supreme Court held that procedural rules under PD 1508 are designed to promote amicable settlement. Where the parties actually participated in conciliation, the spirit and purpose of the law have been satisfied, and procedural technicalities cannot defeat substantive justice."</w:t>
            </w:r>
          </w:p>
        </w:tc>
      </w:tr>
    </w:tbl>
    <w:tbl>
      <w:tblPr>
        <w:tblW w:type="auto" w:w="0"/>
        <w:jc w:val="center"/>
        <w:tblLook w:firstColumn="1" w:firstRow="1" w:lastColumn="0" w:lastRow="0" w:noHBand="0" w:noVBand="1" w:val="04A0"/>
      </w:tblPr>
      <w:tblGrid>
        <w:gridCol w:w="9648"/>
      </w:tblGrid>
      <w:tr>
        <w:tc>
          <w:tcPr>
            <w:tcW w:type="dxa" w:w="9648"/>
            <w:shd w:fill="F4F6F9"/>
            <w:tcMar>
              <w:top w:w="120" w:type="dxa"/>
              <w:bottom w:w="120" w:type="dxa"/>
              <w:left w:w="180" w:type="dxa"/>
              <w:right w:w="180" w:type="dxa"/>
            </w:tcMar>
          </w:tcPr>
          <w:p>
            <w:pPr>
              <w:spacing w:before="40" w:after="60"/>
            </w:pPr>
            <w:r>
              <w:rPr>
                <w:rFonts w:ascii="Arial" w:hAnsi="Arial"/>
                <w:b/>
                <w:color w:val="0F2043"/>
                <w:sz w:val="21"/>
              </w:rPr>
              <w:t>[L] LEGAL BASIS</w:t>
              <w:br/>
            </w:r>
          </w:p>
          <w:p>
            <w:pPr>
              <w:spacing w:before="20" w:after="40" w:line="276" w:lineRule="auto"/>
            </w:pPr>
            <w:r>
              <w:rPr>
                <w:rFonts w:ascii="Calibri" w:hAnsi="Calibri"/>
                <w:b/>
                <w:color w:val="212529"/>
                <w:sz w:val="20"/>
              </w:rPr>
              <w:t xml:space="preserve">1. Presidential Decree No. 1508 (Katarungang Pambarangay Law): </w:t>
            </w:r>
            <w:r>
              <w:rPr>
                <w:rFonts w:ascii="Calibri" w:hAnsi="Calibri"/>
                <w:color w:val="212529"/>
                <w:sz w:val="20"/>
              </w:rPr>
              <w:t>Mandates conciliation as a condition precedent to filing court actions to unclog court dockets.</w:t>
            </w:r>
          </w:p>
          <w:p>
            <w:pPr>
              <w:spacing w:before="20" w:after="40" w:line="276" w:lineRule="auto"/>
            </w:pPr>
            <w:r>
              <w:rPr>
                <w:rFonts w:ascii="Calibri" w:hAnsi="Calibri"/>
                <w:b/>
                <w:color w:val="212529"/>
                <w:sz w:val="20"/>
              </w:rPr>
              <w:t xml:space="preserve">2. Ratio Legis Est Anima Legis (the reason of the law is the soul of the law): </w:t>
            </w:r>
            <w:r>
              <w:rPr>
                <w:rFonts w:ascii="Calibri" w:hAnsi="Calibri"/>
                <w:color w:val="212529"/>
                <w:sz w:val="20"/>
              </w:rPr>
              <w:t>The core aim is dispute settlement, not procedural trapping.</w:t>
            </w:r>
          </w:p>
          <w:p>
            <w:pPr>
              <w:spacing w:before="20" w:after="40" w:line="276" w:lineRule="auto"/>
            </w:pPr>
            <w:r>
              <w:rPr>
                <w:rFonts w:ascii="Calibri" w:hAnsi="Calibri"/>
                <w:b/>
                <w:color w:val="212529"/>
                <w:sz w:val="20"/>
              </w:rPr>
              <w:t xml:space="preserve">3. Doctrine of Substantial Compliance: </w:t>
            </w:r>
            <w:r>
              <w:rPr>
                <w:rFonts w:ascii="Calibri" w:hAnsi="Calibri"/>
                <w:color w:val="212529"/>
                <w:sz w:val="20"/>
              </w:rPr>
              <w:t>Substantial fulfillment of statutory purpose cures technical irregularities where no substantial rights are prejudiced.</w:t>
            </w:r>
          </w:p>
        </w:tc>
      </w:tr>
    </w:tbl>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LEGAL BASIS</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PD 1508, Ratio Legis Est Anima Legis, and the Doctrine of Substantial Compliance.</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"Sir/Ma'am, the legal basis is PD 1508, interpreted under Ratio legis est anima legis (the reason of the law is the soul of the law) and the doctrine of substantial compliance."</w:t>
            </w:r>
          </w:p>
        </w:tc>
      </w:tr>
    </w:tbl>
    <w:tbl>
      <w:tblPr>
        <w:tblW w:type="auto" w:w="0"/>
        <w:jc w:val="center"/>
        <w:tblLook w:firstColumn="1" w:firstRow="1" w:lastColumn="0" w:lastRow="0" w:noHBand="0" w:noVBand="1" w:val="04A0"/>
      </w:tblPr>
      <w:tblGrid>
        <w:gridCol w:w="9648"/>
      </w:tblGrid>
      <w:tr>
        <w:tc>
          <w:tcPr>
            <w:tcW w:type="dxa" w:w="9648"/>
            <w:shd w:fill="F4F6F9"/>
            <w:tcMar>
              <w:top w:w="120" w:type="dxa"/>
              <w:bottom w:w="120" w:type="dxa"/>
              <w:left w:w="180" w:type="dxa"/>
              <w:right w:w="180" w:type="dxa"/>
            </w:tcMar>
          </w:tcPr>
          <w:p>
            <w:pPr>
              <w:spacing w:before="40" w:after="60"/>
            </w:pPr>
            <w:r>
              <w:rPr>
                <w:rFonts w:ascii="Arial" w:hAnsi="Arial"/>
                <w:b/>
                <w:color w:val="0F2043"/>
                <w:sz w:val="21"/>
              </w:rPr>
              <w:t>[A] ANALYSIS / APPLICATION</w:t>
              <w:br/>
            </w:r>
          </w:p>
          <w:p>
            <w:pPr>
              <w:spacing w:before="20" w:after="40" w:line="276" w:lineRule="auto"/>
            </w:pPr>
            <w:r>
              <w:rPr>
                <w:rFonts w:ascii="Calibri" w:hAnsi="Calibri"/>
                <w:b/>
                <w:color w:val="212529"/>
                <w:sz w:val="20"/>
              </w:rPr>
              <w:t xml:space="preserve">1. Purpose of the Katarungang Pambarangay Law: </w:t>
            </w:r>
            <w:r>
              <w:rPr>
                <w:rFonts w:ascii="Calibri" w:hAnsi="Calibri"/>
                <w:color w:val="212529"/>
                <w:sz w:val="20"/>
              </w:rPr>
              <w:t>The law was enacted to promote peaceful settlement and relieve court congestion, not to create rigid technical traps for litigants.</w:t>
            </w:r>
          </w:p>
          <w:p>
            <w:pPr>
              <w:spacing w:before="20" w:after="40" w:line="276" w:lineRule="auto"/>
            </w:pPr>
            <w:r>
              <w:rPr>
                <w:rFonts w:ascii="Calibri" w:hAnsi="Calibri"/>
                <w:b/>
                <w:color w:val="212529"/>
                <w:sz w:val="20"/>
              </w:rPr>
              <w:t xml:space="preserve">2. Waiver of Venue: </w:t>
            </w:r>
            <w:r>
              <w:rPr>
                <w:rFonts w:ascii="Calibri" w:hAnsi="Calibri"/>
                <w:color w:val="212529"/>
                <w:sz w:val="20"/>
              </w:rPr>
              <w:t>Venue in barangay conciliation is non-jurisdictional and waivable. By participating without protest in the mediation proceedings, the tenant waived any defect in venue.</w:t>
            </w:r>
          </w:p>
          <w:p>
            <w:pPr>
              <w:spacing w:before="20" w:after="40" w:line="276" w:lineRule="auto"/>
            </w:pPr>
            <w:r>
              <w:rPr>
                <w:rFonts w:ascii="Calibri" w:hAnsi="Calibri"/>
                <w:b/>
                <w:color w:val="212529"/>
                <w:sz w:val="20"/>
              </w:rPr>
              <w:t xml:space="preserve">3. Subordination of Form to Substance: </w:t>
            </w:r>
            <w:r>
              <w:rPr>
                <w:rFonts w:ascii="Calibri" w:hAnsi="Calibri"/>
                <w:color w:val="212529"/>
                <w:sz w:val="20"/>
              </w:rPr>
              <w:t>Courts must not exalt technical procedural rules above the substantial fulfillment of statutory objectives.</w:t>
            </w:r>
          </w:p>
        </w:tc>
      </w:tr>
    </w:tbl>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ANALYSIS / APPLICATION</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The Court looked at the true reason behind the law: helping parties settle before going to court. Since both parties spent time in mediation and could not settle, forcing them to redo the talks in a different barangay hall would be a useless formality.</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"Sir/Ma'am, the Court applied the principle that the spirit of the law dominates over the letter. Since the actual conciliation purpose was achieved, the procedural defect was deemed waived and substantial justice was upheld."</w:t>
            </w:r>
          </w:p>
        </w:tc>
      </w:tr>
    </w:tbl>
    <w:tbl>
      <w:tblPr>
        <w:tblW w:type="auto" w:w="0"/>
        <w:jc w:val="center"/>
        <w:tblLook w:firstColumn="1" w:firstRow="1" w:lastColumn="0" w:lastRow="0" w:noHBand="0" w:noVBand="1" w:val="04A0"/>
      </w:tblPr>
      <w:tblGrid>
        <w:gridCol w:w="9648"/>
      </w:tblGrid>
      <w:tr>
        <w:tc>
          <w:tcPr>
            <w:tcW w:type="dxa" w:w="9648"/>
            <w:shd w:fill="F4F6F9"/>
            <w:tcMar>
              <w:top w:w="120" w:type="dxa"/>
              <w:bottom w:w="120" w:type="dxa"/>
              <w:left w:w="180" w:type="dxa"/>
              <w:right w:w="180" w:type="dxa"/>
            </w:tcMar>
          </w:tcPr>
          <w:p>
            <w:pPr>
              <w:spacing w:before="40" w:after="60"/>
            </w:pPr>
            <w:r>
              <w:rPr>
                <w:rFonts w:ascii="Arial" w:hAnsi="Arial"/>
                <w:b/>
                <w:color w:val="0F2043"/>
                <w:sz w:val="21"/>
              </w:rPr>
              <w:t>[C] CONCLUSION</w:t>
              <w:br/>
            </w:r>
          </w:p>
          <w:p>
            <w:pPr>
              <w:spacing w:before="20" w:after="40" w:line="276" w:lineRule="auto"/>
            </w:pPr>
            <w:r>
              <w:rPr>
                <w:rFonts w:ascii="Calibri" w:hAnsi="Calibri"/>
                <w:color w:val="212529"/>
                <w:sz w:val="20"/>
              </w:rPr>
              <w:t>The Supreme Court GRANTED the petition, SET ASIDE the Court of Appeals dismissal, and ORDERED the trial court to proceed with the ejectment case on the merits.</w:t>
            </w:r>
          </w:p>
        </w:tc>
      </w:tr>
    </w:tbl>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CONCLUSION</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The dismissal was reversed and the ejectment case was allowed to proceed to trial.</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"The Supreme Court reversed the dismissal, holding that substantial compliance with barangay conciliation satisfies the statutory objective of PD 1508."</w:t>
            </w:r>
          </w:p>
        </w:tc>
      </w:tr>
    </w:tbl>
    <w:p>
      <w:pPr>
        <w:keepNext/>
        <w:spacing w:before="200" w:after="40"/>
      </w:pPr>
      <w:r>
        <w:rPr>
          <w:rFonts w:ascii="Arial" w:hAnsi="Arial"/>
          <w:b/>
          <w:color w:val="781E1E"/>
          <w:sz w:val="22"/>
        </w:rPr>
        <w:t>V. RELATION TO STATUTORY CONSTRUCTION</w:t>
      </w:r>
    </w:p>
    <w:p>
      <w:pPr>
        <w:spacing w:before="40" w:after="80" w:line="276" w:lineRule="auto"/>
      </w:pPr>
      <w:r>
        <w:rPr>
          <w:rFonts w:ascii="Calibri" w:hAnsi="Calibri"/>
          <w:b/>
          <w:color w:val="212529"/>
          <w:sz w:val="21"/>
        </w:rPr>
        <w:t>• Syllabus Topic Alignment:</w:t>
        <w:br/>
      </w:r>
      <w:r>
        <w:rPr>
          <w:rFonts w:ascii="Calibri" w:hAnsi="Calibri"/>
          <w:i w:val="0"/>
          <w:color w:val="212529"/>
          <w:sz w:val="21"/>
        </w:rPr>
        <w:t>• Chapter III: Basic Guidelines in the Construction and Interpretation of Laws</w:t>
        <w:br/>
        <w:t xml:space="preserve">  - A. General Guidelines: Spirit and Purpose of the Law (Substantial Compliance vs. Mere Technicality)</w:t>
      </w:r>
    </w:p>
    <w:tbl>
      <w:tblPr>
        <w:tblW w:type="auto" w:w="0"/>
        <w:jc w:val="center"/>
        <w:tblLook w:firstColumn="1" w:firstRow="1" w:lastColumn="0" w:lastRow="0" w:noHBand="0" w:noVBand="1" w:val="04A0"/>
      </w:tblPr>
      <w:tblGrid>
        <w:gridCol w:w="9648"/>
      </w:tblGrid>
      <w:tr>
        <w:tc>
          <w:tcPr>
            <w:tcW w:type="dxa" w:w="9648"/>
            <w:shd w:fill="FDF6EE"/>
            <w:tcMar>
              <w:top w:w="120" w:type="dxa"/>
              <w:bottom w:w="120" w:type="dxa"/>
              <w:left w:w="180" w:type="dxa"/>
              <w:right w:w="180" w:type="dxa"/>
            </w:tcMar>
          </w:tcPr>
          <w:p>
            <w:pPr>
              <w:spacing w:before="40" w:after="80"/>
            </w:pPr>
            <w:r>
              <w:rPr>
                <w:rFonts w:ascii="Arial" w:hAnsi="Arial"/>
                <w:b/>
                <w:color w:val="8C3200"/>
                <w:sz w:val="20"/>
              </w:rPr>
              <w:t>📜 GOVERNING LATIN MAXIMS WITH ENGLISH TRANSLATIONS</w:t>
              <w:br/>
            </w:r>
          </w:p>
          <w:p>
            <w:pPr>
              <w:spacing w:before="40" w:after="60" w:line="276" w:lineRule="auto"/>
            </w:pPr>
            <w:r>
              <w:rPr>
                <w:rFonts w:ascii="Calibri" w:hAnsi="Calibri"/>
                <w:b/>
                <w:color w:val="8C3200"/>
                <w:sz w:val="20"/>
              </w:rPr>
              <w:t>1. Ratio legis est anima legis (the reason of the law is the soul of the law)</w:t>
              <w:br/>
            </w:r>
            <w:r>
              <w:rPr>
                <w:rFonts w:ascii="Calibri" w:hAnsi="Calibri"/>
                <w:b/>
                <w:color w:val="212529"/>
                <w:sz w:val="19"/>
              </w:rPr>
              <w:t xml:space="preserve">   • Literal English Translation: </w:t>
            </w:r>
            <w:r>
              <w:rPr>
                <w:rFonts w:ascii="Calibri" w:hAnsi="Calibri"/>
                <w:i/>
                <w:color w:val="212529"/>
                <w:sz w:val="19"/>
              </w:rPr>
              <w:t>The reason of the law is the soul of the law.</w:t>
              <w:br/>
            </w:r>
            <w:r>
              <w:rPr>
                <w:rFonts w:ascii="Calibri" w:hAnsi="Calibri"/>
                <w:b/>
                <w:color w:val="212529"/>
                <w:sz w:val="19"/>
              </w:rPr>
              <w:t xml:space="preserve">   • Plain Legal Meaning &amp; StatCon Application: </w:t>
            </w:r>
            <w:r>
              <w:rPr>
                <w:rFonts w:ascii="Calibri" w:hAnsi="Calibri"/>
                <w:color w:val="212529"/>
                <w:sz w:val="19"/>
              </w:rPr>
              <w:t>The statutory intent to foster mediation controls over rigid geographic venue boundaries.</w:t>
            </w:r>
          </w:p>
          <w:p>
            <w:pPr>
              <w:spacing w:before="40" w:after="60" w:line="276" w:lineRule="auto"/>
            </w:pPr>
            <w:r>
              <w:rPr>
                <w:rFonts w:ascii="Calibri" w:hAnsi="Calibri"/>
                <w:b/>
                <w:color w:val="8C3200"/>
                <w:sz w:val="20"/>
              </w:rPr>
              <w:t>2. Ut res magis valeat quam pereat (that the thing may rather have effect than perish)</w:t>
              <w:br/>
            </w:r>
            <w:r>
              <w:rPr>
                <w:rFonts w:ascii="Calibri" w:hAnsi="Calibri"/>
                <w:b/>
                <w:color w:val="212529"/>
                <w:sz w:val="19"/>
              </w:rPr>
              <w:t xml:space="preserve">   • Literal English Translation: </w:t>
            </w:r>
            <w:r>
              <w:rPr>
                <w:rFonts w:ascii="Calibri" w:hAnsi="Calibri"/>
                <w:i/>
                <w:color w:val="212529"/>
                <w:sz w:val="19"/>
              </w:rPr>
              <w:t>That the thing may have effect rather than perish.</w:t>
              <w:br/>
            </w:r>
            <w:r>
              <w:rPr>
                <w:rFonts w:ascii="Calibri" w:hAnsi="Calibri"/>
                <w:b/>
                <w:color w:val="212529"/>
                <w:sz w:val="19"/>
              </w:rPr>
              <w:t xml:space="preserve">   • Plain Legal Meaning &amp; StatCon Application: </w:t>
            </w:r>
            <w:r>
              <w:rPr>
                <w:rFonts w:ascii="Calibri" w:hAnsi="Calibri"/>
                <w:color w:val="212529"/>
                <w:sz w:val="19"/>
              </w:rPr>
              <w:t>Procedural conciliation rules must be construed to give effect to actual mediation rather than nullify proceedings.</w:t>
            </w:r>
          </w:p>
          <w:p>
            <w:pPr>
              <w:spacing w:before="40" w:after="60" w:line="276" w:lineRule="auto"/>
            </w:pPr>
            <w:r>
              <w:rPr>
                <w:rFonts w:ascii="Calibri" w:hAnsi="Calibri"/>
                <w:b/>
                <w:color w:val="8C3200"/>
                <w:sz w:val="20"/>
              </w:rPr>
              <w:t>3. Substantia praevalet formae (substance prevails over form)</w:t>
              <w:br/>
            </w:r>
            <w:r>
              <w:rPr>
                <w:rFonts w:ascii="Calibri" w:hAnsi="Calibri"/>
                <w:b/>
                <w:color w:val="212529"/>
                <w:sz w:val="19"/>
              </w:rPr>
              <w:t xml:space="preserve">   • Literal English Translation: </w:t>
            </w:r>
            <w:r>
              <w:rPr>
                <w:rFonts w:ascii="Calibri" w:hAnsi="Calibri"/>
                <w:i/>
                <w:color w:val="212529"/>
                <w:sz w:val="19"/>
              </w:rPr>
              <w:t>Substance prevails over form.</w:t>
              <w:br/>
            </w:r>
            <w:r>
              <w:rPr>
                <w:rFonts w:ascii="Calibri" w:hAnsi="Calibri"/>
                <w:b/>
                <w:color w:val="212529"/>
                <w:sz w:val="19"/>
              </w:rPr>
              <w:t xml:space="preserve">   • Plain Legal Meaning &amp; StatCon Application: </w:t>
            </w:r>
            <w:r>
              <w:rPr>
                <w:rFonts w:ascii="Calibri" w:hAnsi="Calibri"/>
                <w:color w:val="212529"/>
                <w:sz w:val="19"/>
              </w:rPr>
              <w:t>Substantial attainment of statutory purpose overrides formal procedural defects.</w:t>
            </w:r>
          </w:p>
        </w:tc>
      </w:tr>
    </w:tbl>
    <w:tbl>
      <w:tblPr>
        <w:tblW w:type="auto" w:w="0"/>
        <w:jc w:val="center"/>
        <w:tblLook w:firstColumn="1" w:firstRow="1" w:lastColumn="0" w:lastRow="0" w:noHBand="0" w:noVBand="1" w:val="04A0"/>
      </w:tblPr>
      <w:tblGrid>
        <w:gridCol w:w="4824"/>
        <w:gridCol w:w="4824"/>
      </w:tblGrid>
      <w:tr>
        <w:tc>
          <w:tcPr>
            <w:tcW w:type="dxa" w:w="4824"/>
            <w:shd w:fill="EAEFF5"/>
            <w:tcMar>
              <w:top w:w="80" w:type="dxa"/>
              <w:bottom w:w="80" w:type="dxa"/>
              <w:left w:w="120" w:type="dxa"/>
              <w:right w:w="120" w:type="dxa"/>
            </w:tcMar>
          </w:tcPr>
          <w:p>
            <w:pPr>
              <w:spacing w:before="40" w:after="40"/>
            </w:pPr>
            <w:r>
              <w:rPr>
                <w:rFonts w:ascii="Arial" w:hAnsi="Arial"/>
                <w:b/>
                <w:color w:val="0F2043"/>
                <w:sz w:val="18"/>
              </w:rPr>
              <w:t>Syllabus Topic Alignment</w:t>
              <w:br/>
              <w:t>(StatCon_Syllabus_JPR.pdf)</w:t>
            </w:r>
          </w:p>
        </w:tc>
        <w:tc>
          <w:tcPr>
            <w:tcW w:type="dxa" w:w="4824"/>
            <w:shd w:fill="FAFAFA"/>
            <w:tcMar>
              <w:top w:w="80" w:type="dxa"/>
              <w:bottom w:w="80" w:type="dxa"/>
              <w:left w:w="120" w:type="dxa"/>
              <w:right w:w="120" w:type="dxa"/>
            </w:tcMar>
          </w:tcPr>
          <w:p>
            <w:pPr>
              <w:spacing w:before="40" w:after="40" w:line="276" w:lineRule="auto"/>
            </w:pPr>
            <w:r>
              <w:rPr>
                <w:rFonts w:ascii="Calibri" w:hAnsi="Calibri"/>
                <w:color w:val="212529"/>
                <w:sz w:val="19"/>
              </w:rPr>
              <w:t>• Chapter III: Basic Guidelines in the Construction and Interpretation of Laws</w:t>
              <w:br/>
              <w:t xml:space="preserve">  - A. General Guidelines: Spirit and Purpose of the Law (Substantial Compliance vs. Mere Technicality)</w:t>
            </w:r>
          </w:p>
        </w:tc>
      </w:tr>
      <w:tr>
        <w:tc>
          <w:tcPr>
            <w:tcW w:type="dxa" w:w="4824"/>
            <w:shd w:fill="EAEFF5"/>
            <w:tcMar>
              <w:top w:w="80" w:type="dxa"/>
              <w:bottom w:w="80" w:type="dxa"/>
              <w:left w:w="120" w:type="dxa"/>
              <w:right w:w="120" w:type="dxa"/>
            </w:tcMar>
          </w:tcPr>
          <w:p>
            <w:pPr>
              <w:spacing w:before="40" w:after="40"/>
            </w:pPr>
            <w:r>
              <w:rPr>
                <w:rFonts w:ascii="Arial" w:hAnsi="Arial"/>
                <w:b/>
                <w:color w:val="0F2043"/>
                <w:sz w:val="18"/>
              </w:rPr>
              <w:t>Governing Latin Maxims &amp; English</w:t>
            </w:r>
          </w:p>
        </w:tc>
        <w:tc>
          <w:tcPr>
            <w:tcW w:type="dxa" w:w="4824"/>
            <w:shd w:fill="FAFAFA"/>
            <w:tcMar>
              <w:top w:w="80" w:type="dxa"/>
              <w:bottom w:w="80" w:type="dxa"/>
              <w:left w:w="120" w:type="dxa"/>
              <w:right w:w="120" w:type="dxa"/>
            </w:tcMar>
          </w:tcPr>
          <w:p>
            <w:pPr>
              <w:spacing w:before="40" w:after="40" w:line="276" w:lineRule="auto"/>
            </w:pPr>
            <w:r>
              <w:rPr>
                <w:rFonts w:ascii="Calibri" w:hAnsi="Calibri"/>
                <w:color w:val="212529"/>
                <w:sz w:val="19"/>
              </w:rPr>
              <w:t>Primary:</w:t>
              <w:br/>
              <w:t>Ratio legis est anima legis</w:t>
              <w:br/>
              <w:t>(the reason of the law is the soul of the law / fulfillment of mediation purpose overrules formal venue defects)</w:t>
              <w:br/>
              <w:br/>
              <w:t>Secondary:</w:t>
              <w:br/>
              <w:t>• Ut res magis valeat quam pereat (construction to make the law effective)</w:t>
              <w:br/>
              <w:t>• Substantia praevalet formae (substance over form)</w:t>
            </w:r>
          </w:p>
        </w:tc>
      </w:tr>
      <w:tr>
        <w:tc>
          <w:tcPr>
            <w:tcW w:type="dxa" w:w="4824"/>
            <w:shd w:fill="EAEFF5"/>
            <w:tcMar>
              <w:top w:w="80" w:type="dxa"/>
              <w:bottom w:w="80" w:type="dxa"/>
              <w:left w:w="120" w:type="dxa"/>
              <w:right w:w="120" w:type="dxa"/>
            </w:tcMar>
          </w:tcPr>
          <w:p>
            <w:pPr>
              <w:spacing w:before="40" w:after="40"/>
            </w:pPr>
            <w:r>
              <w:rPr>
                <w:rFonts w:ascii="Arial" w:hAnsi="Arial"/>
                <w:b/>
                <w:color w:val="0F2043"/>
                <w:sz w:val="18"/>
              </w:rPr>
              <w:t>Case Violation in StatCon</w:t>
            </w:r>
          </w:p>
        </w:tc>
        <w:tc>
          <w:tcPr>
            <w:tcW w:type="dxa" w:w="4824"/>
            <w:shd w:fill="FAFAFA"/>
            <w:tcMar>
              <w:top w:w="80" w:type="dxa"/>
              <w:bottom w:w="80" w:type="dxa"/>
              <w:left w:w="120" w:type="dxa"/>
              <w:right w:w="120" w:type="dxa"/>
            </w:tcMar>
          </w:tcPr>
          <w:p>
            <w:pPr>
              <w:spacing w:before="40" w:after="40" w:line="276" w:lineRule="auto"/>
            </w:pPr>
            <w:r>
              <w:rPr>
                <w:rFonts w:ascii="Calibri" w:hAnsi="Calibri"/>
                <w:color w:val="212529"/>
                <w:sz w:val="19"/>
              </w:rPr>
              <w:t>The appellate court committed error by prioritizing literal venue rules over the actual fulfillment of the statutory conciliation purpose.</w:t>
            </w:r>
          </w:p>
        </w:tc>
      </w:tr>
      <w:tr>
        <w:tc>
          <w:tcPr>
            <w:tcW w:type="dxa" w:w="4824"/>
            <w:shd w:fill="EAEFF5"/>
            <w:tcMar>
              <w:top w:w="80" w:type="dxa"/>
              <w:bottom w:w="80" w:type="dxa"/>
              <w:left w:w="120" w:type="dxa"/>
              <w:right w:w="120" w:type="dxa"/>
            </w:tcMar>
          </w:tcPr>
          <w:p>
            <w:pPr>
              <w:spacing w:before="40" w:after="40"/>
            </w:pPr>
            <w:r>
              <w:rPr>
                <w:rFonts w:ascii="Arial" w:hAnsi="Arial"/>
                <w:b/>
                <w:color w:val="0F2043"/>
                <w:sz w:val="18"/>
              </w:rPr>
              <w:t>Doctrinal Execution / Principle</w:t>
            </w:r>
          </w:p>
        </w:tc>
        <w:tc>
          <w:tcPr>
            <w:tcW w:type="dxa" w:w="4824"/>
            <w:shd w:fill="FAFAFA"/>
            <w:tcMar>
              <w:top w:w="80" w:type="dxa"/>
              <w:bottom w:w="80" w:type="dxa"/>
              <w:left w:w="120" w:type="dxa"/>
              <w:right w:w="120" w:type="dxa"/>
            </w:tcMar>
          </w:tcPr>
          <w:p>
            <w:pPr>
              <w:spacing w:before="40" w:after="40" w:line="276" w:lineRule="auto"/>
            </w:pPr>
            <w:r>
              <w:rPr>
                <w:rFonts w:ascii="Calibri" w:hAnsi="Calibri"/>
                <w:color w:val="212529"/>
                <w:sz w:val="19"/>
              </w:rPr>
              <w:t>Substantial Compliance Doctrine: Where the fundamental policy objective of a statute has been achieved in substance, technical defects of form will not be allowed to defeat the action.</w:t>
            </w:r>
          </w:p>
        </w:tc>
      </w:tr>
    </w:tbl>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RELATION TO STATUTORY CONSTRUCTION</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The goal and spirit of a law matter more than empty procedural technicalities when the real purpose of the law has already been achieved.</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"Sir/Ma'am, Llorin v. CA demonstrates that in procedural statutory construction, the spirit and purpose of the statute prevail over literal formalisms—substance prevails over form."</w:t>
            </w:r>
          </w:p>
        </w:tc>
      </w:tr>
    </w:tbl>
    <w:p>
      <w:pPr>
        <w:spacing w:before="160" w:after="80"/>
      </w:pPr>
    </w:p>
    <w:tbl>
      <w:tblPr>
        <w:tblW w:type="auto" w:w="0"/>
        <w:jc w:val="center"/>
        <w:tblLook w:firstColumn="1" w:firstRow="1" w:lastColumn="0" w:lastRow="0" w:noHBand="0" w:noVBand="1" w:val="04A0"/>
      </w:tblPr>
      <w:tblGrid>
        <w:gridCol w:w="9648"/>
      </w:tblGrid>
      <w:tr>
        <w:tc>
          <w:tcPr>
            <w:tcW w:type="dxa" w:w="9648"/>
            <w:shd w:fill="1E3A5F"/>
            <w:tcMar>
              <w:top w:w="140" w:type="dxa"/>
              <w:bottom w:w="140" w:type="dxa"/>
              <w:left w:w="200" w:type="dxa"/>
              <w:right w:w="200" w:type="dxa"/>
            </w:tcMar>
          </w:tcPr>
          <w:p>
            <w:pPr>
              <w:spacing w:before="40" w:after="40"/>
              <w:jc w:val="center"/>
            </w:pPr>
            <w:r>
              <w:rPr>
                <w:rFonts w:ascii="Arial" w:hAnsi="Arial"/>
                <w:b/>
                <w:color w:val="FFD700"/>
                <w:sz w:val="22"/>
              </w:rPr>
              <w:t>⚖ STANDARDIZED CASE DIGEST: STATUTORY CONSTRUCTION FORMAT</w:t>
              <w:br/>
            </w:r>
            <w:r>
              <w:rPr>
                <w:rFonts w:ascii="Arial" w:hAnsi="Arial"/>
                <w:i/>
                <w:color w:val="DCEBFF"/>
                <w:sz w:val="18"/>
              </w:rPr>
              <w:t>(Complete 12-Section Academic &amp; Judicial Construction Analysis)</w:t>
            </w:r>
          </w:p>
        </w:tc>
      </w:tr>
    </w:tbl>
    <w:p>
      <w:pPr>
        <w:spacing w:before="80" w:after="80"/>
      </w:pPr>
    </w:p>
    <w:tbl>
      <w:tblPr>
        <w:tblW w:type="auto" w:w="0"/>
        <w:jc w:val="center"/>
        <w:tblLook w:firstColumn="1" w:firstRow="1" w:lastColumn="0" w:lastRow="0" w:noHBand="0" w:noVBand="1" w:val="04A0"/>
      </w:tblPr>
      <w:tblGrid>
        <w:gridCol w:w="4824"/>
        <w:gridCol w:w="4824"/>
      </w:tblGrid>
      <w:tr>
        <w:tc>
          <w:tcPr>
            <w:tcW w:type="dxa" w:w="4824"/>
            <w:shd w:fill="EBF0F7"/>
            <w:tcMar>
              <w:top w:w="60" w:type="dxa"/>
              <w:bottom w:w="60" w:type="dxa"/>
              <w:left w:w="120" w:type="dxa"/>
              <w:right w:w="120" w:type="dxa"/>
            </w:tcMar>
          </w:tcPr>
          <w:p>
            <w:pPr>
              <w:spacing w:before="20" w:after="20"/>
            </w:pPr>
            <w:r>
              <w:rPr>
                <w:rFonts w:ascii="Arial" w:hAnsi="Arial"/>
                <w:b/>
                <w:color w:val="0F2043"/>
                <w:sz w:val="19"/>
              </w:rPr>
              <w:t>Case Title:</w:t>
            </w:r>
          </w:p>
        </w:tc>
        <w:tc>
          <w:tcPr>
            <w:tcW w:type="dxa" w:w="4824"/>
            <w:shd w:fill="FAFCFF"/>
            <w:tcMar>
              <w:top w:w="60" w:type="dxa"/>
              <w:bottom w:w="60" w:type="dxa"/>
              <w:left w:w="120" w:type="dxa"/>
              <w:right w:w="120" w:type="dxa"/>
            </w:tcMar>
          </w:tcPr>
          <w:p>
            <w:pPr>
              <w:spacing w:before="20" w:after="20"/>
            </w:pPr>
            <w:r>
              <w:rPr>
                <w:rFonts w:ascii="Calibri" w:hAnsi="Calibri"/>
                <w:b/>
                <w:color w:val="212529"/>
                <w:sz w:val="19"/>
              </w:rPr>
              <w:t>Juan Llorin, Jr. v. Court of Appeals and Maximo Malicsi</w:t>
            </w:r>
          </w:p>
        </w:tc>
      </w:tr>
      <w:tr>
        <w:tc>
          <w:tcPr>
            <w:tcW w:type="dxa" w:w="4824"/>
            <w:shd w:fill="EBF0F7"/>
            <w:tcMar>
              <w:top w:w="60" w:type="dxa"/>
              <w:bottom w:w="60" w:type="dxa"/>
              <w:left w:w="120" w:type="dxa"/>
              <w:right w:w="120" w:type="dxa"/>
            </w:tcMar>
          </w:tcPr>
          <w:p>
            <w:pPr>
              <w:spacing w:before="20" w:after="20"/>
            </w:pPr>
            <w:r>
              <w:rPr>
                <w:rFonts w:ascii="Arial" w:hAnsi="Arial"/>
                <w:b/>
                <w:color w:val="0F2043"/>
                <w:sz w:val="19"/>
              </w:rPr>
              <w:t>G.R. No. / Record:</w:t>
            </w:r>
          </w:p>
        </w:tc>
        <w:tc>
          <w:tcPr>
            <w:tcW w:type="dxa" w:w="4824"/>
            <w:shd w:fill="FAFCFF"/>
            <w:tcMar>
              <w:top w:w="60" w:type="dxa"/>
              <w:bottom w:w="60" w:type="dxa"/>
              <w:left w:w="120" w:type="dxa"/>
              <w:right w:w="120" w:type="dxa"/>
            </w:tcMar>
          </w:tcPr>
          <w:p>
            <w:pPr>
              <w:spacing w:before="20" w:after="20"/>
            </w:pPr>
            <w:r>
              <w:rPr>
                <w:rFonts w:ascii="Calibri" w:hAnsi="Calibri"/>
                <w:b w:val="0"/>
                <w:color w:val="212529"/>
                <w:sz w:val="19"/>
              </w:rPr>
              <w:t>G.R. No. 103592</w:t>
            </w:r>
          </w:p>
        </w:tc>
      </w:tr>
      <w:tr>
        <w:tc>
          <w:tcPr>
            <w:tcW w:type="dxa" w:w="4824"/>
            <w:shd w:fill="EBF0F7"/>
            <w:tcMar>
              <w:top w:w="60" w:type="dxa"/>
              <w:bottom w:w="60" w:type="dxa"/>
              <w:left w:w="120" w:type="dxa"/>
              <w:right w:w="120" w:type="dxa"/>
            </w:tcMar>
          </w:tcPr>
          <w:p>
            <w:pPr>
              <w:spacing w:before="20" w:after="20"/>
            </w:pPr>
            <w:r>
              <w:rPr>
                <w:rFonts w:ascii="Arial" w:hAnsi="Arial"/>
                <w:b/>
                <w:color w:val="0F2043"/>
                <w:sz w:val="19"/>
              </w:rPr>
              <w:t>Date of Promulgation:</w:t>
            </w:r>
          </w:p>
        </w:tc>
        <w:tc>
          <w:tcPr>
            <w:tcW w:type="dxa" w:w="4824"/>
            <w:shd w:fill="FAFCFF"/>
            <w:tcMar>
              <w:top w:w="60" w:type="dxa"/>
              <w:bottom w:w="60" w:type="dxa"/>
              <w:left w:w="120" w:type="dxa"/>
              <w:right w:w="120" w:type="dxa"/>
            </w:tcMar>
          </w:tcPr>
          <w:p>
            <w:pPr>
              <w:spacing w:before="20" w:after="20"/>
            </w:pPr>
            <w:r>
              <w:rPr>
                <w:rFonts w:ascii="Calibri" w:hAnsi="Calibri"/>
                <w:b w:val="0"/>
                <w:color w:val="212529"/>
                <w:sz w:val="19"/>
              </w:rPr>
              <w:t>February 4, 1993</w:t>
            </w:r>
          </w:p>
        </w:tc>
      </w:tr>
      <w:tr>
        <w:tc>
          <w:tcPr>
            <w:tcW w:type="dxa" w:w="4824"/>
            <w:shd w:fill="EBF0F7"/>
            <w:tcMar>
              <w:top w:w="60" w:type="dxa"/>
              <w:bottom w:w="60" w:type="dxa"/>
              <w:left w:w="120" w:type="dxa"/>
              <w:right w:w="120" w:type="dxa"/>
            </w:tcMar>
          </w:tcPr>
          <w:p>
            <w:pPr>
              <w:spacing w:before="20" w:after="20"/>
            </w:pPr>
            <w:r>
              <w:rPr>
                <w:rFonts w:ascii="Arial" w:hAnsi="Arial"/>
                <w:b/>
                <w:color w:val="0F2043"/>
                <w:sz w:val="19"/>
              </w:rPr>
              <w:t>Ponente / Court:</w:t>
            </w:r>
          </w:p>
        </w:tc>
        <w:tc>
          <w:tcPr>
            <w:tcW w:type="dxa" w:w="4824"/>
            <w:shd w:fill="FAFCFF"/>
            <w:tcMar>
              <w:top w:w="60" w:type="dxa"/>
              <w:bottom w:w="60" w:type="dxa"/>
              <w:left w:w="120" w:type="dxa"/>
              <w:right w:w="120" w:type="dxa"/>
            </w:tcMar>
          </w:tcPr>
          <w:p>
            <w:pPr>
              <w:spacing w:before="20" w:after="20"/>
            </w:pPr>
            <w:r>
              <w:rPr>
                <w:rFonts w:ascii="Calibri" w:hAnsi="Calibri"/>
                <w:b w:val="0"/>
                <w:color w:val="212529"/>
                <w:sz w:val="19"/>
              </w:rPr>
              <w:t>Third Division</w:t>
            </w:r>
          </w:p>
        </w:tc>
      </w:tr>
    </w:tbl>
    <w:p>
      <w:pPr>
        <w:keepNext/>
        <w:spacing w:before="240" w:after="60"/>
      </w:pPr>
      <w:r>
        <w:rPr>
          <w:rFonts w:ascii="Arial" w:hAnsi="Arial"/>
          <w:b/>
          <w:color w:val="0F2043"/>
          <w:sz w:val="21"/>
        </w:rPr>
        <w:t>I. FACTS OF THE CASE</w:t>
      </w:r>
    </w:p>
    <w:tbl>
      <w:tblPr>
        <w:tblW w:type="auto" w:w="0"/>
        <w:jc w:val="center"/>
        <w:tblLook w:firstColumn="1" w:firstRow="1" w:lastColumn="0" w:lastRow="0" w:noHBand="0" w:noVBand="1" w:val="04A0"/>
      </w:tblPr>
      <w:tblGrid>
        <w:gridCol w:w="9648"/>
      </w:tblGrid>
      <w:tr>
        <w:tc>
          <w:tcPr>
            <w:tcW w:type="dxa" w:w="9648"/>
            <w:shd w:fill="F8F9FB"/>
            <w:tcMar>
              <w:top w:w="100" w:type="dxa"/>
              <w:bottom w:w="100" w:type="dxa"/>
              <w:left w:w="160" w:type="dxa"/>
              <w:right w:w="160" w:type="dxa"/>
            </w:tcMar>
          </w:tcPr>
          <w:p>
            <w:pPr>
              <w:spacing w:before="20" w:after="40"/>
            </w:pPr>
            <w:r>
              <w:rPr>
                <w:rFonts w:ascii="Arial" w:hAnsi="Arial"/>
                <w:b/>
                <w:color w:val="0F2043"/>
                <w:sz w:val="19"/>
              </w:rPr>
              <w:t>Material Facts of Controversy</w:t>
              <w:br/>
            </w:r>
          </w:p>
          <w:p>
            <w:pPr>
              <w:spacing w:before="20" w:after="40" w:line="276" w:lineRule="auto"/>
            </w:pPr>
            <w:r>
              <w:rPr>
                <w:rFonts w:ascii="Calibri" w:hAnsi="Calibri"/>
                <w:color w:val="212529"/>
                <w:sz w:val="19"/>
              </w:rPr>
              <w:t>Juan Llorin filed an ejectment complaint against his tenant Maximo Malicsi before the MTC of Manila. Malicsi moved to dismiss the complaint on the ground of non-compliance with P.D. No. 1508 (Katarungang Pambarangay Law), because the confrontation before the Lupon Tagapayapa occurred before the Barangay Captain of a neighboring barangay rather than the exact barangay where the leased property was situated. Llorin showed that both parties voluntarily appeared and participated in multiple mediation sessions before the Barangay Captain without objection, but failed to reach an amicable settlement, leading to the issuance of a Certification to File Action.</w:t>
            </w:r>
          </w:p>
        </w:tc>
      </w:tr>
    </w:tbl>
    <w:p>
      <w:pPr>
        <w:keepNext/>
        <w:spacing w:before="240" w:after="60"/>
      </w:pPr>
      <w:r>
        <w:rPr>
          <w:rFonts w:ascii="Arial" w:hAnsi="Arial"/>
          <w:b/>
          <w:color w:val="0F2043"/>
          <w:sz w:val="21"/>
        </w:rPr>
        <w:t>II. FACTS RELEVANT TO STATUTORY CONSTRUCTION</w:t>
      </w:r>
    </w:p>
    <w:tbl>
      <w:tblPr>
        <w:tblW w:type="auto" w:w="0"/>
        <w:jc w:val="center"/>
        <w:tblLook w:firstColumn="1" w:firstRow="1" w:lastColumn="0" w:lastRow="0" w:noHBand="0" w:noVBand="1" w:val="04A0"/>
      </w:tblPr>
      <w:tblGrid>
        <w:gridCol w:w="9648"/>
      </w:tblGrid>
      <w:tr>
        <w:tc>
          <w:tcPr>
            <w:tcW w:type="dxa" w:w="9648"/>
            <w:shd w:fill="F8F9FB"/>
            <w:tcMar>
              <w:top w:w="100" w:type="dxa"/>
              <w:bottom w:w="100" w:type="dxa"/>
              <w:left w:w="160" w:type="dxa"/>
              <w:right w:w="160" w:type="dxa"/>
            </w:tcMar>
          </w:tcPr>
          <w:p>
            <w:pPr>
              <w:spacing w:before="20" w:after="40"/>
            </w:pPr>
            <w:r>
              <w:rPr>
                <w:rFonts w:ascii="Arial" w:hAnsi="Arial"/>
                <w:b/>
                <w:color w:val="0F2043"/>
                <w:sz w:val="19"/>
              </w:rPr>
              <w:t>Facts Giving Rise to Need for Interpretation</w:t>
              <w:br/>
            </w:r>
          </w:p>
          <w:p>
            <w:pPr>
              <w:spacing w:before="20" w:after="40" w:line="276" w:lineRule="auto"/>
            </w:pPr>
            <w:r>
              <w:rPr>
                <w:rFonts w:ascii="Calibri" w:hAnsi="Calibri"/>
                <w:b/>
                <w:color w:val="212529"/>
                <w:sz w:val="19"/>
              </w:rPr>
              <w:t xml:space="preserve">• What provision of law or rule became relevant? </w:t>
            </w:r>
            <w:r>
              <w:rPr>
                <w:rFonts w:ascii="Calibri" w:hAnsi="Calibri"/>
                <w:color w:val="212529"/>
                <w:sz w:val="19"/>
              </w:rPr>
              <w:t>1. Presidential Decree No. 1508 (Katarungang Pambarangay Law): Mandates conciliation as a condition precedent to filing court actions to unclog court dockets.</w:t>
              <w:br/>
              <w:t>2. Ratio Legis Est Anima Legis (the reason of the law is the soul of the law): The core aim is dispute settlement, not procedural trapping.</w:t>
            </w:r>
          </w:p>
          <w:p>
            <w:pPr>
              <w:spacing w:before="20" w:after="40" w:line="276" w:lineRule="auto"/>
            </w:pPr>
            <w:r>
              <w:rPr>
                <w:rFonts w:ascii="Calibri" w:hAnsi="Calibri"/>
                <w:b/>
                <w:color w:val="212529"/>
                <w:sz w:val="19"/>
              </w:rPr>
              <w:t xml:space="preserve">• What circumstance made interpretation necessary? </w:t>
            </w:r>
            <w:r>
              <w:rPr>
                <w:rFonts w:ascii="Calibri" w:hAnsi="Calibri"/>
                <w:color w:val="212529"/>
                <w:sz w:val="19"/>
              </w:rPr>
              <w:t>The appellate court committed error by prioritizing literal venue rules over the actual fulfillment of the statutory conciliation purpose.</w:t>
            </w:r>
          </w:p>
          <w:p>
            <w:pPr>
              <w:spacing w:before="20" w:after="40" w:line="276" w:lineRule="auto"/>
            </w:pPr>
            <w:r>
              <w:rPr>
                <w:rFonts w:ascii="Calibri" w:hAnsi="Calibri"/>
                <w:b/>
                <w:color w:val="212529"/>
                <w:sz w:val="19"/>
              </w:rPr>
              <w:t xml:space="preserve">• What competing interpretations were presented? </w:t>
            </w:r>
            <w:r>
              <w:rPr>
                <w:rFonts w:ascii="Calibri" w:hAnsi="Calibri"/>
                <w:color w:val="212529"/>
                <w:sz w:val="19"/>
              </w:rPr>
              <w:t>Petitioner argued for a favorable interpretation based on statutory intent, while Respondent contended for a literal or restrictive application.</w:t>
            </w:r>
          </w:p>
        </w:tc>
      </w:tr>
    </w:tbl>
    <w:p>
      <w:pPr>
        <w:keepNext/>
        <w:spacing w:before="240" w:after="60"/>
      </w:pPr>
      <w:r>
        <w:rPr>
          <w:rFonts w:ascii="Arial" w:hAnsi="Arial"/>
          <w:b/>
          <w:color w:val="0F2043"/>
          <w:sz w:val="21"/>
        </w:rPr>
        <w:t>III. ISSUES</w:t>
      </w:r>
    </w:p>
    <w:p>
      <w:pPr>
        <w:keepNext/>
        <w:spacing w:before="120" w:after="40"/>
      </w:pPr>
      <w:r>
        <w:rPr>
          <w:rFonts w:ascii="Arial" w:hAnsi="Arial"/>
          <w:b/>
          <w:color w:val="781E1E"/>
          <w:sz w:val="20"/>
        </w:rPr>
        <w:t>A. General Legal Issues</w:t>
      </w:r>
    </w:p>
    <w:p>
      <w:pPr>
        <w:spacing w:before="40" w:after="80" w:line="276" w:lineRule="auto"/>
      </w:pPr>
      <w:r>
        <w:rPr>
          <w:rFonts w:ascii="Calibri" w:hAnsi="Calibri"/>
          <w:i w:val="0"/>
          <w:color w:val="212529"/>
          <w:sz w:val="21"/>
        </w:rPr>
        <w:t>Whether or not the ejectment suit should be dismissed for lack of jurisdiction due to technical venue defect under P.D. No. 1508 despite actual conciliation proceedings.</w:t>
      </w:r>
    </w:p>
    <w:p>
      <w:pPr>
        <w:keepNext/>
        <w:spacing w:before="120" w:after="40"/>
      </w:pPr>
      <w:r>
        <w:rPr>
          <w:rFonts w:ascii="Arial" w:hAnsi="Arial"/>
          <w:b/>
          <w:color w:val="781E1E"/>
          <w:sz w:val="20"/>
        </w:rPr>
        <w:t>B. Statutory-Construction Issue/s</w:t>
      </w:r>
    </w:p>
    <w:tbl>
      <w:tblPr>
        <w:tblW w:type="auto" w:w="0"/>
        <w:jc w:val="center"/>
        <w:tblLook w:firstColumn="1" w:firstRow="1" w:lastColumn="0" w:lastRow="0" w:noHBand="0" w:noVBand="1" w:val="04A0"/>
      </w:tblPr>
      <w:tblGrid>
        <w:gridCol w:w="9648"/>
      </w:tblGrid>
      <w:tr>
        <w:tc>
          <w:tcPr>
            <w:tcW w:type="dxa" w:w="9648"/>
            <w:shd w:fill="EBF3FA"/>
            <w:tcMar>
              <w:top w:w="100" w:type="dxa"/>
              <w:bottom w:w="100" w:type="dxa"/>
              <w:left w:w="160" w:type="dxa"/>
              <w:right w:w="160" w:type="dxa"/>
            </w:tcMar>
          </w:tcPr>
          <w:p>
            <w:pPr>
              <w:spacing w:before="20" w:after="40"/>
            </w:pPr>
            <w:r>
              <w:rPr>
                <w:rFonts w:ascii="Arial" w:hAnsi="Arial"/>
                <w:b/>
                <w:color w:val="0F2043"/>
                <w:sz w:val="19"/>
              </w:rPr>
              <w:t>Standardized StatCon Issue Statement</w:t>
              <w:br/>
            </w:r>
          </w:p>
          <w:p>
            <w:pPr>
              <w:spacing w:before="20" w:after="40" w:line="276" w:lineRule="auto"/>
            </w:pPr>
            <w:r>
              <w:rPr>
                <w:rFonts w:ascii="Calibri" w:hAnsi="Calibri"/>
                <w:color w:val="212529"/>
                <w:sz w:val="19"/>
              </w:rPr>
              <w:t>Whether the subject statutory act, classification, or terminology under the governing statute/rule means, includes, or applies to the factual controversy in Juan Llorin, Jr. v. Court of Appeals and Maximo Malicsi, under the canon of Ratio legis est anima legis.</w:t>
            </w:r>
          </w:p>
        </w:tc>
      </w:tr>
    </w:tbl>
    <w:p>
      <w:pPr>
        <w:keepNext/>
        <w:spacing w:before="240" w:after="60"/>
      </w:pPr>
      <w:r>
        <w:rPr>
          <w:rFonts w:ascii="Arial" w:hAnsi="Arial"/>
          <w:b/>
          <w:color w:val="0F2043"/>
          <w:sz w:val="21"/>
        </w:rPr>
        <w:t>IV. PROVISION/S OF LAW CONSTRUED</w:t>
      </w:r>
    </w:p>
    <w:tbl>
      <w:tblPr>
        <w:tblW w:type="auto" w:w="0"/>
        <w:jc w:val="center"/>
        <w:tblLook w:firstColumn="1" w:firstRow="1" w:lastColumn="0" w:lastRow="0" w:noHBand="0" w:noVBand="1" w:val="04A0"/>
      </w:tblPr>
      <w:tblGrid>
        <w:gridCol w:w="9648"/>
      </w:tblGrid>
      <w:tr>
        <w:tc>
          <w:tcPr>
            <w:tcW w:type="dxa" w:w="9648"/>
            <w:shd w:fill="F8F9FB"/>
            <w:tcMar>
              <w:top w:w="100" w:type="dxa"/>
              <w:bottom w:w="100" w:type="dxa"/>
              <w:left w:w="160" w:type="dxa"/>
              <w:right w:w="160" w:type="dxa"/>
            </w:tcMar>
          </w:tcPr>
          <w:p>
            <w:pPr>
              <w:spacing w:before="20" w:after="40"/>
            </w:pPr>
            <w:r>
              <w:rPr>
                <w:rFonts w:ascii="Arial" w:hAnsi="Arial"/>
                <w:b/>
                <w:color w:val="0F2043"/>
                <w:sz w:val="19"/>
              </w:rPr>
              <w:t>Statutory / Constitutional Text &amp; Problem</w:t>
              <w:br/>
            </w:r>
          </w:p>
          <w:p>
            <w:pPr>
              <w:spacing w:before="20" w:after="40" w:line="276" w:lineRule="auto"/>
            </w:pPr>
            <w:r>
              <w:rPr>
                <w:rFonts w:ascii="Calibri" w:hAnsi="Calibri"/>
                <w:b/>
                <w:color w:val="212529"/>
                <w:sz w:val="19"/>
              </w:rPr>
              <w:t xml:space="preserve">• Quoted Provision: </w:t>
            </w:r>
            <w:r>
              <w:rPr>
                <w:rFonts w:ascii="Calibri" w:hAnsi="Calibri"/>
                <w:color w:val="212529"/>
                <w:sz w:val="19"/>
              </w:rPr>
              <w:t>1. Presidential Decree No. 1508 (Katarungang Pambarangay Law): Mandates conciliation as a condition precedent to filing court actions to unclog court dockets.</w:t>
              <w:br/>
              <w:t>2. Ratio Legis Est Anima Legis (the reason of the law is the soul of the law): The core aim is dispute settlement, not procedural trapping.</w:t>
            </w:r>
          </w:p>
          <w:p>
            <w:pPr>
              <w:spacing w:before="20" w:after="40" w:line="276" w:lineRule="auto"/>
            </w:pPr>
            <w:r>
              <w:rPr>
                <w:rFonts w:ascii="Calibri" w:hAnsi="Calibri"/>
                <w:b/>
                <w:color w:val="212529"/>
                <w:sz w:val="19"/>
              </w:rPr>
              <w:t xml:space="preserve">• Interpretive Problem: </w:t>
            </w:r>
            <w:r>
              <w:rPr>
                <w:rFonts w:ascii="Calibri" w:hAnsi="Calibri"/>
                <w:color w:val="212529"/>
                <w:sz w:val="19"/>
              </w:rPr>
              <w:t>Determining the precise legislative intent and boundary of the statutory terms in light of: The appellate court committed error by prioritizing literal venue rules over the actual fulfillment of the statutory con...</w:t>
            </w:r>
          </w:p>
        </w:tc>
      </w:tr>
    </w:tbl>
    <w:p>
      <w:pPr>
        <w:keepNext/>
        <w:spacing w:before="240" w:after="60"/>
      </w:pPr>
      <w:r>
        <w:rPr>
          <w:rFonts w:ascii="Arial" w:hAnsi="Arial"/>
          <w:b/>
          <w:color w:val="0F2043"/>
          <w:sz w:val="21"/>
        </w:rPr>
        <w:t>V. RULING OF THE SUPREME COURT</w:t>
      </w:r>
    </w:p>
    <w:p>
      <w:pPr>
        <w:keepNext/>
        <w:spacing w:before="120" w:after="40"/>
      </w:pPr>
      <w:r>
        <w:rPr>
          <w:rFonts w:ascii="Arial" w:hAnsi="Arial"/>
          <w:b/>
          <w:color w:val="781E1E"/>
          <w:sz w:val="20"/>
        </w:rPr>
        <w:t>A. General Ruling</w:t>
      </w:r>
    </w:p>
    <w:p>
      <w:pPr>
        <w:spacing w:before="40" w:after="80" w:line="276" w:lineRule="auto"/>
      </w:pPr>
      <w:r>
        <w:rPr>
          <w:rFonts w:ascii="Calibri" w:hAnsi="Calibri"/>
          <w:i w:val="0"/>
          <w:color w:val="212529"/>
          <w:sz w:val="21"/>
        </w:rPr>
        <w:t>The Supreme Court GRANTED the petition, SET ASIDE the Court of Appeals dismissal, and ORDERED the trial court to proceed with the ejectment case on the merits.</w:t>
      </w:r>
    </w:p>
    <w:p>
      <w:pPr>
        <w:keepNext/>
        <w:spacing w:before="120" w:after="40"/>
      </w:pPr>
      <w:r>
        <w:rPr>
          <w:rFonts w:ascii="Arial" w:hAnsi="Arial"/>
          <w:b/>
          <w:color w:val="781E1E"/>
          <w:sz w:val="20"/>
        </w:rPr>
        <w:t>B. Ruling on the Statutory-Construction Issue</w:t>
      </w:r>
    </w:p>
    <w:tbl>
      <w:tblPr>
        <w:tblW w:type="auto" w:w="0"/>
        <w:jc w:val="center"/>
        <w:tblLook w:firstColumn="1" w:firstRow="1" w:lastColumn="0" w:lastRow="0" w:noHBand="0" w:noVBand="1" w:val="04A0"/>
      </w:tblPr>
      <w:tblGrid>
        <w:gridCol w:w="9648"/>
      </w:tblGrid>
      <w:tr>
        <w:tc>
          <w:tcPr>
            <w:tcW w:type="dxa" w:w="9648"/>
            <w:shd w:fill="F4FAF5"/>
            <w:tcMar>
              <w:top w:w="100" w:type="dxa"/>
              <w:bottom w:w="100" w:type="dxa"/>
              <w:left w:w="160" w:type="dxa"/>
              <w:right w:w="160" w:type="dxa"/>
            </w:tcMar>
          </w:tcPr>
          <w:p>
            <w:pPr>
              <w:spacing w:before="20" w:after="40"/>
            </w:pPr>
            <w:r>
              <w:rPr>
                <w:rFonts w:ascii="Arial" w:hAnsi="Arial"/>
                <w:b/>
                <w:color w:val="0F2043"/>
                <w:sz w:val="19"/>
              </w:rPr>
              <w:t>Statutory Meaning Established by Court</w:t>
              <w:br/>
            </w:r>
          </w:p>
          <w:p>
            <w:pPr>
              <w:spacing w:before="20" w:after="40" w:line="276" w:lineRule="auto"/>
            </w:pPr>
            <w:r>
              <w:rPr>
                <w:rFonts w:ascii="Calibri" w:hAnsi="Calibri"/>
                <w:color w:val="212529"/>
                <w:sz w:val="19"/>
              </w:rPr>
              <w:t>NO. The suit should NOT be dismissed. The primary objective of P.D. No. 1508 is to encourage amicable settlement of disputes at the community level. Since the parties actually underwent mediation and failed to settle, the purpose of the law was achieved.</w:t>
            </w:r>
          </w:p>
        </w:tc>
      </w:tr>
    </w:tbl>
    <w:p>
      <w:pPr>
        <w:keepNext/>
        <w:spacing w:before="240" w:after="60"/>
      </w:pPr>
      <w:r>
        <w:rPr>
          <w:rFonts w:ascii="Arial" w:hAnsi="Arial"/>
          <w:b/>
          <w:color w:val="0F2043"/>
          <w:sz w:val="21"/>
        </w:rPr>
        <w:t>VI. HOW THE COURT CONSTRUED THE LAW</w:t>
      </w:r>
    </w:p>
    <w:tbl>
      <w:tblPr>
        <w:tblW w:type="auto" w:w="0"/>
        <w:jc w:val="center"/>
        <w:tblLook w:firstColumn="1" w:firstRow="1" w:lastColumn="0" w:lastRow="0" w:noHBand="0" w:noVBand="1" w:val="04A0"/>
      </w:tblPr>
      <w:tblGrid>
        <w:gridCol w:w="9648"/>
      </w:tblGrid>
      <w:tr>
        <w:tc>
          <w:tcPr>
            <w:tcW w:type="dxa" w:w="9648"/>
            <w:shd w:fill="F8F9FB"/>
            <w:tcMar>
              <w:top w:w="100" w:type="dxa"/>
              <w:bottom w:w="100" w:type="dxa"/>
              <w:left w:w="160" w:type="dxa"/>
              <w:right w:w="160" w:type="dxa"/>
            </w:tcMar>
          </w:tcPr>
          <w:p>
            <w:pPr>
              <w:spacing w:before="20" w:after="40"/>
            </w:pPr>
            <w:r>
              <w:rPr>
                <w:rFonts w:ascii="Arial" w:hAnsi="Arial"/>
                <w:b/>
                <w:color w:val="0F2043"/>
                <w:sz w:val="19"/>
              </w:rPr>
              <w:t>Methodological &amp; Doctrinal Analysis</w:t>
              <w:br/>
            </w:r>
          </w:p>
          <w:p>
            <w:pPr>
              <w:spacing w:before="20" w:after="40" w:line="276" w:lineRule="auto"/>
            </w:pPr>
            <w:r>
              <w:rPr>
                <w:rFonts w:ascii="Calibri" w:hAnsi="Calibri"/>
                <w:b/>
                <w:color w:val="212529"/>
                <w:sz w:val="19"/>
              </w:rPr>
              <w:t xml:space="preserve">A. Why Was Construction Necessary? </w:t>
            </w:r>
            <w:r>
              <w:rPr>
                <w:rFonts w:ascii="Calibri" w:hAnsi="Calibri"/>
                <w:color w:val="212529"/>
                <w:sz w:val="19"/>
              </w:rPr>
              <w:t>Ambiguity in the application and scope of the statute: The appellate court committed error by prioritizing literal venue rules over the actual fulfillment of the statutory conciliation purpose..</w:t>
            </w:r>
          </w:p>
          <w:p>
            <w:pPr>
              <w:spacing w:before="20" w:after="40" w:line="276" w:lineRule="auto"/>
            </w:pPr>
            <w:r>
              <w:rPr>
                <w:rFonts w:ascii="Calibri" w:hAnsi="Calibri"/>
                <w:b/>
                <w:color w:val="212529"/>
                <w:sz w:val="19"/>
              </w:rPr>
              <w:t xml:space="preserve">B. Purpose of Construction: </w:t>
            </w:r>
            <w:r>
              <w:rPr>
                <w:rFonts w:ascii="Calibri" w:hAnsi="Calibri"/>
                <w:color w:val="212529"/>
                <w:sz w:val="19"/>
              </w:rPr>
              <w:t>To ascertain and give full effect to the true intent, spirit, and purpose of the lawmaking body.</w:t>
            </w:r>
          </w:p>
          <w:p>
            <w:pPr>
              <w:spacing w:before="20" w:after="40" w:line="276" w:lineRule="auto"/>
            </w:pPr>
            <w:r>
              <w:rPr>
                <w:rFonts w:ascii="Calibri" w:hAnsi="Calibri"/>
                <w:b/>
                <w:color w:val="212529"/>
                <w:sz w:val="19"/>
              </w:rPr>
              <w:t xml:space="preserve">C. Method, Canon, or Rule Applied: </w:t>
            </w:r>
            <w:r>
              <w:rPr>
                <w:rFonts w:ascii="Calibri" w:hAnsi="Calibri"/>
                <w:color w:val="212529"/>
                <w:sz w:val="19"/>
              </w:rPr>
              <w:t>Ratio legis est anima legis</w:t>
              <w:br/>
              <w:t xml:space="preserve">   - Application: Substantial Compliance Doctrine: Where the fundamental policy objective of a statute has been achieved in substance, technical defects of form will not be allowed to defeat the action.</w:t>
              <w:br/>
              <w:t xml:space="preserve">   - Result: No. The main goal of the Barangay law is to make neighbors talk and try to settle. Because they actually did talk and could not agree, the purpose of the law was fulfilled. Technical venue errors were waived by their active participation.</w:t>
            </w:r>
          </w:p>
          <w:p>
            <w:pPr>
              <w:spacing w:before="20" w:after="40" w:line="276" w:lineRule="auto"/>
            </w:pPr>
            <w:r>
              <w:rPr>
                <w:rFonts w:ascii="Calibri" w:hAnsi="Calibri"/>
                <w:b/>
                <w:color w:val="212529"/>
                <w:sz w:val="19"/>
              </w:rPr>
              <w:t xml:space="preserve">D. Other Sources Used: </w:t>
            </w:r>
            <w:r>
              <w:rPr>
                <w:rFonts w:ascii="Calibri" w:hAnsi="Calibri"/>
                <w:color w:val="212529"/>
                <w:sz w:val="19"/>
              </w:rPr>
              <w:t>Ordinary meaning of words, statute considered as a whole, legislative history, and established Supreme Court jurisprudence.</w:t>
            </w:r>
          </w:p>
        </w:tc>
      </w:tr>
    </w:tbl>
    <w:p>
      <w:pPr>
        <w:keepNext/>
        <w:spacing w:before="240" w:after="60"/>
      </w:pPr>
      <w:r>
        <w:rPr>
          <w:rFonts w:ascii="Arial" w:hAnsi="Arial"/>
          <w:b/>
          <w:color w:val="0F2043"/>
          <w:sz w:val="21"/>
        </w:rPr>
        <w:t>VII. RELEVANT STATUTORY-CONSTRUCTION CONCEPTS (A–L EVALUATION)</w:t>
      </w:r>
    </w:p>
    <w:tbl>
      <w:tblPr>
        <w:tblW w:type="auto" w:w="0"/>
        <w:jc w:val="center"/>
        <w:tblLook w:firstColumn="1" w:firstRow="1" w:lastColumn="0" w:lastRow="0" w:noHBand="0" w:noVBand="1" w:val="04A0"/>
      </w:tblPr>
      <w:tblGrid>
        <w:gridCol w:w="4824"/>
        <w:gridCol w:w="4824"/>
      </w:tblGrid>
      <w:tr>
        <w:tc>
          <w:tcPr>
            <w:tcW w:type="dxa" w:w="4824"/>
            <w:shd w:fill="EBF0F8"/>
            <w:tcMar>
              <w:top w:w="70" w:type="dxa"/>
              <w:bottom w:w="70" w:type="dxa"/>
              <w:left w:w="100" w:type="dxa"/>
              <w:right w:w="100" w:type="dxa"/>
            </w:tcMar>
          </w:tcPr>
          <w:p>
            <w:pPr>
              <w:spacing w:before="20" w:after="20"/>
            </w:pPr>
            <w:r>
              <w:rPr>
                <w:rFonts w:ascii="Arial" w:hAnsi="Arial"/>
                <w:b/>
                <w:color w:val="0F2043"/>
                <w:sz w:val="18"/>
              </w:rPr>
              <w:t>A. Situs of Statutory Construction</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Supreme Court of the Philippines, exercising its constitutional judicial power under Article VIII of the Constitution, serves as the ultimate situs and final arbiter for interpreting and construing the disputed provision.</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B. Purpose of Statutory Construction</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purpose of construction is to discover and effectuate the true legislative intent and will of the lawmaking body, preventing injustice and ensuring the statute operates harmoniously.</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C. When to Construe</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Construction became imperative because the text contained an ambiguity, competing interpretations, or conflicting statutory provisions that required judicial determination of legislative intent.</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D. Ambiguity or Vagueness</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controversy centered on the ambiguity, silence, or conflicting scope of the statutory language, which the Court resolved by examining legislative intent and governing maxims.</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E. Verba Legis Non Est Recedendum</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781E1E"/>
                <w:sz w:val="17"/>
              </w:rPr>
              <w:t xml:space="preserve"> [NOT APPLICABLE] </w:t>
            </w:r>
            <w:r>
              <w:rPr>
                <w:rFonts w:ascii="Calibri" w:hAnsi="Calibri"/>
                <w:color w:val="212529"/>
                <w:sz w:val="18"/>
              </w:rPr>
              <w:t>Not Applicable. The Court looked beyond literal words to discover the underlying legislative spirit, context, and intent.</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F. Absoluta Sententia Expositore Non Indigent</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781E1E"/>
                <w:sz w:val="17"/>
              </w:rPr>
              <w:t xml:space="preserve"> [NOT APPLICABLE] </w:t>
            </w:r>
            <w:r>
              <w:rPr>
                <w:rFonts w:ascii="Calibri" w:hAnsi="Calibri"/>
                <w:color w:val="212529"/>
                <w:sz w:val="18"/>
              </w:rPr>
              <w:t>Not Applicable. The statutory language required expository interpretation due to textual gaps, broad phrasing, or conflicting provisions.</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G. Legislative Intent</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Court analyzed the true intent and policy of the lawmaking authority, ensuring that the statutory purpose is preserved and not defeated by erroneous administrative or private interpretations.</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H. Strict or Liberal Construction</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781E1E"/>
                <w:sz w:val="17"/>
              </w:rPr>
              <w:t xml:space="preserve"> [NOT APPLICABLE] </w:t>
            </w:r>
            <w:r>
              <w:rPr>
                <w:rFonts w:ascii="Calibri" w:hAnsi="Calibri"/>
                <w:color w:val="212529"/>
                <w:sz w:val="18"/>
              </w:rPr>
              <w:t>Not Applicable. The Court applied standard ordinary rules of statutory interpretation without resorting to special strict or liberal construction doctrines.</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I. Prospective or Retrospective Construction</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781E1E"/>
                <w:sz w:val="17"/>
              </w:rPr>
              <w:t xml:space="preserve"> [NOT APPLICABLE] </w:t>
            </w:r>
            <w:r>
              <w:rPr>
                <w:rFonts w:ascii="Calibri" w:hAnsi="Calibri"/>
                <w:color w:val="212529"/>
                <w:sz w:val="18"/>
              </w:rPr>
              <w:t>Not Applicable. The case involved only the contemporaneous, prospective application of the governing law.</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J. Statutory Construction vs. Judicial Legislation</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Court underscored the constitutional boundary of judicial power: Courts are empowered solely to interpret (jus dicere), not to enact or amend laws (jus dare). Supplying unwritten terms or expanding clear prohibitions constitutes prohibited judicial legislation.</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K. Legis Interpretatio Legis Vim Obtinet</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Under Article 8 of the Civil Code, the Supreme Court's authoritative interpretation of the statute forms part of the legal system of the Philippines and acquires the force of law (*legis interpretatio legis vim obtinet*).</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L. Extent and Limits of the Power to Construe</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Court respected the constitutional limits of its authority by applying the law as written and refusing to invade the legislative domain under the guise of equity or expediency.</w:t>
            </w:r>
          </w:p>
        </w:tc>
      </w:tr>
    </w:tbl>
    <w:p>
      <w:pPr>
        <w:keepNext/>
        <w:spacing w:before="240" w:after="60"/>
      </w:pPr>
      <w:r>
        <w:rPr>
          <w:rFonts w:ascii="Arial" w:hAnsi="Arial"/>
          <w:b/>
          <w:color w:val="0F2043"/>
          <w:sz w:val="21"/>
        </w:rPr>
        <w:t>VIII. OTHER CANONS OR METHODS OF CONSTRUCTION</w:t>
      </w:r>
    </w:p>
    <w:tbl>
      <w:tblPr>
        <w:tblW w:type="auto" w:w="0"/>
        <w:jc w:val="center"/>
        <w:tblLook w:firstColumn="1" w:firstRow="1" w:lastColumn="0" w:lastRow="0" w:noHBand="0" w:noVBand="1" w:val="04A0"/>
      </w:tblPr>
      <w:tblGrid>
        <w:gridCol w:w="9648"/>
      </w:tblGrid>
      <w:tr>
        <w:tc>
          <w:tcPr>
            <w:tcW w:type="dxa" w:w="9648"/>
            <w:shd w:fill="F8F9FB"/>
            <w:tcMar>
              <w:top w:w="100" w:type="dxa"/>
              <w:bottom w:w="100" w:type="dxa"/>
              <w:left w:w="160" w:type="dxa"/>
              <w:right w:w="160" w:type="dxa"/>
            </w:tcMar>
          </w:tcPr>
          <w:p>
            <w:pPr>
              <w:spacing w:before="20" w:after="40"/>
            </w:pPr>
            <w:r>
              <w:rPr>
                <w:rFonts w:ascii="Arial" w:hAnsi="Arial"/>
                <w:b/>
                <w:color w:val="0F2043"/>
                <w:sz w:val="19"/>
              </w:rPr>
              <w:t>Secondary Rules &amp; Canons Applied</w:t>
              <w:br/>
            </w:r>
          </w:p>
          <w:p>
            <w:pPr>
              <w:spacing w:before="20" w:after="40" w:line="276" w:lineRule="auto"/>
            </w:pPr>
            <w:r>
              <w:rPr>
                <w:rFonts w:ascii="Calibri" w:hAnsi="Calibri"/>
                <w:b/>
                <w:color w:val="212529"/>
                <w:sz w:val="19"/>
              </w:rPr>
              <w:t xml:space="preserve">• Canon / Maxim: </w:t>
            </w:r>
            <w:r>
              <w:rPr>
                <w:rFonts w:ascii="Calibri" w:hAnsi="Calibri"/>
                <w:color w:val="212529"/>
                <w:sz w:val="19"/>
              </w:rPr>
              <w:t>• Ut res magis valeat quam pereat (construction to make the law effective)</w:t>
              <w:br/>
              <w:t>• Substantia praevalet formae (substance over form)</w:t>
            </w:r>
          </w:p>
          <w:p>
            <w:pPr>
              <w:spacing w:before="20" w:after="40" w:line="276" w:lineRule="auto"/>
            </w:pPr>
            <w:r>
              <w:rPr>
                <w:rFonts w:ascii="Calibri" w:hAnsi="Calibri"/>
                <w:b/>
                <w:color w:val="212529"/>
                <w:sz w:val="19"/>
              </w:rPr>
              <w:t xml:space="preserve">• How Applied: </w:t>
            </w:r>
            <w:r>
              <w:rPr>
                <w:rFonts w:ascii="Calibri" w:hAnsi="Calibri"/>
                <w:color w:val="212529"/>
                <w:sz w:val="19"/>
              </w:rPr>
              <w:t>Applied as corroborative canons to reinforce the primary rule of construction.</w:t>
            </w:r>
          </w:p>
          <w:p>
            <w:pPr>
              <w:spacing w:before="20" w:after="40" w:line="276" w:lineRule="auto"/>
            </w:pPr>
            <w:r>
              <w:rPr>
                <w:rFonts w:ascii="Calibri" w:hAnsi="Calibri"/>
                <w:b/>
                <w:color w:val="212529"/>
                <w:sz w:val="19"/>
              </w:rPr>
              <w:t xml:space="preserve">• Effect on Interpretation: </w:t>
            </w:r>
            <w:r>
              <w:rPr>
                <w:rFonts w:ascii="Calibri" w:hAnsi="Calibri"/>
                <w:color w:val="212529"/>
                <w:sz w:val="19"/>
              </w:rPr>
              <w:t>Harmonized the statute and prevented an absurd or unjust result.</w:t>
            </w:r>
          </w:p>
        </w:tc>
      </w:tr>
    </w:tbl>
    <w:p>
      <w:pPr>
        <w:keepNext/>
        <w:spacing w:before="240" w:after="60"/>
      </w:pPr>
      <w:r>
        <w:rPr>
          <w:rFonts w:ascii="Arial" w:hAnsi="Arial"/>
          <w:b/>
          <w:color w:val="0F2043"/>
          <w:sz w:val="21"/>
        </w:rPr>
        <w:t>IX. THE CONSTRUCTION MADE BY THE COURT</w:t>
      </w:r>
    </w:p>
    <w:tbl>
      <w:tblPr>
        <w:tblW w:type="auto" w:w="0"/>
        <w:jc w:val="center"/>
        <w:tblLook w:firstColumn="1" w:firstRow="1" w:lastColumn="0" w:lastRow="0" w:noHBand="0" w:noVBand="1" w:val="04A0"/>
      </w:tblPr>
      <w:tblGrid>
        <w:gridCol w:w="9648"/>
      </w:tblGrid>
      <w:tr>
        <w:tc>
          <w:tcPr>
            <w:tcW w:type="dxa" w:w="9648"/>
            <w:shd w:fill="F9F8F5"/>
            <w:tcMar>
              <w:top w:w="100" w:type="dxa"/>
              <w:bottom w:w="100" w:type="dxa"/>
              <w:left w:w="160" w:type="dxa"/>
              <w:right w:w="160" w:type="dxa"/>
            </w:tcMar>
          </w:tcPr>
          <w:p>
            <w:pPr>
              <w:spacing w:before="20" w:after="40"/>
            </w:pPr>
            <w:r>
              <w:rPr>
                <w:rFonts w:ascii="Arial" w:hAnsi="Arial"/>
                <w:b/>
                <w:color w:val="0F2043"/>
                <w:sz w:val="19"/>
              </w:rPr>
              <w:t>Actual Judicial Construction &amp; Ratio</w:t>
              <w:br/>
            </w:r>
          </w:p>
          <w:p>
            <w:pPr>
              <w:spacing w:before="20" w:after="40" w:line="276" w:lineRule="auto"/>
            </w:pPr>
            <w:r>
              <w:rPr>
                <w:rFonts w:ascii="Calibri" w:hAnsi="Calibri"/>
                <w:b/>
                <w:color w:val="212529"/>
                <w:sz w:val="19"/>
              </w:rPr>
              <w:t xml:space="preserve">• Construction Summary: </w:t>
            </w:r>
            <w:r>
              <w:rPr>
                <w:rFonts w:ascii="Calibri" w:hAnsi="Calibri"/>
                <w:color w:val="212529"/>
                <w:sz w:val="19"/>
              </w:rPr>
              <w:t>The Court construed the disputed statutory provisions in Juan Llorin, Jr. v. Court of Appeals and Maximo Malicsi to mean and apply strictly in accordance with Ratio legis est anima legis, holding that No. The main goal of the Barangay law is to make neighbors talk and try to settle. Because they actually did talk and could not agree, the purpose of the law wa.</w:t>
            </w:r>
          </w:p>
          <w:p>
            <w:pPr>
              <w:spacing w:before="20" w:after="40" w:line="276" w:lineRule="auto"/>
            </w:pPr>
            <w:r>
              <w:rPr>
                <w:rFonts w:ascii="Calibri" w:hAnsi="Calibri"/>
                <w:b/>
                <w:color w:val="212529"/>
                <w:sz w:val="19"/>
              </w:rPr>
              <w:t xml:space="preserve">• Principal Reasoning: </w:t>
            </w:r>
            <w:r>
              <w:rPr>
                <w:rFonts w:ascii="Calibri" w:hAnsi="Calibri"/>
                <w:color w:val="212529"/>
                <w:sz w:val="19"/>
              </w:rPr>
              <w:t>The Court looked at the true reason behind the law: helping parties settle before going to court. Since both parties spent time in mediation and could not settle, forcing them to redo the talks in a different barangay hall would be a useless formality.</w:t>
            </w:r>
          </w:p>
        </w:tc>
      </w:tr>
    </w:tbl>
    <w:tbl>
      <w:tblPr>
        <w:tblW w:type="auto" w:w="0"/>
        <w:jc w:val="center"/>
        <w:tblLook w:firstColumn="1" w:firstRow="1" w:lastColumn="0" w:lastRow="0" w:noHBand="0" w:noVBand="1" w:val="04A0"/>
      </w:tblPr>
      <w:tblGrid>
        <w:gridCol w:w="9648"/>
      </w:tblGrid>
      <w:tr>
        <w:tc>
          <w:tcPr>
            <w:tcW w:type="dxa" w:w="9648"/>
            <w:shd w:fill="EEF6F0"/>
            <w:tcMar>
              <w:top w:w="100" w:type="dxa"/>
              <w:bottom w:w="100" w:type="dxa"/>
              <w:left w:w="160" w:type="dxa"/>
              <w:right w:w="160" w:type="dxa"/>
            </w:tcMar>
          </w:tcPr>
          <w:p>
            <w:pPr>
              <w:spacing w:before="20" w:after="40"/>
            </w:pPr>
            <w:r>
              <w:rPr>
                <w:rFonts w:ascii="Arial" w:hAnsi="Arial"/>
                <w:b/>
                <w:color w:val="0D6E4B"/>
                <w:sz w:val="19"/>
              </w:rPr>
              <w:t>X. STATUTORY CONSTRUCTION OR JUDICIAL LEGISLATION?</w:t>
              <w:br/>
            </w:r>
          </w:p>
          <w:p>
            <w:pPr>
              <w:spacing w:before="20" w:after="60"/>
            </w:pPr>
            <w:r>
              <w:rPr>
                <w:rFonts w:ascii="Arial" w:hAnsi="Arial"/>
                <w:b/>
                <w:color w:val="0F2043"/>
                <w:sz w:val="19"/>
              </w:rPr>
              <w:t>☑ Proper statutory construction    ☐ Judicial legislation    ☐ Debatable</w:t>
            </w:r>
          </w:p>
          <w:p>
            <w:pPr>
              <w:spacing w:before="40" w:after="40" w:line="276" w:lineRule="auto"/>
            </w:pPr>
            <w:r>
              <w:rPr>
                <w:rFonts w:ascii="Calibri" w:hAnsi="Calibri"/>
                <w:b/>
                <w:color w:val="212529"/>
                <w:sz w:val="19"/>
              </w:rPr>
              <w:t>Explanation (3–5 sentences):</w:t>
              <w:br/>
            </w:r>
            <w:r>
              <w:rPr>
                <w:rFonts w:ascii="Calibri" w:hAnsi="Calibri"/>
                <w:color w:val="212529"/>
                <w:sz w:val="19"/>
              </w:rPr>
              <w:t>The Supreme Court acted within the legitimate bounds of its constitutional power to interpret the law (jus dicere). By applying Ratio legis est anima legis, the Court faithfully effectuated the legislative intent without creating new rules, modifying clear statutory text, or usurping congressional prerogative. The ruling reinforces the separation of powers and the doctrine that courts must enforce the law as enacted.</w:t>
            </w:r>
          </w:p>
        </w:tc>
      </w:tr>
    </w:tbl>
    <w:p>
      <w:pPr>
        <w:spacing w:before="80" w:after="40"/>
      </w:pPr>
    </w:p>
    <w:tbl>
      <w:tblPr>
        <w:tblW w:type="auto" w:w="0"/>
        <w:jc w:val="center"/>
        <w:tblLook w:firstColumn="1" w:firstRow="1" w:lastColumn="0" w:lastRow="0" w:noHBand="0" w:noVBand="1" w:val="04A0"/>
      </w:tblPr>
      <w:tblGrid>
        <w:gridCol w:w="9648"/>
      </w:tblGrid>
      <w:tr>
        <w:tc>
          <w:tcPr>
            <w:tcW w:type="dxa" w:w="9648"/>
            <w:shd w:fill="FBF6EE"/>
            <w:tcMar>
              <w:top w:w="100" w:type="dxa"/>
              <w:bottom w:w="100" w:type="dxa"/>
              <w:left w:w="160" w:type="dxa"/>
              <w:right w:w="160" w:type="dxa"/>
            </w:tcMar>
          </w:tcPr>
          <w:p>
            <w:pPr>
              <w:spacing w:before="20" w:after="40"/>
            </w:pPr>
            <w:r>
              <w:rPr>
                <w:rFonts w:ascii="Arial" w:hAnsi="Arial"/>
                <w:b/>
                <w:color w:val="8C3200"/>
                <w:sz w:val="19"/>
              </w:rPr>
              <w:t>XI. DOCTRINE (Statutory Construction Principle):</w:t>
              <w:br/>
            </w:r>
            <w:r>
              <w:rPr>
                <w:rFonts w:ascii="Calibri" w:hAnsi="Calibri"/>
                <w:color w:val="212529"/>
                <w:sz w:val="19"/>
              </w:rPr>
              <w:t>Substantial Compliance Doctrine: Where the fundamental policy objective of a statute has been achieved in substance, technical defects of form will not be allowed to defeat the action.</w:t>
              <w:br/>
              <w:br/>
            </w:r>
          </w:p>
          <w:p>
            <w:pPr>
              <w:spacing w:before="20" w:after="40"/>
            </w:pPr>
            <w:r>
              <w:rPr>
                <w:rFonts w:ascii="Arial" w:hAnsi="Arial"/>
                <w:b/>
                <w:color w:val="8C3200"/>
                <w:sz w:val="19"/>
              </w:rPr>
              <w:t>XII. ONE-SENTENCE TAKEAWAY:</w:t>
              <w:br/>
            </w:r>
            <w:r>
              <w:rPr>
                <w:rFonts w:ascii="Calibri" w:hAnsi="Calibri"/>
                <w:i/>
                <w:color w:val="212529"/>
                <w:sz w:val="19"/>
              </w:rPr>
              <w:t>This case is important in Statutory Construction because The goal and spirit of a law matter more than empty procedural technicalities when the real purpose of the law has already been achieved.</w:t>
            </w:r>
          </w:p>
        </w:tc>
      </w:tr>
    </w:tbl>
    <w:p>
      <w:r>
        <w:br w:type="page"/>
      </w:r>
    </w:p>
    <w:p>
      <w:pPr>
        <w:keepNext/>
        <w:spacing w:before="320" w:after="80"/>
      </w:pPr>
      <w:r>
        <w:rPr>
          <w:rFonts w:ascii="Arial" w:hAnsi="Arial"/>
          <w:b/>
          <w:color w:val="0F2043"/>
          <w:sz w:val="26"/>
        </w:rPr>
        <w:t>26. MUNICIPALITY OF NUEVA ERA, ILOCOS NORTE V. MUNICIPALITY OF MARCOS, ILOCOS NORTE</w:t>
      </w:r>
    </w:p>
    <w:p>
      <w:pPr>
        <w:spacing w:before="40" w:after="80" w:line="276" w:lineRule="auto"/>
      </w:pPr>
      <w:r>
        <w:rPr>
          <w:rFonts w:ascii="Calibri" w:hAnsi="Calibri"/>
          <w:b/>
          <w:color w:val="212529"/>
          <w:sz w:val="21"/>
        </w:rPr>
        <w:t xml:space="preserve">Citation: </w:t>
      </w:r>
      <w:r>
        <w:rPr>
          <w:rFonts w:ascii="Calibri" w:hAnsi="Calibri"/>
          <w:i/>
          <w:color w:val="212529"/>
          <w:sz w:val="21"/>
        </w:rPr>
        <w:t>G.R. No. 169435 | February 27, 2008 | 546 SCRA 708 | First Division | Ponente: J. Carpio</w:t>
      </w:r>
    </w:p>
    <w:p>
      <w:pPr>
        <w:keepNext/>
        <w:spacing w:before="200" w:after="40"/>
      </w:pPr>
      <w:r>
        <w:rPr>
          <w:rFonts w:ascii="Arial" w:hAnsi="Arial"/>
          <w:b/>
          <w:color w:val="781E1E"/>
          <w:sz w:val="22"/>
        </w:rPr>
        <w:t>LAYER A: ALAC DIGEST, RECITATION SCRIPT &amp; STATCON ANALYSIS</w:t>
      </w:r>
    </w:p>
    <w:p>
      <w:pPr>
        <w:keepNext/>
        <w:spacing w:before="200" w:after="40"/>
      </w:pPr>
      <w:r>
        <w:rPr>
          <w:rFonts w:ascii="Arial" w:hAnsi="Arial"/>
          <w:b/>
          <w:color w:val="781E1E"/>
          <w:sz w:val="22"/>
        </w:rPr>
        <w:t>I. PARTIES &amp; PROCEDURAL BACKGROUND</w:t>
      </w:r>
    </w:p>
    <w:p>
      <w:pPr>
        <w:spacing w:before="40" w:after="80" w:line="276" w:lineRule="auto"/>
      </w:pPr>
      <w:r>
        <w:rPr>
          <w:rFonts w:ascii="Calibri" w:hAnsi="Calibri"/>
          <w:b/>
          <w:color w:val="212529"/>
          <w:sz w:val="21"/>
        </w:rPr>
        <w:t xml:space="preserve">• Plaintiff/Petitioner: </w:t>
      </w:r>
      <w:r>
        <w:rPr>
          <w:rFonts w:ascii="Calibri" w:hAnsi="Calibri"/>
          <w:i w:val="0"/>
          <w:color w:val="212529"/>
          <w:sz w:val="21"/>
        </w:rPr>
        <w:t>Municipality of Nueva Era, Ilocos Norte (Petitioner)</w:t>
      </w:r>
    </w:p>
    <w:p>
      <w:pPr>
        <w:spacing w:before="40" w:after="80" w:line="276" w:lineRule="auto"/>
      </w:pPr>
      <w:r>
        <w:rPr>
          <w:rFonts w:ascii="Calibri" w:hAnsi="Calibri"/>
          <w:b/>
          <w:color w:val="212529"/>
          <w:sz w:val="21"/>
        </w:rPr>
        <w:t xml:space="preserve">• Defendant/Respondent: </w:t>
      </w:r>
      <w:r>
        <w:rPr>
          <w:rFonts w:ascii="Calibri" w:hAnsi="Calibri"/>
          <w:i w:val="0"/>
          <w:color w:val="212529"/>
          <w:sz w:val="21"/>
        </w:rPr>
        <w:t>Municipality of Marcos, Ilocos Norte and the Court of Appeals (Respondents)</w:t>
      </w:r>
    </w:p>
    <w:p>
      <w:pPr>
        <w:spacing w:before="40" w:after="80" w:line="276" w:lineRule="auto"/>
      </w:pPr>
      <w:r>
        <w:rPr>
          <w:rFonts w:ascii="Calibri" w:hAnsi="Calibri"/>
          <w:b/>
          <w:color w:val="212529"/>
          <w:sz w:val="21"/>
        </w:rPr>
        <w:t xml:space="preserve">• Originating Court: </w:t>
      </w:r>
      <w:r>
        <w:rPr>
          <w:rFonts w:ascii="Calibri" w:hAnsi="Calibri"/>
          <w:i w:val="0"/>
          <w:color w:val="212529"/>
          <w:sz w:val="21"/>
        </w:rPr>
        <w:t>Regional Trial Court of Laoag City (Branch 14) / Court of Appeals</w:t>
      </w:r>
    </w:p>
    <w:p>
      <w:pPr>
        <w:spacing w:before="40" w:after="80" w:line="276" w:lineRule="auto"/>
      </w:pPr>
      <w:r>
        <w:rPr>
          <w:rFonts w:ascii="Calibri" w:hAnsi="Calibri"/>
          <w:b/>
          <w:color w:val="212529"/>
          <w:sz w:val="21"/>
        </w:rPr>
        <w:t xml:space="preserve">• Nature of the Action: </w:t>
      </w:r>
      <w:r>
        <w:rPr>
          <w:rFonts w:ascii="Calibri" w:hAnsi="Calibri"/>
          <w:i w:val="0"/>
          <w:color w:val="212529"/>
          <w:sz w:val="21"/>
        </w:rPr>
        <w:t>Petition for Review on Certiorari under Rule 45 concerning municipal boundary dispute and interpretation of legislative charter Republic Act No. 3753.</w:t>
      </w:r>
    </w:p>
    <w:p>
      <w:pPr>
        <w:keepNext/>
        <w:spacing w:before="200" w:after="40"/>
      </w:pPr>
      <w:r>
        <w:rPr>
          <w:rFonts w:ascii="Arial" w:hAnsi="Arial"/>
          <w:b/>
          <w:color w:val="781E1E"/>
          <w:sz w:val="22"/>
        </w:rPr>
        <w:t>II. WHOLE FACTS</w:t>
      </w:r>
    </w:p>
    <w:p>
      <w:pPr>
        <w:spacing w:before="40" w:after="80" w:line="276" w:lineRule="auto"/>
      </w:pPr>
      <w:r>
        <w:rPr>
          <w:rFonts w:ascii="Calibri" w:hAnsi="Calibri"/>
          <w:i w:val="0"/>
          <w:color w:val="212529"/>
          <w:sz w:val="21"/>
        </w:rPr>
        <w:t>In 1963, Congress enacted Republic Act No. 3753 creating the Municipality of Marcos out of specified named barrios of the Municipality of Dingras, Ilocos Norte. Years later, a boundary dispute arose between the Municipality of Marcos and the neighboring Municipality of Nueva Era over a 7,935-hectare unclassified forest tract. Marcos claimed that its eastern boundary extended to Mount Burnay within Nueva Era's ancestral domain, relying on general boundary descriptions in its charter. Nueva Era countered that its territory was never mentioned in RA 3753, which created Marcos solely from the barrios of Dingras, and invoked Casus Omissus.</w:t>
      </w:r>
    </w:p>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SUMMARY OF FACTS</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Congress passed a law creating the new town of Marcos entirely out of specific villages taken from the town of Dingras. Years later, Marcos claimed land belonging to the town of Nueva Era, arguing the boundary lines pointed that way. The Supreme Court ruled that because the legislative charter never mentioned taking any land from Nueva Era, courts cannot add Nueva Era's territory into the charter of Marcos.</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When reciting the facts, state the core dispute in 2 sentences, then state how the case reached the Supreme Court.</w:t>
            </w:r>
          </w:p>
        </w:tc>
      </w:tr>
    </w:tbl>
    <w:p>
      <w:pPr>
        <w:keepNext/>
        <w:spacing w:before="200" w:after="40"/>
      </w:pPr>
      <w:r>
        <w:rPr>
          <w:rFonts w:ascii="Arial" w:hAnsi="Arial"/>
          <w:b/>
          <w:color w:val="781E1E"/>
          <w:sz w:val="22"/>
        </w:rPr>
        <w:t>III. THE LEGAL ISSUE</w:t>
      </w:r>
    </w:p>
    <w:p>
      <w:pPr>
        <w:spacing w:before="40" w:after="80" w:line="276" w:lineRule="auto"/>
      </w:pPr>
      <w:r>
        <w:rPr>
          <w:rFonts w:ascii="Calibri" w:hAnsi="Calibri"/>
          <w:i w:val="0"/>
          <w:color w:val="212529"/>
          <w:sz w:val="21"/>
        </w:rPr>
        <w:t>Whether or not the legislative charter (R.A. No. 3753) creating the Municipality of Marcos included any portion of the territorial jurisdiction of the Municipality of Nueva Era.</w:t>
      </w:r>
    </w:p>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THE LEGAL ISSUE</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Can a town claim land from a neighbor when the legislative law creating the town only mentions taking land from a completely different municipality?</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"Sir/Ma'am, the issue is whether RA 3753 intended to include territory from Nueva Era in creating the Municipality of Marcos, testing the canon of Casus Omissus Pro Omisso Habendus Est (a person, object or thing omitted from an enumeration must be held to have been omitted intentionally)."</w:t>
            </w:r>
          </w:p>
        </w:tc>
      </w:tr>
    </w:tbl>
    <w:p>
      <w:pPr>
        <w:keepNext/>
        <w:spacing w:before="200" w:after="40"/>
      </w:pPr>
      <w:r>
        <w:rPr>
          <w:rFonts w:ascii="Arial" w:hAnsi="Arial"/>
          <w:b/>
          <w:color w:val="781E1E"/>
          <w:sz w:val="22"/>
        </w:rPr>
        <w:t>IV. ALAC DIGEST</w:t>
      </w:r>
    </w:p>
    <w:tbl>
      <w:tblPr>
        <w:tblW w:type="auto" w:w="0"/>
        <w:jc w:val="center"/>
        <w:tblLook w:firstColumn="1" w:firstRow="1" w:lastColumn="0" w:lastRow="0" w:noHBand="0" w:noVBand="1" w:val="04A0"/>
      </w:tblPr>
      <w:tblGrid>
        <w:gridCol w:w="9648"/>
      </w:tblGrid>
      <w:tr>
        <w:tc>
          <w:tcPr>
            <w:tcW w:type="dxa" w:w="9648"/>
            <w:shd w:fill="F4F6F9"/>
            <w:tcMar>
              <w:top w:w="120" w:type="dxa"/>
              <w:bottom w:w="120" w:type="dxa"/>
              <w:left w:w="180" w:type="dxa"/>
              <w:right w:w="180" w:type="dxa"/>
            </w:tcMar>
          </w:tcPr>
          <w:p>
            <w:pPr>
              <w:spacing w:before="40" w:after="60"/>
            </w:pPr>
            <w:r>
              <w:rPr>
                <w:rFonts w:ascii="Arial" w:hAnsi="Arial"/>
                <w:b/>
                <w:color w:val="0F2043"/>
                <w:sz w:val="21"/>
              </w:rPr>
              <w:t>[A] ANSWER</w:t>
              <w:br/>
            </w:r>
          </w:p>
          <w:p>
            <w:pPr>
              <w:spacing w:before="20" w:after="40" w:line="276" w:lineRule="auto"/>
            </w:pPr>
            <w:r>
              <w:rPr>
                <w:rFonts w:ascii="Calibri" w:hAnsi="Calibri"/>
                <w:color w:val="212529"/>
                <w:sz w:val="20"/>
              </w:rPr>
              <w:t>NO. R.A. No. 3753 did NOT include any territory from Nueva Era. Under the doctrine of Casus Omissus, an omission from the statutory text must be held intentional, and courts cannot supply omitted terms.</w:t>
            </w:r>
          </w:p>
        </w:tc>
      </w:tr>
    </w:tbl>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THE ANSWER</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No. The law creating Marcos specifically named only Dingras as the source of its territory. Since Nueva Era was omitted from the statute, the omission was intentional and courts cannot supply what Congress omitted.</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"No, Sir/Ma'am. The Supreme Court held that under Casus omissus pro omisso habendus est (a person, object, or thing omitted must be held to be intentionally omitted), since RA 3753 expressly named only Dingras, territory from Nueva Era cannot be included by judicial interpretation."</w:t>
            </w:r>
          </w:p>
        </w:tc>
      </w:tr>
    </w:tbl>
    <w:tbl>
      <w:tblPr>
        <w:tblW w:type="auto" w:w="0"/>
        <w:jc w:val="center"/>
        <w:tblLook w:firstColumn="1" w:firstRow="1" w:lastColumn="0" w:lastRow="0" w:noHBand="0" w:noVBand="1" w:val="04A0"/>
      </w:tblPr>
      <w:tblGrid>
        <w:gridCol w:w="9648"/>
      </w:tblGrid>
      <w:tr>
        <w:tc>
          <w:tcPr>
            <w:tcW w:type="dxa" w:w="9648"/>
            <w:shd w:fill="F4F6F9"/>
            <w:tcMar>
              <w:top w:w="120" w:type="dxa"/>
              <w:bottom w:w="120" w:type="dxa"/>
              <w:left w:w="180" w:type="dxa"/>
              <w:right w:w="180" w:type="dxa"/>
            </w:tcMar>
          </w:tcPr>
          <w:p>
            <w:pPr>
              <w:spacing w:before="40" w:after="60"/>
            </w:pPr>
            <w:r>
              <w:rPr>
                <w:rFonts w:ascii="Arial" w:hAnsi="Arial"/>
                <w:b/>
                <w:color w:val="0F2043"/>
                <w:sz w:val="21"/>
              </w:rPr>
              <w:t>[L] LEGAL BASIS</w:t>
              <w:br/>
            </w:r>
          </w:p>
          <w:p>
            <w:pPr>
              <w:spacing w:before="20" w:after="40" w:line="276" w:lineRule="auto"/>
            </w:pPr>
            <w:r>
              <w:rPr>
                <w:rFonts w:ascii="Calibri" w:hAnsi="Calibri"/>
                <w:b/>
                <w:color w:val="212529"/>
                <w:sz w:val="20"/>
              </w:rPr>
              <w:t xml:space="preserve">1. Republic Act No. 3753 (Charter of Municipality of Marcos): </w:t>
            </w:r>
            <w:r>
              <w:rPr>
                <w:rFonts w:ascii="Calibri" w:hAnsi="Calibri"/>
                <w:color w:val="212529"/>
                <w:sz w:val="20"/>
              </w:rPr>
              <w:t>Expressly states that the municipality is created from barrios separated from the Municipality of Dingras.</w:t>
            </w:r>
          </w:p>
          <w:p>
            <w:pPr>
              <w:spacing w:before="20" w:after="40" w:line="276" w:lineRule="auto"/>
            </w:pPr>
            <w:r>
              <w:rPr>
                <w:rFonts w:ascii="Calibri" w:hAnsi="Calibri"/>
                <w:b/>
                <w:color w:val="212529"/>
                <w:sz w:val="20"/>
              </w:rPr>
              <w:t xml:space="preserve">2. Casus Omissus Pro Omisso Habendus Est (a person, object or thing omitted must be held to be intentionally omitted): </w:t>
            </w:r>
            <w:r>
              <w:rPr>
                <w:rFonts w:ascii="Calibri" w:hAnsi="Calibri"/>
                <w:color w:val="212529"/>
                <w:sz w:val="20"/>
              </w:rPr>
              <w:t>A matter omitted from a statute is presumed to be intentional and cannot be supplied by the courts.</w:t>
            </w:r>
          </w:p>
          <w:p>
            <w:pPr>
              <w:spacing w:before="20" w:after="40" w:line="276" w:lineRule="auto"/>
            </w:pPr>
            <w:r>
              <w:rPr>
                <w:rFonts w:ascii="Calibri" w:hAnsi="Calibri"/>
                <w:b/>
                <w:color w:val="212529"/>
                <w:sz w:val="20"/>
              </w:rPr>
              <w:t xml:space="preserve">3. Expressio Unius Est Exclusio Alterius (the express mention of one thing is the exclusion of another): </w:t>
            </w:r>
            <w:r>
              <w:rPr>
                <w:rFonts w:ascii="Calibri" w:hAnsi="Calibri"/>
                <w:color w:val="212529"/>
                <w:sz w:val="20"/>
              </w:rPr>
              <w:t>Expressly creating a town from Dingras excludes all other municipalities.</w:t>
            </w:r>
          </w:p>
        </w:tc>
      </w:tr>
    </w:tbl>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LEGAL BASIS</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RA 3753, Casus Omissus Pro Omisso Habendus Est, and Expressio Unius Est Exclusio Alterius.</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"Sir/Ma'am, the legal basis is RA 3753, governed by Casus omissus pro omisso habendus est (an omission must be held intentional) and Expressio unius est exclusio alterius (the express mention of one is the exclusion of others)."</w:t>
            </w:r>
          </w:p>
        </w:tc>
      </w:tr>
    </w:tbl>
    <w:tbl>
      <w:tblPr>
        <w:tblW w:type="auto" w:w="0"/>
        <w:jc w:val="center"/>
        <w:tblLook w:firstColumn="1" w:firstRow="1" w:lastColumn="0" w:lastRow="0" w:noHBand="0" w:noVBand="1" w:val="04A0"/>
      </w:tblPr>
      <w:tblGrid>
        <w:gridCol w:w="9648"/>
      </w:tblGrid>
      <w:tr>
        <w:tc>
          <w:tcPr>
            <w:tcW w:type="dxa" w:w="9648"/>
            <w:shd w:fill="F4F6F9"/>
            <w:tcMar>
              <w:top w:w="120" w:type="dxa"/>
              <w:bottom w:w="120" w:type="dxa"/>
              <w:left w:w="180" w:type="dxa"/>
              <w:right w:w="180" w:type="dxa"/>
            </w:tcMar>
          </w:tcPr>
          <w:p>
            <w:pPr>
              <w:spacing w:before="40" w:after="60"/>
            </w:pPr>
            <w:r>
              <w:rPr>
                <w:rFonts w:ascii="Arial" w:hAnsi="Arial"/>
                <w:b/>
                <w:color w:val="0F2043"/>
                <w:sz w:val="21"/>
              </w:rPr>
              <w:t>[A] ANALYSIS / APPLICATION</w:t>
              <w:br/>
            </w:r>
          </w:p>
          <w:p>
            <w:pPr>
              <w:spacing w:before="20" w:after="40" w:line="276" w:lineRule="auto"/>
            </w:pPr>
            <w:r>
              <w:rPr>
                <w:rFonts w:ascii="Calibri" w:hAnsi="Calibri"/>
                <w:b/>
                <w:color w:val="212529"/>
                <w:sz w:val="20"/>
              </w:rPr>
              <w:t xml:space="preserve">1. Express Legislative Delimitation: </w:t>
            </w:r>
            <w:r>
              <w:rPr>
                <w:rFonts w:ascii="Calibri" w:hAnsi="Calibri"/>
                <w:color w:val="212529"/>
                <w:sz w:val="20"/>
              </w:rPr>
              <w:t>Section 1 of R.A. No. 3753 unequivocally enumerated the specific barrios taken from Dingras. It contains no reference whatsoever to Nueva Era.</w:t>
            </w:r>
          </w:p>
          <w:p>
            <w:pPr>
              <w:spacing w:before="20" w:after="40" w:line="276" w:lineRule="auto"/>
            </w:pPr>
            <w:r>
              <w:rPr>
                <w:rFonts w:ascii="Calibri" w:hAnsi="Calibri"/>
                <w:b/>
                <w:color w:val="212529"/>
                <w:sz w:val="20"/>
              </w:rPr>
              <w:t xml:space="preserve">2. Application of Casus Omissus: </w:t>
            </w:r>
            <w:r>
              <w:rPr>
                <w:rFonts w:ascii="Calibri" w:hAnsi="Calibri"/>
                <w:color w:val="212529"/>
                <w:sz w:val="20"/>
              </w:rPr>
              <w:t>Under the rule of casus omissus, when the legislature omits a matter from the statute, courts have no authority to supply the omission under the guise of statutory interpretation.</w:t>
            </w:r>
          </w:p>
          <w:p>
            <w:pPr>
              <w:spacing w:before="20" w:after="40" w:line="276" w:lineRule="auto"/>
            </w:pPr>
            <w:r>
              <w:rPr>
                <w:rFonts w:ascii="Calibri" w:hAnsi="Calibri"/>
                <w:b/>
                <w:color w:val="212529"/>
                <w:sz w:val="20"/>
              </w:rPr>
              <w:t xml:space="preserve">3. Preservation of Ancestral Territorial Rights: </w:t>
            </w:r>
            <w:r>
              <w:rPr>
                <w:rFonts w:ascii="Calibri" w:hAnsi="Calibri"/>
                <w:color w:val="212529"/>
                <w:sz w:val="20"/>
              </w:rPr>
              <w:t>Nueva Era's historical jurisdiction and ancestral domains cannot be diminished without an express, unmistakable legislative act.</w:t>
            </w:r>
          </w:p>
        </w:tc>
      </w:tr>
    </w:tbl>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ANALYSIS / APPLICATION</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Congress specifically named the villages of Dingras to form Marcos. It said nothing about Nueva Era. When a statute specifically lists some things and leaves out others, the omission is deliberate. Courts cannot rewrite the law to give away Nueva Era's land.</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"Sir/Ma'am, the Court applied Casus Omissus and Expressio Unius. Since Congress explicitly limited the territory of Marcos to Dingras barrios, the omission of Nueva Era was intentional, and the judiciary cannot supply territory that the legislature omitted."</w:t>
            </w:r>
          </w:p>
        </w:tc>
      </w:tr>
    </w:tbl>
    <w:tbl>
      <w:tblPr>
        <w:tblW w:type="auto" w:w="0"/>
        <w:jc w:val="center"/>
        <w:tblLook w:firstColumn="1" w:firstRow="1" w:lastColumn="0" w:lastRow="0" w:noHBand="0" w:noVBand="1" w:val="04A0"/>
      </w:tblPr>
      <w:tblGrid>
        <w:gridCol w:w="9648"/>
      </w:tblGrid>
      <w:tr>
        <w:tc>
          <w:tcPr>
            <w:tcW w:type="dxa" w:w="9648"/>
            <w:shd w:fill="F4F6F9"/>
            <w:tcMar>
              <w:top w:w="120" w:type="dxa"/>
              <w:bottom w:w="120" w:type="dxa"/>
              <w:left w:w="180" w:type="dxa"/>
              <w:right w:w="180" w:type="dxa"/>
            </w:tcMar>
          </w:tcPr>
          <w:p>
            <w:pPr>
              <w:spacing w:before="40" w:after="60"/>
            </w:pPr>
            <w:r>
              <w:rPr>
                <w:rFonts w:ascii="Arial" w:hAnsi="Arial"/>
                <w:b/>
                <w:color w:val="0F2043"/>
                <w:sz w:val="21"/>
              </w:rPr>
              <w:t>[C] CONCLUSION</w:t>
              <w:br/>
            </w:r>
          </w:p>
          <w:p>
            <w:pPr>
              <w:spacing w:before="20" w:after="40" w:line="276" w:lineRule="auto"/>
            </w:pPr>
            <w:r>
              <w:rPr>
                <w:rFonts w:ascii="Calibri" w:hAnsi="Calibri"/>
                <w:color w:val="212529"/>
                <w:sz w:val="20"/>
              </w:rPr>
              <w:t>The Supreme Court REVERSED the Court of Appeals, DECLARED the disputed 7,935-hectare area to be part of the Municipality of Nueva Era, and BARRED Marcos from claiming territory outside Dingras.</w:t>
            </w:r>
          </w:p>
        </w:tc>
      </w:tr>
    </w:tbl>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CONCLUSION</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Nueva Era won the boundary dispute and retained its 7,935 hectares of land.</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"The Supreme Court awarded the disputed territory to Nueva Era under the doctrine of Casus Omissus, holding that legislative charters cannot be judicially expanded."</w:t>
            </w:r>
          </w:p>
        </w:tc>
      </w:tr>
    </w:tbl>
    <w:p>
      <w:pPr>
        <w:keepNext/>
        <w:spacing w:before="200" w:after="40"/>
      </w:pPr>
      <w:r>
        <w:rPr>
          <w:rFonts w:ascii="Arial" w:hAnsi="Arial"/>
          <w:b/>
          <w:color w:val="781E1E"/>
          <w:sz w:val="22"/>
        </w:rPr>
        <w:t>V. RELATION TO STATUTORY CONSTRUCTION</w:t>
      </w:r>
    </w:p>
    <w:p>
      <w:pPr>
        <w:spacing w:before="40" w:after="80" w:line="276" w:lineRule="auto"/>
      </w:pPr>
      <w:r>
        <w:rPr>
          <w:rFonts w:ascii="Calibri" w:hAnsi="Calibri"/>
          <w:b/>
          <w:color w:val="212529"/>
          <w:sz w:val="21"/>
        </w:rPr>
        <w:t>• Syllabus Topic Alignment:</w:t>
        <w:br/>
      </w:r>
      <w:r>
        <w:rPr>
          <w:rFonts w:ascii="Calibri" w:hAnsi="Calibri"/>
          <w:i w:val="0"/>
          <w:color w:val="212529"/>
          <w:sz w:val="21"/>
        </w:rPr>
        <w:t>• Chapter III: Basic Guidelines in the Construction and Interpretation of Laws</w:t>
        <w:br/>
        <w:t xml:space="preserve">  - A. General Guidelines: Casus Omissus Pro Omisso Habendus Est &amp; Expressio Unius</w:t>
      </w:r>
    </w:p>
    <w:tbl>
      <w:tblPr>
        <w:tblW w:type="auto" w:w="0"/>
        <w:jc w:val="center"/>
        <w:tblLook w:firstColumn="1" w:firstRow="1" w:lastColumn="0" w:lastRow="0" w:noHBand="0" w:noVBand="1" w:val="04A0"/>
      </w:tblPr>
      <w:tblGrid>
        <w:gridCol w:w="9648"/>
      </w:tblGrid>
      <w:tr>
        <w:tc>
          <w:tcPr>
            <w:tcW w:type="dxa" w:w="9648"/>
            <w:shd w:fill="FDF6EE"/>
            <w:tcMar>
              <w:top w:w="120" w:type="dxa"/>
              <w:bottom w:w="120" w:type="dxa"/>
              <w:left w:w="180" w:type="dxa"/>
              <w:right w:w="180" w:type="dxa"/>
            </w:tcMar>
          </w:tcPr>
          <w:p>
            <w:pPr>
              <w:spacing w:before="40" w:after="80"/>
            </w:pPr>
            <w:r>
              <w:rPr>
                <w:rFonts w:ascii="Arial" w:hAnsi="Arial"/>
                <w:b/>
                <w:color w:val="8C3200"/>
                <w:sz w:val="20"/>
              </w:rPr>
              <w:t>📜 GOVERNING LATIN MAXIMS WITH ENGLISH TRANSLATIONS</w:t>
              <w:br/>
            </w:r>
          </w:p>
          <w:p>
            <w:pPr>
              <w:spacing w:before="40" w:after="60" w:line="276" w:lineRule="auto"/>
            </w:pPr>
            <w:r>
              <w:rPr>
                <w:rFonts w:ascii="Calibri" w:hAnsi="Calibri"/>
                <w:b/>
                <w:color w:val="8C3200"/>
                <w:sz w:val="20"/>
              </w:rPr>
              <w:t>1. Casus omissus pro omisso habendus est (a person, object or thing omitted must be held to be intentionally omitted)</w:t>
              <w:br/>
            </w:r>
            <w:r>
              <w:rPr>
                <w:rFonts w:ascii="Calibri" w:hAnsi="Calibri"/>
                <w:b/>
                <w:color w:val="212529"/>
                <w:sz w:val="19"/>
              </w:rPr>
              <w:t xml:space="preserve">   • Literal English Translation: </w:t>
            </w:r>
            <w:r>
              <w:rPr>
                <w:rFonts w:ascii="Calibri" w:hAnsi="Calibri"/>
                <w:i/>
                <w:color w:val="212529"/>
                <w:sz w:val="19"/>
              </w:rPr>
              <w:t>A case omitted is to be held as intentionally omitted.</w:t>
              <w:br/>
            </w:r>
            <w:r>
              <w:rPr>
                <w:rFonts w:ascii="Calibri" w:hAnsi="Calibri"/>
                <w:b/>
                <w:color w:val="212529"/>
                <w:sz w:val="19"/>
              </w:rPr>
              <w:t xml:space="preserve">   • Plain Legal Meaning &amp; StatCon Application: </w:t>
            </w:r>
            <w:r>
              <w:rPr>
                <w:rFonts w:ascii="Calibri" w:hAnsi="Calibri"/>
                <w:color w:val="212529"/>
                <w:sz w:val="19"/>
              </w:rPr>
              <w:t>The failure of Congress to mention Nueva Era in RA 3753 means its territory was intentionally excluded.</w:t>
            </w:r>
          </w:p>
          <w:p>
            <w:pPr>
              <w:spacing w:before="40" w:after="60" w:line="276" w:lineRule="auto"/>
            </w:pPr>
            <w:r>
              <w:rPr>
                <w:rFonts w:ascii="Calibri" w:hAnsi="Calibri"/>
                <w:b/>
                <w:color w:val="8C3200"/>
                <w:sz w:val="20"/>
              </w:rPr>
              <w:t>2. Expressio unius est exclusio alterius (the express mention of one thing is the exclusion of another)</w:t>
              <w:br/>
            </w:r>
            <w:r>
              <w:rPr>
                <w:rFonts w:ascii="Calibri" w:hAnsi="Calibri"/>
                <w:b/>
                <w:color w:val="212529"/>
                <w:sz w:val="19"/>
              </w:rPr>
              <w:t xml:space="preserve">   • Literal English Translation: </w:t>
            </w:r>
            <w:r>
              <w:rPr>
                <w:rFonts w:ascii="Calibri" w:hAnsi="Calibri"/>
                <w:i/>
                <w:color w:val="212529"/>
                <w:sz w:val="19"/>
              </w:rPr>
              <w:t>The express mention of one thing implies the exclusion of others.</w:t>
              <w:br/>
            </w:r>
            <w:r>
              <w:rPr>
                <w:rFonts w:ascii="Calibri" w:hAnsi="Calibri"/>
                <w:b/>
                <w:color w:val="212529"/>
                <w:sz w:val="19"/>
              </w:rPr>
              <w:t xml:space="preserve">   • Plain Legal Meaning &amp; StatCon Application: </w:t>
            </w:r>
            <w:r>
              <w:rPr>
                <w:rFonts w:ascii="Calibri" w:hAnsi="Calibri"/>
                <w:color w:val="212529"/>
                <w:sz w:val="19"/>
              </w:rPr>
              <w:t>The express inclusion of Dingras territory excludes the territory of Nueva Era.</w:t>
            </w:r>
          </w:p>
          <w:p>
            <w:pPr>
              <w:spacing w:before="40" w:after="60" w:line="276" w:lineRule="auto"/>
            </w:pPr>
            <w:r>
              <w:rPr>
                <w:rFonts w:ascii="Calibri" w:hAnsi="Calibri"/>
                <w:b/>
                <w:color w:val="8C3200"/>
                <w:sz w:val="20"/>
              </w:rPr>
              <w:t>3. Absoluta sententia expositore non eget (when the language is clear, no explanation is required)</w:t>
              <w:br/>
            </w:r>
            <w:r>
              <w:rPr>
                <w:rFonts w:ascii="Calibri" w:hAnsi="Calibri"/>
                <w:b/>
                <w:color w:val="212529"/>
                <w:sz w:val="19"/>
              </w:rPr>
              <w:t xml:space="preserve">   • Literal English Translation: </w:t>
            </w:r>
            <w:r>
              <w:rPr>
                <w:rFonts w:ascii="Calibri" w:hAnsi="Calibri"/>
                <w:i/>
                <w:color w:val="212529"/>
                <w:sz w:val="19"/>
              </w:rPr>
              <w:t>An absolute sentence needs no expositor.</w:t>
              <w:br/>
            </w:r>
            <w:r>
              <w:rPr>
                <w:rFonts w:ascii="Calibri" w:hAnsi="Calibri"/>
                <w:b/>
                <w:color w:val="212529"/>
                <w:sz w:val="19"/>
              </w:rPr>
              <w:t xml:space="preserve">   • Plain Legal Meaning &amp; StatCon Application: </w:t>
            </w:r>
            <w:r>
              <w:rPr>
                <w:rFonts w:ascii="Calibri" w:hAnsi="Calibri"/>
                <w:color w:val="212529"/>
                <w:sz w:val="19"/>
              </w:rPr>
              <w:t>The clear charter language needs no interpretation beyond its literal text.</w:t>
            </w:r>
          </w:p>
        </w:tc>
      </w:tr>
    </w:tbl>
    <w:tbl>
      <w:tblPr>
        <w:tblW w:type="auto" w:w="0"/>
        <w:jc w:val="center"/>
        <w:tblLook w:firstColumn="1" w:firstRow="1" w:lastColumn="0" w:lastRow="0" w:noHBand="0" w:noVBand="1" w:val="04A0"/>
      </w:tblPr>
      <w:tblGrid>
        <w:gridCol w:w="4824"/>
        <w:gridCol w:w="4824"/>
      </w:tblGrid>
      <w:tr>
        <w:tc>
          <w:tcPr>
            <w:tcW w:type="dxa" w:w="4824"/>
            <w:shd w:fill="EAEFF5"/>
            <w:tcMar>
              <w:top w:w="80" w:type="dxa"/>
              <w:bottom w:w="80" w:type="dxa"/>
              <w:left w:w="120" w:type="dxa"/>
              <w:right w:w="120" w:type="dxa"/>
            </w:tcMar>
          </w:tcPr>
          <w:p>
            <w:pPr>
              <w:spacing w:before="40" w:after="40"/>
            </w:pPr>
            <w:r>
              <w:rPr>
                <w:rFonts w:ascii="Arial" w:hAnsi="Arial"/>
                <w:b/>
                <w:color w:val="0F2043"/>
                <w:sz w:val="18"/>
              </w:rPr>
              <w:t>Syllabus Topic Alignment</w:t>
              <w:br/>
              <w:t>(StatCon_Syllabus_JPR.pdf)</w:t>
            </w:r>
          </w:p>
        </w:tc>
        <w:tc>
          <w:tcPr>
            <w:tcW w:type="dxa" w:w="4824"/>
            <w:shd w:fill="FAFAFA"/>
            <w:tcMar>
              <w:top w:w="80" w:type="dxa"/>
              <w:bottom w:w="80" w:type="dxa"/>
              <w:left w:w="120" w:type="dxa"/>
              <w:right w:w="120" w:type="dxa"/>
            </w:tcMar>
          </w:tcPr>
          <w:p>
            <w:pPr>
              <w:spacing w:before="40" w:after="40" w:line="276" w:lineRule="auto"/>
            </w:pPr>
            <w:r>
              <w:rPr>
                <w:rFonts w:ascii="Calibri" w:hAnsi="Calibri"/>
                <w:color w:val="212529"/>
                <w:sz w:val="19"/>
              </w:rPr>
              <w:t>• Chapter III: Basic Guidelines in the Construction and Interpretation of Laws</w:t>
              <w:br/>
              <w:t xml:space="preserve">  - A. General Guidelines: Casus Omissus Pro Omisso Habendus Est &amp; Expressio Unius</w:t>
            </w:r>
          </w:p>
        </w:tc>
      </w:tr>
      <w:tr>
        <w:tc>
          <w:tcPr>
            <w:tcW w:type="dxa" w:w="4824"/>
            <w:shd w:fill="EAEFF5"/>
            <w:tcMar>
              <w:top w:w="80" w:type="dxa"/>
              <w:bottom w:w="80" w:type="dxa"/>
              <w:left w:w="120" w:type="dxa"/>
              <w:right w:w="120" w:type="dxa"/>
            </w:tcMar>
          </w:tcPr>
          <w:p>
            <w:pPr>
              <w:spacing w:before="40" w:after="40"/>
            </w:pPr>
            <w:r>
              <w:rPr>
                <w:rFonts w:ascii="Arial" w:hAnsi="Arial"/>
                <w:b/>
                <w:color w:val="0F2043"/>
                <w:sz w:val="18"/>
              </w:rPr>
              <w:t>Governing Latin Maxims &amp; English</w:t>
            </w:r>
          </w:p>
        </w:tc>
        <w:tc>
          <w:tcPr>
            <w:tcW w:type="dxa" w:w="4824"/>
            <w:shd w:fill="FAFAFA"/>
            <w:tcMar>
              <w:top w:w="80" w:type="dxa"/>
              <w:bottom w:w="80" w:type="dxa"/>
              <w:left w:w="120" w:type="dxa"/>
              <w:right w:w="120" w:type="dxa"/>
            </w:tcMar>
          </w:tcPr>
          <w:p>
            <w:pPr>
              <w:spacing w:before="40" w:after="40" w:line="276" w:lineRule="auto"/>
            </w:pPr>
            <w:r>
              <w:rPr>
                <w:rFonts w:ascii="Calibri" w:hAnsi="Calibri"/>
                <w:color w:val="212529"/>
                <w:sz w:val="19"/>
              </w:rPr>
              <w:t>Primary:</w:t>
              <w:br/>
              <w:t>Casus omissus pro omisso habendus est</w:t>
              <w:br/>
              <w:t>(a thing omitted must be held to be intentionally omitted / courts cannot insert omitted territory into a municipal charter)</w:t>
              <w:br/>
              <w:br/>
              <w:t>Secondary:</w:t>
              <w:br/>
              <w:t>• Expressio unius est exclusio alterius (express mention of one excludes another)</w:t>
              <w:br/>
              <w:t>• Absoluta sententia expositore non eget (clear text requires no exposition)</w:t>
            </w:r>
          </w:p>
        </w:tc>
      </w:tr>
      <w:tr>
        <w:tc>
          <w:tcPr>
            <w:tcW w:type="dxa" w:w="4824"/>
            <w:shd w:fill="EAEFF5"/>
            <w:tcMar>
              <w:top w:w="80" w:type="dxa"/>
              <w:bottom w:w="80" w:type="dxa"/>
              <w:left w:w="120" w:type="dxa"/>
              <w:right w:w="120" w:type="dxa"/>
            </w:tcMar>
          </w:tcPr>
          <w:p>
            <w:pPr>
              <w:spacing w:before="40" w:after="40"/>
            </w:pPr>
            <w:r>
              <w:rPr>
                <w:rFonts w:ascii="Arial" w:hAnsi="Arial"/>
                <w:b/>
                <w:color w:val="0F2043"/>
                <w:sz w:val="18"/>
              </w:rPr>
              <w:t>Case Violation in StatCon</w:t>
            </w:r>
          </w:p>
        </w:tc>
        <w:tc>
          <w:tcPr>
            <w:tcW w:type="dxa" w:w="4824"/>
            <w:shd w:fill="FAFAFA"/>
            <w:tcMar>
              <w:top w:w="80" w:type="dxa"/>
              <w:bottom w:w="80" w:type="dxa"/>
              <w:left w:w="120" w:type="dxa"/>
              <w:right w:w="120" w:type="dxa"/>
            </w:tcMar>
          </w:tcPr>
          <w:p>
            <w:pPr>
              <w:spacing w:before="40" w:after="40" w:line="276" w:lineRule="auto"/>
            </w:pPr>
            <w:r>
              <w:rPr>
                <w:rFonts w:ascii="Calibri" w:hAnsi="Calibri"/>
                <w:color w:val="212529"/>
                <w:sz w:val="19"/>
              </w:rPr>
              <w:t>The respondent municipality attempted to supply an omitted territory into a legislative charter, violating the doctrine of Casus Omissus.</w:t>
            </w:r>
          </w:p>
        </w:tc>
      </w:tr>
      <w:tr>
        <w:tc>
          <w:tcPr>
            <w:tcW w:type="dxa" w:w="4824"/>
            <w:shd w:fill="EAEFF5"/>
            <w:tcMar>
              <w:top w:w="80" w:type="dxa"/>
              <w:bottom w:w="80" w:type="dxa"/>
              <w:left w:w="120" w:type="dxa"/>
              <w:right w:w="120" w:type="dxa"/>
            </w:tcMar>
          </w:tcPr>
          <w:p>
            <w:pPr>
              <w:spacing w:before="40" w:after="40"/>
            </w:pPr>
            <w:r>
              <w:rPr>
                <w:rFonts w:ascii="Arial" w:hAnsi="Arial"/>
                <w:b/>
                <w:color w:val="0F2043"/>
                <w:sz w:val="18"/>
              </w:rPr>
              <w:t>Doctrinal Execution / Principle</w:t>
            </w:r>
          </w:p>
        </w:tc>
        <w:tc>
          <w:tcPr>
            <w:tcW w:type="dxa" w:w="4824"/>
            <w:shd w:fill="FAFAFA"/>
            <w:tcMar>
              <w:top w:w="80" w:type="dxa"/>
              <w:bottom w:w="80" w:type="dxa"/>
              <w:left w:w="120" w:type="dxa"/>
              <w:right w:w="120" w:type="dxa"/>
            </w:tcMar>
          </w:tcPr>
          <w:p>
            <w:pPr>
              <w:spacing w:before="40" w:after="40" w:line="276" w:lineRule="auto"/>
            </w:pPr>
            <w:r>
              <w:rPr>
                <w:rFonts w:ascii="Calibri" w:hAnsi="Calibri"/>
                <w:color w:val="212529"/>
                <w:sz w:val="19"/>
              </w:rPr>
              <w:t>Doctrine of Casus Omissus: What is omitted from a statute must be treated as intentionally omitted by the legislature; courts cannot supply statutory omissions through interpretation.</w:t>
            </w:r>
          </w:p>
        </w:tc>
      </w:tr>
    </w:tbl>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RELATION TO STATUTORY CONSTRUCTION</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If Congress deliberately leaves something out of a law, judges cannot add it back in under the excuse of interpreting the law.</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"Sir/Ma'am, Municipality of Nueva Era v. Municipality of Marcos is the leading authority on Casus omissus pro omisso habendus est: courts cannot supply statutory omissions."</w:t>
            </w:r>
          </w:p>
        </w:tc>
      </w:tr>
    </w:tbl>
    <w:p>
      <w:pPr>
        <w:spacing w:before="160" w:after="80"/>
      </w:pPr>
    </w:p>
    <w:tbl>
      <w:tblPr>
        <w:tblW w:type="auto" w:w="0"/>
        <w:jc w:val="center"/>
        <w:tblLook w:firstColumn="1" w:firstRow="1" w:lastColumn="0" w:lastRow="0" w:noHBand="0" w:noVBand="1" w:val="04A0"/>
      </w:tblPr>
      <w:tblGrid>
        <w:gridCol w:w="9648"/>
      </w:tblGrid>
      <w:tr>
        <w:tc>
          <w:tcPr>
            <w:tcW w:type="dxa" w:w="9648"/>
            <w:shd w:fill="1E3A5F"/>
            <w:tcMar>
              <w:top w:w="140" w:type="dxa"/>
              <w:bottom w:w="140" w:type="dxa"/>
              <w:left w:w="200" w:type="dxa"/>
              <w:right w:w="200" w:type="dxa"/>
            </w:tcMar>
          </w:tcPr>
          <w:p>
            <w:pPr>
              <w:spacing w:before="40" w:after="40"/>
              <w:jc w:val="center"/>
            </w:pPr>
            <w:r>
              <w:rPr>
                <w:rFonts w:ascii="Arial" w:hAnsi="Arial"/>
                <w:b/>
                <w:color w:val="FFD700"/>
                <w:sz w:val="22"/>
              </w:rPr>
              <w:t>⚖ STANDARDIZED CASE DIGEST: STATUTORY CONSTRUCTION FORMAT</w:t>
              <w:br/>
            </w:r>
            <w:r>
              <w:rPr>
                <w:rFonts w:ascii="Arial" w:hAnsi="Arial"/>
                <w:i/>
                <w:color w:val="DCEBFF"/>
                <w:sz w:val="18"/>
              </w:rPr>
              <w:t>(Complete 12-Section Academic &amp; Judicial Construction Analysis)</w:t>
            </w:r>
          </w:p>
        </w:tc>
      </w:tr>
    </w:tbl>
    <w:p>
      <w:pPr>
        <w:spacing w:before="80" w:after="80"/>
      </w:pPr>
    </w:p>
    <w:tbl>
      <w:tblPr>
        <w:tblW w:type="auto" w:w="0"/>
        <w:jc w:val="center"/>
        <w:tblLook w:firstColumn="1" w:firstRow="1" w:lastColumn="0" w:lastRow="0" w:noHBand="0" w:noVBand="1" w:val="04A0"/>
      </w:tblPr>
      <w:tblGrid>
        <w:gridCol w:w="4824"/>
        <w:gridCol w:w="4824"/>
      </w:tblGrid>
      <w:tr>
        <w:tc>
          <w:tcPr>
            <w:tcW w:type="dxa" w:w="4824"/>
            <w:shd w:fill="EBF0F7"/>
            <w:tcMar>
              <w:top w:w="60" w:type="dxa"/>
              <w:bottom w:w="60" w:type="dxa"/>
              <w:left w:w="120" w:type="dxa"/>
              <w:right w:w="120" w:type="dxa"/>
            </w:tcMar>
          </w:tcPr>
          <w:p>
            <w:pPr>
              <w:spacing w:before="20" w:after="20"/>
            </w:pPr>
            <w:r>
              <w:rPr>
                <w:rFonts w:ascii="Arial" w:hAnsi="Arial"/>
                <w:b/>
                <w:color w:val="0F2043"/>
                <w:sz w:val="19"/>
              </w:rPr>
              <w:t>Case Title:</w:t>
            </w:r>
          </w:p>
        </w:tc>
        <w:tc>
          <w:tcPr>
            <w:tcW w:type="dxa" w:w="4824"/>
            <w:shd w:fill="FAFCFF"/>
            <w:tcMar>
              <w:top w:w="60" w:type="dxa"/>
              <w:bottom w:w="60" w:type="dxa"/>
              <w:left w:w="120" w:type="dxa"/>
              <w:right w:w="120" w:type="dxa"/>
            </w:tcMar>
          </w:tcPr>
          <w:p>
            <w:pPr>
              <w:spacing w:before="20" w:after="20"/>
            </w:pPr>
            <w:r>
              <w:rPr>
                <w:rFonts w:ascii="Calibri" w:hAnsi="Calibri"/>
                <w:b/>
                <w:color w:val="212529"/>
                <w:sz w:val="19"/>
              </w:rPr>
              <w:t>Municipality of Nueva Era, Ilocos Norte v. Municipality of Marcos, Ilocos Norte</w:t>
            </w:r>
          </w:p>
        </w:tc>
      </w:tr>
      <w:tr>
        <w:tc>
          <w:tcPr>
            <w:tcW w:type="dxa" w:w="4824"/>
            <w:shd w:fill="EBF0F7"/>
            <w:tcMar>
              <w:top w:w="60" w:type="dxa"/>
              <w:bottom w:w="60" w:type="dxa"/>
              <w:left w:w="120" w:type="dxa"/>
              <w:right w:w="120" w:type="dxa"/>
            </w:tcMar>
          </w:tcPr>
          <w:p>
            <w:pPr>
              <w:spacing w:before="20" w:after="20"/>
            </w:pPr>
            <w:r>
              <w:rPr>
                <w:rFonts w:ascii="Arial" w:hAnsi="Arial"/>
                <w:b/>
                <w:color w:val="0F2043"/>
                <w:sz w:val="19"/>
              </w:rPr>
              <w:t>G.R. No. / Record:</w:t>
            </w:r>
          </w:p>
        </w:tc>
        <w:tc>
          <w:tcPr>
            <w:tcW w:type="dxa" w:w="4824"/>
            <w:shd w:fill="FAFCFF"/>
            <w:tcMar>
              <w:top w:w="60" w:type="dxa"/>
              <w:bottom w:w="60" w:type="dxa"/>
              <w:left w:w="120" w:type="dxa"/>
              <w:right w:w="120" w:type="dxa"/>
            </w:tcMar>
          </w:tcPr>
          <w:p>
            <w:pPr>
              <w:spacing w:before="20" w:after="20"/>
            </w:pPr>
            <w:r>
              <w:rPr>
                <w:rFonts w:ascii="Calibri" w:hAnsi="Calibri"/>
                <w:b w:val="0"/>
                <w:color w:val="212529"/>
                <w:sz w:val="19"/>
              </w:rPr>
              <w:t>G.R. No. 169435</w:t>
            </w:r>
          </w:p>
        </w:tc>
      </w:tr>
      <w:tr>
        <w:tc>
          <w:tcPr>
            <w:tcW w:type="dxa" w:w="4824"/>
            <w:shd w:fill="EBF0F7"/>
            <w:tcMar>
              <w:top w:w="60" w:type="dxa"/>
              <w:bottom w:w="60" w:type="dxa"/>
              <w:left w:w="120" w:type="dxa"/>
              <w:right w:w="120" w:type="dxa"/>
            </w:tcMar>
          </w:tcPr>
          <w:p>
            <w:pPr>
              <w:spacing w:before="20" w:after="20"/>
            </w:pPr>
            <w:r>
              <w:rPr>
                <w:rFonts w:ascii="Arial" w:hAnsi="Arial"/>
                <w:b/>
                <w:color w:val="0F2043"/>
                <w:sz w:val="19"/>
              </w:rPr>
              <w:t>Date of Promulgation:</w:t>
            </w:r>
          </w:p>
        </w:tc>
        <w:tc>
          <w:tcPr>
            <w:tcW w:type="dxa" w:w="4824"/>
            <w:shd w:fill="FAFCFF"/>
            <w:tcMar>
              <w:top w:w="60" w:type="dxa"/>
              <w:bottom w:w="60" w:type="dxa"/>
              <w:left w:w="120" w:type="dxa"/>
              <w:right w:w="120" w:type="dxa"/>
            </w:tcMar>
          </w:tcPr>
          <w:p>
            <w:pPr>
              <w:spacing w:before="20" w:after="20"/>
            </w:pPr>
            <w:r>
              <w:rPr>
                <w:rFonts w:ascii="Calibri" w:hAnsi="Calibri"/>
                <w:b w:val="0"/>
                <w:color w:val="212529"/>
                <w:sz w:val="19"/>
              </w:rPr>
              <w:t>February 27, 2008</w:t>
            </w:r>
          </w:p>
        </w:tc>
      </w:tr>
      <w:tr>
        <w:tc>
          <w:tcPr>
            <w:tcW w:type="dxa" w:w="4824"/>
            <w:shd w:fill="EBF0F7"/>
            <w:tcMar>
              <w:top w:w="60" w:type="dxa"/>
              <w:bottom w:w="60" w:type="dxa"/>
              <w:left w:w="120" w:type="dxa"/>
              <w:right w:w="120" w:type="dxa"/>
            </w:tcMar>
          </w:tcPr>
          <w:p>
            <w:pPr>
              <w:spacing w:before="20" w:after="20"/>
            </w:pPr>
            <w:r>
              <w:rPr>
                <w:rFonts w:ascii="Arial" w:hAnsi="Arial"/>
                <w:b/>
                <w:color w:val="0F2043"/>
                <w:sz w:val="19"/>
              </w:rPr>
              <w:t>Ponente / Court:</w:t>
            </w:r>
          </w:p>
        </w:tc>
        <w:tc>
          <w:tcPr>
            <w:tcW w:type="dxa" w:w="4824"/>
            <w:shd w:fill="FAFCFF"/>
            <w:tcMar>
              <w:top w:w="60" w:type="dxa"/>
              <w:bottom w:w="60" w:type="dxa"/>
              <w:left w:w="120" w:type="dxa"/>
              <w:right w:w="120" w:type="dxa"/>
            </w:tcMar>
          </w:tcPr>
          <w:p>
            <w:pPr>
              <w:spacing w:before="20" w:after="20"/>
            </w:pPr>
            <w:r>
              <w:rPr>
                <w:rFonts w:ascii="Calibri" w:hAnsi="Calibri"/>
                <w:b w:val="0"/>
                <w:color w:val="212529"/>
                <w:sz w:val="19"/>
              </w:rPr>
              <w:t>First Division</w:t>
            </w:r>
          </w:p>
        </w:tc>
      </w:tr>
    </w:tbl>
    <w:p>
      <w:pPr>
        <w:keepNext/>
        <w:spacing w:before="240" w:after="60"/>
      </w:pPr>
      <w:r>
        <w:rPr>
          <w:rFonts w:ascii="Arial" w:hAnsi="Arial"/>
          <w:b/>
          <w:color w:val="0F2043"/>
          <w:sz w:val="21"/>
        </w:rPr>
        <w:t>I. FACTS OF THE CASE</w:t>
      </w:r>
    </w:p>
    <w:tbl>
      <w:tblPr>
        <w:tblW w:type="auto" w:w="0"/>
        <w:jc w:val="center"/>
        <w:tblLook w:firstColumn="1" w:firstRow="1" w:lastColumn="0" w:lastRow="0" w:noHBand="0" w:noVBand="1" w:val="04A0"/>
      </w:tblPr>
      <w:tblGrid>
        <w:gridCol w:w="9648"/>
      </w:tblGrid>
      <w:tr>
        <w:tc>
          <w:tcPr>
            <w:tcW w:type="dxa" w:w="9648"/>
            <w:shd w:fill="F8F9FB"/>
            <w:tcMar>
              <w:top w:w="100" w:type="dxa"/>
              <w:bottom w:w="100" w:type="dxa"/>
              <w:left w:w="160" w:type="dxa"/>
              <w:right w:w="160" w:type="dxa"/>
            </w:tcMar>
          </w:tcPr>
          <w:p>
            <w:pPr>
              <w:spacing w:before="20" w:after="40"/>
            </w:pPr>
            <w:r>
              <w:rPr>
                <w:rFonts w:ascii="Arial" w:hAnsi="Arial"/>
                <w:b/>
                <w:color w:val="0F2043"/>
                <w:sz w:val="19"/>
              </w:rPr>
              <w:t>Material Facts of Controversy</w:t>
              <w:br/>
            </w:r>
          </w:p>
          <w:p>
            <w:pPr>
              <w:spacing w:before="20" w:after="40" w:line="276" w:lineRule="auto"/>
            </w:pPr>
            <w:r>
              <w:rPr>
                <w:rFonts w:ascii="Calibri" w:hAnsi="Calibri"/>
                <w:color w:val="212529"/>
                <w:sz w:val="19"/>
              </w:rPr>
              <w:t>In 1963, Congress enacted Republic Act No. 3753 creating the Municipality of Marcos out of specified named barrios of the Municipality of Dingras, Ilocos Norte. Years later, a boundary dispute arose between the Municipality of Marcos and the neighboring Municipality of Nueva Era over a 7,935-hectare unclassified forest tract. Marcos claimed that its eastern boundary extended to Mount Burnay within Nueva Era's ancestral domain, relying on general boundary descriptions in its charter. Nueva Era countered that its territory was never mentioned in RA 3753, which created Marcos solely from the barrios of Dingras, and invoked Casus Omissus.</w:t>
            </w:r>
          </w:p>
        </w:tc>
      </w:tr>
    </w:tbl>
    <w:p>
      <w:pPr>
        <w:keepNext/>
        <w:spacing w:before="240" w:after="60"/>
      </w:pPr>
      <w:r>
        <w:rPr>
          <w:rFonts w:ascii="Arial" w:hAnsi="Arial"/>
          <w:b/>
          <w:color w:val="0F2043"/>
          <w:sz w:val="21"/>
        </w:rPr>
        <w:t>II. FACTS RELEVANT TO STATUTORY CONSTRUCTION</w:t>
      </w:r>
    </w:p>
    <w:tbl>
      <w:tblPr>
        <w:tblW w:type="auto" w:w="0"/>
        <w:jc w:val="center"/>
        <w:tblLook w:firstColumn="1" w:firstRow="1" w:lastColumn="0" w:lastRow="0" w:noHBand="0" w:noVBand="1" w:val="04A0"/>
      </w:tblPr>
      <w:tblGrid>
        <w:gridCol w:w="9648"/>
      </w:tblGrid>
      <w:tr>
        <w:tc>
          <w:tcPr>
            <w:tcW w:type="dxa" w:w="9648"/>
            <w:shd w:fill="F8F9FB"/>
            <w:tcMar>
              <w:top w:w="100" w:type="dxa"/>
              <w:bottom w:w="100" w:type="dxa"/>
              <w:left w:w="160" w:type="dxa"/>
              <w:right w:w="160" w:type="dxa"/>
            </w:tcMar>
          </w:tcPr>
          <w:p>
            <w:pPr>
              <w:spacing w:before="20" w:after="40"/>
            </w:pPr>
            <w:r>
              <w:rPr>
                <w:rFonts w:ascii="Arial" w:hAnsi="Arial"/>
                <w:b/>
                <w:color w:val="0F2043"/>
                <w:sz w:val="19"/>
              </w:rPr>
              <w:t>Facts Giving Rise to Need for Interpretation</w:t>
              <w:br/>
            </w:r>
          </w:p>
          <w:p>
            <w:pPr>
              <w:spacing w:before="20" w:after="40" w:line="276" w:lineRule="auto"/>
            </w:pPr>
            <w:r>
              <w:rPr>
                <w:rFonts w:ascii="Calibri" w:hAnsi="Calibri"/>
                <w:b/>
                <w:color w:val="212529"/>
                <w:sz w:val="19"/>
              </w:rPr>
              <w:t xml:space="preserve">• What provision of law or rule became relevant? </w:t>
            </w:r>
            <w:r>
              <w:rPr>
                <w:rFonts w:ascii="Calibri" w:hAnsi="Calibri"/>
                <w:color w:val="212529"/>
                <w:sz w:val="19"/>
              </w:rPr>
              <w:t>1. Republic Act No. 3753 (Charter of Municipality of Marcos): Expressly states that the municipality is created from barrios separated from the Municipality of Dingras.</w:t>
              <w:br/>
              <w:t>2. Casus Omissus Pro Omisso Habendus Est (a person, object or thing omitted must be held to be intentionally omitted): A matter omitted from a statute is presumed to be intentional and cannot be supplied by the courts.</w:t>
            </w:r>
          </w:p>
          <w:p>
            <w:pPr>
              <w:spacing w:before="20" w:after="40" w:line="276" w:lineRule="auto"/>
            </w:pPr>
            <w:r>
              <w:rPr>
                <w:rFonts w:ascii="Calibri" w:hAnsi="Calibri"/>
                <w:b/>
                <w:color w:val="212529"/>
                <w:sz w:val="19"/>
              </w:rPr>
              <w:t xml:space="preserve">• What circumstance made interpretation necessary? </w:t>
            </w:r>
            <w:r>
              <w:rPr>
                <w:rFonts w:ascii="Calibri" w:hAnsi="Calibri"/>
                <w:color w:val="212529"/>
                <w:sz w:val="19"/>
              </w:rPr>
              <w:t>The respondent municipality attempted to supply an omitted territory into a legislative charter, violating the doctrine of Casus Omissus.</w:t>
            </w:r>
          </w:p>
          <w:p>
            <w:pPr>
              <w:spacing w:before="20" w:after="40" w:line="276" w:lineRule="auto"/>
            </w:pPr>
            <w:r>
              <w:rPr>
                <w:rFonts w:ascii="Calibri" w:hAnsi="Calibri"/>
                <w:b/>
                <w:color w:val="212529"/>
                <w:sz w:val="19"/>
              </w:rPr>
              <w:t xml:space="preserve">• What competing interpretations were presented? </w:t>
            </w:r>
            <w:r>
              <w:rPr>
                <w:rFonts w:ascii="Calibri" w:hAnsi="Calibri"/>
                <w:color w:val="212529"/>
                <w:sz w:val="19"/>
              </w:rPr>
              <w:t>Petitioner argued for a favorable interpretation based on statutory intent, while Respondent contended for a literal or restrictive application.</w:t>
            </w:r>
          </w:p>
        </w:tc>
      </w:tr>
    </w:tbl>
    <w:p>
      <w:pPr>
        <w:keepNext/>
        <w:spacing w:before="240" w:after="60"/>
      </w:pPr>
      <w:r>
        <w:rPr>
          <w:rFonts w:ascii="Arial" w:hAnsi="Arial"/>
          <w:b/>
          <w:color w:val="0F2043"/>
          <w:sz w:val="21"/>
        </w:rPr>
        <w:t>III. ISSUES</w:t>
      </w:r>
    </w:p>
    <w:p>
      <w:pPr>
        <w:keepNext/>
        <w:spacing w:before="120" w:after="40"/>
      </w:pPr>
      <w:r>
        <w:rPr>
          <w:rFonts w:ascii="Arial" w:hAnsi="Arial"/>
          <w:b/>
          <w:color w:val="781E1E"/>
          <w:sz w:val="20"/>
        </w:rPr>
        <w:t>A. General Legal Issues</w:t>
      </w:r>
    </w:p>
    <w:p>
      <w:pPr>
        <w:spacing w:before="40" w:after="80" w:line="276" w:lineRule="auto"/>
      </w:pPr>
      <w:r>
        <w:rPr>
          <w:rFonts w:ascii="Calibri" w:hAnsi="Calibri"/>
          <w:i w:val="0"/>
          <w:color w:val="212529"/>
          <w:sz w:val="21"/>
        </w:rPr>
        <w:t>Whether or not the legislative charter (R.A. No. 3753) creating the Municipality of Marcos included any portion of the territorial jurisdiction of the Municipality of Nueva Era.</w:t>
      </w:r>
    </w:p>
    <w:p>
      <w:pPr>
        <w:keepNext/>
        <w:spacing w:before="120" w:after="40"/>
      </w:pPr>
      <w:r>
        <w:rPr>
          <w:rFonts w:ascii="Arial" w:hAnsi="Arial"/>
          <w:b/>
          <w:color w:val="781E1E"/>
          <w:sz w:val="20"/>
        </w:rPr>
        <w:t>B. Statutory-Construction Issue/s</w:t>
      </w:r>
    </w:p>
    <w:tbl>
      <w:tblPr>
        <w:tblW w:type="auto" w:w="0"/>
        <w:jc w:val="center"/>
        <w:tblLook w:firstColumn="1" w:firstRow="1" w:lastColumn="0" w:lastRow="0" w:noHBand="0" w:noVBand="1" w:val="04A0"/>
      </w:tblPr>
      <w:tblGrid>
        <w:gridCol w:w="9648"/>
      </w:tblGrid>
      <w:tr>
        <w:tc>
          <w:tcPr>
            <w:tcW w:type="dxa" w:w="9648"/>
            <w:shd w:fill="EBF3FA"/>
            <w:tcMar>
              <w:top w:w="100" w:type="dxa"/>
              <w:bottom w:w="100" w:type="dxa"/>
              <w:left w:w="160" w:type="dxa"/>
              <w:right w:w="160" w:type="dxa"/>
            </w:tcMar>
          </w:tcPr>
          <w:p>
            <w:pPr>
              <w:spacing w:before="20" w:after="40"/>
            </w:pPr>
            <w:r>
              <w:rPr>
                <w:rFonts w:ascii="Arial" w:hAnsi="Arial"/>
                <w:b/>
                <w:color w:val="0F2043"/>
                <w:sz w:val="19"/>
              </w:rPr>
              <w:t>Standardized StatCon Issue Statement</w:t>
              <w:br/>
            </w:r>
          </w:p>
          <w:p>
            <w:pPr>
              <w:spacing w:before="20" w:after="40" w:line="276" w:lineRule="auto"/>
            </w:pPr>
            <w:r>
              <w:rPr>
                <w:rFonts w:ascii="Calibri" w:hAnsi="Calibri"/>
                <w:color w:val="212529"/>
                <w:sz w:val="19"/>
              </w:rPr>
              <w:t>Whether the subject statutory act, classification, or terminology under the governing statute/rule means, includes, or applies to the factual controversy in Municipality of Nueva Era, Ilocos Norte v. Municipality of Marcos, Ilocos Norte, under the canon of Casus omissus pro omisso habendus est.</w:t>
            </w:r>
          </w:p>
        </w:tc>
      </w:tr>
    </w:tbl>
    <w:p>
      <w:pPr>
        <w:keepNext/>
        <w:spacing w:before="240" w:after="60"/>
      </w:pPr>
      <w:r>
        <w:rPr>
          <w:rFonts w:ascii="Arial" w:hAnsi="Arial"/>
          <w:b/>
          <w:color w:val="0F2043"/>
          <w:sz w:val="21"/>
        </w:rPr>
        <w:t>IV. PROVISION/S OF LAW CONSTRUED</w:t>
      </w:r>
    </w:p>
    <w:tbl>
      <w:tblPr>
        <w:tblW w:type="auto" w:w="0"/>
        <w:jc w:val="center"/>
        <w:tblLook w:firstColumn="1" w:firstRow="1" w:lastColumn="0" w:lastRow="0" w:noHBand="0" w:noVBand="1" w:val="04A0"/>
      </w:tblPr>
      <w:tblGrid>
        <w:gridCol w:w="9648"/>
      </w:tblGrid>
      <w:tr>
        <w:tc>
          <w:tcPr>
            <w:tcW w:type="dxa" w:w="9648"/>
            <w:shd w:fill="F8F9FB"/>
            <w:tcMar>
              <w:top w:w="100" w:type="dxa"/>
              <w:bottom w:w="100" w:type="dxa"/>
              <w:left w:w="160" w:type="dxa"/>
              <w:right w:w="160" w:type="dxa"/>
            </w:tcMar>
          </w:tcPr>
          <w:p>
            <w:pPr>
              <w:spacing w:before="20" w:after="40"/>
            </w:pPr>
            <w:r>
              <w:rPr>
                <w:rFonts w:ascii="Arial" w:hAnsi="Arial"/>
                <w:b/>
                <w:color w:val="0F2043"/>
                <w:sz w:val="19"/>
              </w:rPr>
              <w:t>Statutory / Constitutional Text &amp; Problem</w:t>
              <w:br/>
            </w:r>
          </w:p>
          <w:p>
            <w:pPr>
              <w:spacing w:before="20" w:after="40" w:line="276" w:lineRule="auto"/>
            </w:pPr>
            <w:r>
              <w:rPr>
                <w:rFonts w:ascii="Calibri" w:hAnsi="Calibri"/>
                <w:b/>
                <w:color w:val="212529"/>
                <w:sz w:val="19"/>
              </w:rPr>
              <w:t xml:space="preserve">• Quoted Provision: </w:t>
            </w:r>
            <w:r>
              <w:rPr>
                <w:rFonts w:ascii="Calibri" w:hAnsi="Calibri"/>
                <w:color w:val="212529"/>
                <w:sz w:val="19"/>
              </w:rPr>
              <w:t>1. Republic Act No. 3753 (Charter of Municipality of Marcos): Expressly states that the municipality is created from barrios separated from the Municipality of Dingras.</w:t>
              <w:br/>
              <w:t>2. Casus Omissus Pro Omisso Habendus Est (a person, object or thing omitted must be held to be intentionally omitted): A matter omitted from a statute is presumed to be intentional and cannot be supplied by the courts.</w:t>
            </w:r>
          </w:p>
          <w:p>
            <w:pPr>
              <w:spacing w:before="20" w:after="40" w:line="276" w:lineRule="auto"/>
            </w:pPr>
            <w:r>
              <w:rPr>
                <w:rFonts w:ascii="Calibri" w:hAnsi="Calibri"/>
                <w:b/>
                <w:color w:val="212529"/>
                <w:sz w:val="19"/>
              </w:rPr>
              <w:t xml:space="preserve">• Interpretive Problem: </w:t>
            </w:r>
            <w:r>
              <w:rPr>
                <w:rFonts w:ascii="Calibri" w:hAnsi="Calibri"/>
                <w:color w:val="212529"/>
                <w:sz w:val="19"/>
              </w:rPr>
              <w:t>Determining the precise legislative intent and boundary of the statutory terms in light of: The respondent municipality attempted to supply an omitted territory into a legislative charter, violating the doctrine ...</w:t>
            </w:r>
          </w:p>
        </w:tc>
      </w:tr>
    </w:tbl>
    <w:p>
      <w:pPr>
        <w:keepNext/>
        <w:spacing w:before="240" w:after="60"/>
      </w:pPr>
      <w:r>
        <w:rPr>
          <w:rFonts w:ascii="Arial" w:hAnsi="Arial"/>
          <w:b/>
          <w:color w:val="0F2043"/>
          <w:sz w:val="21"/>
        </w:rPr>
        <w:t>V. RULING OF THE SUPREME COURT</w:t>
      </w:r>
    </w:p>
    <w:p>
      <w:pPr>
        <w:keepNext/>
        <w:spacing w:before="120" w:after="40"/>
      </w:pPr>
      <w:r>
        <w:rPr>
          <w:rFonts w:ascii="Arial" w:hAnsi="Arial"/>
          <w:b/>
          <w:color w:val="781E1E"/>
          <w:sz w:val="20"/>
        </w:rPr>
        <w:t>A. General Ruling</w:t>
      </w:r>
    </w:p>
    <w:p>
      <w:pPr>
        <w:spacing w:before="40" w:after="80" w:line="276" w:lineRule="auto"/>
      </w:pPr>
      <w:r>
        <w:rPr>
          <w:rFonts w:ascii="Calibri" w:hAnsi="Calibri"/>
          <w:i w:val="0"/>
          <w:color w:val="212529"/>
          <w:sz w:val="21"/>
        </w:rPr>
        <w:t>The Supreme Court REVERSED the Court of Appeals, DECLARED the disputed 7,935-hectare area to be part of the Municipality of Nueva Era, and BARRED Marcos from claiming territory outside Dingras.</w:t>
      </w:r>
    </w:p>
    <w:p>
      <w:pPr>
        <w:keepNext/>
        <w:spacing w:before="120" w:after="40"/>
      </w:pPr>
      <w:r>
        <w:rPr>
          <w:rFonts w:ascii="Arial" w:hAnsi="Arial"/>
          <w:b/>
          <w:color w:val="781E1E"/>
          <w:sz w:val="20"/>
        </w:rPr>
        <w:t>B. Ruling on the Statutory-Construction Issue</w:t>
      </w:r>
    </w:p>
    <w:tbl>
      <w:tblPr>
        <w:tblW w:type="auto" w:w="0"/>
        <w:jc w:val="center"/>
        <w:tblLook w:firstColumn="1" w:firstRow="1" w:lastColumn="0" w:lastRow="0" w:noHBand="0" w:noVBand="1" w:val="04A0"/>
      </w:tblPr>
      <w:tblGrid>
        <w:gridCol w:w="9648"/>
      </w:tblGrid>
      <w:tr>
        <w:tc>
          <w:tcPr>
            <w:tcW w:type="dxa" w:w="9648"/>
            <w:shd w:fill="F4FAF5"/>
            <w:tcMar>
              <w:top w:w="100" w:type="dxa"/>
              <w:bottom w:w="100" w:type="dxa"/>
              <w:left w:w="160" w:type="dxa"/>
              <w:right w:w="160" w:type="dxa"/>
            </w:tcMar>
          </w:tcPr>
          <w:p>
            <w:pPr>
              <w:spacing w:before="20" w:after="40"/>
            </w:pPr>
            <w:r>
              <w:rPr>
                <w:rFonts w:ascii="Arial" w:hAnsi="Arial"/>
                <w:b/>
                <w:color w:val="0F2043"/>
                <w:sz w:val="19"/>
              </w:rPr>
              <w:t>Statutory Meaning Established by Court</w:t>
              <w:br/>
            </w:r>
          </w:p>
          <w:p>
            <w:pPr>
              <w:spacing w:before="20" w:after="40" w:line="276" w:lineRule="auto"/>
            </w:pPr>
            <w:r>
              <w:rPr>
                <w:rFonts w:ascii="Calibri" w:hAnsi="Calibri"/>
                <w:color w:val="212529"/>
                <w:sz w:val="19"/>
              </w:rPr>
              <w:t>NO. R.A. No. 3753 did NOT include any territory from Nueva Era. Under the doctrine of Casus Omissus, an omission from the statutory text must be held intentional, and courts cannot supply omitted terms.</w:t>
            </w:r>
          </w:p>
        </w:tc>
      </w:tr>
    </w:tbl>
    <w:p>
      <w:pPr>
        <w:keepNext/>
        <w:spacing w:before="240" w:after="60"/>
      </w:pPr>
      <w:r>
        <w:rPr>
          <w:rFonts w:ascii="Arial" w:hAnsi="Arial"/>
          <w:b/>
          <w:color w:val="0F2043"/>
          <w:sz w:val="21"/>
        </w:rPr>
        <w:t>VI. HOW THE COURT CONSTRUED THE LAW</w:t>
      </w:r>
    </w:p>
    <w:tbl>
      <w:tblPr>
        <w:tblW w:type="auto" w:w="0"/>
        <w:jc w:val="center"/>
        <w:tblLook w:firstColumn="1" w:firstRow="1" w:lastColumn="0" w:lastRow="0" w:noHBand="0" w:noVBand="1" w:val="04A0"/>
      </w:tblPr>
      <w:tblGrid>
        <w:gridCol w:w="9648"/>
      </w:tblGrid>
      <w:tr>
        <w:tc>
          <w:tcPr>
            <w:tcW w:type="dxa" w:w="9648"/>
            <w:shd w:fill="F8F9FB"/>
            <w:tcMar>
              <w:top w:w="100" w:type="dxa"/>
              <w:bottom w:w="100" w:type="dxa"/>
              <w:left w:w="160" w:type="dxa"/>
              <w:right w:w="160" w:type="dxa"/>
            </w:tcMar>
          </w:tcPr>
          <w:p>
            <w:pPr>
              <w:spacing w:before="20" w:after="40"/>
            </w:pPr>
            <w:r>
              <w:rPr>
                <w:rFonts w:ascii="Arial" w:hAnsi="Arial"/>
                <w:b/>
                <w:color w:val="0F2043"/>
                <w:sz w:val="19"/>
              </w:rPr>
              <w:t>Methodological &amp; Doctrinal Analysis</w:t>
              <w:br/>
            </w:r>
          </w:p>
          <w:p>
            <w:pPr>
              <w:spacing w:before="20" w:after="40" w:line="276" w:lineRule="auto"/>
            </w:pPr>
            <w:r>
              <w:rPr>
                <w:rFonts w:ascii="Calibri" w:hAnsi="Calibri"/>
                <w:b/>
                <w:color w:val="212529"/>
                <w:sz w:val="19"/>
              </w:rPr>
              <w:t xml:space="preserve">A. Why Was Construction Necessary? </w:t>
            </w:r>
            <w:r>
              <w:rPr>
                <w:rFonts w:ascii="Calibri" w:hAnsi="Calibri"/>
                <w:color w:val="212529"/>
                <w:sz w:val="19"/>
              </w:rPr>
              <w:t>The statutory provision enumerated specific items, raising whether non-included matters were intentionally excluded by the Legislature.</w:t>
            </w:r>
          </w:p>
          <w:p>
            <w:pPr>
              <w:spacing w:before="20" w:after="40" w:line="276" w:lineRule="auto"/>
            </w:pPr>
            <w:r>
              <w:rPr>
                <w:rFonts w:ascii="Calibri" w:hAnsi="Calibri"/>
                <w:b/>
                <w:color w:val="212529"/>
                <w:sz w:val="19"/>
              </w:rPr>
              <w:t xml:space="preserve">B. Purpose of Construction: </w:t>
            </w:r>
            <w:r>
              <w:rPr>
                <w:rFonts w:ascii="Calibri" w:hAnsi="Calibri"/>
                <w:color w:val="212529"/>
                <w:sz w:val="19"/>
              </w:rPr>
              <w:t>To enforce the negative implication intended by the Legislature and prevent unwarranted judicial expansion (*expressio unius est exclusio alterius*).</w:t>
            </w:r>
          </w:p>
          <w:p>
            <w:pPr>
              <w:spacing w:before="20" w:after="40" w:line="276" w:lineRule="auto"/>
            </w:pPr>
            <w:r>
              <w:rPr>
                <w:rFonts w:ascii="Calibri" w:hAnsi="Calibri"/>
                <w:b/>
                <w:color w:val="212529"/>
                <w:sz w:val="19"/>
              </w:rPr>
              <w:t xml:space="preserve">C. Method, Canon, or Rule Applied: </w:t>
            </w:r>
            <w:r>
              <w:rPr>
                <w:rFonts w:ascii="Calibri" w:hAnsi="Calibri"/>
                <w:color w:val="212529"/>
                <w:sz w:val="19"/>
              </w:rPr>
              <w:t>Casus omissus pro omisso habendus est</w:t>
              <w:br/>
              <w:t xml:space="preserve">   - Application: Doctrine of Casus Omissus: What is omitted from a statute must be treated as intentionally omitted by the legislature; courts cannot supply statutory omissions through interpretation.</w:t>
              <w:br/>
              <w:t xml:space="preserve">   - Result: No. The law creating Marcos specifically named only Dingras as the source of its territory. Since Nueva Era was omitted from the statute, the omission was intentional and courts cannot supply what Congress omitted.</w:t>
            </w:r>
          </w:p>
          <w:p>
            <w:pPr>
              <w:spacing w:before="20" w:after="40" w:line="276" w:lineRule="auto"/>
            </w:pPr>
            <w:r>
              <w:rPr>
                <w:rFonts w:ascii="Calibri" w:hAnsi="Calibri"/>
                <w:b/>
                <w:color w:val="212529"/>
                <w:sz w:val="19"/>
              </w:rPr>
              <w:t xml:space="preserve">D. Other Sources Used: </w:t>
            </w:r>
            <w:r>
              <w:rPr>
                <w:rFonts w:ascii="Calibri" w:hAnsi="Calibri"/>
                <w:color w:val="212529"/>
                <w:sz w:val="19"/>
              </w:rPr>
              <w:t>Ordinary meaning of words, statute considered as a whole, legislative history, and established Supreme Court jurisprudence.</w:t>
            </w:r>
          </w:p>
        </w:tc>
      </w:tr>
    </w:tbl>
    <w:p>
      <w:pPr>
        <w:keepNext/>
        <w:spacing w:before="240" w:after="60"/>
      </w:pPr>
      <w:r>
        <w:rPr>
          <w:rFonts w:ascii="Arial" w:hAnsi="Arial"/>
          <w:b/>
          <w:color w:val="0F2043"/>
          <w:sz w:val="21"/>
        </w:rPr>
        <w:t>VII. RELEVANT STATUTORY-CONSTRUCTION CONCEPTS (A–L EVALUATION)</w:t>
      </w:r>
    </w:p>
    <w:tbl>
      <w:tblPr>
        <w:tblW w:type="auto" w:w="0"/>
        <w:jc w:val="center"/>
        <w:tblLook w:firstColumn="1" w:firstRow="1" w:lastColumn="0" w:lastRow="0" w:noHBand="0" w:noVBand="1" w:val="04A0"/>
      </w:tblPr>
      <w:tblGrid>
        <w:gridCol w:w="4824"/>
        <w:gridCol w:w="4824"/>
      </w:tblGrid>
      <w:tr>
        <w:tc>
          <w:tcPr>
            <w:tcW w:type="dxa" w:w="4824"/>
            <w:shd w:fill="EBF0F8"/>
            <w:tcMar>
              <w:top w:w="70" w:type="dxa"/>
              <w:bottom w:w="70" w:type="dxa"/>
              <w:left w:w="100" w:type="dxa"/>
              <w:right w:w="100" w:type="dxa"/>
            </w:tcMar>
          </w:tcPr>
          <w:p>
            <w:pPr>
              <w:spacing w:before="20" w:after="20"/>
            </w:pPr>
            <w:r>
              <w:rPr>
                <w:rFonts w:ascii="Arial" w:hAnsi="Arial"/>
                <w:b/>
                <w:color w:val="0F2043"/>
                <w:sz w:val="18"/>
              </w:rPr>
              <w:t>A. Situs of Statutory Construction</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Supreme Court of the Philippines, exercising its constitutional judicial power under Article VIII of the Constitution, serves as the ultimate situs and final arbiter for interpreting and construing the disputed provision.</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B. Purpose of Statutory Construction</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purpose of construction is to discover and effectuate the true legislative intent and will of the lawmaking body, preventing injustice and ensuring the statute operates harmoniously.</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C. When to Construe</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Court reaffirmed the cardinal threshold rule: Construction and interpretation are proper only where the statute is ambiguous, doubtful, or susceptible of multiple meanings. Where the law is clear, no construction is warranted.</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D. Ambiguity or Vagueness</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781E1E"/>
                <w:sz w:val="17"/>
              </w:rPr>
              <w:t xml:space="preserve"> [NOT APPLICABLE] </w:t>
            </w:r>
            <w:r>
              <w:rPr>
                <w:rFonts w:ascii="Calibri" w:hAnsi="Calibri"/>
                <w:color w:val="212529"/>
                <w:sz w:val="18"/>
              </w:rPr>
              <w:t>Not Applicable. The statutory language was clear and unambiguous; the Court declined to find ambiguity where none existed in the text.</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E. Verba Legis Non Est Recedendum</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781E1E"/>
                <w:sz w:val="17"/>
              </w:rPr>
              <w:t xml:space="preserve"> [NOT APPLICABLE] </w:t>
            </w:r>
            <w:r>
              <w:rPr>
                <w:rFonts w:ascii="Calibri" w:hAnsi="Calibri"/>
                <w:color w:val="212529"/>
                <w:sz w:val="18"/>
              </w:rPr>
              <w:t>Not Applicable. The Court looked beyond literal words to discover the underlying legislative spirit, context, and intent.</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F. Absoluta Sententia Expositore Non Indigent</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Court held that when the language of the law is clear and unequivocal, it requires no interpreter and leaves no room for judicial construction.</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G. Legislative Intent</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Court analyzed the true intent and policy of the lawmaking authority, ensuring that the statutory purpose is preserved and not defeated by erroneous administrative or private interpretations.</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H. Strict or Liberal Construction</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781E1E"/>
                <w:sz w:val="17"/>
              </w:rPr>
              <w:t xml:space="preserve"> [NOT APPLICABLE] </w:t>
            </w:r>
            <w:r>
              <w:rPr>
                <w:rFonts w:ascii="Calibri" w:hAnsi="Calibri"/>
                <w:color w:val="212529"/>
                <w:sz w:val="18"/>
              </w:rPr>
              <w:t>Not Applicable. The Court applied standard ordinary rules of statutory interpretation without resorting to special strict or liberal construction doctrines.</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I. Prospective or Retrospective Construction</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781E1E"/>
                <w:sz w:val="17"/>
              </w:rPr>
              <w:t xml:space="preserve"> [NOT APPLICABLE] </w:t>
            </w:r>
            <w:r>
              <w:rPr>
                <w:rFonts w:ascii="Calibri" w:hAnsi="Calibri"/>
                <w:color w:val="212529"/>
                <w:sz w:val="18"/>
              </w:rPr>
              <w:t>Not Applicable. The case involved only the contemporaneous, prospective application of the governing law.</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J. Statutory Construction vs. Judicial Legislation</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Court underscored the constitutional boundary of judicial power: Courts are empowered solely to interpret (jus dicere), not to enact or amend laws (jus dare). Supplying unwritten terms or expanding clear prohibitions constitutes prohibited judicial legislation.</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K. Legis Interpretatio Legis Vim Obtinet</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Under Article 8 of the Civil Code, the Supreme Court's authoritative interpretation of the statute forms part of the legal system of the Philippines and acquires the force of law (*legis interpretatio legis vim obtinet*).</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L. Extent and Limits of the Power to Construe</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Court respected the constitutional limits of its authority by applying the law as written and refusing to invade the legislative domain under the guise of equity or expediency.</w:t>
            </w:r>
          </w:p>
        </w:tc>
      </w:tr>
    </w:tbl>
    <w:p>
      <w:pPr>
        <w:keepNext/>
        <w:spacing w:before="240" w:after="60"/>
      </w:pPr>
      <w:r>
        <w:rPr>
          <w:rFonts w:ascii="Arial" w:hAnsi="Arial"/>
          <w:b/>
          <w:color w:val="0F2043"/>
          <w:sz w:val="21"/>
        </w:rPr>
        <w:t>VIII. OTHER CANONS OR METHODS OF CONSTRUCTION</w:t>
      </w:r>
    </w:p>
    <w:tbl>
      <w:tblPr>
        <w:tblW w:type="auto" w:w="0"/>
        <w:jc w:val="center"/>
        <w:tblLook w:firstColumn="1" w:firstRow="1" w:lastColumn="0" w:lastRow="0" w:noHBand="0" w:noVBand="1" w:val="04A0"/>
      </w:tblPr>
      <w:tblGrid>
        <w:gridCol w:w="9648"/>
      </w:tblGrid>
      <w:tr>
        <w:tc>
          <w:tcPr>
            <w:tcW w:type="dxa" w:w="9648"/>
            <w:shd w:fill="F8F9FB"/>
            <w:tcMar>
              <w:top w:w="100" w:type="dxa"/>
              <w:bottom w:w="100" w:type="dxa"/>
              <w:left w:w="160" w:type="dxa"/>
              <w:right w:w="160" w:type="dxa"/>
            </w:tcMar>
          </w:tcPr>
          <w:p>
            <w:pPr>
              <w:spacing w:before="20" w:after="40"/>
            </w:pPr>
            <w:r>
              <w:rPr>
                <w:rFonts w:ascii="Arial" w:hAnsi="Arial"/>
                <w:b/>
                <w:color w:val="0F2043"/>
                <w:sz w:val="19"/>
              </w:rPr>
              <w:t>Secondary Rules &amp; Canons Applied</w:t>
              <w:br/>
            </w:r>
          </w:p>
          <w:p>
            <w:pPr>
              <w:spacing w:before="20" w:after="40" w:line="276" w:lineRule="auto"/>
            </w:pPr>
            <w:r>
              <w:rPr>
                <w:rFonts w:ascii="Calibri" w:hAnsi="Calibri"/>
                <w:b/>
                <w:color w:val="212529"/>
                <w:sz w:val="19"/>
              </w:rPr>
              <w:t xml:space="preserve">• Canon / Maxim: </w:t>
            </w:r>
            <w:r>
              <w:rPr>
                <w:rFonts w:ascii="Calibri" w:hAnsi="Calibri"/>
                <w:color w:val="212529"/>
                <w:sz w:val="19"/>
              </w:rPr>
              <w:t>• Expressio unius est exclusio alterius (express mention of one excludes another)</w:t>
              <w:br/>
              <w:t>• Absoluta sententia expositore non eget (clear text requires no exposition)</w:t>
            </w:r>
          </w:p>
          <w:p>
            <w:pPr>
              <w:spacing w:before="20" w:after="40" w:line="276" w:lineRule="auto"/>
            </w:pPr>
            <w:r>
              <w:rPr>
                <w:rFonts w:ascii="Calibri" w:hAnsi="Calibri"/>
                <w:b/>
                <w:color w:val="212529"/>
                <w:sz w:val="19"/>
              </w:rPr>
              <w:t xml:space="preserve">• How Applied: </w:t>
            </w:r>
            <w:r>
              <w:rPr>
                <w:rFonts w:ascii="Calibri" w:hAnsi="Calibri"/>
                <w:color w:val="212529"/>
                <w:sz w:val="19"/>
              </w:rPr>
              <w:t>Applied as corroborative canons to reinforce the primary rule of construction.</w:t>
            </w:r>
          </w:p>
          <w:p>
            <w:pPr>
              <w:spacing w:before="20" w:after="40" w:line="276" w:lineRule="auto"/>
            </w:pPr>
            <w:r>
              <w:rPr>
                <w:rFonts w:ascii="Calibri" w:hAnsi="Calibri"/>
                <w:b/>
                <w:color w:val="212529"/>
                <w:sz w:val="19"/>
              </w:rPr>
              <w:t xml:space="preserve">• Effect on Interpretation: </w:t>
            </w:r>
            <w:r>
              <w:rPr>
                <w:rFonts w:ascii="Calibri" w:hAnsi="Calibri"/>
                <w:color w:val="212529"/>
                <w:sz w:val="19"/>
              </w:rPr>
              <w:t>Harmonized the statute and prevented an absurd or unjust result.</w:t>
            </w:r>
          </w:p>
        </w:tc>
      </w:tr>
    </w:tbl>
    <w:p>
      <w:pPr>
        <w:keepNext/>
        <w:spacing w:before="240" w:after="60"/>
      </w:pPr>
      <w:r>
        <w:rPr>
          <w:rFonts w:ascii="Arial" w:hAnsi="Arial"/>
          <w:b/>
          <w:color w:val="0F2043"/>
          <w:sz w:val="21"/>
        </w:rPr>
        <w:t>IX. THE CONSTRUCTION MADE BY THE COURT</w:t>
      </w:r>
    </w:p>
    <w:tbl>
      <w:tblPr>
        <w:tblW w:type="auto" w:w="0"/>
        <w:jc w:val="center"/>
        <w:tblLook w:firstColumn="1" w:firstRow="1" w:lastColumn="0" w:lastRow="0" w:noHBand="0" w:noVBand="1" w:val="04A0"/>
      </w:tblPr>
      <w:tblGrid>
        <w:gridCol w:w="9648"/>
      </w:tblGrid>
      <w:tr>
        <w:tc>
          <w:tcPr>
            <w:tcW w:type="dxa" w:w="9648"/>
            <w:shd w:fill="F9F8F5"/>
            <w:tcMar>
              <w:top w:w="100" w:type="dxa"/>
              <w:bottom w:w="100" w:type="dxa"/>
              <w:left w:w="160" w:type="dxa"/>
              <w:right w:w="160" w:type="dxa"/>
            </w:tcMar>
          </w:tcPr>
          <w:p>
            <w:pPr>
              <w:spacing w:before="20" w:after="40"/>
            </w:pPr>
            <w:r>
              <w:rPr>
                <w:rFonts w:ascii="Arial" w:hAnsi="Arial"/>
                <w:b/>
                <w:color w:val="0F2043"/>
                <w:sz w:val="19"/>
              </w:rPr>
              <w:t>Actual Judicial Construction &amp; Ratio</w:t>
              <w:br/>
            </w:r>
          </w:p>
          <w:p>
            <w:pPr>
              <w:spacing w:before="20" w:after="40" w:line="276" w:lineRule="auto"/>
            </w:pPr>
            <w:r>
              <w:rPr>
                <w:rFonts w:ascii="Calibri" w:hAnsi="Calibri"/>
                <w:b/>
                <w:color w:val="212529"/>
                <w:sz w:val="19"/>
              </w:rPr>
              <w:t xml:space="preserve">• Construction Summary: </w:t>
            </w:r>
            <w:r>
              <w:rPr>
                <w:rFonts w:ascii="Calibri" w:hAnsi="Calibri"/>
                <w:color w:val="212529"/>
                <w:sz w:val="19"/>
              </w:rPr>
              <w:t>The Court construed the disputed statutory provisions in Municipality of Nueva Era, Ilocos Norte v. Municipality of Marcos, Ilocos Norte to mean and apply strictly in accordance with Casus omissus pro omisso habendus est, holding that No. The law creating Marcos specifically named only Dingras as the source of its territory. Since Nueva Era was omitted from the statute, the omission was inten.</w:t>
            </w:r>
          </w:p>
          <w:p>
            <w:pPr>
              <w:spacing w:before="20" w:after="40" w:line="276" w:lineRule="auto"/>
            </w:pPr>
            <w:r>
              <w:rPr>
                <w:rFonts w:ascii="Calibri" w:hAnsi="Calibri"/>
                <w:b/>
                <w:color w:val="212529"/>
                <w:sz w:val="19"/>
              </w:rPr>
              <w:t xml:space="preserve">• Principal Reasoning: </w:t>
            </w:r>
            <w:r>
              <w:rPr>
                <w:rFonts w:ascii="Calibri" w:hAnsi="Calibri"/>
                <w:color w:val="212529"/>
                <w:sz w:val="19"/>
              </w:rPr>
              <w:t>Congress specifically named the villages of Dingras to form Marcos. It said nothing about Nueva Era. When a statute specifically lists some things and leaves out others, the omission is deliberate. Courts cannot rewrite the law to give away Nueva Era's land.</w:t>
            </w:r>
          </w:p>
        </w:tc>
      </w:tr>
    </w:tbl>
    <w:tbl>
      <w:tblPr>
        <w:tblW w:type="auto" w:w="0"/>
        <w:jc w:val="center"/>
        <w:tblLook w:firstColumn="1" w:firstRow="1" w:lastColumn="0" w:lastRow="0" w:noHBand="0" w:noVBand="1" w:val="04A0"/>
      </w:tblPr>
      <w:tblGrid>
        <w:gridCol w:w="9648"/>
      </w:tblGrid>
      <w:tr>
        <w:tc>
          <w:tcPr>
            <w:tcW w:type="dxa" w:w="9648"/>
            <w:shd w:fill="EEF6F0"/>
            <w:tcMar>
              <w:top w:w="100" w:type="dxa"/>
              <w:bottom w:w="100" w:type="dxa"/>
              <w:left w:w="160" w:type="dxa"/>
              <w:right w:w="160" w:type="dxa"/>
            </w:tcMar>
          </w:tcPr>
          <w:p>
            <w:pPr>
              <w:spacing w:before="20" w:after="40"/>
            </w:pPr>
            <w:r>
              <w:rPr>
                <w:rFonts w:ascii="Arial" w:hAnsi="Arial"/>
                <w:b/>
                <w:color w:val="0D6E4B"/>
                <w:sz w:val="19"/>
              </w:rPr>
              <w:t>X. STATUTORY CONSTRUCTION OR JUDICIAL LEGISLATION?</w:t>
              <w:br/>
            </w:r>
          </w:p>
          <w:p>
            <w:pPr>
              <w:spacing w:before="20" w:after="60"/>
            </w:pPr>
            <w:r>
              <w:rPr>
                <w:rFonts w:ascii="Arial" w:hAnsi="Arial"/>
                <w:b/>
                <w:color w:val="0F2043"/>
                <w:sz w:val="19"/>
              </w:rPr>
              <w:t>☑ Proper statutory construction    ☐ Judicial legislation    ☐ Debatable</w:t>
            </w:r>
          </w:p>
          <w:p>
            <w:pPr>
              <w:spacing w:before="40" w:after="40" w:line="276" w:lineRule="auto"/>
            </w:pPr>
            <w:r>
              <w:rPr>
                <w:rFonts w:ascii="Calibri" w:hAnsi="Calibri"/>
                <w:b/>
                <w:color w:val="212529"/>
                <w:sz w:val="19"/>
              </w:rPr>
              <w:t>Explanation (3–5 sentences):</w:t>
              <w:br/>
            </w:r>
            <w:r>
              <w:rPr>
                <w:rFonts w:ascii="Calibri" w:hAnsi="Calibri"/>
                <w:color w:val="212529"/>
                <w:sz w:val="19"/>
              </w:rPr>
              <w:t>The Supreme Court acted within the legitimate bounds of its constitutional power to interpret the law (jus dicere). By applying Casus omissus pro omisso habendus est, the Court faithfully effectuated the legislative intent without creating new rules, modifying clear statutory text, or usurping congressional prerogative. The ruling reinforces the separation of powers and the doctrine that courts must enforce the law as enacted.</w:t>
            </w:r>
          </w:p>
        </w:tc>
      </w:tr>
    </w:tbl>
    <w:p>
      <w:pPr>
        <w:spacing w:before="80" w:after="40"/>
      </w:pPr>
    </w:p>
    <w:tbl>
      <w:tblPr>
        <w:tblW w:type="auto" w:w="0"/>
        <w:jc w:val="center"/>
        <w:tblLook w:firstColumn="1" w:firstRow="1" w:lastColumn="0" w:lastRow="0" w:noHBand="0" w:noVBand="1" w:val="04A0"/>
      </w:tblPr>
      <w:tblGrid>
        <w:gridCol w:w="9648"/>
      </w:tblGrid>
      <w:tr>
        <w:tc>
          <w:tcPr>
            <w:tcW w:type="dxa" w:w="9648"/>
            <w:shd w:fill="FBF6EE"/>
            <w:tcMar>
              <w:top w:w="100" w:type="dxa"/>
              <w:bottom w:w="100" w:type="dxa"/>
              <w:left w:w="160" w:type="dxa"/>
              <w:right w:w="160" w:type="dxa"/>
            </w:tcMar>
          </w:tcPr>
          <w:p>
            <w:pPr>
              <w:spacing w:before="20" w:after="40"/>
            </w:pPr>
            <w:r>
              <w:rPr>
                <w:rFonts w:ascii="Arial" w:hAnsi="Arial"/>
                <w:b/>
                <w:color w:val="8C3200"/>
                <w:sz w:val="19"/>
              </w:rPr>
              <w:t>XI. DOCTRINE (Statutory Construction Principle):</w:t>
              <w:br/>
            </w:r>
            <w:r>
              <w:rPr>
                <w:rFonts w:ascii="Calibri" w:hAnsi="Calibri"/>
                <w:color w:val="212529"/>
                <w:sz w:val="19"/>
              </w:rPr>
              <w:t>Doctrine of Casus Omissus: What is omitted from a statute must be treated as intentionally omitted by the legislature; courts cannot supply statutory omissions through interpretation.</w:t>
              <w:br/>
              <w:br/>
            </w:r>
          </w:p>
          <w:p>
            <w:pPr>
              <w:spacing w:before="20" w:after="40"/>
            </w:pPr>
            <w:r>
              <w:rPr>
                <w:rFonts w:ascii="Arial" w:hAnsi="Arial"/>
                <w:b/>
                <w:color w:val="8C3200"/>
                <w:sz w:val="19"/>
              </w:rPr>
              <w:t>XII. ONE-SENTENCE TAKEAWAY:</w:t>
              <w:br/>
            </w:r>
            <w:r>
              <w:rPr>
                <w:rFonts w:ascii="Calibri" w:hAnsi="Calibri"/>
                <w:i/>
                <w:color w:val="212529"/>
                <w:sz w:val="19"/>
              </w:rPr>
              <w:t>This case is important in Statutory Construction because If Congress deliberately leaves something out of a law, judges cannot add it back in under the excuse of interpreting the law.</w:t>
            </w:r>
          </w:p>
        </w:tc>
      </w:tr>
    </w:tbl>
    <w:p>
      <w:r>
        <w:br w:type="page"/>
      </w:r>
    </w:p>
    <w:p>
      <w:pPr>
        <w:keepNext/>
        <w:spacing w:before="320" w:after="80"/>
      </w:pPr>
      <w:r>
        <w:rPr>
          <w:rFonts w:ascii="Arial" w:hAnsi="Arial"/>
          <w:b/>
          <w:color w:val="0F2043"/>
          <w:sz w:val="26"/>
        </w:rPr>
        <w:t>27. CLUB FILIPINO, INC. AND ATTY. ROBERTO F. DE LEON V. BENJAMIN BAUTISTA, ET AL.</w:t>
      </w:r>
    </w:p>
    <w:p>
      <w:pPr>
        <w:spacing w:before="40" w:after="80" w:line="276" w:lineRule="auto"/>
      </w:pPr>
      <w:r>
        <w:rPr>
          <w:rFonts w:ascii="Calibri" w:hAnsi="Calibri"/>
          <w:b/>
          <w:color w:val="212529"/>
          <w:sz w:val="21"/>
        </w:rPr>
        <w:t xml:space="preserve">Citation: </w:t>
      </w:r>
      <w:r>
        <w:rPr>
          <w:rFonts w:ascii="Calibri" w:hAnsi="Calibri"/>
          <w:i/>
          <w:color w:val="212529"/>
          <w:sz w:val="21"/>
        </w:rPr>
        <w:t>G.R. No. 168406 | July 13, 2009 | 592 SCRA 471 | Third Division | Ponente: J. Nachura</w:t>
      </w:r>
    </w:p>
    <w:p>
      <w:pPr>
        <w:keepNext/>
        <w:spacing w:before="200" w:after="40"/>
      </w:pPr>
      <w:r>
        <w:rPr>
          <w:rFonts w:ascii="Arial" w:hAnsi="Arial"/>
          <w:b/>
          <w:color w:val="781E1E"/>
          <w:sz w:val="22"/>
        </w:rPr>
        <w:t>LAYER A: ALAC DIGEST, RECITATION SCRIPT &amp; STATCON ANALYSIS</w:t>
      </w:r>
    </w:p>
    <w:p>
      <w:pPr>
        <w:keepNext/>
        <w:spacing w:before="200" w:after="40"/>
      </w:pPr>
      <w:r>
        <w:rPr>
          <w:rFonts w:ascii="Arial" w:hAnsi="Arial"/>
          <w:b/>
          <w:color w:val="781E1E"/>
          <w:sz w:val="22"/>
        </w:rPr>
        <w:t>I. PARTIES &amp; PROCEDURAL BACKGROUND</w:t>
      </w:r>
    </w:p>
    <w:p>
      <w:pPr>
        <w:spacing w:before="40" w:after="80" w:line="276" w:lineRule="auto"/>
      </w:pPr>
      <w:r>
        <w:rPr>
          <w:rFonts w:ascii="Calibri" w:hAnsi="Calibri"/>
          <w:b/>
          <w:color w:val="212529"/>
          <w:sz w:val="21"/>
        </w:rPr>
        <w:t xml:space="preserve">• Plaintiff/Petitioner: </w:t>
      </w:r>
      <w:r>
        <w:rPr>
          <w:rFonts w:ascii="Calibri" w:hAnsi="Calibri"/>
          <w:i w:val="0"/>
          <w:color w:val="212529"/>
          <w:sz w:val="21"/>
        </w:rPr>
        <w:t>Club Filipino, Inc. and Atty. Roberto F. De Leon (Petitioners)</w:t>
      </w:r>
    </w:p>
    <w:p>
      <w:pPr>
        <w:spacing w:before="40" w:after="80" w:line="276" w:lineRule="auto"/>
      </w:pPr>
      <w:r>
        <w:rPr>
          <w:rFonts w:ascii="Calibri" w:hAnsi="Calibri"/>
          <w:b/>
          <w:color w:val="212529"/>
          <w:sz w:val="21"/>
        </w:rPr>
        <w:t xml:space="preserve">• Defendant/Respondent: </w:t>
      </w:r>
      <w:r>
        <w:rPr>
          <w:rFonts w:ascii="Calibri" w:hAnsi="Calibri"/>
          <w:i w:val="0"/>
          <w:color w:val="212529"/>
          <w:sz w:val="21"/>
        </w:rPr>
        <w:t>Benjamin Bautista, et al. and the Court of Appeals (Respondents)</w:t>
      </w:r>
    </w:p>
    <w:p>
      <w:pPr>
        <w:spacing w:before="40" w:after="80" w:line="276" w:lineRule="auto"/>
      </w:pPr>
      <w:r>
        <w:rPr>
          <w:rFonts w:ascii="Calibri" w:hAnsi="Calibri"/>
          <w:b/>
          <w:color w:val="212529"/>
          <w:sz w:val="21"/>
        </w:rPr>
        <w:t xml:space="preserve">• Originating Court: </w:t>
      </w:r>
      <w:r>
        <w:rPr>
          <w:rFonts w:ascii="Calibri" w:hAnsi="Calibri"/>
          <w:i w:val="0"/>
          <w:color w:val="212529"/>
          <w:sz w:val="21"/>
        </w:rPr>
        <w:t>National Labor Relations Commission (NLRC) / Court of Appeals</w:t>
      </w:r>
    </w:p>
    <w:p>
      <w:pPr>
        <w:spacing w:before="40" w:after="80" w:line="276" w:lineRule="auto"/>
      </w:pPr>
      <w:r>
        <w:rPr>
          <w:rFonts w:ascii="Calibri" w:hAnsi="Calibri"/>
          <w:b/>
          <w:color w:val="212529"/>
          <w:sz w:val="21"/>
        </w:rPr>
        <w:t xml:space="preserve">• Nature of the Action: </w:t>
      </w:r>
      <w:r>
        <w:rPr>
          <w:rFonts w:ascii="Calibri" w:hAnsi="Calibri"/>
          <w:i w:val="0"/>
          <w:color w:val="212529"/>
          <w:sz w:val="21"/>
        </w:rPr>
        <w:t>Petition for Review on Certiorari under Rule 45 concerning strike illegality and dismissal of union officers under Article 264 of the Labor Code.</w:t>
      </w:r>
    </w:p>
    <w:p>
      <w:pPr>
        <w:keepNext/>
        <w:spacing w:before="200" w:after="40"/>
      </w:pPr>
      <w:r>
        <w:rPr>
          <w:rFonts w:ascii="Arial" w:hAnsi="Arial"/>
          <w:b/>
          <w:color w:val="781E1E"/>
          <w:sz w:val="22"/>
        </w:rPr>
        <w:t>II. WHOLE FACTS</w:t>
      </w:r>
    </w:p>
    <w:p>
      <w:pPr>
        <w:spacing w:before="40" w:after="80" w:line="276" w:lineRule="auto"/>
      </w:pPr>
      <w:r>
        <w:rPr>
          <w:rFonts w:ascii="Calibri" w:hAnsi="Calibri"/>
          <w:i w:val="0"/>
          <w:color w:val="212529"/>
          <w:sz w:val="21"/>
        </w:rPr>
        <w:t>Club Filipino Employees Association (Union) filed a Notice of Strike with the NCMB due to a collective bargaining deadlock. The union conducted a strike vote and submitted the strike vote results to the DOLE, but failed to observe the mandatory seven-day strike vote cooling-off/waiting period before staging the strike. Club Filipino filed a petition to declare the strike illegal and dismissed the participating union officers pursuant to Article 264 of the Labor Code. The union officers argued that their substantial compliance and good faith in conducting the strike vote should protect them from termination.</w:t>
      </w:r>
    </w:p>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SUMMARY OF FACTS</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A labor union went on strike because collective bargaining negotiations broke down. They filed all required notices and held a strike vote, but they staged the strike without waiting for the full 7-day waiting period after submitting the vote results. The company fired all the union officers, claiming the strike was illegal. The Supreme Court ruled that while the strike was technically illegal for jumping the gun on the 7-day period, the union officers acted in good faith believing negotiations were deadlocked, so the harsh penalty of dismissal should not be automatically applied.</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When reciting the facts, state the core dispute in 2 sentences, then state how the case reached the Supreme Court.</w:t>
            </w:r>
          </w:p>
        </w:tc>
      </w:tr>
    </w:tbl>
    <w:p>
      <w:pPr>
        <w:keepNext/>
        <w:spacing w:before="200" w:after="40"/>
      </w:pPr>
      <w:r>
        <w:rPr>
          <w:rFonts w:ascii="Arial" w:hAnsi="Arial"/>
          <w:b/>
          <w:color w:val="781E1E"/>
          <w:sz w:val="22"/>
        </w:rPr>
        <w:t>III. THE LEGAL ISSUE</w:t>
      </w:r>
    </w:p>
    <w:p>
      <w:pPr>
        <w:spacing w:before="40" w:after="80" w:line="276" w:lineRule="auto"/>
      </w:pPr>
      <w:r>
        <w:rPr>
          <w:rFonts w:ascii="Calibri" w:hAnsi="Calibri"/>
          <w:i w:val="0"/>
          <w:color w:val="212529"/>
          <w:sz w:val="21"/>
        </w:rPr>
        <w:t>Whether or not the failure to observe the mandatory seven-day strike vote cooling-off period under Article 263(f) renders the strike illegal and automatically justifies the dismissal of all union officers.</w:t>
      </w:r>
    </w:p>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THE LEGAL ISSUE</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Does jumping the gun on the 7-day strike waiting period automatically require the firing of union officers even if they acted in good faith?</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"Sir/Ma'am, the issue is whether non-compliance with the 7-day strike waiting period under Article 263(f) of the Labor Code automatically warrants the dismissal of union officers, testing the liberal construction of labor laws in favor of labor (In Dubio Pro Operario) and Spirit of the Law over rigid punishment."</w:t>
            </w:r>
          </w:p>
        </w:tc>
      </w:tr>
    </w:tbl>
    <w:p>
      <w:pPr>
        <w:keepNext/>
        <w:spacing w:before="200" w:after="40"/>
      </w:pPr>
      <w:r>
        <w:rPr>
          <w:rFonts w:ascii="Arial" w:hAnsi="Arial"/>
          <w:b/>
          <w:color w:val="781E1E"/>
          <w:sz w:val="22"/>
        </w:rPr>
        <w:t>IV. ALAC DIGEST</w:t>
      </w:r>
    </w:p>
    <w:tbl>
      <w:tblPr>
        <w:tblW w:type="auto" w:w="0"/>
        <w:jc w:val="center"/>
        <w:tblLook w:firstColumn="1" w:firstRow="1" w:lastColumn="0" w:lastRow="0" w:noHBand="0" w:noVBand="1" w:val="04A0"/>
      </w:tblPr>
      <w:tblGrid>
        <w:gridCol w:w="9648"/>
      </w:tblGrid>
      <w:tr>
        <w:tc>
          <w:tcPr>
            <w:tcW w:type="dxa" w:w="9648"/>
            <w:shd w:fill="F4F6F9"/>
            <w:tcMar>
              <w:top w:w="120" w:type="dxa"/>
              <w:bottom w:w="120" w:type="dxa"/>
              <w:left w:w="180" w:type="dxa"/>
              <w:right w:w="180" w:type="dxa"/>
            </w:tcMar>
          </w:tcPr>
          <w:p>
            <w:pPr>
              <w:spacing w:before="40" w:after="60"/>
            </w:pPr>
            <w:r>
              <w:rPr>
                <w:rFonts w:ascii="Arial" w:hAnsi="Arial"/>
                <w:b/>
                <w:color w:val="0F2043"/>
                <w:sz w:val="21"/>
              </w:rPr>
              <w:t>[A] ANSWER</w:t>
              <w:br/>
            </w:r>
          </w:p>
          <w:p>
            <w:pPr>
              <w:spacing w:before="20" w:after="40" w:line="276" w:lineRule="auto"/>
            </w:pPr>
            <w:r>
              <w:rPr>
                <w:rFonts w:ascii="Calibri" w:hAnsi="Calibri"/>
                <w:color w:val="212529"/>
                <w:sz w:val="20"/>
              </w:rPr>
              <w:t>The strike was ILLEGAL for violating the mandatory 7-day cooling-off period, BUT the union officers could NOT be automatically dismissed without proof of bad faith or commission of illegal acts during the strike.</w:t>
            </w:r>
          </w:p>
        </w:tc>
      </w:tr>
    </w:tbl>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THE ANSWER</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The strike was technically illegal because they didn't wait 7 days, but the officers should not be fired because they acted in good faith without violence or sabotage. Labor laws protect workers against disproportionate penalties.</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"Sir/Ma'am, the Supreme Court held that while the strike was illegal due to the mandatory nature of the 7-day waiting period under Verba Legis, under Article 4 of the Labor Code and In Dubio Pro Operario (in doubt, rule in favor of labor), union officers who acted in good faith without violence are entitled to reinstatement or separation pay rather than forfeiture of employment."</w:t>
            </w:r>
          </w:p>
        </w:tc>
      </w:tr>
    </w:tbl>
    <w:tbl>
      <w:tblPr>
        <w:tblW w:type="auto" w:w="0"/>
        <w:jc w:val="center"/>
        <w:tblLook w:firstColumn="1" w:firstRow="1" w:lastColumn="0" w:lastRow="0" w:noHBand="0" w:noVBand="1" w:val="04A0"/>
      </w:tblPr>
      <w:tblGrid>
        <w:gridCol w:w="9648"/>
      </w:tblGrid>
      <w:tr>
        <w:tc>
          <w:tcPr>
            <w:tcW w:type="dxa" w:w="9648"/>
            <w:shd w:fill="F4F6F9"/>
            <w:tcMar>
              <w:top w:w="120" w:type="dxa"/>
              <w:bottom w:w="120" w:type="dxa"/>
              <w:left w:w="180" w:type="dxa"/>
              <w:right w:w="180" w:type="dxa"/>
            </w:tcMar>
          </w:tcPr>
          <w:p>
            <w:pPr>
              <w:spacing w:before="40" w:after="60"/>
            </w:pPr>
            <w:r>
              <w:rPr>
                <w:rFonts w:ascii="Arial" w:hAnsi="Arial"/>
                <w:b/>
                <w:color w:val="0F2043"/>
                <w:sz w:val="21"/>
              </w:rPr>
              <w:t>[L] LEGAL BASIS</w:t>
              <w:br/>
            </w:r>
          </w:p>
          <w:p>
            <w:pPr>
              <w:spacing w:before="20" w:after="40" w:line="276" w:lineRule="auto"/>
            </w:pPr>
            <w:r>
              <w:rPr>
                <w:rFonts w:ascii="Calibri" w:hAnsi="Calibri"/>
                <w:b/>
                <w:color w:val="212529"/>
                <w:sz w:val="20"/>
              </w:rPr>
              <w:t xml:space="preserve">1. Articles 263 and 264, Labor Code of the Philippines: </w:t>
            </w:r>
            <w:r>
              <w:rPr>
                <w:rFonts w:ascii="Calibri" w:hAnsi="Calibri"/>
                <w:color w:val="212529"/>
                <w:sz w:val="20"/>
              </w:rPr>
              <w:t>Mandatory procedural requirements for a valid strike and grounds for declaring strike illegality and union officer termination.</w:t>
            </w:r>
          </w:p>
          <w:p>
            <w:pPr>
              <w:spacing w:before="20" w:after="40" w:line="276" w:lineRule="auto"/>
            </w:pPr>
            <w:r>
              <w:rPr>
                <w:rFonts w:ascii="Calibri" w:hAnsi="Calibri"/>
                <w:b/>
                <w:color w:val="212529"/>
                <w:sz w:val="20"/>
              </w:rPr>
              <w:t xml:space="preserve">2. Article 4, Labor Code of the Philippines: </w:t>
            </w:r>
            <w:r>
              <w:rPr>
                <w:rFonts w:ascii="Calibri" w:hAnsi="Calibri"/>
                <w:color w:val="212529"/>
                <w:sz w:val="20"/>
              </w:rPr>
              <w:t>All doubts in the implementation and interpretation of the provisions of this Code shall be resolved in favor of labor.</w:t>
            </w:r>
          </w:p>
          <w:p>
            <w:pPr>
              <w:spacing w:before="20" w:after="40" w:line="276" w:lineRule="auto"/>
            </w:pPr>
            <w:r>
              <w:rPr>
                <w:rFonts w:ascii="Calibri" w:hAnsi="Calibri"/>
                <w:b/>
                <w:color w:val="212529"/>
                <w:sz w:val="20"/>
              </w:rPr>
              <w:t xml:space="preserve">3. In Dubio Pro Operario (in doubt, rule in favor of the worker): </w:t>
            </w:r>
            <w:r>
              <w:rPr>
                <w:rFonts w:ascii="Calibri" w:hAnsi="Calibri"/>
                <w:color w:val="212529"/>
                <w:sz w:val="20"/>
              </w:rPr>
              <w:t>Labor statutes and statutory penalties are construed liberally in favor of workingmen.</w:t>
            </w:r>
          </w:p>
        </w:tc>
      </w:tr>
    </w:tbl>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LEGAL BASIS</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Articles 4, 263, and 264 Labor Code, and In Dubio Pro Operario.</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"Sir/Ma'am, the legal basis is Articles 4, 263, and 264 of the Labor Code, applied through the canon In dubio pro operario (all doubts resolved in favor of labor)."</w:t>
            </w:r>
          </w:p>
        </w:tc>
      </w:tr>
    </w:tbl>
    <w:tbl>
      <w:tblPr>
        <w:tblW w:type="auto" w:w="0"/>
        <w:jc w:val="center"/>
        <w:tblLook w:firstColumn="1" w:firstRow="1" w:lastColumn="0" w:lastRow="0" w:noHBand="0" w:noVBand="1" w:val="04A0"/>
      </w:tblPr>
      <w:tblGrid>
        <w:gridCol w:w="9648"/>
      </w:tblGrid>
      <w:tr>
        <w:tc>
          <w:tcPr>
            <w:tcW w:type="dxa" w:w="9648"/>
            <w:shd w:fill="F4F6F9"/>
            <w:tcMar>
              <w:top w:w="120" w:type="dxa"/>
              <w:bottom w:w="120" w:type="dxa"/>
              <w:left w:w="180" w:type="dxa"/>
              <w:right w:w="180" w:type="dxa"/>
            </w:tcMar>
          </w:tcPr>
          <w:p>
            <w:pPr>
              <w:spacing w:before="40" w:after="60"/>
            </w:pPr>
            <w:r>
              <w:rPr>
                <w:rFonts w:ascii="Arial" w:hAnsi="Arial"/>
                <w:b/>
                <w:color w:val="0F2043"/>
                <w:sz w:val="21"/>
              </w:rPr>
              <w:t>[A] ANALYSIS / APPLICATION</w:t>
              <w:br/>
            </w:r>
          </w:p>
          <w:p>
            <w:pPr>
              <w:spacing w:before="20" w:after="40" w:line="276" w:lineRule="auto"/>
            </w:pPr>
            <w:r>
              <w:rPr>
                <w:rFonts w:ascii="Calibri" w:hAnsi="Calibri"/>
                <w:b/>
                <w:color w:val="212529"/>
                <w:sz w:val="20"/>
              </w:rPr>
              <w:t xml:space="preserve">1. Mandatory Nature of Strike Requirements: </w:t>
            </w:r>
            <w:r>
              <w:rPr>
                <w:rFonts w:ascii="Calibri" w:hAnsi="Calibri"/>
                <w:color w:val="212529"/>
                <w:sz w:val="20"/>
              </w:rPr>
              <w:t>The procedural requirements for staging a strike—including the 7-day waiting period following the strike vote—are mandatory and jurisdictional.</w:t>
            </w:r>
          </w:p>
          <w:p>
            <w:pPr>
              <w:spacing w:before="20" w:after="40" w:line="276" w:lineRule="auto"/>
            </w:pPr>
            <w:r>
              <w:rPr>
                <w:rFonts w:ascii="Calibri" w:hAnsi="Calibri"/>
                <w:b/>
                <w:color w:val="212529"/>
                <w:sz w:val="20"/>
              </w:rPr>
              <w:t xml:space="preserve">2. Separation of Strike Illegality from Individual Liability: </w:t>
            </w:r>
            <w:r>
              <w:rPr>
                <w:rFonts w:ascii="Calibri" w:hAnsi="Calibri"/>
                <w:color w:val="212529"/>
                <w:sz w:val="20"/>
              </w:rPr>
              <w:t>A finding that a strike is illegal does not automatically result in the termination of union officers unless it is proven that they knowingly participated in an illegal strike with malicious intent or committed illegal acts.</w:t>
            </w:r>
          </w:p>
          <w:p>
            <w:pPr>
              <w:spacing w:before="20" w:after="40" w:line="276" w:lineRule="auto"/>
            </w:pPr>
            <w:r>
              <w:rPr>
                <w:rFonts w:ascii="Calibri" w:hAnsi="Calibri"/>
                <w:b/>
                <w:color w:val="212529"/>
                <w:sz w:val="20"/>
              </w:rPr>
              <w:t xml:space="preserve">3. Harmonization of Labor Protection and Statutory Rules: </w:t>
            </w:r>
            <w:r>
              <w:rPr>
                <w:rFonts w:ascii="Calibri" w:hAnsi="Calibri"/>
                <w:color w:val="212529"/>
                <w:sz w:val="20"/>
              </w:rPr>
              <w:t>Statutory construction of labor laws requires balancing strict regulatory compliance with the constitutional mandate of security of tenure and social justice.</w:t>
            </w:r>
          </w:p>
        </w:tc>
      </w:tr>
    </w:tbl>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ANALYSIS / APPLICATION</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The Court balanced two things: the rules on strikes must be followed (so the strike was technically illegal), but the penalty of losing one's livelihood should only be applied to union leaders who commit violence or bad faith. Since they only miscalculated the days, they should not be stripped of all rights.</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"Sir/Ma'am, the Court harmonized statutory provisions: under Verba Legis, procedural strike rules are mandatory, but under In Dubio Pro Operario and Article 4, penalties against workers are construed strictly against termination where good faith exists."</w:t>
            </w:r>
          </w:p>
        </w:tc>
      </w:tr>
    </w:tbl>
    <w:tbl>
      <w:tblPr>
        <w:tblW w:type="auto" w:w="0"/>
        <w:jc w:val="center"/>
        <w:tblLook w:firstColumn="1" w:firstRow="1" w:lastColumn="0" w:lastRow="0" w:noHBand="0" w:noVBand="1" w:val="04A0"/>
      </w:tblPr>
      <w:tblGrid>
        <w:gridCol w:w="9648"/>
      </w:tblGrid>
      <w:tr>
        <w:tc>
          <w:tcPr>
            <w:tcW w:type="dxa" w:w="9648"/>
            <w:shd w:fill="F4F6F9"/>
            <w:tcMar>
              <w:top w:w="120" w:type="dxa"/>
              <w:bottom w:w="120" w:type="dxa"/>
              <w:left w:w="180" w:type="dxa"/>
              <w:right w:w="180" w:type="dxa"/>
            </w:tcMar>
          </w:tcPr>
          <w:p>
            <w:pPr>
              <w:spacing w:before="40" w:after="60"/>
            </w:pPr>
            <w:r>
              <w:rPr>
                <w:rFonts w:ascii="Arial" w:hAnsi="Arial"/>
                <w:b/>
                <w:color w:val="0F2043"/>
                <w:sz w:val="21"/>
              </w:rPr>
              <w:t>[C] CONCLUSION</w:t>
              <w:br/>
            </w:r>
          </w:p>
          <w:p>
            <w:pPr>
              <w:spacing w:before="20" w:after="40" w:line="276" w:lineRule="auto"/>
            </w:pPr>
            <w:r>
              <w:rPr>
                <w:rFonts w:ascii="Calibri" w:hAnsi="Calibri"/>
                <w:color w:val="212529"/>
                <w:sz w:val="20"/>
              </w:rPr>
              <w:t>The Supreme Court DECLARED the strike ILLEGAL, but ORDERED Club Filipino to pay separation pay to the dismissed union officers in lieu of reinstatement, modifying the NLRC ruling.</w:t>
            </w:r>
          </w:p>
        </w:tc>
      </w:tr>
    </w:tbl>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CONCLUSION</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The strike was ruled illegal, but the officers were awarded separation pay because they acted in good faith.</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"The Supreme Court affirmed the strike's illegality but granted separation pay to the officers under the protective construction of the Labor Code."</w:t>
            </w:r>
          </w:p>
        </w:tc>
      </w:tr>
    </w:tbl>
    <w:p>
      <w:pPr>
        <w:keepNext/>
        <w:spacing w:before="200" w:after="40"/>
      </w:pPr>
      <w:r>
        <w:rPr>
          <w:rFonts w:ascii="Arial" w:hAnsi="Arial"/>
          <w:b/>
          <w:color w:val="781E1E"/>
          <w:sz w:val="22"/>
        </w:rPr>
        <w:t>V. RELATION TO STATUTORY CONSTRUCTION</w:t>
      </w:r>
    </w:p>
    <w:p>
      <w:pPr>
        <w:spacing w:before="40" w:after="80" w:line="276" w:lineRule="auto"/>
      </w:pPr>
      <w:r>
        <w:rPr>
          <w:rFonts w:ascii="Calibri" w:hAnsi="Calibri"/>
          <w:b/>
          <w:color w:val="212529"/>
          <w:sz w:val="21"/>
        </w:rPr>
        <w:t>• Syllabus Topic Alignment:</w:t>
        <w:br/>
      </w:r>
      <w:r>
        <w:rPr>
          <w:rFonts w:ascii="Calibri" w:hAnsi="Calibri"/>
          <w:i w:val="0"/>
          <w:color w:val="212529"/>
          <w:sz w:val="21"/>
        </w:rPr>
        <w:t>• Chapter III: Basic Guidelines in the Construction and Interpretation of Laws</w:t>
        <w:br/>
        <w:t xml:space="preserve">  - A. General Guidelines: Liberal Construction of Social &amp; Labor Legislation (In Dubio Pro Operario)</w:t>
      </w:r>
    </w:p>
    <w:tbl>
      <w:tblPr>
        <w:tblW w:type="auto" w:w="0"/>
        <w:jc w:val="center"/>
        <w:tblLook w:firstColumn="1" w:firstRow="1" w:lastColumn="0" w:lastRow="0" w:noHBand="0" w:noVBand="1" w:val="04A0"/>
      </w:tblPr>
      <w:tblGrid>
        <w:gridCol w:w="9648"/>
      </w:tblGrid>
      <w:tr>
        <w:tc>
          <w:tcPr>
            <w:tcW w:type="dxa" w:w="9648"/>
            <w:shd w:fill="FDF6EE"/>
            <w:tcMar>
              <w:top w:w="120" w:type="dxa"/>
              <w:bottom w:w="120" w:type="dxa"/>
              <w:left w:w="180" w:type="dxa"/>
              <w:right w:w="180" w:type="dxa"/>
            </w:tcMar>
          </w:tcPr>
          <w:p>
            <w:pPr>
              <w:spacing w:before="40" w:after="80"/>
            </w:pPr>
            <w:r>
              <w:rPr>
                <w:rFonts w:ascii="Arial" w:hAnsi="Arial"/>
                <w:b/>
                <w:color w:val="8C3200"/>
                <w:sz w:val="20"/>
              </w:rPr>
              <w:t>📜 GOVERNING LATIN MAXIMS WITH ENGLISH TRANSLATIONS</w:t>
              <w:br/>
            </w:r>
          </w:p>
          <w:p>
            <w:pPr>
              <w:spacing w:before="40" w:after="60" w:line="276" w:lineRule="auto"/>
            </w:pPr>
            <w:r>
              <w:rPr>
                <w:rFonts w:ascii="Calibri" w:hAnsi="Calibri"/>
                <w:b/>
                <w:color w:val="8C3200"/>
                <w:sz w:val="20"/>
              </w:rPr>
              <w:t>1. In dubio pro operario (in doubt, rule in favor of the worker)</w:t>
              <w:br/>
            </w:r>
            <w:r>
              <w:rPr>
                <w:rFonts w:ascii="Calibri" w:hAnsi="Calibri"/>
                <w:b/>
                <w:color w:val="212529"/>
                <w:sz w:val="19"/>
              </w:rPr>
              <w:t xml:space="preserve">   • Literal English Translation: </w:t>
            </w:r>
            <w:r>
              <w:rPr>
                <w:rFonts w:ascii="Calibri" w:hAnsi="Calibri"/>
                <w:i/>
                <w:color w:val="212529"/>
                <w:sz w:val="19"/>
              </w:rPr>
              <w:t>In doubt, rule in favor of the worker.</w:t>
              <w:br/>
            </w:r>
            <w:r>
              <w:rPr>
                <w:rFonts w:ascii="Calibri" w:hAnsi="Calibri"/>
                <w:b/>
                <w:color w:val="212529"/>
                <w:sz w:val="19"/>
              </w:rPr>
              <w:t xml:space="preserve">   • Plain Legal Meaning &amp; StatCon Application: </w:t>
            </w:r>
            <w:r>
              <w:rPr>
                <w:rFonts w:ascii="Calibri" w:hAnsi="Calibri"/>
                <w:color w:val="212529"/>
                <w:sz w:val="19"/>
              </w:rPr>
              <w:t>Doubts in the application of Labor Code penalty provisions are resolved in favor of labor protection.</w:t>
            </w:r>
          </w:p>
          <w:p>
            <w:pPr>
              <w:spacing w:before="40" w:after="60" w:line="276" w:lineRule="auto"/>
            </w:pPr>
            <w:r>
              <w:rPr>
                <w:rFonts w:ascii="Calibri" w:hAnsi="Calibri"/>
                <w:b/>
                <w:color w:val="8C3200"/>
                <w:sz w:val="20"/>
              </w:rPr>
              <w:t>2. Favorabilia sunt amplianda, odiosa restringenda (favorable things should be expanded, odious things restricted)</w:t>
              <w:br/>
            </w:r>
            <w:r>
              <w:rPr>
                <w:rFonts w:ascii="Calibri" w:hAnsi="Calibri"/>
                <w:b/>
                <w:color w:val="212529"/>
                <w:sz w:val="19"/>
              </w:rPr>
              <w:t xml:space="preserve">   • Literal English Translation: </w:t>
            </w:r>
            <w:r>
              <w:rPr>
                <w:rFonts w:ascii="Calibri" w:hAnsi="Calibri"/>
                <w:i/>
                <w:color w:val="212529"/>
                <w:sz w:val="19"/>
              </w:rPr>
              <w:t>Matters of favor should be enlarged, and hateful matters restrained.</w:t>
              <w:br/>
            </w:r>
            <w:r>
              <w:rPr>
                <w:rFonts w:ascii="Calibri" w:hAnsi="Calibri"/>
                <w:b/>
                <w:color w:val="212529"/>
                <w:sz w:val="19"/>
              </w:rPr>
              <w:t xml:space="preserve">   • Plain Legal Meaning &amp; StatCon Application: </w:t>
            </w:r>
            <w:r>
              <w:rPr>
                <w:rFonts w:ascii="Calibri" w:hAnsi="Calibri"/>
                <w:color w:val="212529"/>
                <w:sz w:val="19"/>
              </w:rPr>
              <w:t>Rights protective of workers must be expanded, while severe penal sanctions like forfeiture of livelihood must be restricted.</w:t>
            </w:r>
          </w:p>
          <w:p>
            <w:pPr>
              <w:spacing w:before="40" w:after="60" w:line="276" w:lineRule="auto"/>
            </w:pPr>
            <w:r>
              <w:rPr>
                <w:rFonts w:ascii="Calibri" w:hAnsi="Calibri"/>
                <w:b/>
                <w:color w:val="8C3200"/>
                <w:sz w:val="20"/>
              </w:rPr>
              <w:t>3. Dura lex, sed lex (the law is harsh, but it is the law)</w:t>
              <w:br/>
            </w:r>
            <w:r>
              <w:rPr>
                <w:rFonts w:ascii="Calibri" w:hAnsi="Calibri"/>
                <w:b/>
                <w:color w:val="212529"/>
                <w:sz w:val="19"/>
              </w:rPr>
              <w:t xml:space="preserve">   • Literal English Translation: </w:t>
            </w:r>
            <w:r>
              <w:rPr>
                <w:rFonts w:ascii="Calibri" w:hAnsi="Calibri"/>
                <w:i/>
                <w:color w:val="212529"/>
                <w:sz w:val="19"/>
              </w:rPr>
              <w:t>The law is harsh, but it is the law.</w:t>
              <w:br/>
            </w:r>
            <w:r>
              <w:rPr>
                <w:rFonts w:ascii="Calibri" w:hAnsi="Calibri"/>
                <w:b/>
                <w:color w:val="212529"/>
                <w:sz w:val="19"/>
              </w:rPr>
              <w:t xml:space="preserve">   • Plain Legal Meaning &amp; StatCon Application: </w:t>
            </w:r>
            <w:r>
              <w:rPr>
                <w:rFonts w:ascii="Calibri" w:hAnsi="Calibri"/>
                <w:color w:val="212529"/>
                <w:sz w:val="19"/>
              </w:rPr>
              <w:t>Procedural cooling-off periods for strikes are mandatory and must be observed.</w:t>
            </w:r>
          </w:p>
        </w:tc>
      </w:tr>
    </w:tbl>
    <w:tbl>
      <w:tblPr>
        <w:tblW w:type="auto" w:w="0"/>
        <w:jc w:val="center"/>
        <w:tblLook w:firstColumn="1" w:firstRow="1" w:lastColumn="0" w:lastRow="0" w:noHBand="0" w:noVBand="1" w:val="04A0"/>
      </w:tblPr>
      <w:tblGrid>
        <w:gridCol w:w="4824"/>
        <w:gridCol w:w="4824"/>
      </w:tblGrid>
      <w:tr>
        <w:tc>
          <w:tcPr>
            <w:tcW w:type="dxa" w:w="4824"/>
            <w:shd w:fill="EAEFF5"/>
            <w:tcMar>
              <w:top w:w="80" w:type="dxa"/>
              <w:bottom w:w="80" w:type="dxa"/>
              <w:left w:w="120" w:type="dxa"/>
              <w:right w:w="120" w:type="dxa"/>
            </w:tcMar>
          </w:tcPr>
          <w:p>
            <w:pPr>
              <w:spacing w:before="40" w:after="40"/>
            </w:pPr>
            <w:r>
              <w:rPr>
                <w:rFonts w:ascii="Arial" w:hAnsi="Arial"/>
                <w:b/>
                <w:color w:val="0F2043"/>
                <w:sz w:val="18"/>
              </w:rPr>
              <w:t>Syllabus Topic Alignment</w:t>
              <w:br/>
              <w:t>(StatCon_Syllabus_JPR.pdf)</w:t>
            </w:r>
          </w:p>
        </w:tc>
        <w:tc>
          <w:tcPr>
            <w:tcW w:type="dxa" w:w="4824"/>
            <w:shd w:fill="FAFAFA"/>
            <w:tcMar>
              <w:top w:w="80" w:type="dxa"/>
              <w:bottom w:w="80" w:type="dxa"/>
              <w:left w:w="120" w:type="dxa"/>
              <w:right w:w="120" w:type="dxa"/>
            </w:tcMar>
          </w:tcPr>
          <w:p>
            <w:pPr>
              <w:spacing w:before="40" w:after="40" w:line="276" w:lineRule="auto"/>
            </w:pPr>
            <w:r>
              <w:rPr>
                <w:rFonts w:ascii="Calibri" w:hAnsi="Calibri"/>
                <w:color w:val="212529"/>
                <w:sz w:val="19"/>
              </w:rPr>
              <w:t>• Chapter III: Basic Guidelines in the Construction and Interpretation of Laws</w:t>
              <w:br/>
              <w:t xml:space="preserve">  - A. General Guidelines: Liberal Construction of Social &amp; Labor Legislation (In Dubio Pro Operario)</w:t>
            </w:r>
          </w:p>
        </w:tc>
      </w:tr>
      <w:tr>
        <w:tc>
          <w:tcPr>
            <w:tcW w:type="dxa" w:w="4824"/>
            <w:shd w:fill="EAEFF5"/>
            <w:tcMar>
              <w:top w:w="80" w:type="dxa"/>
              <w:bottom w:w="80" w:type="dxa"/>
              <w:left w:w="120" w:type="dxa"/>
              <w:right w:w="120" w:type="dxa"/>
            </w:tcMar>
          </w:tcPr>
          <w:p>
            <w:pPr>
              <w:spacing w:before="40" w:after="40"/>
            </w:pPr>
            <w:r>
              <w:rPr>
                <w:rFonts w:ascii="Arial" w:hAnsi="Arial"/>
                <w:b/>
                <w:color w:val="0F2043"/>
                <w:sz w:val="18"/>
              </w:rPr>
              <w:t>Governing Latin Maxims &amp; English</w:t>
            </w:r>
          </w:p>
        </w:tc>
        <w:tc>
          <w:tcPr>
            <w:tcW w:type="dxa" w:w="4824"/>
            <w:shd w:fill="FAFAFA"/>
            <w:tcMar>
              <w:top w:w="80" w:type="dxa"/>
              <w:bottom w:w="80" w:type="dxa"/>
              <w:left w:w="120" w:type="dxa"/>
              <w:right w:w="120" w:type="dxa"/>
            </w:tcMar>
          </w:tcPr>
          <w:p>
            <w:pPr>
              <w:spacing w:before="40" w:after="40" w:line="276" w:lineRule="auto"/>
            </w:pPr>
            <w:r>
              <w:rPr>
                <w:rFonts w:ascii="Calibri" w:hAnsi="Calibri"/>
                <w:color w:val="212529"/>
                <w:sz w:val="19"/>
              </w:rPr>
              <w:t>Primary:</w:t>
              <w:br/>
              <w:t>In dubio pro operario</w:t>
              <w:br/>
              <w:t>(in doubt, rule in favor of the worker / Labor Code penalties construed strictly against employment forfeiture)</w:t>
              <w:br/>
              <w:br/>
              <w:t>Secondary:</w:t>
              <w:br/>
              <w:t>• Favorabilia sunt amplianda odiosa restringenda (favor broad interpretation of rights, restrict penalties)</w:t>
              <w:br/>
              <w:t>• Dura lex sed lex (mandatory procedural strike rules)</w:t>
            </w:r>
          </w:p>
        </w:tc>
      </w:tr>
      <w:tr>
        <w:tc>
          <w:tcPr>
            <w:tcW w:type="dxa" w:w="4824"/>
            <w:shd w:fill="EAEFF5"/>
            <w:tcMar>
              <w:top w:w="80" w:type="dxa"/>
              <w:bottom w:w="80" w:type="dxa"/>
              <w:left w:w="120" w:type="dxa"/>
              <w:right w:w="120" w:type="dxa"/>
            </w:tcMar>
          </w:tcPr>
          <w:p>
            <w:pPr>
              <w:spacing w:before="40" w:after="40"/>
            </w:pPr>
            <w:r>
              <w:rPr>
                <w:rFonts w:ascii="Arial" w:hAnsi="Arial"/>
                <w:b/>
                <w:color w:val="0F2043"/>
                <w:sz w:val="18"/>
              </w:rPr>
              <w:t>Case Violation in StatCon</w:t>
            </w:r>
          </w:p>
        </w:tc>
        <w:tc>
          <w:tcPr>
            <w:tcW w:type="dxa" w:w="4824"/>
            <w:shd w:fill="FAFAFA"/>
            <w:tcMar>
              <w:top w:w="80" w:type="dxa"/>
              <w:bottom w:w="80" w:type="dxa"/>
              <w:left w:w="120" w:type="dxa"/>
              <w:right w:w="120" w:type="dxa"/>
            </w:tcMar>
          </w:tcPr>
          <w:p>
            <w:pPr>
              <w:spacing w:before="40" w:after="40" w:line="276" w:lineRule="auto"/>
            </w:pPr>
            <w:r>
              <w:rPr>
                <w:rFonts w:ascii="Calibri" w:hAnsi="Calibri"/>
                <w:color w:val="212529"/>
                <w:sz w:val="19"/>
              </w:rPr>
              <w:t>The employer sought an automatic, inflexible termination of union officers based on a procedural technicality without considering good faith.</w:t>
            </w:r>
          </w:p>
        </w:tc>
      </w:tr>
      <w:tr>
        <w:tc>
          <w:tcPr>
            <w:tcW w:type="dxa" w:w="4824"/>
            <w:shd w:fill="EAEFF5"/>
            <w:tcMar>
              <w:top w:w="80" w:type="dxa"/>
              <w:bottom w:w="80" w:type="dxa"/>
              <w:left w:w="120" w:type="dxa"/>
              <w:right w:w="120" w:type="dxa"/>
            </w:tcMar>
          </w:tcPr>
          <w:p>
            <w:pPr>
              <w:spacing w:before="40" w:after="40"/>
            </w:pPr>
            <w:r>
              <w:rPr>
                <w:rFonts w:ascii="Arial" w:hAnsi="Arial"/>
                <w:b/>
                <w:color w:val="0F2043"/>
                <w:sz w:val="18"/>
              </w:rPr>
              <w:t>Doctrinal Execution / Principle</w:t>
            </w:r>
          </w:p>
        </w:tc>
        <w:tc>
          <w:tcPr>
            <w:tcW w:type="dxa" w:w="4824"/>
            <w:shd w:fill="FAFAFA"/>
            <w:tcMar>
              <w:top w:w="80" w:type="dxa"/>
              <w:bottom w:w="80" w:type="dxa"/>
              <w:left w:w="120" w:type="dxa"/>
              <w:right w:w="120" w:type="dxa"/>
            </w:tcMar>
          </w:tcPr>
          <w:p>
            <w:pPr>
              <w:spacing w:before="40" w:after="40" w:line="276" w:lineRule="auto"/>
            </w:pPr>
            <w:r>
              <w:rPr>
                <w:rFonts w:ascii="Calibri" w:hAnsi="Calibri"/>
                <w:color w:val="212529"/>
                <w:sz w:val="19"/>
              </w:rPr>
              <w:t>Protective Construction of Labor Statutes: Social legislation must be interpreted to protect the constitutional right to security of tenure unless bad faith or illegal acts are established.</w:t>
            </w:r>
          </w:p>
        </w:tc>
      </w:tr>
    </w:tbl>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RELATION TO STATUTORY CONSTRUCTION</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Labor laws are written to protect workers; when applying penalties, courts will look for fair balance and good faith rather than imposing automatic ruin on workers.</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"Sir/Ma'am, Club Filipino v. Bautista demonstrates how labor statutes are construed liberally in favor of workers (In dubio pro operario) to prevent harsh automatic forfeitures."</w:t>
            </w:r>
          </w:p>
        </w:tc>
      </w:tr>
    </w:tbl>
    <w:p>
      <w:pPr>
        <w:spacing w:before="160" w:after="80"/>
      </w:pPr>
    </w:p>
    <w:tbl>
      <w:tblPr>
        <w:tblW w:type="auto" w:w="0"/>
        <w:jc w:val="center"/>
        <w:tblLook w:firstColumn="1" w:firstRow="1" w:lastColumn="0" w:lastRow="0" w:noHBand="0" w:noVBand="1" w:val="04A0"/>
      </w:tblPr>
      <w:tblGrid>
        <w:gridCol w:w="9648"/>
      </w:tblGrid>
      <w:tr>
        <w:tc>
          <w:tcPr>
            <w:tcW w:type="dxa" w:w="9648"/>
            <w:shd w:fill="1E3A5F"/>
            <w:tcMar>
              <w:top w:w="140" w:type="dxa"/>
              <w:bottom w:w="140" w:type="dxa"/>
              <w:left w:w="200" w:type="dxa"/>
              <w:right w:w="200" w:type="dxa"/>
            </w:tcMar>
          </w:tcPr>
          <w:p>
            <w:pPr>
              <w:spacing w:before="40" w:after="40"/>
              <w:jc w:val="center"/>
            </w:pPr>
            <w:r>
              <w:rPr>
                <w:rFonts w:ascii="Arial" w:hAnsi="Arial"/>
                <w:b/>
                <w:color w:val="FFD700"/>
                <w:sz w:val="22"/>
              </w:rPr>
              <w:t>⚖ STANDARDIZED CASE DIGEST: STATUTORY CONSTRUCTION FORMAT</w:t>
              <w:br/>
            </w:r>
            <w:r>
              <w:rPr>
                <w:rFonts w:ascii="Arial" w:hAnsi="Arial"/>
                <w:i/>
                <w:color w:val="DCEBFF"/>
                <w:sz w:val="18"/>
              </w:rPr>
              <w:t>(Complete 12-Section Academic &amp; Judicial Construction Analysis)</w:t>
            </w:r>
          </w:p>
        </w:tc>
      </w:tr>
    </w:tbl>
    <w:p>
      <w:pPr>
        <w:spacing w:before="80" w:after="80"/>
      </w:pPr>
    </w:p>
    <w:tbl>
      <w:tblPr>
        <w:tblW w:type="auto" w:w="0"/>
        <w:jc w:val="center"/>
        <w:tblLook w:firstColumn="1" w:firstRow="1" w:lastColumn="0" w:lastRow="0" w:noHBand="0" w:noVBand="1" w:val="04A0"/>
      </w:tblPr>
      <w:tblGrid>
        <w:gridCol w:w="4824"/>
        <w:gridCol w:w="4824"/>
      </w:tblGrid>
      <w:tr>
        <w:tc>
          <w:tcPr>
            <w:tcW w:type="dxa" w:w="4824"/>
            <w:shd w:fill="EBF0F7"/>
            <w:tcMar>
              <w:top w:w="60" w:type="dxa"/>
              <w:bottom w:w="60" w:type="dxa"/>
              <w:left w:w="120" w:type="dxa"/>
              <w:right w:w="120" w:type="dxa"/>
            </w:tcMar>
          </w:tcPr>
          <w:p>
            <w:pPr>
              <w:spacing w:before="20" w:after="20"/>
            </w:pPr>
            <w:r>
              <w:rPr>
                <w:rFonts w:ascii="Arial" w:hAnsi="Arial"/>
                <w:b/>
                <w:color w:val="0F2043"/>
                <w:sz w:val="19"/>
              </w:rPr>
              <w:t>Case Title:</w:t>
            </w:r>
          </w:p>
        </w:tc>
        <w:tc>
          <w:tcPr>
            <w:tcW w:type="dxa" w:w="4824"/>
            <w:shd w:fill="FAFCFF"/>
            <w:tcMar>
              <w:top w:w="60" w:type="dxa"/>
              <w:bottom w:w="60" w:type="dxa"/>
              <w:left w:w="120" w:type="dxa"/>
              <w:right w:w="120" w:type="dxa"/>
            </w:tcMar>
          </w:tcPr>
          <w:p>
            <w:pPr>
              <w:spacing w:before="20" w:after="20"/>
            </w:pPr>
            <w:r>
              <w:rPr>
                <w:rFonts w:ascii="Calibri" w:hAnsi="Calibri"/>
                <w:b/>
                <w:color w:val="212529"/>
                <w:sz w:val="19"/>
              </w:rPr>
              <w:t>Club Filipino, Inc. and Atty. Roberto F. De Leon v. Benjamin Bautista, et al.</w:t>
            </w:r>
          </w:p>
        </w:tc>
      </w:tr>
      <w:tr>
        <w:tc>
          <w:tcPr>
            <w:tcW w:type="dxa" w:w="4824"/>
            <w:shd w:fill="EBF0F7"/>
            <w:tcMar>
              <w:top w:w="60" w:type="dxa"/>
              <w:bottom w:w="60" w:type="dxa"/>
              <w:left w:w="120" w:type="dxa"/>
              <w:right w:w="120" w:type="dxa"/>
            </w:tcMar>
          </w:tcPr>
          <w:p>
            <w:pPr>
              <w:spacing w:before="20" w:after="20"/>
            </w:pPr>
            <w:r>
              <w:rPr>
                <w:rFonts w:ascii="Arial" w:hAnsi="Arial"/>
                <w:b/>
                <w:color w:val="0F2043"/>
                <w:sz w:val="19"/>
              </w:rPr>
              <w:t>G.R. No. / Record:</w:t>
            </w:r>
          </w:p>
        </w:tc>
        <w:tc>
          <w:tcPr>
            <w:tcW w:type="dxa" w:w="4824"/>
            <w:shd w:fill="FAFCFF"/>
            <w:tcMar>
              <w:top w:w="60" w:type="dxa"/>
              <w:bottom w:w="60" w:type="dxa"/>
              <w:left w:w="120" w:type="dxa"/>
              <w:right w:w="120" w:type="dxa"/>
            </w:tcMar>
          </w:tcPr>
          <w:p>
            <w:pPr>
              <w:spacing w:before="20" w:after="20"/>
            </w:pPr>
            <w:r>
              <w:rPr>
                <w:rFonts w:ascii="Calibri" w:hAnsi="Calibri"/>
                <w:b w:val="0"/>
                <w:color w:val="212529"/>
                <w:sz w:val="19"/>
              </w:rPr>
              <w:t>G.R. No. 168406</w:t>
            </w:r>
          </w:p>
        </w:tc>
      </w:tr>
      <w:tr>
        <w:tc>
          <w:tcPr>
            <w:tcW w:type="dxa" w:w="4824"/>
            <w:shd w:fill="EBF0F7"/>
            <w:tcMar>
              <w:top w:w="60" w:type="dxa"/>
              <w:bottom w:w="60" w:type="dxa"/>
              <w:left w:w="120" w:type="dxa"/>
              <w:right w:w="120" w:type="dxa"/>
            </w:tcMar>
          </w:tcPr>
          <w:p>
            <w:pPr>
              <w:spacing w:before="20" w:after="20"/>
            </w:pPr>
            <w:r>
              <w:rPr>
                <w:rFonts w:ascii="Arial" w:hAnsi="Arial"/>
                <w:b/>
                <w:color w:val="0F2043"/>
                <w:sz w:val="19"/>
              </w:rPr>
              <w:t>Date of Promulgation:</w:t>
            </w:r>
          </w:p>
        </w:tc>
        <w:tc>
          <w:tcPr>
            <w:tcW w:type="dxa" w:w="4824"/>
            <w:shd w:fill="FAFCFF"/>
            <w:tcMar>
              <w:top w:w="60" w:type="dxa"/>
              <w:bottom w:w="60" w:type="dxa"/>
              <w:left w:w="120" w:type="dxa"/>
              <w:right w:w="120" w:type="dxa"/>
            </w:tcMar>
          </w:tcPr>
          <w:p>
            <w:pPr>
              <w:spacing w:before="20" w:after="20"/>
            </w:pPr>
            <w:r>
              <w:rPr>
                <w:rFonts w:ascii="Calibri" w:hAnsi="Calibri"/>
                <w:b w:val="0"/>
                <w:color w:val="212529"/>
                <w:sz w:val="19"/>
              </w:rPr>
              <w:t>July 13, 2009</w:t>
            </w:r>
          </w:p>
        </w:tc>
      </w:tr>
      <w:tr>
        <w:tc>
          <w:tcPr>
            <w:tcW w:type="dxa" w:w="4824"/>
            <w:shd w:fill="EBF0F7"/>
            <w:tcMar>
              <w:top w:w="60" w:type="dxa"/>
              <w:bottom w:w="60" w:type="dxa"/>
              <w:left w:w="120" w:type="dxa"/>
              <w:right w:w="120" w:type="dxa"/>
            </w:tcMar>
          </w:tcPr>
          <w:p>
            <w:pPr>
              <w:spacing w:before="20" w:after="20"/>
            </w:pPr>
            <w:r>
              <w:rPr>
                <w:rFonts w:ascii="Arial" w:hAnsi="Arial"/>
                <w:b/>
                <w:color w:val="0F2043"/>
                <w:sz w:val="19"/>
              </w:rPr>
              <w:t>Ponente / Court:</w:t>
            </w:r>
          </w:p>
        </w:tc>
        <w:tc>
          <w:tcPr>
            <w:tcW w:type="dxa" w:w="4824"/>
            <w:shd w:fill="FAFCFF"/>
            <w:tcMar>
              <w:top w:w="60" w:type="dxa"/>
              <w:bottom w:w="60" w:type="dxa"/>
              <w:left w:w="120" w:type="dxa"/>
              <w:right w:w="120" w:type="dxa"/>
            </w:tcMar>
          </w:tcPr>
          <w:p>
            <w:pPr>
              <w:spacing w:before="20" w:after="20"/>
            </w:pPr>
            <w:r>
              <w:rPr>
                <w:rFonts w:ascii="Calibri" w:hAnsi="Calibri"/>
                <w:b w:val="0"/>
                <w:color w:val="212529"/>
                <w:sz w:val="19"/>
              </w:rPr>
              <w:t>Third Division</w:t>
            </w:r>
          </w:p>
        </w:tc>
      </w:tr>
    </w:tbl>
    <w:p>
      <w:pPr>
        <w:keepNext/>
        <w:spacing w:before="240" w:after="60"/>
      </w:pPr>
      <w:r>
        <w:rPr>
          <w:rFonts w:ascii="Arial" w:hAnsi="Arial"/>
          <w:b/>
          <w:color w:val="0F2043"/>
          <w:sz w:val="21"/>
        </w:rPr>
        <w:t>I. FACTS OF THE CASE</w:t>
      </w:r>
    </w:p>
    <w:tbl>
      <w:tblPr>
        <w:tblW w:type="auto" w:w="0"/>
        <w:jc w:val="center"/>
        <w:tblLook w:firstColumn="1" w:firstRow="1" w:lastColumn="0" w:lastRow="0" w:noHBand="0" w:noVBand="1" w:val="04A0"/>
      </w:tblPr>
      <w:tblGrid>
        <w:gridCol w:w="9648"/>
      </w:tblGrid>
      <w:tr>
        <w:tc>
          <w:tcPr>
            <w:tcW w:type="dxa" w:w="9648"/>
            <w:shd w:fill="F8F9FB"/>
            <w:tcMar>
              <w:top w:w="100" w:type="dxa"/>
              <w:bottom w:w="100" w:type="dxa"/>
              <w:left w:w="160" w:type="dxa"/>
              <w:right w:w="160" w:type="dxa"/>
            </w:tcMar>
          </w:tcPr>
          <w:p>
            <w:pPr>
              <w:spacing w:before="20" w:after="40"/>
            </w:pPr>
            <w:r>
              <w:rPr>
                <w:rFonts w:ascii="Arial" w:hAnsi="Arial"/>
                <w:b/>
                <w:color w:val="0F2043"/>
                <w:sz w:val="19"/>
              </w:rPr>
              <w:t>Material Facts of Controversy</w:t>
              <w:br/>
            </w:r>
          </w:p>
          <w:p>
            <w:pPr>
              <w:spacing w:before="20" w:after="40" w:line="276" w:lineRule="auto"/>
            </w:pPr>
            <w:r>
              <w:rPr>
                <w:rFonts w:ascii="Calibri" w:hAnsi="Calibri"/>
                <w:color w:val="212529"/>
                <w:sz w:val="19"/>
              </w:rPr>
              <w:t>Club Filipino Employees Association (Union) filed a Notice of Strike with the NCMB due to a collective bargaining deadlock. The union conducted a strike vote and submitted the strike vote results to the DOLE, but failed to observe the mandatory seven-day strike vote cooling-off/waiting period before staging the strike. Club Filipino filed a petition to declare the strike illegal and dismissed the participating union officers pursuant to Article 264 of the Labor Code. The union officers argued that their substantial compliance and good faith in conducting the strike vote should protect them from termination.</w:t>
            </w:r>
          </w:p>
        </w:tc>
      </w:tr>
    </w:tbl>
    <w:p>
      <w:pPr>
        <w:keepNext/>
        <w:spacing w:before="240" w:after="60"/>
      </w:pPr>
      <w:r>
        <w:rPr>
          <w:rFonts w:ascii="Arial" w:hAnsi="Arial"/>
          <w:b/>
          <w:color w:val="0F2043"/>
          <w:sz w:val="21"/>
        </w:rPr>
        <w:t>II. FACTS RELEVANT TO STATUTORY CONSTRUCTION</w:t>
      </w:r>
    </w:p>
    <w:tbl>
      <w:tblPr>
        <w:tblW w:type="auto" w:w="0"/>
        <w:jc w:val="center"/>
        <w:tblLook w:firstColumn="1" w:firstRow="1" w:lastColumn="0" w:lastRow="0" w:noHBand="0" w:noVBand="1" w:val="04A0"/>
      </w:tblPr>
      <w:tblGrid>
        <w:gridCol w:w="9648"/>
      </w:tblGrid>
      <w:tr>
        <w:tc>
          <w:tcPr>
            <w:tcW w:type="dxa" w:w="9648"/>
            <w:shd w:fill="F8F9FB"/>
            <w:tcMar>
              <w:top w:w="100" w:type="dxa"/>
              <w:bottom w:w="100" w:type="dxa"/>
              <w:left w:w="160" w:type="dxa"/>
              <w:right w:w="160" w:type="dxa"/>
            </w:tcMar>
          </w:tcPr>
          <w:p>
            <w:pPr>
              <w:spacing w:before="20" w:after="40"/>
            </w:pPr>
            <w:r>
              <w:rPr>
                <w:rFonts w:ascii="Arial" w:hAnsi="Arial"/>
                <w:b/>
                <w:color w:val="0F2043"/>
                <w:sz w:val="19"/>
              </w:rPr>
              <w:t>Facts Giving Rise to Need for Interpretation</w:t>
              <w:br/>
            </w:r>
          </w:p>
          <w:p>
            <w:pPr>
              <w:spacing w:before="20" w:after="40" w:line="276" w:lineRule="auto"/>
            </w:pPr>
            <w:r>
              <w:rPr>
                <w:rFonts w:ascii="Calibri" w:hAnsi="Calibri"/>
                <w:b/>
                <w:color w:val="212529"/>
                <w:sz w:val="19"/>
              </w:rPr>
              <w:t xml:space="preserve">• What provision of law or rule became relevant? </w:t>
            </w:r>
            <w:r>
              <w:rPr>
                <w:rFonts w:ascii="Calibri" w:hAnsi="Calibri"/>
                <w:color w:val="212529"/>
                <w:sz w:val="19"/>
              </w:rPr>
              <w:t>1. Articles 263 and 264, Labor Code of the Philippines: Mandatory procedural requirements for a valid strike and grounds for declaring strike illegality and union officer termination.</w:t>
              <w:br/>
              <w:t>2. Article 4, Labor Code of the Philippines: All doubts in the implementation and interpretation of the provisions of this Code shall be resolved in favor of labor.</w:t>
            </w:r>
          </w:p>
          <w:p>
            <w:pPr>
              <w:spacing w:before="20" w:after="40" w:line="276" w:lineRule="auto"/>
            </w:pPr>
            <w:r>
              <w:rPr>
                <w:rFonts w:ascii="Calibri" w:hAnsi="Calibri"/>
                <w:b/>
                <w:color w:val="212529"/>
                <w:sz w:val="19"/>
              </w:rPr>
              <w:t xml:space="preserve">• What circumstance made interpretation necessary? </w:t>
            </w:r>
            <w:r>
              <w:rPr>
                <w:rFonts w:ascii="Calibri" w:hAnsi="Calibri"/>
                <w:color w:val="212529"/>
                <w:sz w:val="19"/>
              </w:rPr>
              <w:t>The employer sought an automatic, inflexible termination of union officers based on a procedural technicality without considering good faith.</w:t>
            </w:r>
          </w:p>
          <w:p>
            <w:pPr>
              <w:spacing w:before="20" w:after="40" w:line="276" w:lineRule="auto"/>
            </w:pPr>
            <w:r>
              <w:rPr>
                <w:rFonts w:ascii="Calibri" w:hAnsi="Calibri"/>
                <w:b/>
                <w:color w:val="212529"/>
                <w:sz w:val="19"/>
              </w:rPr>
              <w:t xml:space="preserve">• What competing interpretations were presented? </w:t>
            </w:r>
            <w:r>
              <w:rPr>
                <w:rFonts w:ascii="Calibri" w:hAnsi="Calibri"/>
                <w:color w:val="212529"/>
                <w:sz w:val="19"/>
              </w:rPr>
              <w:t>Petitioner argued for a favorable interpretation based on statutory intent, while Respondent contended for a literal or restrictive application.</w:t>
            </w:r>
          </w:p>
        </w:tc>
      </w:tr>
    </w:tbl>
    <w:p>
      <w:pPr>
        <w:keepNext/>
        <w:spacing w:before="240" w:after="60"/>
      </w:pPr>
      <w:r>
        <w:rPr>
          <w:rFonts w:ascii="Arial" w:hAnsi="Arial"/>
          <w:b/>
          <w:color w:val="0F2043"/>
          <w:sz w:val="21"/>
        </w:rPr>
        <w:t>III. ISSUES</w:t>
      </w:r>
    </w:p>
    <w:p>
      <w:pPr>
        <w:keepNext/>
        <w:spacing w:before="120" w:after="40"/>
      </w:pPr>
      <w:r>
        <w:rPr>
          <w:rFonts w:ascii="Arial" w:hAnsi="Arial"/>
          <w:b/>
          <w:color w:val="781E1E"/>
          <w:sz w:val="20"/>
        </w:rPr>
        <w:t>A. General Legal Issues</w:t>
      </w:r>
    </w:p>
    <w:p>
      <w:pPr>
        <w:spacing w:before="40" w:after="80" w:line="276" w:lineRule="auto"/>
      </w:pPr>
      <w:r>
        <w:rPr>
          <w:rFonts w:ascii="Calibri" w:hAnsi="Calibri"/>
          <w:i w:val="0"/>
          <w:color w:val="212529"/>
          <w:sz w:val="21"/>
        </w:rPr>
        <w:t>Whether or not the failure to observe the mandatory seven-day strike vote cooling-off period under Article 263(f) renders the strike illegal and automatically justifies the dismissal of all union officers.</w:t>
      </w:r>
    </w:p>
    <w:p>
      <w:pPr>
        <w:keepNext/>
        <w:spacing w:before="120" w:after="40"/>
      </w:pPr>
      <w:r>
        <w:rPr>
          <w:rFonts w:ascii="Arial" w:hAnsi="Arial"/>
          <w:b/>
          <w:color w:val="781E1E"/>
          <w:sz w:val="20"/>
        </w:rPr>
        <w:t>B. Statutory-Construction Issue/s</w:t>
      </w:r>
    </w:p>
    <w:tbl>
      <w:tblPr>
        <w:tblW w:type="auto" w:w="0"/>
        <w:jc w:val="center"/>
        <w:tblLook w:firstColumn="1" w:firstRow="1" w:lastColumn="0" w:lastRow="0" w:noHBand="0" w:noVBand="1" w:val="04A0"/>
      </w:tblPr>
      <w:tblGrid>
        <w:gridCol w:w="9648"/>
      </w:tblGrid>
      <w:tr>
        <w:tc>
          <w:tcPr>
            <w:tcW w:type="dxa" w:w="9648"/>
            <w:shd w:fill="EBF3FA"/>
            <w:tcMar>
              <w:top w:w="100" w:type="dxa"/>
              <w:bottom w:w="100" w:type="dxa"/>
              <w:left w:w="160" w:type="dxa"/>
              <w:right w:w="160" w:type="dxa"/>
            </w:tcMar>
          </w:tcPr>
          <w:p>
            <w:pPr>
              <w:spacing w:before="20" w:after="40"/>
            </w:pPr>
            <w:r>
              <w:rPr>
                <w:rFonts w:ascii="Arial" w:hAnsi="Arial"/>
                <w:b/>
                <w:color w:val="0F2043"/>
                <w:sz w:val="19"/>
              </w:rPr>
              <w:t>Standardized StatCon Issue Statement</w:t>
              <w:br/>
            </w:r>
          </w:p>
          <w:p>
            <w:pPr>
              <w:spacing w:before="20" w:after="40" w:line="276" w:lineRule="auto"/>
            </w:pPr>
            <w:r>
              <w:rPr>
                <w:rFonts w:ascii="Calibri" w:hAnsi="Calibri"/>
                <w:color w:val="212529"/>
                <w:sz w:val="19"/>
              </w:rPr>
              <w:t>Whether the subject statutory act, classification, or terminology under the governing statute/rule means, includes, or applies to the factual controversy in Club Filipino, Inc. and Atty. Roberto F. De Leon v. Benjamin Bautista, et al., under the canon of In dubio pro operario.</w:t>
            </w:r>
          </w:p>
        </w:tc>
      </w:tr>
    </w:tbl>
    <w:p>
      <w:pPr>
        <w:keepNext/>
        <w:spacing w:before="240" w:after="60"/>
      </w:pPr>
      <w:r>
        <w:rPr>
          <w:rFonts w:ascii="Arial" w:hAnsi="Arial"/>
          <w:b/>
          <w:color w:val="0F2043"/>
          <w:sz w:val="21"/>
        </w:rPr>
        <w:t>IV. PROVISION/S OF LAW CONSTRUED</w:t>
      </w:r>
    </w:p>
    <w:tbl>
      <w:tblPr>
        <w:tblW w:type="auto" w:w="0"/>
        <w:jc w:val="center"/>
        <w:tblLook w:firstColumn="1" w:firstRow="1" w:lastColumn="0" w:lastRow="0" w:noHBand="0" w:noVBand="1" w:val="04A0"/>
      </w:tblPr>
      <w:tblGrid>
        <w:gridCol w:w="9648"/>
      </w:tblGrid>
      <w:tr>
        <w:tc>
          <w:tcPr>
            <w:tcW w:type="dxa" w:w="9648"/>
            <w:shd w:fill="F8F9FB"/>
            <w:tcMar>
              <w:top w:w="100" w:type="dxa"/>
              <w:bottom w:w="100" w:type="dxa"/>
              <w:left w:w="160" w:type="dxa"/>
              <w:right w:w="160" w:type="dxa"/>
            </w:tcMar>
          </w:tcPr>
          <w:p>
            <w:pPr>
              <w:spacing w:before="20" w:after="40"/>
            </w:pPr>
            <w:r>
              <w:rPr>
                <w:rFonts w:ascii="Arial" w:hAnsi="Arial"/>
                <w:b/>
                <w:color w:val="0F2043"/>
                <w:sz w:val="19"/>
              </w:rPr>
              <w:t>Statutory / Constitutional Text &amp; Problem</w:t>
              <w:br/>
            </w:r>
          </w:p>
          <w:p>
            <w:pPr>
              <w:spacing w:before="20" w:after="40" w:line="276" w:lineRule="auto"/>
            </w:pPr>
            <w:r>
              <w:rPr>
                <w:rFonts w:ascii="Calibri" w:hAnsi="Calibri"/>
                <w:b/>
                <w:color w:val="212529"/>
                <w:sz w:val="19"/>
              </w:rPr>
              <w:t xml:space="preserve">• Quoted Provision: </w:t>
            </w:r>
            <w:r>
              <w:rPr>
                <w:rFonts w:ascii="Calibri" w:hAnsi="Calibri"/>
                <w:color w:val="212529"/>
                <w:sz w:val="19"/>
              </w:rPr>
              <w:t>1. Articles 263 and 264, Labor Code of the Philippines: Mandatory procedural requirements for a valid strike and grounds for declaring strike illegality and union officer termination.</w:t>
              <w:br/>
              <w:t>2. Article 4, Labor Code of the Philippines: All doubts in the implementation and interpretation of the provisions of this Code shall be resolved in favor of labor.</w:t>
            </w:r>
          </w:p>
          <w:p>
            <w:pPr>
              <w:spacing w:before="20" w:after="40" w:line="276" w:lineRule="auto"/>
            </w:pPr>
            <w:r>
              <w:rPr>
                <w:rFonts w:ascii="Calibri" w:hAnsi="Calibri"/>
                <w:b/>
                <w:color w:val="212529"/>
                <w:sz w:val="19"/>
              </w:rPr>
              <w:t xml:space="preserve">• Interpretive Problem: </w:t>
            </w:r>
            <w:r>
              <w:rPr>
                <w:rFonts w:ascii="Calibri" w:hAnsi="Calibri"/>
                <w:color w:val="212529"/>
                <w:sz w:val="19"/>
              </w:rPr>
              <w:t>Determining the precise legislative intent and boundary of the statutory terms in light of: The employer sought an automatic, inflexible termination of union officers based on a procedural technicality without co...</w:t>
            </w:r>
          </w:p>
        </w:tc>
      </w:tr>
    </w:tbl>
    <w:p>
      <w:pPr>
        <w:keepNext/>
        <w:spacing w:before="240" w:after="60"/>
      </w:pPr>
      <w:r>
        <w:rPr>
          <w:rFonts w:ascii="Arial" w:hAnsi="Arial"/>
          <w:b/>
          <w:color w:val="0F2043"/>
          <w:sz w:val="21"/>
        </w:rPr>
        <w:t>V. RULING OF THE SUPREME COURT</w:t>
      </w:r>
    </w:p>
    <w:p>
      <w:pPr>
        <w:keepNext/>
        <w:spacing w:before="120" w:after="40"/>
      </w:pPr>
      <w:r>
        <w:rPr>
          <w:rFonts w:ascii="Arial" w:hAnsi="Arial"/>
          <w:b/>
          <w:color w:val="781E1E"/>
          <w:sz w:val="20"/>
        </w:rPr>
        <w:t>A. General Ruling</w:t>
      </w:r>
    </w:p>
    <w:p>
      <w:pPr>
        <w:spacing w:before="40" w:after="80" w:line="276" w:lineRule="auto"/>
      </w:pPr>
      <w:r>
        <w:rPr>
          <w:rFonts w:ascii="Calibri" w:hAnsi="Calibri"/>
          <w:i w:val="0"/>
          <w:color w:val="212529"/>
          <w:sz w:val="21"/>
        </w:rPr>
        <w:t>The Supreme Court DECLARED the strike ILLEGAL, but ORDERED Club Filipino to pay separation pay to the dismissed union officers in lieu of reinstatement, modifying the NLRC ruling.</w:t>
      </w:r>
    </w:p>
    <w:p>
      <w:pPr>
        <w:keepNext/>
        <w:spacing w:before="120" w:after="40"/>
      </w:pPr>
      <w:r>
        <w:rPr>
          <w:rFonts w:ascii="Arial" w:hAnsi="Arial"/>
          <w:b/>
          <w:color w:val="781E1E"/>
          <w:sz w:val="20"/>
        </w:rPr>
        <w:t>B. Ruling on the Statutory-Construction Issue</w:t>
      </w:r>
    </w:p>
    <w:tbl>
      <w:tblPr>
        <w:tblW w:type="auto" w:w="0"/>
        <w:jc w:val="center"/>
        <w:tblLook w:firstColumn="1" w:firstRow="1" w:lastColumn="0" w:lastRow="0" w:noHBand="0" w:noVBand="1" w:val="04A0"/>
      </w:tblPr>
      <w:tblGrid>
        <w:gridCol w:w="9648"/>
      </w:tblGrid>
      <w:tr>
        <w:tc>
          <w:tcPr>
            <w:tcW w:type="dxa" w:w="9648"/>
            <w:shd w:fill="F4FAF5"/>
            <w:tcMar>
              <w:top w:w="100" w:type="dxa"/>
              <w:bottom w:w="100" w:type="dxa"/>
              <w:left w:w="160" w:type="dxa"/>
              <w:right w:w="160" w:type="dxa"/>
            </w:tcMar>
          </w:tcPr>
          <w:p>
            <w:pPr>
              <w:spacing w:before="20" w:after="40"/>
            </w:pPr>
            <w:r>
              <w:rPr>
                <w:rFonts w:ascii="Arial" w:hAnsi="Arial"/>
                <w:b/>
                <w:color w:val="0F2043"/>
                <w:sz w:val="19"/>
              </w:rPr>
              <w:t>Statutory Meaning Established by Court</w:t>
              <w:br/>
            </w:r>
          </w:p>
          <w:p>
            <w:pPr>
              <w:spacing w:before="20" w:after="40" w:line="276" w:lineRule="auto"/>
            </w:pPr>
            <w:r>
              <w:rPr>
                <w:rFonts w:ascii="Calibri" w:hAnsi="Calibri"/>
                <w:color w:val="212529"/>
                <w:sz w:val="19"/>
              </w:rPr>
              <w:t>The strike was ILLEGAL for violating the mandatory 7-day cooling-off period, BUT the union officers could NOT be automatically dismissed without proof of bad faith or commission of illegal acts during the strike.</w:t>
            </w:r>
          </w:p>
        </w:tc>
      </w:tr>
    </w:tbl>
    <w:p>
      <w:pPr>
        <w:keepNext/>
        <w:spacing w:before="240" w:after="60"/>
      </w:pPr>
      <w:r>
        <w:rPr>
          <w:rFonts w:ascii="Arial" w:hAnsi="Arial"/>
          <w:b/>
          <w:color w:val="0F2043"/>
          <w:sz w:val="21"/>
        </w:rPr>
        <w:t>VI. HOW THE COURT CONSTRUED THE LAW</w:t>
      </w:r>
    </w:p>
    <w:tbl>
      <w:tblPr>
        <w:tblW w:type="auto" w:w="0"/>
        <w:jc w:val="center"/>
        <w:tblLook w:firstColumn="1" w:firstRow="1" w:lastColumn="0" w:lastRow="0" w:noHBand="0" w:noVBand="1" w:val="04A0"/>
      </w:tblPr>
      <w:tblGrid>
        <w:gridCol w:w="9648"/>
      </w:tblGrid>
      <w:tr>
        <w:tc>
          <w:tcPr>
            <w:tcW w:type="dxa" w:w="9648"/>
            <w:shd w:fill="F8F9FB"/>
            <w:tcMar>
              <w:top w:w="100" w:type="dxa"/>
              <w:bottom w:w="100" w:type="dxa"/>
              <w:left w:w="160" w:type="dxa"/>
              <w:right w:w="160" w:type="dxa"/>
            </w:tcMar>
          </w:tcPr>
          <w:p>
            <w:pPr>
              <w:spacing w:before="20" w:after="40"/>
            </w:pPr>
            <w:r>
              <w:rPr>
                <w:rFonts w:ascii="Arial" w:hAnsi="Arial"/>
                <w:b/>
                <w:color w:val="0F2043"/>
                <w:sz w:val="19"/>
              </w:rPr>
              <w:t>Methodological &amp; Doctrinal Analysis</w:t>
              <w:br/>
            </w:r>
          </w:p>
          <w:p>
            <w:pPr>
              <w:spacing w:before="20" w:after="40" w:line="276" w:lineRule="auto"/>
            </w:pPr>
            <w:r>
              <w:rPr>
                <w:rFonts w:ascii="Calibri" w:hAnsi="Calibri"/>
                <w:b/>
                <w:color w:val="212529"/>
                <w:sz w:val="19"/>
              </w:rPr>
              <w:t xml:space="preserve">A. Why Was Construction Necessary? </w:t>
            </w:r>
            <w:r>
              <w:rPr>
                <w:rFonts w:ascii="Calibri" w:hAnsi="Calibri"/>
                <w:color w:val="212529"/>
                <w:sz w:val="19"/>
              </w:rPr>
              <w:t>Ambiguity in the application and scope of the statute: The employer sought an automatic, inflexible termination of union officers based on a procedural technicality without considering good faith.</w:t>
            </w:r>
          </w:p>
          <w:p>
            <w:pPr>
              <w:spacing w:before="20" w:after="40" w:line="276" w:lineRule="auto"/>
            </w:pPr>
            <w:r>
              <w:rPr>
                <w:rFonts w:ascii="Calibri" w:hAnsi="Calibri"/>
                <w:b/>
                <w:color w:val="212529"/>
                <w:sz w:val="19"/>
              </w:rPr>
              <w:t xml:space="preserve">B. Purpose of Construction: </w:t>
            </w:r>
            <w:r>
              <w:rPr>
                <w:rFonts w:ascii="Calibri" w:hAnsi="Calibri"/>
                <w:color w:val="212529"/>
                <w:sz w:val="19"/>
              </w:rPr>
              <w:t>To ascertain and give full effect to the true intent, spirit, and purpose of the lawmaking body.</w:t>
            </w:r>
          </w:p>
          <w:p>
            <w:pPr>
              <w:spacing w:before="20" w:after="40" w:line="276" w:lineRule="auto"/>
            </w:pPr>
            <w:r>
              <w:rPr>
                <w:rFonts w:ascii="Calibri" w:hAnsi="Calibri"/>
                <w:b/>
                <w:color w:val="212529"/>
                <w:sz w:val="19"/>
              </w:rPr>
              <w:t xml:space="preserve">C. Method, Canon, or Rule Applied: </w:t>
            </w:r>
            <w:r>
              <w:rPr>
                <w:rFonts w:ascii="Calibri" w:hAnsi="Calibri"/>
                <w:color w:val="212529"/>
                <w:sz w:val="19"/>
              </w:rPr>
              <w:t>In dubio pro operario</w:t>
              <w:br/>
              <w:t xml:space="preserve">   - Application: Protective Construction of Labor Statutes: Social legislation must be interpreted to protect the constitutional right to security of tenure unless bad faith or illegal acts are established.</w:t>
              <w:br/>
              <w:t xml:space="preserve">   - Result: The strike was technically illegal because they didn't wait 7 days, but the officers should not be fired because they acted in good faith without violence or sabotage. Labor laws protect workers against disproportionate penalties.</w:t>
            </w:r>
          </w:p>
          <w:p>
            <w:pPr>
              <w:spacing w:before="20" w:after="40" w:line="276" w:lineRule="auto"/>
            </w:pPr>
            <w:r>
              <w:rPr>
                <w:rFonts w:ascii="Calibri" w:hAnsi="Calibri"/>
                <w:b/>
                <w:color w:val="212529"/>
                <w:sz w:val="19"/>
              </w:rPr>
              <w:t xml:space="preserve">D. Other Sources Used: </w:t>
            </w:r>
            <w:r>
              <w:rPr>
                <w:rFonts w:ascii="Calibri" w:hAnsi="Calibri"/>
                <w:color w:val="212529"/>
                <w:sz w:val="19"/>
              </w:rPr>
              <w:t>Ordinary meaning of words, statute considered as a whole, legislative history, and established Supreme Court jurisprudence.</w:t>
            </w:r>
          </w:p>
        </w:tc>
      </w:tr>
    </w:tbl>
    <w:p>
      <w:pPr>
        <w:keepNext/>
        <w:spacing w:before="240" w:after="60"/>
      </w:pPr>
      <w:r>
        <w:rPr>
          <w:rFonts w:ascii="Arial" w:hAnsi="Arial"/>
          <w:b/>
          <w:color w:val="0F2043"/>
          <w:sz w:val="21"/>
        </w:rPr>
        <w:t>VII. RELEVANT STATUTORY-CONSTRUCTION CONCEPTS (A–L EVALUATION)</w:t>
      </w:r>
    </w:p>
    <w:tbl>
      <w:tblPr>
        <w:tblW w:type="auto" w:w="0"/>
        <w:jc w:val="center"/>
        <w:tblLook w:firstColumn="1" w:firstRow="1" w:lastColumn="0" w:lastRow="0" w:noHBand="0" w:noVBand="1" w:val="04A0"/>
      </w:tblPr>
      <w:tblGrid>
        <w:gridCol w:w="4824"/>
        <w:gridCol w:w="4824"/>
      </w:tblGrid>
      <w:tr>
        <w:tc>
          <w:tcPr>
            <w:tcW w:type="dxa" w:w="4824"/>
            <w:shd w:fill="EBF0F8"/>
            <w:tcMar>
              <w:top w:w="70" w:type="dxa"/>
              <w:bottom w:w="70" w:type="dxa"/>
              <w:left w:w="100" w:type="dxa"/>
              <w:right w:w="100" w:type="dxa"/>
            </w:tcMar>
          </w:tcPr>
          <w:p>
            <w:pPr>
              <w:spacing w:before="20" w:after="20"/>
            </w:pPr>
            <w:r>
              <w:rPr>
                <w:rFonts w:ascii="Arial" w:hAnsi="Arial"/>
                <w:b/>
                <w:color w:val="0F2043"/>
                <w:sz w:val="18"/>
              </w:rPr>
              <w:t>A. Situs of Statutory Construction</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Supreme Court of the Philippines, exercising its constitutional judicial power under Article VIII of the Constitution, serves as the ultimate situs and final arbiter for interpreting and construing the disputed provision.</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B. Purpose of Statutory Construction</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purpose of construction is to discover and effectuate the true legislative intent and will of the lawmaking body, preventing injustice and ensuring the statute operates harmoniously.</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C. When to Construe</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Court reaffirmed the cardinal threshold rule: Construction and interpretation are proper only where the statute is ambiguous, doubtful, or susceptible of multiple meanings. Where the law is clear, no construction is warranted.</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D. Ambiguity or Vagueness</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781E1E"/>
                <w:sz w:val="17"/>
              </w:rPr>
              <w:t xml:space="preserve"> [NOT APPLICABLE] </w:t>
            </w:r>
            <w:r>
              <w:rPr>
                <w:rFonts w:ascii="Calibri" w:hAnsi="Calibri"/>
                <w:color w:val="212529"/>
                <w:sz w:val="18"/>
              </w:rPr>
              <w:t>Not Applicable. The statutory language was clear and unambiguous; the Court declined to find ambiguity where none existed in the text.</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E. Verba Legis Non Est Recedendum</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781E1E"/>
                <w:sz w:val="17"/>
              </w:rPr>
              <w:t xml:space="preserve"> [NOT APPLICABLE] </w:t>
            </w:r>
            <w:r>
              <w:rPr>
                <w:rFonts w:ascii="Calibri" w:hAnsi="Calibri"/>
                <w:color w:val="212529"/>
                <w:sz w:val="18"/>
              </w:rPr>
              <w:t>Not Applicable. The Court looked beyond literal words to discover the underlying legislative spirit, context, and intent.</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F. Absoluta Sententia Expositore Non Indigent</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Court held that when the language of the law is clear and unequivocal, it requires no interpreter and leaves no room for judicial construction.</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G. Legislative Intent</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Court analyzed the true intent and policy of the lawmaking authority, ensuring that the statutory purpose is preserved and not defeated by erroneous administrative or private interpretations.</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H. Strict or Liberal Construction</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Court applied the recognized standard of construction tailored to the nature of the statute (e.g., penal and tax statutes are strictly construed against the State, whereas social legislation and remedial rules are liberally construed).</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I. Prospective or Retrospective Construction</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781E1E"/>
                <w:sz w:val="17"/>
              </w:rPr>
              <w:t xml:space="preserve"> [NOT APPLICABLE] </w:t>
            </w:r>
            <w:r>
              <w:rPr>
                <w:rFonts w:ascii="Calibri" w:hAnsi="Calibri"/>
                <w:color w:val="212529"/>
                <w:sz w:val="18"/>
              </w:rPr>
              <w:t>Not Applicable. The case involved only the contemporaneous, prospective application of the governing law.</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J. Statutory Construction vs. Judicial Legislation</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Court underscored the constitutional boundary of judicial power: Courts are empowered solely to interpret (jus dicere), not to enact or amend laws (jus dare). Supplying unwritten terms or expanding clear prohibitions constitutes prohibited judicial legislation.</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K. Legis Interpretatio Legis Vim Obtinet</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Under Article 8 of the Civil Code, the Supreme Court's authoritative interpretation of the statute forms part of the legal system of the Philippines and acquires the force of law (*legis interpretatio legis vim obtinet*).</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L. Extent and Limits of the Power to Construe</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Court respected the constitutional limits of its authority by applying the law as written and refusing to invade the legislative domain under the guise of equity or expediency.</w:t>
            </w:r>
          </w:p>
        </w:tc>
      </w:tr>
    </w:tbl>
    <w:p>
      <w:pPr>
        <w:keepNext/>
        <w:spacing w:before="240" w:after="60"/>
      </w:pPr>
      <w:r>
        <w:rPr>
          <w:rFonts w:ascii="Arial" w:hAnsi="Arial"/>
          <w:b/>
          <w:color w:val="0F2043"/>
          <w:sz w:val="21"/>
        </w:rPr>
        <w:t>VIII. OTHER CANONS OR METHODS OF CONSTRUCTION</w:t>
      </w:r>
    </w:p>
    <w:tbl>
      <w:tblPr>
        <w:tblW w:type="auto" w:w="0"/>
        <w:jc w:val="center"/>
        <w:tblLook w:firstColumn="1" w:firstRow="1" w:lastColumn="0" w:lastRow="0" w:noHBand="0" w:noVBand="1" w:val="04A0"/>
      </w:tblPr>
      <w:tblGrid>
        <w:gridCol w:w="9648"/>
      </w:tblGrid>
      <w:tr>
        <w:tc>
          <w:tcPr>
            <w:tcW w:type="dxa" w:w="9648"/>
            <w:shd w:fill="F8F9FB"/>
            <w:tcMar>
              <w:top w:w="100" w:type="dxa"/>
              <w:bottom w:w="100" w:type="dxa"/>
              <w:left w:w="160" w:type="dxa"/>
              <w:right w:w="160" w:type="dxa"/>
            </w:tcMar>
          </w:tcPr>
          <w:p>
            <w:pPr>
              <w:spacing w:before="20" w:after="40"/>
            </w:pPr>
            <w:r>
              <w:rPr>
                <w:rFonts w:ascii="Arial" w:hAnsi="Arial"/>
                <w:b/>
                <w:color w:val="0F2043"/>
                <w:sz w:val="19"/>
              </w:rPr>
              <w:t>Secondary Rules &amp; Canons Applied</w:t>
              <w:br/>
            </w:r>
          </w:p>
          <w:p>
            <w:pPr>
              <w:spacing w:before="20" w:after="40" w:line="276" w:lineRule="auto"/>
            </w:pPr>
            <w:r>
              <w:rPr>
                <w:rFonts w:ascii="Calibri" w:hAnsi="Calibri"/>
                <w:b/>
                <w:color w:val="212529"/>
                <w:sz w:val="19"/>
              </w:rPr>
              <w:t xml:space="preserve">• Canon / Maxim: </w:t>
            </w:r>
            <w:r>
              <w:rPr>
                <w:rFonts w:ascii="Calibri" w:hAnsi="Calibri"/>
                <w:color w:val="212529"/>
                <w:sz w:val="19"/>
              </w:rPr>
              <w:t>• Favorabilia sunt amplianda odiosa restringenda (favor broad interpretation of rights, restrict penalties)</w:t>
              <w:br/>
              <w:t>• Dura lex sed lex (mandatory procedural strike rules)</w:t>
            </w:r>
          </w:p>
          <w:p>
            <w:pPr>
              <w:spacing w:before="20" w:after="40" w:line="276" w:lineRule="auto"/>
            </w:pPr>
            <w:r>
              <w:rPr>
                <w:rFonts w:ascii="Calibri" w:hAnsi="Calibri"/>
                <w:b/>
                <w:color w:val="212529"/>
                <w:sz w:val="19"/>
              </w:rPr>
              <w:t xml:space="preserve">• How Applied: </w:t>
            </w:r>
            <w:r>
              <w:rPr>
                <w:rFonts w:ascii="Calibri" w:hAnsi="Calibri"/>
                <w:color w:val="212529"/>
                <w:sz w:val="19"/>
              </w:rPr>
              <w:t>Applied as corroborative canons to reinforce the primary rule of construction.</w:t>
            </w:r>
          </w:p>
          <w:p>
            <w:pPr>
              <w:spacing w:before="20" w:after="40" w:line="276" w:lineRule="auto"/>
            </w:pPr>
            <w:r>
              <w:rPr>
                <w:rFonts w:ascii="Calibri" w:hAnsi="Calibri"/>
                <w:b/>
                <w:color w:val="212529"/>
                <w:sz w:val="19"/>
              </w:rPr>
              <w:t xml:space="preserve">• Effect on Interpretation: </w:t>
            </w:r>
            <w:r>
              <w:rPr>
                <w:rFonts w:ascii="Calibri" w:hAnsi="Calibri"/>
                <w:color w:val="212529"/>
                <w:sz w:val="19"/>
              </w:rPr>
              <w:t>Harmonized the statute and prevented an absurd or unjust result.</w:t>
            </w:r>
          </w:p>
        </w:tc>
      </w:tr>
    </w:tbl>
    <w:p>
      <w:pPr>
        <w:keepNext/>
        <w:spacing w:before="240" w:after="60"/>
      </w:pPr>
      <w:r>
        <w:rPr>
          <w:rFonts w:ascii="Arial" w:hAnsi="Arial"/>
          <w:b/>
          <w:color w:val="0F2043"/>
          <w:sz w:val="21"/>
        </w:rPr>
        <w:t>IX. THE CONSTRUCTION MADE BY THE COURT</w:t>
      </w:r>
    </w:p>
    <w:tbl>
      <w:tblPr>
        <w:tblW w:type="auto" w:w="0"/>
        <w:jc w:val="center"/>
        <w:tblLook w:firstColumn="1" w:firstRow="1" w:lastColumn="0" w:lastRow="0" w:noHBand="0" w:noVBand="1" w:val="04A0"/>
      </w:tblPr>
      <w:tblGrid>
        <w:gridCol w:w="9648"/>
      </w:tblGrid>
      <w:tr>
        <w:tc>
          <w:tcPr>
            <w:tcW w:type="dxa" w:w="9648"/>
            <w:shd w:fill="F9F8F5"/>
            <w:tcMar>
              <w:top w:w="100" w:type="dxa"/>
              <w:bottom w:w="100" w:type="dxa"/>
              <w:left w:w="160" w:type="dxa"/>
              <w:right w:w="160" w:type="dxa"/>
            </w:tcMar>
          </w:tcPr>
          <w:p>
            <w:pPr>
              <w:spacing w:before="20" w:after="40"/>
            </w:pPr>
            <w:r>
              <w:rPr>
                <w:rFonts w:ascii="Arial" w:hAnsi="Arial"/>
                <w:b/>
                <w:color w:val="0F2043"/>
                <w:sz w:val="19"/>
              </w:rPr>
              <w:t>Actual Judicial Construction &amp; Ratio</w:t>
              <w:br/>
            </w:r>
          </w:p>
          <w:p>
            <w:pPr>
              <w:spacing w:before="20" w:after="40" w:line="276" w:lineRule="auto"/>
            </w:pPr>
            <w:r>
              <w:rPr>
                <w:rFonts w:ascii="Calibri" w:hAnsi="Calibri"/>
                <w:b/>
                <w:color w:val="212529"/>
                <w:sz w:val="19"/>
              </w:rPr>
              <w:t xml:space="preserve">• Construction Summary: </w:t>
            </w:r>
            <w:r>
              <w:rPr>
                <w:rFonts w:ascii="Calibri" w:hAnsi="Calibri"/>
                <w:color w:val="212529"/>
                <w:sz w:val="19"/>
              </w:rPr>
              <w:t>The Court construed the disputed statutory provisions in Club Filipino, Inc. and Atty. Roberto F. De Leon v. Benjamin Bautista, et al. to mean and apply strictly in accordance with In dubio pro operario, holding that The strike was technically illegal because they didn't wait 7 days, but the officers should not be fired because they acted in good faith without violence or sa.</w:t>
            </w:r>
          </w:p>
          <w:p>
            <w:pPr>
              <w:spacing w:before="20" w:after="40" w:line="276" w:lineRule="auto"/>
            </w:pPr>
            <w:r>
              <w:rPr>
                <w:rFonts w:ascii="Calibri" w:hAnsi="Calibri"/>
                <w:b/>
                <w:color w:val="212529"/>
                <w:sz w:val="19"/>
              </w:rPr>
              <w:t xml:space="preserve">• Principal Reasoning: </w:t>
            </w:r>
            <w:r>
              <w:rPr>
                <w:rFonts w:ascii="Calibri" w:hAnsi="Calibri"/>
                <w:color w:val="212529"/>
                <w:sz w:val="19"/>
              </w:rPr>
              <w:t>The Court balanced two things: the rules on strikes must be followed (so the strike was technically illegal), but the penalty of losing one's livelihood should only be applied to union leaders who commit violence or bad faith. Since they only miscalculated the days, they should not be stripped of all rights.</w:t>
            </w:r>
          </w:p>
        </w:tc>
      </w:tr>
    </w:tbl>
    <w:tbl>
      <w:tblPr>
        <w:tblW w:type="auto" w:w="0"/>
        <w:jc w:val="center"/>
        <w:tblLook w:firstColumn="1" w:firstRow="1" w:lastColumn="0" w:lastRow="0" w:noHBand="0" w:noVBand="1" w:val="04A0"/>
      </w:tblPr>
      <w:tblGrid>
        <w:gridCol w:w="9648"/>
      </w:tblGrid>
      <w:tr>
        <w:tc>
          <w:tcPr>
            <w:tcW w:type="dxa" w:w="9648"/>
            <w:shd w:fill="EEF6F0"/>
            <w:tcMar>
              <w:top w:w="100" w:type="dxa"/>
              <w:bottom w:w="100" w:type="dxa"/>
              <w:left w:w="160" w:type="dxa"/>
              <w:right w:w="160" w:type="dxa"/>
            </w:tcMar>
          </w:tcPr>
          <w:p>
            <w:pPr>
              <w:spacing w:before="20" w:after="40"/>
            </w:pPr>
            <w:r>
              <w:rPr>
                <w:rFonts w:ascii="Arial" w:hAnsi="Arial"/>
                <w:b/>
                <w:color w:val="0D6E4B"/>
                <w:sz w:val="19"/>
              </w:rPr>
              <w:t>X. STATUTORY CONSTRUCTION OR JUDICIAL LEGISLATION?</w:t>
              <w:br/>
            </w:r>
          </w:p>
          <w:p>
            <w:pPr>
              <w:spacing w:before="20" w:after="60"/>
            </w:pPr>
            <w:r>
              <w:rPr>
                <w:rFonts w:ascii="Arial" w:hAnsi="Arial"/>
                <w:b/>
                <w:color w:val="0F2043"/>
                <w:sz w:val="19"/>
              </w:rPr>
              <w:t>☑ Proper statutory construction    ☐ Judicial legislation    ☐ Debatable</w:t>
            </w:r>
          </w:p>
          <w:p>
            <w:pPr>
              <w:spacing w:before="40" w:after="40" w:line="276" w:lineRule="auto"/>
            </w:pPr>
            <w:r>
              <w:rPr>
                <w:rFonts w:ascii="Calibri" w:hAnsi="Calibri"/>
                <w:b/>
                <w:color w:val="212529"/>
                <w:sz w:val="19"/>
              </w:rPr>
              <w:t>Explanation (3–5 sentences):</w:t>
              <w:br/>
            </w:r>
            <w:r>
              <w:rPr>
                <w:rFonts w:ascii="Calibri" w:hAnsi="Calibri"/>
                <w:color w:val="212529"/>
                <w:sz w:val="19"/>
              </w:rPr>
              <w:t>The Supreme Court acted within the legitimate bounds of its constitutional power to interpret the law (jus dicere). By applying In dubio pro operario, the Court faithfully effectuated the legislative intent without creating new rules, modifying clear statutory text, or usurping congressional prerogative. The ruling reinforces the separation of powers and the doctrine that courts must enforce the law as enacted.</w:t>
            </w:r>
          </w:p>
        </w:tc>
      </w:tr>
    </w:tbl>
    <w:p>
      <w:pPr>
        <w:spacing w:before="80" w:after="40"/>
      </w:pPr>
    </w:p>
    <w:tbl>
      <w:tblPr>
        <w:tblW w:type="auto" w:w="0"/>
        <w:jc w:val="center"/>
        <w:tblLook w:firstColumn="1" w:firstRow="1" w:lastColumn="0" w:lastRow="0" w:noHBand="0" w:noVBand="1" w:val="04A0"/>
      </w:tblPr>
      <w:tblGrid>
        <w:gridCol w:w="9648"/>
      </w:tblGrid>
      <w:tr>
        <w:tc>
          <w:tcPr>
            <w:tcW w:type="dxa" w:w="9648"/>
            <w:shd w:fill="FBF6EE"/>
            <w:tcMar>
              <w:top w:w="100" w:type="dxa"/>
              <w:bottom w:w="100" w:type="dxa"/>
              <w:left w:w="160" w:type="dxa"/>
              <w:right w:w="160" w:type="dxa"/>
            </w:tcMar>
          </w:tcPr>
          <w:p>
            <w:pPr>
              <w:spacing w:before="20" w:after="40"/>
            </w:pPr>
            <w:r>
              <w:rPr>
                <w:rFonts w:ascii="Arial" w:hAnsi="Arial"/>
                <w:b/>
                <w:color w:val="8C3200"/>
                <w:sz w:val="19"/>
              </w:rPr>
              <w:t>XI. DOCTRINE (Statutory Construction Principle):</w:t>
              <w:br/>
            </w:r>
            <w:r>
              <w:rPr>
                <w:rFonts w:ascii="Calibri" w:hAnsi="Calibri"/>
                <w:color w:val="212529"/>
                <w:sz w:val="19"/>
              </w:rPr>
              <w:t>Protective Construction of Labor Statutes: Social legislation must be interpreted to protect the constitutional right to security of tenure unless bad faith or illegal acts are established.</w:t>
              <w:br/>
              <w:br/>
            </w:r>
          </w:p>
          <w:p>
            <w:pPr>
              <w:spacing w:before="20" w:after="40"/>
            </w:pPr>
            <w:r>
              <w:rPr>
                <w:rFonts w:ascii="Arial" w:hAnsi="Arial"/>
                <w:b/>
                <w:color w:val="8C3200"/>
                <w:sz w:val="19"/>
              </w:rPr>
              <w:t>XII. ONE-SENTENCE TAKEAWAY:</w:t>
              <w:br/>
            </w:r>
            <w:r>
              <w:rPr>
                <w:rFonts w:ascii="Calibri" w:hAnsi="Calibri"/>
                <w:i/>
                <w:color w:val="212529"/>
                <w:sz w:val="19"/>
              </w:rPr>
              <w:t>This case is important in Statutory Construction because Labor laws are written to protect workers; when applying penalties, courts will look for fair balance and good faith rather than imposing automatic ruin on workers.</w:t>
            </w:r>
          </w:p>
        </w:tc>
      </w:tr>
    </w:tbl>
    <w:p>
      <w:r>
        <w:br w:type="page"/>
      </w:r>
    </w:p>
    <w:p>
      <w:pPr>
        <w:keepNext/>
        <w:spacing w:before="320" w:after="80"/>
      </w:pPr>
      <w:r>
        <w:rPr>
          <w:rFonts w:ascii="Arial" w:hAnsi="Arial"/>
          <w:b/>
          <w:color w:val="0F2043"/>
          <w:sz w:val="26"/>
        </w:rPr>
        <w:t>28. AURELIO P. YU V. HON. MA. THERESA L. SAMSON-TATAD AND PEOPLE OF THE PHILIPPINES</w:t>
      </w:r>
    </w:p>
    <w:p>
      <w:pPr>
        <w:spacing w:before="40" w:after="80" w:line="276" w:lineRule="auto"/>
      </w:pPr>
      <w:r>
        <w:rPr>
          <w:rFonts w:ascii="Calibri" w:hAnsi="Calibri"/>
          <w:b/>
          <w:color w:val="212529"/>
          <w:sz w:val="21"/>
        </w:rPr>
        <w:t xml:space="preserve">Citation: </w:t>
      </w:r>
      <w:r>
        <w:rPr>
          <w:rFonts w:ascii="Calibri" w:hAnsi="Calibri"/>
          <w:i/>
          <w:color w:val="212529"/>
          <w:sz w:val="21"/>
        </w:rPr>
        <w:t>G.R. No. 170979 | February 9, 2011 | 642 SCRA 421 | Third Division | Ponente: J. Brion</w:t>
      </w:r>
    </w:p>
    <w:p>
      <w:pPr>
        <w:keepNext/>
        <w:spacing w:before="200" w:after="40"/>
      </w:pPr>
      <w:r>
        <w:rPr>
          <w:rFonts w:ascii="Arial" w:hAnsi="Arial"/>
          <w:b/>
          <w:color w:val="781E1E"/>
          <w:sz w:val="22"/>
        </w:rPr>
        <w:t>LAYER A: ALAC DIGEST, RECITATION SCRIPT &amp; STATCON ANALYSIS</w:t>
      </w:r>
    </w:p>
    <w:p>
      <w:pPr>
        <w:keepNext/>
        <w:spacing w:before="200" w:after="40"/>
      </w:pPr>
      <w:r>
        <w:rPr>
          <w:rFonts w:ascii="Arial" w:hAnsi="Arial"/>
          <w:b/>
          <w:color w:val="781E1E"/>
          <w:sz w:val="22"/>
        </w:rPr>
        <w:t>I. PARTIES &amp; PROCEDURAL BACKGROUND</w:t>
      </w:r>
    </w:p>
    <w:p>
      <w:pPr>
        <w:spacing w:before="40" w:after="80" w:line="276" w:lineRule="auto"/>
      </w:pPr>
      <w:r>
        <w:rPr>
          <w:rFonts w:ascii="Calibri" w:hAnsi="Calibri"/>
          <w:b/>
          <w:color w:val="212529"/>
          <w:sz w:val="21"/>
        </w:rPr>
        <w:t xml:space="preserve">• Plaintiff/Petitioner: </w:t>
      </w:r>
      <w:r>
        <w:rPr>
          <w:rFonts w:ascii="Calibri" w:hAnsi="Calibri"/>
          <w:i w:val="0"/>
          <w:color w:val="212529"/>
          <w:sz w:val="21"/>
        </w:rPr>
        <w:t>Aurelio P. Yu (Petitioner)</w:t>
      </w:r>
    </w:p>
    <w:p>
      <w:pPr>
        <w:spacing w:before="40" w:after="80" w:line="276" w:lineRule="auto"/>
      </w:pPr>
      <w:r>
        <w:rPr>
          <w:rFonts w:ascii="Calibri" w:hAnsi="Calibri"/>
          <w:b/>
          <w:color w:val="212529"/>
          <w:sz w:val="21"/>
        </w:rPr>
        <w:t xml:space="preserve">• Defendant/Respondent: </w:t>
      </w:r>
      <w:r>
        <w:rPr>
          <w:rFonts w:ascii="Calibri" w:hAnsi="Calibri"/>
          <w:i w:val="0"/>
          <w:color w:val="212529"/>
          <w:sz w:val="21"/>
        </w:rPr>
        <w:t>Hon. Ma. Theresa L. Samson-Tatad (Presiding Judge, RTC Quezon City, Branch 105) and Spouses Dennis &amp; Lily Tiu (Respondents)</w:t>
      </w:r>
    </w:p>
    <w:p>
      <w:pPr>
        <w:spacing w:before="40" w:after="80" w:line="276" w:lineRule="auto"/>
      </w:pPr>
      <w:r>
        <w:rPr>
          <w:rFonts w:ascii="Calibri" w:hAnsi="Calibri"/>
          <w:b/>
          <w:color w:val="212529"/>
          <w:sz w:val="21"/>
        </w:rPr>
        <w:t xml:space="preserve">• Originating Court: </w:t>
      </w:r>
      <w:r>
        <w:rPr>
          <w:rFonts w:ascii="Calibri" w:hAnsi="Calibri"/>
          <w:i w:val="0"/>
          <w:color w:val="212529"/>
          <w:sz w:val="21"/>
        </w:rPr>
        <w:t>Regional Trial Court of Quezon City (Branch 105) / Court of Appeals</w:t>
      </w:r>
    </w:p>
    <w:p>
      <w:pPr>
        <w:spacing w:before="40" w:after="80" w:line="276" w:lineRule="auto"/>
      </w:pPr>
      <w:r>
        <w:rPr>
          <w:rFonts w:ascii="Calibri" w:hAnsi="Calibri"/>
          <w:b/>
          <w:color w:val="212529"/>
          <w:sz w:val="21"/>
        </w:rPr>
        <w:t xml:space="preserve">• Nature of the Action: </w:t>
      </w:r>
      <w:r>
        <w:rPr>
          <w:rFonts w:ascii="Calibri" w:hAnsi="Calibri"/>
          <w:i w:val="0"/>
          <w:color w:val="212529"/>
          <w:sz w:val="21"/>
        </w:rPr>
        <w:t>Petition for Review on Certiorari under Rule 45 concerning the applicability of the Neypes 'Fresh Period Rule' to appeals in criminal cases under Rule 122 of the Rules of Court.</w:t>
      </w:r>
    </w:p>
    <w:p>
      <w:pPr>
        <w:keepNext/>
        <w:spacing w:before="200" w:after="40"/>
      </w:pPr>
      <w:r>
        <w:rPr>
          <w:rFonts w:ascii="Arial" w:hAnsi="Arial"/>
          <w:b/>
          <w:color w:val="781E1E"/>
          <w:sz w:val="22"/>
        </w:rPr>
        <w:t>II. WHOLE FACTS</w:t>
      </w:r>
    </w:p>
    <w:p>
      <w:pPr>
        <w:spacing w:before="40" w:after="80" w:line="276" w:lineRule="auto"/>
      </w:pPr>
      <w:r>
        <w:rPr>
          <w:rFonts w:ascii="Calibri" w:hAnsi="Calibri"/>
          <w:i w:val="0"/>
          <w:color w:val="212529"/>
          <w:sz w:val="21"/>
        </w:rPr>
        <w:t>In a criminal case for Estafa, the RTC dismissed the charges against the accused Spouses Tiu. The private complainant Aurelio Yu filed a motion for reconsideration, which the RTC denied. The private complainant received the notice of denial on November 3, 2005, and filed his Notice of Appeal on November 10, 2005 (within the fresh 15-day period counted from receipt of the denial order, but beyond the remaining days of the original 15-day period). The RTC denied the appeal for being filed out of time, holding that the 'fresh period rule' established in Neypes v. Court of Appeals applies exclusively to civil actions under Rule 41 and not to criminal appeals under Rule 122.</w:t>
      </w:r>
    </w:p>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SUMMARY OF FACTS</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A victim of fraud filed an appeal in a criminal case within 15 days after the court denied his motion for reconsideration. The judge rejected the appeal, claiming that the famous Neypes 'fresh period rule' (giving a fresh 15 days after denial of an MR) only applies to civil cases, not criminal cases. The Supreme Court ruled that the fresh period rule applies to criminal cases as well, because procedural rules must be harmonized to standardize appeal periods and ensure justice.</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When reciting the facts, state the core dispute in 2 sentences, then state how the case reached the Supreme Court.</w:t>
            </w:r>
          </w:p>
        </w:tc>
      </w:tr>
    </w:tbl>
    <w:p>
      <w:pPr>
        <w:keepNext/>
        <w:spacing w:before="200" w:after="40"/>
      </w:pPr>
      <w:r>
        <w:rPr>
          <w:rFonts w:ascii="Arial" w:hAnsi="Arial"/>
          <w:b/>
          <w:color w:val="781E1E"/>
          <w:sz w:val="22"/>
        </w:rPr>
        <w:t>III. THE LEGAL ISSUE</w:t>
      </w:r>
    </w:p>
    <w:p>
      <w:pPr>
        <w:spacing w:before="40" w:after="80" w:line="276" w:lineRule="auto"/>
      </w:pPr>
      <w:r>
        <w:rPr>
          <w:rFonts w:ascii="Calibri" w:hAnsi="Calibri"/>
          <w:i w:val="0"/>
          <w:color w:val="212529"/>
          <w:sz w:val="21"/>
        </w:rPr>
        <w:t>Whether or not the Neypes 'Fresh Period Rule' applies to appeals in criminal cases under Rule 122 of the Rules of Court.</w:t>
      </w:r>
    </w:p>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THE LEGAL ISSUE</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Does a party in a criminal case get a fresh 15 days to file an appeal after the court denies a motion for reconsideration, just like in civil cases?</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"Sir/Ma'am, the issue is whether the Neypes 'fresh period rule' applies to appeals in criminal cases under Rule 122, testing the canon of Pari Materia (statutes on the same subject) and liberal construction of remedial statutes (Ut Res Magis Valeat Quam Pereat)."</w:t>
            </w:r>
          </w:p>
        </w:tc>
      </w:tr>
    </w:tbl>
    <w:p>
      <w:pPr>
        <w:keepNext/>
        <w:spacing w:before="200" w:after="40"/>
      </w:pPr>
      <w:r>
        <w:rPr>
          <w:rFonts w:ascii="Arial" w:hAnsi="Arial"/>
          <w:b/>
          <w:color w:val="781E1E"/>
          <w:sz w:val="22"/>
        </w:rPr>
        <w:t>IV. ALAC DIGEST</w:t>
      </w:r>
    </w:p>
    <w:tbl>
      <w:tblPr>
        <w:tblW w:type="auto" w:w="0"/>
        <w:jc w:val="center"/>
        <w:tblLook w:firstColumn="1" w:firstRow="1" w:lastColumn="0" w:lastRow="0" w:noHBand="0" w:noVBand="1" w:val="04A0"/>
      </w:tblPr>
      <w:tblGrid>
        <w:gridCol w:w="9648"/>
      </w:tblGrid>
      <w:tr>
        <w:tc>
          <w:tcPr>
            <w:tcW w:type="dxa" w:w="9648"/>
            <w:shd w:fill="F4F6F9"/>
            <w:tcMar>
              <w:top w:w="120" w:type="dxa"/>
              <w:bottom w:w="120" w:type="dxa"/>
              <w:left w:w="180" w:type="dxa"/>
              <w:right w:w="180" w:type="dxa"/>
            </w:tcMar>
          </w:tcPr>
          <w:p>
            <w:pPr>
              <w:spacing w:before="40" w:after="60"/>
            </w:pPr>
            <w:r>
              <w:rPr>
                <w:rFonts w:ascii="Arial" w:hAnsi="Arial"/>
                <w:b/>
                <w:color w:val="0F2043"/>
                <w:sz w:val="21"/>
              </w:rPr>
              <w:t>[A] ANSWER</w:t>
              <w:br/>
            </w:r>
          </w:p>
          <w:p>
            <w:pPr>
              <w:spacing w:before="20" w:after="40" w:line="276" w:lineRule="auto"/>
            </w:pPr>
            <w:r>
              <w:rPr>
                <w:rFonts w:ascii="Calibri" w:hAnsi="Calibri"/>
                <w:color w:val="212529"/>
                <w:sz w:val="20"/>
              </w:rPr>
              <w:t>YES. The 'Fresh Period Rule' laid down in Neypes applies to appeals in criminal cases under Section 3, Rule 122 of the Revised Rules of Criminal Procedure. Procedural rules must be construed harmoniously to standardize appeal periods.</w:t>
            </w:r>
          </w:p>
        </w:tc>
      </w:tr>
    </w:tbl>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THE ANSWER</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Yes. The fresh period rule applies equally to criminal cases. Procedural rules are interpreted liberally so that parties do not lose their right to appeal due to confusing differences in counting deadlines.</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"Yes, Sir/Ma'am. The Supreme Court held that the Neypes fresh period rule applies to criminal appeals under Rule 122. Under the canon of In Pari Materia and liberal construction of remedial laws, the rules of procedure must be harmonized to provide a uniform 15-day fresh period for all appeals."</w:t>
            </w:r>
          </w:p>
        </w:tc>
      </w:tr>
    </w:tbl>
    <w:tbl>
      <w:tblPr>
        <w:tblW w:type="auto" w:w="0"/>
        <w:jc w:val="center"/>
        <w:tblLook w:firstColumn="1" w:firstRow="1" w:lastColumn="0" w:lastRow="0" w:noHBand="0" w:noVBand="1" w:val="04A0"/>
      </w:tblPr>
      <w:tblGrid>
        <w:gridCol w:w="9648"/>
      </w:tblGrid>
      <w:tr>
        <w:tc>
          <w:tcPr>
            <w:tcW w:type="dxa" w:w="9648"/>
            <w:shd w:fill="F4F6F9"/>
            <w:tcMar>
              <w:top w:w="120" w:type="dxa"/>
              <w:bottom w:w="120" w:type="dxa"/>
              <w:left w:w="180" w:type="dxa"/>
              <w:right w:w="180" w:type="dxa"/>
            </w:tcMar>
          </w:tcPr>
          <w:p>
            <w:pPr>
              <w:spacing w:before="40" w:after="60"/>
            </w:pPr>
            <w:r>
              <w:rPr>
                <w:rFonts w:ascii="Arial" w:hAnsi="Arial"/>
                <w:b/>
                <w:color w:val="0F2043"/>
                <w:sz w:val="21"/>
              </w:rPr>
              <w:t>[L] LEGAL BASIS</w:t>
              <w:br/>
            </w:r>
          </w:p>
          <w:p>
            <w:pPr>
              <w:spacing w:before="20" w:after="40" w:line="276" w:lineRule="auto"/>
            </w:pPr>
            <w:r>
              <w:rPr>
                <w:rFonts w:ascii="Calibri" w:hAnsi="Calibri"/>
                <w:b/>
                <w:color w:val="212529"/>
                <w:sz w:val="20"/>
              </w:rPr>
              <w:t xml:space="preserve">1. Section 3, Rule 122, Revised Rules of Criminal Procedure: </w:t>
            </w:r>
            <w:r>
              <w:rPr>
                <w:rFonts w:ascii="Calibri" w:hAnsi="Calibri"/>
                <w:color w:val="212529"/>
                <w:sz w:val="20"/>
              </w:rPr>
              <w:t>Governs the period and manner of taking appeals in criminal cases.</w:t>
            </w:r>
          </w:p>
          <w:p>
            <w:pPr>
              <w:spacing w:before="20" w:after="40" w:line="276" w:lineRule="auto"/>
            </w:pPr>
            <w:r>
              <w:rPr>
                <w:rFonts w:ascii="Calibri" w:hAnsi="Calibri"/>
                <w:b/>
                <w:color w:val="212529"/>
                <w:sz w:val="20"/>
              </w:rPr>
              <w:t xml:space="preserve">2. Rule 41, Section 3, Rules of Court (as construed in Neypes v. CA): </w:t>
            </w:r>
            <w:r>
              <w:rPr>
                <w:rFonts w:ascii="Calibri" w:hAnsi="Calibri"/>
                <w:color w:val="212529"/>
                <w:sz w:val="20"/>
              </w:rPr>
              <w:t>Standardized the fresh 15-day period from receipt of the denial of a motion for new trial or reconsideration.</w:t>
            </w:r>
          </w:p>
          <w:p>
            <w:pPr>
              <w:spacing w:before="20" w:after="40" w:line="276" w:lineRule="auto"/>
            </w:pPr>
            <w:r>
              <w:rPr>
                <w:rFonts w:ascii="Calibri" w:hAnsi="Calibri"/>
                <w:b/>
                <w:color w:val="212529"/>
                <w:sz w:val="20"/>
              </w:rPr>
              <w:t xml:space="preserve">3. In Pari Materia (statutes relating to the same matter): </w:t>
            </w:r>
            <w:r>
              <w:rPr>
                <w:rFonts w:ascii="Calibri" w:hAnsi="Calibri"/>
                <w:color w:val="212529"/>
                <w:sz w:val="20"/>
              </w:rPr>
              <w:t>Rules of Court relating to appeals must be construed together to create a harmonious and consistent procedural system.</w:t>
            </w:r>
          </w:p>
          <w:p>
            <w:pPr>
              <w:spacing w:before="20" w:after="40" w:line="276" w:lineRule="auto"/>
            </w:pPr>
            <w:r>
              <w:rPr>
                <w:rFonts w:ascii="Calibri" w:hAnsi="Calibri"/>
                <w:b/>
                <w:color w:val="212529"/>
                <w:sz w:val="20"/>
              </w:rPr>
              <w:t xml:space="preserve">4. Liberal Construction of Remedial Statutes: </w:t>
            </w:r>
            <w:r>
              <w:rPr>
                <w:rFonts w:ascii="Calibri" w:hAnsi="Calibri"/>
                <w:color w:val="212529"/>
                <w:sz w:val="20"/>
              </w:rPr>
              <w:t>Rules of procedure are liberally construed to promote substantial justice and avoid loss of appellate rights on procedural traps.</w:t>
            </w:r>
          </w:p>
        </w:tc>
      </w:tr>
    </w:tbl>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LEGAL BASIS</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Rule 122 Sec 3, Neypes v. CA, In Pari Materia, and liberal construction of remedial laws.</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"Sir/Ma'am, the legal basis is Rule 122 in relation to Neypes v. CA, construed In Pari Materia (upon the same subject matter) and under the doctrine of liberal construction of procedural laws."</w:t>
            </w:r>
          </w:p>
        </w:tc>
      </w:tr>
    </w:tbl>
    <w:tbl>
      <w:tblPr>
        <w:tblW w:type="auto" w:w="0"/>
        <w:jc w:val="center"/>
        <w:tblLook w:firstColumn="1" w:firstRow="1" w:lastColumn="0" w:lastRow="0" w:noHBand="0" w:noVBand="1" w:val="04A0"/>
      </w:tblPr>
      <w:tblGrid>
        <w:gridCol w:w="9648"/>
      </w:tblGrid>
      <w:tr>
        <w:tc>
          <w:tcPr>
            <w:tcW w:type="dxa" w:w="9648"/>
            <w:shd w:fill="F4F6F9"/>
            <w:tcMar>
              <w:top w:w="120" w:type="dxa"/>
              <w:bottom w:w="120" w:type="dxa"/>
              <w:left w:w="180" w:type="dxa"/>
              <w:right w:w="180" w:type="dxa"/>
            </w:tcMar>
          </w:tcPr>
          <w:p>
            <w:pPr>
              <w:spacing w:before="40" w:after="60"/>
            </w:pPr>
            <w:r>
              <w:rPr>
                <w:rFonts w:ascii="Arial" w:hAnsi="Arial"/>
                <w:b/>
                <w:color w:val="0F2043"/>
                <w:sz w:val="21"/>
              </w:rPr>
              <w:t>[A] ANALYSIS / APPLICATION</w:t>
              <w:br/>
            </w:r>
          </w:p>
          <w:p>
            <w:pPr>
              <w:spacing w:before="20" w:after="40" w:line="276" w:lineRule="auto"/>
            </w:pPr>
            <w:r>
              <w:rPr>
                <w:rFonts w:ascii="Calibri" w:hAnsi="Calibri"/>
                <w:b/>
                <w:color w:val="212529"/>
                <w:sz w:val="20"/>
              </w:rPr>
              <w:t xml:space="preserve">1. Purpose of the Fresh Period Rule: </w:t>
            </w:r>
            <w:r>
              <w:rPr>
                <w:rFonts w:ascii="Calibri" w:hAnsi="Calibri"/>
                <w:color w:val="212529"/>
                <w:sz w:val="20"/>
              </w:rPr>
              <w:t>The Neypes doctrine was conceived to standardize appeal periods and eliminate confusion among litigants regarding the calculation of remaining appeal days.</w:t>
            </w:r>
          </w:p>
          <w:p>
            <w:pPr>
              <w:spacing w:before="20" w:after="40" w:line="276" w:lineRule="auto"/>
            </w:pPr>
            <w:r>
              <w:rPr>
                <w:rFonts w:ascii="Calibri" w:hAnsi="Calibri"/>
                <w:b/>
                <w:color w:val="212529"/>
                <w:sz w:val="20"/>
              </w:rPr>
              <w:t xml:space="preserve">2. Application of In Pari Materia to Rules of Court: </w:t>
            </w:r>
            <w:r>
              <w:rPr>
                <w:rFonts w:ascii="Calibri" w:hAnsi="Calibri"/>
                <w:color w:val="212529"/>
                <w:sz w:val="20"/>
              </w:rPr>
              <w:t>Rules 41, 42, 43, 45, and 122 all govern appeals from trial courts. There is no substantial difference in the nature of an appeal period between civil and criminal cases that would justify denying a fresh period in criminal cases.</w:t>
            </w:r>
          </w:p>
          <w:p>
            <w:pPr>
              <w:spacing w:before="20" w:after="40" w:line="276" w:lineRule="auto"/>
            </w:pPr>
            <w:r>
              <w:rPr>
                <w:rFonts w:ascii="Calibri" w:hAnsi="Calibri"/>
                <w:b/>
                <w:color w:val="212529"/>
                <w:sz w:val="20"/>
              </w:rPr>
              <w:t xml:space="preserve">3. Substantial Justice Over Rigidity: </w:t>
            </w:r>
            <w:r>
              <w:rPr>
                <w:rFonts w:ascii="Calibri" w:hAnsi="Calibri"/>
                <w:color w:val="212529"/>
                <w:sz w:val="20"/>
              </w:rPr>
              <w:t>Procedural rules are mere tools to facilitate the attainment of justice; they must be interpreted to allow full determination of cases on the merits.</w:t>
            </w:r>
          </w:p>
        </w:tc>
      </w:tr>
    </w:tbl>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ANALYSIS / APPLICATION</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The whole reason the Supreme Court invented the Neypes rule was to stop lawyers from making mathematical mistakes when counting remaining days. It makes no sense to give a fresh 15 days in a civil dispute over money, but refuse it in a criminal case where life, liberty, and justice are at stake.</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"Sir/Ma'am, the Court applied In Pari Materia and purposive construction. The intent of the Neypes rule was to standardize all appeal periods across the board. The Court harmonized Rule 122 with Rule 41 to ensure uniformity and prevent procedural forfeitures."</w:t>
            </w:r>
          </w:p>
        </w:tc>
      </w:tr>
    </w:tbl>
    <w:tbl>
      <w:tblPr>
        <w:tblW w:type="auto" w:w="0"/>
        <w:jc w:val="center"/>
        <w:tblLook w:firstColumn="1" w:firstRow="1" w:lastColumn="0" w:lastRow="0" w:noHBand="0" w:noVBand="1" w:val="04A0"/>
      </w:tblPr>
      <w:tblGrid>
        <w:gridCol w:w="9648"/>
      </w:tblGrid>
      <w:tr>
        <w:tc>
          <w:tcPr>
            <w:tcW w:type="dxa" w:w="9648"/>
            <w:shd w:fill="F4F6F9"/>
            <w:tcMar>
              <w:top w:w="120" w:type="dxa"/>
              <w:bottom w:w="120" w:type="dxa"/>
              <w:left w:w="180" w:type="dxa"/>
              <w:right w:w="180" w:type="dxa"/>
            </w:tcMar>
          </w:tcPr>
          <w:p>
            <w:pPr>
              <w:spacing w:before="40" w:after="60"/>
            </w:pPr>
            <w:r>
              <w:rPr>
                <w:rFonts w:ascii="Arial" w:hAnsi="Arial"/>
                <w:b/>
                <w:color w:val="0F2043"/>
                <w:sz w:val="21"/>
              </w:rPr>
              <w:t>[C] CONCLUSION</w:t>
              <w:br/>
            </w:r>
          </w:p>
          <w:p>
            <w:pPr>
              <w:spacing w:before="20" w:after="40" w:line="276" w:lineRule="auto"/>
            </w:pPr>
            <w:r>
              <w:rPr>
                <w:rFonts w:ascii="Calibri" w:hAnsi="Calibri"/>
                <w:color w:val="212529"/>
                <w:sz w:val="20"/>
              </w:rPr>
              <w:t>The Supreme Court GRANTED the petition, REVERSED the RTC dismissal, and ORDERED the trial court to give due course to petitioner's Notice of Appeal.</w:t>
            </w:r>
          </w:p>
        </w:tc>
      </w:tr>
    </w:tbl>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CONCLUSION</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The appeal was declared timely filed under the fresh period rule and the case was ordered to proceed.</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"The Supreme Court granted the petition, confirming that the Neypes fresh period rule applies to criminal appeals under Rule 122."</w:t>
            </w:r>
          </w:p>
        </w:tc>
      </w:tr>
    </w:tbl>
    <w:p>
      <w:pPr>
        <w:keepNext/>
        <w:spacing w:before="200" w:after="40"/>
      </w:pPr>
      <w:r>
        <w:rPr>
          <w:rFonts w:ascii="Arial" w:hAnsi="Arial"/>
          <w:b/>
          <w:color w:val="781E1E"/>
          <w:sz w:val="22"/>
        </w:rPr>
        <w:t>V. RELATION TO STATUTORY CONSTRUCTION</w:t>
      </w:r>
    </w:p>
    <w:p>
      <w:pPr>
        <w:spacing w:before="40" w:after="80" w:line="276" w:lineRule="auto"/>
      </w:pPr>
      <w:r>
        <w:rPr>
          <w:rFonts w:ascii="Calibri" w:hAnsi="Calibri"/>
          <w:b/>
          <w:color w:val="212529"/>
          <w:sz w:val="21"/>
        </w:rPr>
        <w:t>• Syllabus Topic Alignment:</w:t>
        <w:br/>
      </w:r>
      <w:r>
        <w:rPr>
          <w:rFonts w:ascii="Calibri" w:hAnsi="Calibri"/>
          <w:i w:val="0"/>
          <w:color w:val="212529"/>
          <w:sz w:val="21"/>
        </w:rPr>
        <w:t>• Chapter III: Basic Guidelines in the Construction and Interpretation of Laws</w:t>
        <w:br/>
        <w:t xml:space="preserve">  - A. General Guidelines: In Pari Materia &amp; Liberal Construction of Remedial Statutes</w:t>
      </w:r>
    </w:p>
    <w:tbl>
      <w:tblPr>
        <w:tblW w:type="auto" w:w="0"/>
        <w:jc w:val="center"/>
        <w:tblLook w:firstColumn="1" w:firstRow="1" w:lastColumn="0" w:lastRow="0" w:noHBand="0" w:noVBand="1" w:val="04A0"/>
      </w:tblPr>
      <w:tblGrid>
        <w:gridCol w:w="9648"/>
      </w:tblGrid>
      <w:tr>
        <w:tc>
          <w:tcPr>
            <w:tcW w:type="dxa" w:w="9648"/>
            <w:shd w:fill="FDF6EE"/>
            <w:tcMar>
              <w:top w:w="120" w:type="dxa"/>
              <w:bottom w:w="120" w:type="dxa"/>
              <w:left w:w="180" w:type="dxa"/>
              <w:right w:w="180" w:type="dxa"/>
            </w:tcMar>
          </w:tcPr>
          <w:p>
            <w:pPr>
              <w:spacing w:before="40" w:after="80"/>
            </w:pPr>
            <w:r>
              <w:rPr>
                <w:rFonts w:ascii="Arial" w:hAnsi="Arial"/>
                <w:b/>
                <w:color w:val="8C3200"/>
                <w:sz w:val="20"/>
              </w:rPr>
              <w:t>📜 GOVERNING LATIN MAXIMS WITH ENGLISH TRANSLATIONS</w:t>
              <w:br/>
            </w:r>
          </w:p>
          <w:p>
            <w:pPr>
              <w:spacing w:before="40" w:after="60" w:line="276" w:lineRule="auto"/>
            </w:pPr>
            <w:r>
              <w:rPr>
                <w:rFonts w:ascii="Calibri" w:hAnsi="Calibri"/>
                <w:b/>
                <w:color w:val="8C3200"/>
                <w:sz w:val="20"/>
              </w:rPr>
              <w:t>1. In pari materia (on the same subject matter)</w:t>
              <w:br/>
            </w:r>
            <w:r>
              <w:rPr>
                <w:rFonts w:ascii="Calibri" w:hAnsi="Calibri"/>
                <w:b/>
                <w:color w:val="212529"/>
                <w:sz w:val="19"/>
              </w:rPr>
              <w:t xml:space="preserve">   • Literal English Translation: </w:t>
            </w:r>
            <w:r>
              <w:rPr>
                <w:rFonts w:ascii="Calibri" w:hAnsi="Calibri"/>
                <w:i/>
                <w:color w:val="212529"/>
                <w:sz w:val="19"/>
              </w:rPr>
              <w:t>Upon the same matter.</w:t>
              <w:br/>
            </w:r>
            <w:r>
              <w:rPr>
                <w:rFonts w:ascii="Calibri" w:hAnsi="Calibri"/>
                <w:b/>
                <w:color w:val="212529"/>
                <w:sz w:val="19"/>
              </w:rPr>
              <w:t xml:space="preserve">   • Plain Legal Meaning &amp; StatCon Application: </w:t>
            </w:r>
            <w:r>
              <w:rPr>
                <w:rFonts w:ascii="Calibri" w:hAnsi="Calibri"/>
                <w:color w:val="212529"/>
                <w:sz w:val="19"/>
              </w:rPr>
              <w:t>Statutes and procedural rules relating to the same subject (appeals) must be read and harmonized together.</w:t>
            </w:r>
          </w:p>
          <w:p>
            <w:pPr>
              <w:spacing w:before="40" w:after="60" w:line="276" w:lineRule="auto"/>
            </w:pPr>
            <w:r>
              <w:rPr>
                <w:rFonts w:ascii="Calibri" w:hAnsi="Calibri"/>
                <w:b/>
                <w:color w:val="8C3200"/>
                <w:sz w:val="20"/>
              </w:rPr>
              <w:t>2. Ut res magis valeat quam pereat (that the thing may rather have effect than perish)</w:t>
              <w:br/>
            </w:r>
            <w:r>
              <w:rPr>
                <w:rFonts w:ascii="Calibri" w:hAnsi="Calibri"/>
                <w:b/>
                <w:color w:val="212529"/>
                <w:sz w:val="19"/>
              </w:rPr>
              <w:t xml:space="preserve">   • Literal English Translation: </w:t>
            </w:r>
            <w:r>
              <w:rPr>
                <w:rFonts w:ascii="Calibri" w:hAnsi="Calibri"/>
                <w:i/>
                <w:color w:val="212529"/>
                <w:sz w:val="19"/>
              </w:rPr>
              <w:t>That the thing may have effect rather than perish.</w:t>
              <w:br/>
            </w:r>
            <w:r>
              <w:rPr>
                <w:rFonts w:ascii="Calibri" w:hAnsi="Calibri"/>
                <w:b/>
                <w:color w:val="212529"/>
                <w:sz w:val="19"/>
              </w:rPr>
              <w:t xml:space="preserve">   • Plain Legal Meaning &amp; StatCon Application: </w:t>
            </w:r>
            <w:r>
              <w:rPr>
                <w:rFonts w:ascii="Calibri" w:hAnsi="Calibri"/>
                <w:color w:val="212529"/>
                <w:sz w:val="19"/>
              </w:rPr>
              <w:t>Procedural rules must be construed to save appeals and allow decisions on the merits rather than dismiss them on technicalities.</w:t>
            </w:r>
          </w:p>
          <w:p>
            <w:pPr>
              <w:spacing w:before="40" w:after="60" w:line="276" w:lineRule="auto"/>
            </w:pPr>
            <w:r>
              <w:rPr>
                <w:rFonts w:ascii="Calibri" w:hAnsi="Calibri"/>
                <w:b/>
                <w:color w:val="8C3200"/>
                <w:sz w:val="20"/>
              </w:rPr>
              <w:t>3. Interpretatio fienda est ut res magis valeat quam pereat (interpretation should be made so that the matter may have effect rather than fail)</w:t>
              <w:br/>
            </w:r>
            <w:r>
              <w:rPr>
                <w:rFonts w:ascii="Calibri" w:hAnsi="Calibri"/>
                <w:b/>
                <w:color w:val="212529"/>
                <w:sz w:val="19"/>
              </w:rPr>
              <w:t xml:space="preserve">   • Literal English Translation: </w:t>
            </w:r>
            <w:r>
              <w:rPr>
                <w:rFonts w:ascii="Calibri" w:hAnsi="Calibri"/>
                <w:i/>
                <w:color w:val="212529"/>
                <w:sz w:val="19"/>
              </w:rPr>
              <w:t>Interpretation should be made to preserve the efficacy of the law.</w:t>
              <w:br/>
            </w:r>
            <w:r>
              <w:rPr>
                <w:rFonts w:ascii="Calibri" w:hAnsi="Calibri"/>
                <w:b/>
                <w:color w:val="212529"/>
                <w:sz w:val="19"/>
              </w:rPr>
              <w:t xml:space="preserve">   • Plain Legal Meaning &amp; StatCon Application: </w:t>
            </w:r>
            <w:r>
              <w:rPr>
                <w:rFonts w:ascii="Calibri" w:hAnsi="Calibri"/>
                <w:color w:val="212529"/>
                <w:sz w:val="19"/>
              </w:rPr>
              <w:t>Rules of procedure must be given a practical, workable construction.</w:t>
            </w:r>
          </w:p>
        </w:tc>
      </w:tr>
    </w:tbl>
    <w:tbl>
      <w:tblPr>
        <w:tblW w:type="auto" w:w="0"/>
        <w:jc w:val="center"/>
        <w:tblLook w:firstColumn="1" w:firstRow="1" w:lastColumn="0" w:lastRow="0" w:noHBand="0" w:noVBand="1" w:val="04A0"/>
      </w:tblPr>
      <w:tblGrid>
        <w:gridCol w:w="4824"/>
        <w:gridCol w:w="4824"/>
      </w:tblGrid>
      <w:tr>
        <w:tc>
          <w:tcPr>
            <w:tcW w:type="dxa" w:w="4824"/>
            <w:shd w:fill="EAEFF5"/>
            <w:tcMar>
              <w:top w:w="80" w:type="dxa"/>
              <w:bottom w:w="80" w:type="dxa"/>
              <w:left w:w="120" w:type="dxa"/>
              <w:right w:w="120" w:type="dxa"/>
            </w:tcMar>
          </w:tcPr>
          <w:p>
            <w:pPr>
              <w:spacing w:before="40" w:after="40"/>
            </w:pPr>
            <w:r>
              <w:rPr>
                <w:rFonts w:ascii="Arial" w:hAnsi="Arial"/>
                <w:b/>
                <w:color w:val="0F2043"/>
                <w:sz w:val="18"/>
              </w:rPr>
              <w:t>Syllabus Topic Alignment</w:t>
              <w:br/>
              <w:t>(StatCon_Syllabus_JPR.pdf)</w:t>
            </w:r>
          </w:p>
        </w:tc>
        <w:tc>
          <w:tcPr>
            <w:tcW w:type="dxa" w:w="4824"/>
            <w:shd w:fill="FAFAFA"/>
            <w:tcMar>
              <w:top w:w="80" w:type="dxa"/>
              <w:bottom w:w="80" w:type="dxa"/>
              <w:left w:w="120" w:type="dxa"/>
              <w:right w:w="120" w:type="dxa"/>
            </w:tcMar>
          </w:tcPr>
          <w:p>
            <w:pPr>
              <w:spacing w:before="40" w:after="40" w:line="276" w:lineRule="auto"/>
            </w:pPr>
            <w:r>
              <w:rPr>
                <w:rFonts w:ascii="Calibri" w:hAnsi="Calibri"/>
                <w:color w:val="212529"/>
                <w:sz w:val="19"/>
              </w:rPr>
              <w:t>• Chapter III: Basic Guidelines in the Construction and Interpretation of Laws</w:t>
              <w:br/>
              <w:t xml:space="preserve">  - A. General Guidelines: In Pari Materia &amp; Liberal Construction of Remedial Statutes</w:t>
            </w:r>
          </w:p>
        </w:tc>
      </w:tr>
      <w:tr>
        <w:tc>
          <w:tcPr>
            <w:tcW w:type="dxa" w:w="4824"/>
            <w:shd w:fill="EAEFF5"/>
            <w:tcMar>
              <w:top w:w="80" w:type="dxa"/>
              <w:bottom w:w="80" w:type="dxa"/>
              <w:left w:w="120" w:type="dxa"/>
              <w:right w:w="120" w:type="dxa"/>
            </w:tcMar>
          </w:tcPr>
          <w:p>
            <w:pPr>
              <w:spacing w:before="40" w:after="40"/>
            </w:pPr>
            <w:r>
              <w:rPr>
                <w:rFonts w:ascii="Arial" w:hAnsi="Arial"/>
                <w:b/>
                <w:color w:val="0F2043"/>
                <w:sz w:val="18"/>
              </w:rPr>
              <w:t>Governing Latin Maxims &amp; English</w:t>
            </w:r>
          </w:p>
        </w:tc>
        <w:tc>
          <w:tcPr>
            <w:tcW w:type="dxa" w:w="4824"/>
            <w:shd w:fill="FAFAFA"/>
            <w:tcMar>
              <w:top w:w="80" w:type="dxa"/>
              <w:bottom w:w="80" w:type="dxa"/>
              <w:left w:w="120" w:type="dxa"/>
              <w:right w:w="120" w:type="dxa"/>
            </w:tcMar>
          </w:tcPr>
          <w:p>
            <w:pPr>
              <w:spacing w:before="40" w:after="40" w:line="276" w:lineRule="auto"/>
            </w:pPr>
            <w:r>
              <w:rPr>
                <w:rFonts w:ascii="Calibri" w:hAnsi="Calibri"/>
                <w:color w:val="212529"/>
                <w:sz w:val="19"/>
              </w:rPr>
              <w:t>Primary:</w:t>
              <w:br/>
              <w:t>In pari materia</w:t>
              <w:br/>
              <w:t>(on the same subject matter / harmonizing civil and criminal procedural appeal rules under the Neypes doctrine)</w:t>
              <w:br/>
              <w:br/>
              <w:t>Secondary:</w:t>
              <w:br/>
              <w:t>• Ut res magis valeat quam pereat (construed to preserve procedural efficacy)</w:t>
              <w:br/>
              <w:t>• Substantia praevalet formae (substance over technicalities)</w:t>
            </w:r>
          </w:p>
        </w:tc>
      </w:tr>
      <w:tr>
        <w:tc>
          <w:tcPr>
            <w:tcW w:type="dxa" w:w="4824"/>
            <w:shd w:fill="EAEFF5"/>
            <w:tcMar>
              <w:top w:w="80" w:type="dxa"/>
              <w:bottom w:w="80" w:type="dxa"/>
              <w:left w:w="120" w:type="dxa"/>
              <w:right w:w="120" w:type="dxa"/>
            </w:tcMar>
          </w:tcPr>
          <w:p>
            <w:pPr>
              <w:spacing w:before="40" w:after="40"/>
            </w:pPr>
            <w:r>
              <w:rPr>
                <w:rFonts w:ascii="Arial" w:hAnsi="Arial"/>
                <w:b/>
                <w:color w:val="0F2043"/>
                <w:sz w:val="18"/>
              </w:rPr>
              <w:t>Case Violation in StatCon</w:t>
            </w:r>
          </w:p>
        </w:tc>
        <w:tc>
          <w:tcPr>
            <w:tcW w:type="dxa" w:w="4824"/>
            <w:shd w:fill="FAFAFA"/>
            <w:tcMar>
              <w:top w:w="80" w:type="dxa"/>
              <w:bottom w:w="80" w:type="dxa"/>
              <w:left w:w="120" w:type="dxa"/>
              <w:right w:w="120" w:type="dxa"/>
            </w:tcMar>
          </w:tcPr>
          <w:p>
            <w:pPr>
              <w:spacing w:before="40" w:after="40" w:line="276" w:lineRule="auto"/>
            </w:pPr>
            <w:r>
              <w:rPr>
                <w:rFonts w:ascii="Calibri" w:hAnsi="Calibri"/>
                <w:color w:val="212529"/>
                <w:sz w:val="19"/>
              </w:rPr>
              <w:t>The trial court created a fractured, contradictory interpretation of the Rules of Court by restricting the fresh period rule solely to civil actions.</w:t>
            </w:r>
          </w:p>
        </w:tc>
      </w:tr>
      <w:tr>
        <w:tc>
          <w:tcPr>
            <w:tcW w:type="dxa" w:w="4824"/>
            <w:shd w:fill="EAEFF5"/>
            <w:tcMar>
              <w:top w:w="80" w:type="dxa"/>
              <w:bottom w:w="80" w:type="dxa"/>
              <w:left w:w="120" w:type="dxa"/>
              <w:right w:w="120" w:type="dxa"/>
            </w:tcMar>
          </w:tcPr>
          <w:p>
            <w:pPr>
              <w:spacing w:before="40" w:after="40"/>
            </w:pPr>
            <w:r>
              <w:rPr>
                <w:rFonts w:ascii="Arial" w:hAnsi="Arial"/>
                <w:b/>
                <w:color w:val="0F2043"/>
                <w:sz w:val="18"/>
              </w:rPr>
              <w:t>Doctrinal Execution / Principle</w:t>
            </w:r>
          </w:p>
        </w:tc>
        <w:tc>
          <w:tcPr>
            <w:tcW w:type="dxa" w:w="4824"/>
            <w:shd w:fill="FAFAFA"/>
            <w:tcMar>
              <w:top w:w="80" w:type="dxa"/>
              <w:bottom w:w="80" w:type="dxa"/>
              <w:left w:w="120" w:type="dxa"/>
              <w:right w:w="120" w:type="dxa"/>
            </w:tcMar>
          </w:tcPr>
          <w:p>
            <w:pPr>
              <w:spacing w:before="40" w:after="40" w:line="276" w:lineRule="auto"/>
            </w:pPr>
            <w:r>
              <w:rPr>
                <w:rFonts w:ascii="Calibri" w:hAnsi="Calibri"/>
                <w:color w:val="212529"/>
                <w:sz w:val="19"/>
              </w:rPr>
              <w:t>Harmonious Construction of Procedural Codes: Sections of the Rules of Court dealing with the same subject matter must be construed in pari materia to establish a uniform, predictable system of justice.</w:t>
            </w:r>
          </w:p>
        </w:tc>
      </w:tr>
    </w:tbl>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RELATION TO STATUTORY CONSTRUCTION</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Rules that govern the same topic must be read together like parts of a single book so they do not contradict each other.</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"Sir/Ma'am, Yu v. Samson-Tatad demonstrates In Pari Materia applied to the Rules of Court, harmonizing civil and criminal appeal deadlines under the Neypes fresh period rule."</w:t>
            </w:r>
          </w:p>
        </w:tc>
      </w:tr>
    </w:tbl>
    <w:p>
      <w:pPr>
        <w:spacing w:before="160" w:after="80"/>
      </w:pPr>
    </w:p>
    <w:tbl>
      <w:tblPr>
        <w:tblW w:type="auto" w:w="0"/>
        <w:jc w:val="center"/>
        <w:tblLook w:firstColumn="1" w:firstRow="1" w:lastColumn="0" w:lastRow="0" w:noHBand="0" w:noVBand="1" w:val="04A0"/>
      </w:tblPr>
      <w:tblGrid>
        <w:gridCol w:w="9648"/>
      </w:tblGrid>
      <w:tr>
        <w:tc>
          <w:tcPr>
            <w:tcW w:type="dxa" w:w="9648"/>
            <w:shd w:fill="1E3A5F"/>
            <w:tcMar>
              <w:top w:w="140" w:type="dxa"/>
              <w:bottom w:w="140" w:type="dxa"/>
              <w:left w:w="200" w:type="dxa"/>
              <w:right w:w="200" w:type="dxa"/>
            </w:tcMar>
          </w:tcPr>
          <w:p>
            <w:pPr>
              <w:spacing w:before="40" w:after="40"/>
              <w:jc w:val="center"/>
            </w:pPr>
            <w:r>
              <w:rPr>
                <w:rFonts w:ascii="Arial" w:hAnsi="Arial"/>
                <w:b/>
                <w:color w:val="FFD700"/>
                <w:sz w:val="22"/>
              </w:rPr>
              <w:t>⚖ STANDARDIZED CASE DIGEST: STATUTORY CONSTRUCTION FORMAT</w:t>
              <w:br/>
            </w:r>
            <w:r>
              <w:rPr>
                <w:rFonts w:ascii="Arial" w:hAnsi="Arial"/>
                <w:i/>
                <w:color w:val="DCEBFF"/>
                <w:sz w:val="18"/>
              </w:rPr>
              <w:t>(Complete 12-Section Academic &amp; Judicial Construction Analysis)</w:t>
            </w:r>
          </w:p>
        </w:tc>
      </w:tr>
    </w:tbl>
    <w:p>
      <w:pPr>
        <w:spacing w:before="80" w:after="80"/>
      </w:pPr>
    </w:p>
    <w:tbl>
      <w:tblPr>
        <w:tblW w:type="auto" w:w="0"/>
        <w:jc w:val="center"/>
        <w:tblLook w:firstColumn="1" w:firstRow="1" w:lastColumn="0" w:lastRow="0" w:noHBand="0" w:noVBand="1" w:val="04A0"/>
      </w:tblPr>
      <w:tblGrid>
        <w:gridCol w:w="4824"/>
        <w:gridCol w:w="4824"/>
      </w:tblGrid>
      <w:tr>
        <w:tc>
          <w:tcPr>
            <w:tcW w:type="dxa" w:w="4824"/>
            <w:shd w:fill="EBF0F7"/>
            <w:tcMar>
              <w:top w:w="60" w:type="dxa"/>
              <w:bottom w:w="60" w:type="dxa"/>
              <w:left w:w="120" w:type="dxa"/>
              <w:right w:w="120" w:type="dxa"/>
            </w:tcMar>
          </w:tcPr>
          <w:p>
            <w:pPr>
              <w:spacing w:before="20" w:after="20"/>
            </w:pPr>
            <w:r>
              <w:rPr>
                <w:rFonts w:ascii="Arial" w:hAnsi="Arial"/>
                <w:b/>
                <w:color w:val="0F2043"/>
                <w:sz w:val="19"/>
              </w:rPr>
              <w:t>Case Title:</w:t>
            </w:r>
          </w:p>
        </w:tc>
        <w:tc>
          <w:tcPr>
            <w:tcW w:type="dxa" w:w="4824"/>
            <w:shd w:fill="FAFCFF"/>
            <w:tcMar>
              <w:top w:w="60" w:type="dxa"/>
              <w:bottom w:w="60" w:type="dxa"/>
              <w:left w:w="120" w:type="dxa"/>
              <w:right w:w="120" w:type="dxa"/>
            </w:tcMar>
          </w:tcPr>
          <w:p>
            <w:pPr>
              <w:spacing w:before="20" w:after="20"/>
            </w:pPr>
            <w:r>
              <w:rPr>
                <w:rFonts w:ascii="Calibri" w:hAnsi="Calibri"/>
                <w:b/>
                <w:color w:val="212529"/>
                <w:sz w:val="19"/>
              </w:rPr>
              <w:t>Aurelio P. Yu v. Hon. Ma. Theresa L. Samson-Tatad and People of the Philippines</w:t>
            </w:r>
          </w:p>
        </w:tc>
      </w:tr>
      <w:tr>
        <w:tc>
          <w:tcPr>
            <w:tcW w:type="dxa" w:w="4824"/>
            <w:shd w:fill="EBF0F7"/>
            <w:tcMar>
              <w:top w:w="60" w:type="dxa"/>
              <w:bottom w:w="60" w:type="dxa"/>
              <w:left w:w="120" w:type="dxa"/>
              <w:right w:w="120" w:type="dxa"/>
            </w:tcMar>
          </w:tcPr>
          <w:p>
            <w:pPr>
              <w:spacing w:before="20" w:after="20"/>
            </w:pPr>
            <w:r>
              <w:rPr>
                <w:rFonts w:ascii="Arial" w:hAnsi="Arial"/>
                <w:b/>
                <w:color w:val="0F2043"/>
                <w:sz w:val="19"/>
              </w:rPr>
              <w:t>G.R. No. / Record:</w:t>
            </w:r>
          </w:p>
        </w:tc>
        <w:tc>
          <w:tcPr>
            <w:tcW w:type="dxa" w:w="4824"/>
            <w:shd w:fill="FAFCFF"/>
            <w:tcMar>
              <w:top w:w="60" w:type="dxa"/>
              <w:bottom w:w="60" w:type="dxa"/>
              <w:left w:w="120" w:type="dxa"/>
              <w:right w:w="120" w:type="dxa"/>
            </w:tcMar>
          </w:tcPr>
          <w:p>
            <w:pPr>
              <w:spacing w:before="20" w:after="20"/>
            </w:pPr>
            <w:r>
              <w:rPr>
                <w:rFonts w:ascii="Calibri" w:hAnsi="Calibri"/>
                <w:b w:val="0"/>
                <w:color w:val="212529"/>
                <w:sz w:val="19"/>
              </w:rPr>
              <w:t>G.R. No. 170979</w:t>
            </w:r>
          </w:p>
        </w:tc>
      </w:tr>
      <w:tr>
        <w:tc>
          <w:tcPr>
            <w:tcW w:type="dxa" w:w="4824"/>
            <w:shd w:fill="EBF0F7"/>
            <w:tcMar>
              <w:top w:w="60" w:type="dxa"/>
              <w:bottom w:w="60" w:type="dxa"/>
              <w:left w:w="120" w:type="dxa"/>
              <w:right w:w="120" w:type="dxa"/>
            </w:tcMar>
          </w:tcPr>
          <w:p>
            <w:pPr>
              <w:spacing w:before="20" w:after="20"/>
            </w:pPr>
            <w:r>
              <w:rPr>
                <w:rFonts w:ascii="Arial" w:hAnsi="Arial"/>
                <w:b/>
                <w:color w:val="0F2043"/>
                <w:sz w:val="19"/>
              </w:rPr>
              <w:t>Date of Promulgation:</w:t>
            </w:r>
          </w:p>
        </w:tc>
        <w:tc>
          <w:tcPr>
            <w:tcW w:type="dxa" w:w="4824"/>
            <w:shd w:fill="FAFCFF"/>
            <w:tcMar>
              <w:top w:w="60" w:type="dxa"/>
              <w:bottom w:w="60" w:type="dxa"/>
              <w:left w:w="120" w:type="dxa"/>
              <w:right w:w="120" w:type="dxa"/>
            </w:tcMar>
          </w:tcPr>
          <w:p>
            <w:pPr>
              <w:spacing w:before="20" w:after="20"/>
            </w:pPr>
            <w:r>
              <w:rPr>
                <w:rFonts w:ascii="Calibri" w:hAnsi="Calibri"/>
                <w:b w:val="0"/>
                <w:color w:val="212529"/>
                <w:sz w:val="19"/>
              </w:rPr>
              <w:t>February 9, 2011</w:t>
            </w:r>
          </w:p>
        </w:tc>
      </w:tr>
      <w:tr>
        <w:tc>
          <w:tcPr>
            <w:tcW w:type="dxa" w:w="4824"/>
            <w:shd w:fill="EBF0F7"/>
            <w:tcMar>
              <w:top w:w="60" w:type="dxa"/>
              <w:bottom w:w="60" w:type="dxa"/>
              <w:left w:w="120" w:type="dxa"/>
              <w:right w:w="120" w:type="dxa"/>
            </w:tcMar>
          </w:tcPr>
          <w:p>
            <w:pPr>
              <w:spacing w:before="20" w:after="20"/>
            </w:pPr>
            <w:r>
              <w:rPr>
                <w:rFonts w:ascii="Arial" w:hAnsi="Arial"/>
                <w:b/>
                <w:color w:val="0F2043"/>
                <w:sz w:val="19"/>
              </w:rPr>
              <w:t>Ponente / Court:</w:t>
            </w:r>
          </w:p>
        </w:tc>
        <w:tc>
          <w:tcPr>
            <w:tcW w:type="dxa" w:w="4824"/>
            <w:shd w:fill="FAFCFF"/>
            <w:tcMar>
              <w:top w:w="60" w:type="dxa"/>
              <w:bottom w:w="60" w:type="dxa"/>
              <w:left w:w="120" w:type="dxa"/>
              <w:right w:w="120" w:type="dxa"/>
            </w:tcMar>
          </w:tcPr>
          <w:p>
            <w:pPr>
              <w:spacing w:before="20" w:after="20"/>
            </w:pPr>
            <w:r>
              <w:rPr>
                <w:rFonts w:ascii="Calibri" w:hAnsi="Calibri"/>
                <w:b w:val="0"/>
                <w:color w:val="212529"/>
                <w:sz w:val="19"/>
              </w:rPr>
              <w:t>Third Division</w:t>
            </w:r>
          </w:p>
        </w:tc>
      </w:tr>
    </w:tbl>
    <w:p>
      <w:pPr>
        <w:keepNext/>
        <w:spacing w:before="240" w:after="60"/>
      </w:pPr>
      <w:r>
        <w:rPr>
          <w:rFonts w:ascii="Arial" w:hAnsi="Arial"/>
          <w:b/>
          <w:color w:val="0F2043"/>
          <w:sz w:val="21"/>
        </w:rPr>
        <w:t>I. FACTS OF THE CASE</w:t>
      </w:r>
    </w:p>
    <w:tbl>
      <w:tblPr>
        <w:tblW w:type="auto" w:w="0"/>
        <w:jc w:val="center"/>
        <w:tblLook w:firstColumn="1" w:firstRow="1" w:lastColumn="0" w:lastRow="0" w:noHBand="0" w:noVBand="1" w:val="04A0"/>
      </w:tblPr>
      <w:tblGrid>
        <w:gridCol w:w="9648"/>
      </w:tblGrid>
      <w:tr>
        <w:tc>
          <w:tcPr>
            <w:tcW w:type="dxa" w:w="9648"/>
            <w:shd w:fill="F8F9FB"/>
            <w:tcMar>
              <w:top w:w="100" w:type="dxa"/>
              <w:bottom w:w="100" w:type="dxa"/>
              <w:left w:w="160" w:type="dxa"/>
              <w:right w:w="160" w:type="dxa"/>
            </w:tcMar>
          </w:tcPr>
          <w:p>
            <w:pPr>
              <w:spacing w:before="20" w:after="40"/>
            </w:pPr>
            <w:r>
              <w:rPr>
                <w:rFonts w:ascii="Arial" w:hAnsi="Arial"/>
                <w:b/>
                <w:color w:val="0F2043"/>
                <w:sz w:val="19"/>
              </w:rPr>
              <w:t>Material Facts of Controversy</w:t>
              <w:br/>
            </w:r>
          </w:p>
          <w:p>
            <w:pPr>
              <w:spacing w:before="20" w:after="40" w:line="276" w:lineRule="auto"/>
            </w:pPr>
            <w:r>
              <w:rPr>
                <w:rFonts w:ascii="Calibri" w:hAnsi="Calibri"/>
                <w:color w:val="212529"/>
                <w:sz w:val="19"/>
              </w:rPr>
              <w:t>In a criminal case for Estafa, the RTC dismissed the charges against the accused Spouses Tiu. The private complainant Aurelio Yu filed a motion for reconsideration, which the RTC denied. The private complainant received the notice of denial on November 3, 2005, and filed his Notice of Appeal on November 10, 2005 (within the fresh 15-day period counted from receipt of the denial order, but beyond the remaining days of the original 15-day period). The RTC denied the appeal for being filed out of time, holding that the 'fresh period rule' established in Neypes v. Court of Appeals applies exclusively to civil actions under Rule 41 and not to criminal appeals under Rule 122.</w:t>
            </w:r>
          </w:p>
        </w:tc>
      </w:tr>
    </w:tbl>
    <w:p>
      <w:pPr>
        <w:keepNext/>
        <w:spacing w:before="240" w:after="60"/>
      </w:pPr>
      <w:r>
        <w:rPr>
          <w:rFonts w:ascii="Arial" w:hAnsi="Arial"/>
          <w:b/>
          <w:color w:val="0F2043"/>
          <w:sz w:val="21"/>
        </w:rPr>
        <w:t>II. FACTS RELEVANT TO STATUTORY CONSTRUCTION</w:t>
      </w:r>
    </w:p>
    <w:tbl>
      <w:tblPr>
        <w:tblW w:type="auto" w:w="0"/>
        <w:jc w:val="center"/>
        <w:tblLook w:firstColumn="1" w:firstRow="1" w:lastColumn="0" w:lastRow="0" w:noHBand="0" w:noVBand="1" w:val="04A0"/>
      </w:tblPr>
      <w:tblGrid>
        <w:gridCol w:w="9648"/>
      </w:tblGrid>
      <w:tr>
        <w:tc>
          <w:tcPr>
            <w:tcW w:type="dxa" w:w="9648"/>
            <w:shd w:fill="F8F9FB"/>
            <w:tcMar>
              <w:top w:w="100" w:type="dxa"/>
              <w:bottom w:w="100" w:type="dxa"/>
              <w:left w:w="160" w:type="dxa"/>
              <w:right w:w="160" w:type="dxa"/>
            </w:tcMar>
          </w:tcPr>
          <w:p>
            <w:pPr>
              <w:spacing w:before="20" w:after="40"/>
            </w:pPr>
            <w:r>
              <w:rPr>
                <w:rFonts w:ascii="Arial" w:hAnsi="Arial"/>
                <w:b/>
                <w:color w:val="0F2043"/>
                <w:sz w:val="19"/>
              </w:rPr>
              <w:t>Facts Giving Rise to Need for Interpretation</w:t>
              <w:br/>
            </w:r>
          </w:p>
          <w:p>
            <w:pPr>
              <w:spacing w:before="20" w:after="40" w:line="276" w:lineRule="auto"/>
            </w:pPr>
            <w:r>
              <w:rPr>
                <w:rFonts w:ascii="Calibri" w:hAnsi="Calibri"/>
                <w:b/>
                <w:color w:val="212529"/>
                <w:sz w:val="19"/>
              </w:rPr>
              <w:t xml:space="preserve">• What provision of law or rule became relevant? </w:t>
            </w:r>
            <w:r>
              <w:rPr>
                <w:rFonts w:ascii="Calibri" w:hAnsi="Calibri"/>
                <w:color w:val="212529"/>
                <w:sz w:val="19"/>
              </w:rPr>
              <w:t>1. Section 3, Rule 122, Revised Rules of Criminal Procedure: Governs the period and manner of taking appeals in criminal cases.</w:t>
              <w:br/>
              <w:t>2. Rule 41, Section 3, Rules of Court (as construed in Neypes v. CA): Standardized the fresh 15-day period from receipt of the denial of a motion for new trial or reconsideration.</w:t>
            </w:r>
          </w:p>
          <w:p>
            <w:pPr>
              <w:spacing w:before="20" w:after="40" w:line="276" w:lineRule="auto"/>
            </w:pPr>
            <w:r>
              <w:rPr>
                <w:rFonts w:ascii="Calibri" w:hAnsi="Calibri"/>
                <w:b/>
                <w:color w:val="212529"/>
                <w:sz w:val="19"/>
              </w:rPr>
              <w:t xml:space="preserve">• What circumstance made interpretation necessary? </w:t>
            </w:r>
            <w:r>
              <w:rPr>
                <w:rFonts w:ascii="Calibri" w:hAnsi="Calibri"/>
                <w:color w:val="212529"/>
                <w:sz w:val="19"/>
              </w:rPr>
              <w:t>The trial court created a fractured, contradictory interpretation of the Rules of Court by restricting the fresh period rule solely to civil actions.</w:t>
            </w:r>
          </w:p>
          <w:p>
            <w:pPr>
              <w:spacing w:before="20" w:after="40" w:line="276" w:lineRule="auto"/>
            </w:pPr>
            <w:r>
              <w:rPr>
                <w:rFonts w:ascii="Calibri" w:hAnsi="Calibri"/>
                <w:b/>
                <w:color w:val="212529"/>
                <w:sz w:val="19"/>
              </w:rPr>
              <w:t xml:space="preserve">• What competing interpretations were presented? </w:t>
            </w:r>
            <w:r>
              <w:rPr>
                <w:rFonts w:ascii="Calibri" w:hAnsi="Calibri"/>
                <w:color w:val="212529"/>
                <w:sz w:val="19"/>
              </w:rPr>
              <w:t>Petitioner argued for a favorable interpretation based on statutory intent, while Respondent contended for a literal or restrictive application.</w:t>
            </w:r>
          </w:p>
        </w:tc>
      </w:tr>
    </w:tbl>
    <w:p>
      <w:pPr>
        <w:keepNext/>
        <w:spacing w:before="240" w:after="60"/>
      </w:pPr>
      <w:r>
        <w:rPr>
          <w:rFonts w:ascii="Arial" w:hAnsi="Arial"/>
          <w:b/>
          <w:color w:val="0F2043"/>
          <w:sz w:val="21"/>
        </w:rPr>
        <w:t>III. ISSUES</w:t>
      </w:r>
    </w:p>
    <w:p>
      <w:pPr>
        <w:keepNext/>
        <w:spacing w:before="120" w:after="40"/>
      </w:pPr>
      <w:r>
        <w:rPr>
          <w:rFonts w:ascii="Arial" w:hAnsi="Arial"/>
          <w:b/>
          <w:color w:val="781E1E"/>
          <w:sz w:val="20"/>
        </w:rPr>
        <w:t>A. General Legal Issues</w:t>
      </w:r>
    </w:p>
    <w:p>
      <w:pPr>
        <w:spacing w:before="40" w:after="80" w:line="276" w:lineRule="auto"/>
      </w:pPr>
      <w:r>
        <w:rPr>
          <w:rFonts w:ascii="Calibri" w:hAnsi="Calibri"/>
          <w:i w:val="0"/>
          <w:color w:val="212529"/>
          <w:sz w:val="21"/>
        </w:rPr>
        <w:t>Whether or not the Neypes 'Fresh Period Rule' applies to appeals in criminal cases under Rule 122 of the Rules of Court.</w:t>
      </w:r>
    </w:p>
    <w:p>
      <w:pPr>
        <w:keepNext/>
        <w:spacing w:before="120" w:after="40"/>
      </w:pPr>
      <w:r>
        <w:rPr>
          <w:rFonts w:ascii="Arial" w:hAnsi="Arial"/>
          <w:b/>
          <w:color w:val="781E1E"/>
          <w:sz w:val="20"/>
        </w:rPr>
        <w:t>B. Statutory-Construction Issue/s</w:t>
      </w:r>
    </w:p>
    <w:tbl>
      <w:tblPr>
        <w:tblW w:type="auto" w:w="0"/>
        <w:jc w:val="center"/>
        <w:tblLook w:firstColumn="1" w:firstRow="1" w:lastColumn="0" w:lastRow="0" w:noHBand="0" w:noVBand="1" w:val="04A0"/>
      </w:tblPr>
      <w:tblGrid>
        <w:gridCol w:w="9648"/>
      </w:tblGrid>
      <w:tr>
        <w:tc>
          <w:tcPr>
            <w:tcW w:type="dxa" w:w="9648"/>
            <w:shd w:fill="EBF3FA"/>
            <w:tcMar>
              <w:top w:w="100" w:type="dxa"/>
              <w:bottom w:w="100" w:type="dxa"/>
              <w:left w:w="160" w:type="dxa"/>
              <w:right w:w="160" w:type="dxa"/>
            </w:tcMar>
          </w:tcPr>
          <w:p>
            <w:pPr>
              <w:spacing w:before="20" w:after="40"/>
            </w:pPr>
            <w:r>
              <w:rPr>
                <w:rFonts w:ascii="Arial" w:hAnsi="Arial"/>
                <w:b/>
                <w:color w:val="0F2043"/>
                <w:sz w:val="19"/>
              </w:rPr>
              <w:t>Standardized StatCon Issue Statement</w:t>
              <w:br/>
            </w:r>
          </w:p>
          <w:p>
            <w:pPr>
              <w:spacing w:before="20" w:after="40" w:line="276" w:lineRule="auto"/>
            </w:pPr>
            <w:r>
              <w:rPr>
                <w:rFonts w:ascii="Calibri" w:hAnsi="Calibri"/>
                <w:color w:val="212529"/>
                <w:sz w:val="19"/>
              </w:rPr>
              <w:t>Whether the subject statutory act, classification, or terminology under the governing statute/rule means, includes, or applies to the factual controversy in Aurelio P. Yu v. Hon. Ma. Theresa L. Samson-Tatad and People of the Philippines, under the canon of In pari materia.</w:t>
            </w:r>
          </w:p>
        </w:tc>
      </w:tr>
    </w:tbl>
    <w:p>
      <w:pPr>
        <w:keepNext/>
        <w:spacing w:before="240" w:after="60"/>
      </w:pPr>
      <w:r>
        <w:rPr>
          <w:rFonts w:ascii="Arial" w:hAnsi="Arial"/>
          <w:b/>
          <w:color w:val="0F2043"/>
          <w:sz w:val="21"/>
        </w:rPr>
        <w:t>IV. PROVISION/S OF LAW CONSTRUED</w:t>
      </w:r>
    </w:p>
    <w:tbl>
      <w:tblPr>
        <w:tblW w:type="auto" w:w="0"/>
        <w:jc w:val="center"/>
        <w:tblLook w:firstColumn="1" w:firstRow="1" w:lastColumn="0" w:lastRow="0" w:noHBand="0" w:noVBand="1" w:val="04A0"/>
      </w:tblPr>
      <w:tblGrid>
        <w:gridCol w:w="9648"/>
      </w:tblGrid>
      <w:tr>
        <w:tc>
          <w:tcPr>
            <w:tcW w:type="dxa" w:w="9648"/>
            <w:shd w:fill="F8F9FB"/>
            <w:tcMar>
              <w:top w:w="100" w:type="dxa"/>
              <w:bottom w:w="100" w:type="dxa"/>
              <w:left w:w="160" w:type="dxa"/>
              <w:right w:w="160" w:type="dxa"/>
            </w:tcMar>
          </w:tcPr>
          <w:p>
            <w:pPr>
              <w:spacing w:before="20" w:after="40"/>
            </w:pPr>
            <w:r>
              <w:rPr>
                <w:rFonts w:ascii="Arial" w:hAnsi="Arial"/>
                <w:b/>
                <w:color w:val="0F2043"/>
                <w:sz w:val="19"/>
              </w:rPr>
              <w:t>Statutory / Constitutional Text &amp; Problem</w:t>
              <w:br/>
            </w:r>
          </w:p>
          <w:p>
            <w:pPr>
              <w:spacing w:before="20" w:after="40" w:line="276" w:lineRule="auto"/>
            </w:pPr>
            <w:r>
              <w:rPr>
                <w:rFonts w:ascii="Calibri" w:hAnsi="Calibri"/>
                <w:b/>
                <w:color w:val="212529"/>
                <w:sz w:val="19"/>
              </w:rPr>
              <w:t xml:space="preserve">• Quoted Provision: </w:t>
            </w:r>
            <w:r>
              <w:rPr>
                <w:rFonts w:ascii="Calibri" w:hAnsi="Calibri"/>
                <w:color w:val="212529"/>
                <w:sz w:val="19"/>
              </w:rPr>
              <w:t>1. Section 3, Rule 122, Revised Rules of Criminal Procedure: Governs the period and manner of taking appeals in criminal cases.</w:t>
              <w:br/>
              <w:t>2. Rule 41, Section 3, Rules of Court (as construed in Neypes v. CA): Standardized the fresh 15-day period from receipt of the denial of a motion for new trial or reconsideration.</w:t>
            </w:r>
          </w:p>
          <w:p>
            <w:pPr>
              <w:spacing w:before="20" w:after="40" w:line="276" w:lineRule="auto"/>
            </w:pPr>
            <w:r>
              <w:rPr>
                <w:rFonts w:ascii="Calibri" w:hAnsi="Calibri"/>
                <w:b/>
                <w:color w:val="212529"/>
                <w:sz w:val="19"/>
              </w:rPr>
              <w:t xml:space="preserve">• Interpretive Problem: </w:t>
            </w:r>
            <w:r>
              <w:rPr>
                <w:rFonts w:ascii="Calibri" w:hAnsi="Calibri"/>
                <w:color w:val="212529"/>
                <w:sz w:val="19"/>
              </w:rPr>
              <w:t>Multiple statutes govern the same subject matter, requiring judicial harmonization to give full effect to legislative policy without creating an implied repeal.</w:t>
            </w:r>
          </w:p>
        </w:tc>
      </w:tr>
    </w:tbl>
    <w:p>
      <w:pPr>
        <w:keepNext/>
        <w:spacing w:before="240" w:after="60"/>
      </w:pPr>
      <w:r>
        <w:rPr>
          <w:rFonts w:ascii="Arial" w:hAnsi="Arial"/>
          <w:b/>
          <w:color w:val="0F2043"/>
          <w:sz w:val="21"/>
        </w:rPr>
        <w:t>V. RULING OF THE SUPREME COURT</w:t>
      </w:r>
    </w:p>
    <w:p>
      <w:pPr>
        <w:keepNext/>
        <w:spacing w:before="120" w:after="40"/>
      </w:pPr>
      <w:r>
        <w:rPr>
          <w:rFonts w:ascii="Arial" w:hAnsi="Arial"/>
          <w:b/>
          <w:color w:val="781E1E"/>
          <w:sz w:val="20"/>
        </w:rPr>
        <w:t>A. General Ruling</w:t>
      </w:r>
    </w:p>
    <w:p>
      <w:pPr>
        <w:spacing w:before="40" w:after="80" w:line="276" w:lineRule="auto"/>
      </w:pPr>
      <w:r>
        <w:rPr>
          <w:rFonts w:ascii="Calibri" w:hAnsi="Calibri"/>
          <w:i w:val="0"/>
          <w:color w:val="212529"/>
          <w:sz w:val="21"/>
        </w:rPr>
        <w:t>The Supreme Court GRANTED the petition, REVERSED the RTC dismissal, and ORDERED the trial court to give due course to petitioner's Notice of Appeal.</w:t>
      </w:r>
    </w:p>
    <w:p>
      <w:pPr>
        <w:keepNext/>
        <w:spacing w:before="120" w:after="40"/>
      </w:pPr>
      <w:r>
        <w:rPr>
          <w:rFonts w:ascii="Arial" w:hAnsi="Arial"/>
          <w:b/>
          <w:color w:val="781E1E"/>
          <w:sz w:val="20"/>
        </w:rPr>
        <w:t>B. Ruling on the Statutory-Construction Issue</w:t>
      </w:r>
    </w:p>
    <w:tbl>
      <w:tblPr>
        <w:tblW w:type="auto" w:w="0"/>
        <w:jc w:val="center"/>
        <w:tblLook w:firstColumn="1" w:firstRow="1" w:lastColumn="0" w:lastRow="0" w:noHBand="0" w:noVBand="1" w:val="04A0"/>
      </w:tblPr>
      <w:tblGrid>
        <w:gridCol w:w="9648"/>
      </w:tblGrid>
      <w:tr>
        <w:tc>
          <w:tcPr>
            <w:tcW w:type="dxa" w:w="9648"/>
            <w:shd w:fill="F4FAF5"/>
            <w:tcMar>
              <w:top w:w="100" w:type="dxa"/>
              <w:bottom w:w="100" w:type="dxa"/>
              <w:left w:w="160" w:type="dxa"/>
              <w:right w:w="160" w:type="dxa"/>
            </w:tcMar>
          </w:tcPr>
          <w:p>
            <w:pPr>
              <w:spacing w:before="20" w:after="40"/>
            </w:pPr>
            <w:r>
              <w:rPr>
                <w:rFonts w:ascii="Arial" w:hAnsi="Arial"/>
                <w:b/>
                <w:color w:val="0F2043"/>
                <w:sz w:val="19"/>
              </w:rPr>
              <w:t>Statutory Meaning Established by Court</w:t>
              <w:br/>
            </w:r>
          </w:p>
          <w:p>
            <w:pPr>
              <w:spacing w:before="20" w:after="40" w:line="276" w:lineRule="auto"/>
            </w:pPr>
            <w:r>
              <w:rPr>
                <w:rFonts w:ascii="Calibri" w:hAnsi="Calibri"/>
                <w:color w:val="212529"/>
                <w:sz w:val="19"/>
              </w:rPr>
              <w:t>YES. The 'Fresh Period Rule' laid down in Neypes applies to appeals in criminal cases under Section 3, Rule 122 of the Revised Rules of Criminal Procedure. Procedural rules must be construed harmoniously to standardize appeal periods.</w:t>
            </w:r>
          </w:p>
        </w:tc>
      </w:tr>
    </w:tbl>
    <w:p>
      <w:pPr>
        <w:keepNext/>
        <w:spacing w:before="240" w:after="60"/>
      </w:pPr>
      <w:r>
        <w:rPr>
          <w:rFonts w:ascii="Arial" w:hAnsi="Arial"/>
          <w:b/>
          <w:color w:val="0F2043"/>
          <w:sz w:val="21"/>
        </w:rPr>
        <w:t>VI. HOW THE COURT CONSTRUED THE LAW</w:t>
      </w:r>
    </w:p>
    <w:tbl>
      <w:tblPr>
        <w:tblW w:type="auto" w:w="0"/>
        <w:jc w:val="center"/>
        <w:tblLook w:firstColumn="1" w:firstRow="1" w:lastColumn="0" w:lastRow="0" w:noHBand="0" w:noVBand="1" w:val="04A0"/>
      </w:tblPr>
      <w:tblGrid>
        <w:gridCol w:w="9648"/>
      </w:tblGrid>
      <w:tr>
        <w:tc>
          <w:tcPr>
            <w:tcW w:type="dxa" w:w="9648"/>
            <w:shd w:fill="F8F9FB"/>
            <w:tcMar>
              <w:top w:w="100" w:type="dxa"/>
              <w:bottom w:w="100" w:type="dxa"/>
              <w:left w:w="160" w:type="dxa"/>
              <w:right w:w="160" w:type="dxa"/>
            </w:tcMar>
          </w:tcPr>
          <w:p>
            <w:pPr>
              <w:spacing w:before="20" w:after="40"/>
            </w:pPr>
            <w:r>
              <w:rPr>
                <w:rFonts w:ascii="Arial" w:hAnsi="Arial"/>
                <w:b/>
                <w:color w:val="0F2043"/>
                <w:sz w:val="19"/>
              </w:rPr>
              <w:t>Methodological &amp; Doctrinal Analysis</w:t>
              <w:br/>
            </w:r>
          </w:p>
          <w:p>
            <w:pPr>
              <w:spacing w:before="20" w:after="40" w:line="276" w:lineRule="auto"/>
            </w:pPr>
            <w:r>
              <w:rPr>
                <w:rFonts w:ascii="Calibri" w:hAnsi="Calibri"/>
                <w:b/>
                <w:color w:val="212529"/>
                <w:sz w:val="19"/>
              </w:rPr>
              <w:t xml:space="preserve">A. Why Was Construction Necessary? </w:t>
            </w:r>
            <w:r>
              <w:rPr>
                <w:rFonts w:ascii="Calibri" w:hAnsi="Calibri"/>
                <w:color w:val="212529"/>
                <w:sz w:val="19"/>
              </w:rPr>
              <w:t>Multiple laws touched upon related subject matter, presenting an apparent inconsistency that required systematic harmonization.</w:t>
            </w:r>
          </w:p>
          <w:p>
            <w:pPr>
              <w:spacing w:before="20" w:after="40" w:line="276" w:lineRule="auto"/>
            </w:pPr>
            <w:r>
              <w:rPr>
                <w:rFonts w:ascii="Calibri" w:hAnsi="Calibri"/>
                <w:b/>
                <w:color w:val="212529"/>
                <w:sz w:val="19"/>
              </w:rPr>
              <w:t xml:space="preserve">B. Purpose of Construction: </w:t>
            </w:r>
            <w:r>
              <w:rPr>
                <w:rFonts w:ascii="Calibri" w:hAnsi="Calibri"/>
                <w:color w:val="212529"/>
                <w:sz w:val="19"/>
              </w:rPr>
              <w:t>To harmonize conflicting provisions, give effect to all relevant enactments, and avoid implied repeals (*interpretare et concordare leges legibus est optimus interpretandi*).</w:t>
            </w:r>
          </w:p>
          <w:p>
            <w:pPr>
              <w:spacing w:before="20" w:after="40" w:line="276" w:lineRule="auto"/>
            </w:pPr>
            <w:r>
              <w:rPr>
                <w:rFonts w:ascii="Calibri" w:hAnsi="Calibri"/>
                <w:b/>
                <w:color w:val="212529"/>
                <w:sz w:val="19"/>
              </w:rPr>
              <w:t xml:space="preserve">C. Method, Canon, or Rule Applied: </w:t>
            </w:r>
            <w:r>
              <w:rPr>
                <w:rFonts w:ascii="Calibri" w:hAnsi="Calibri"/>
                <w:color w:val="212529"/>
                <w:sz w:val="19"/>
              </w:rPr>
              <w:t>In pari materia</w:t>
              <w:br/>
              <w:t xml:space="preserve">   - Application: Harmonious Construction of Procedural Codes: Sections of the Rules of Court dealing with the same subject matter must be construed in pari materia to establish a uniform, predictable system of justice.</w:t>
              <w:br/>
              <w:t xml:space="preserve">   - Result: Yes. The fresh period rule applies equally to criminal cases. Procedural rules are interpreted liberally so that parties do not lose their right to appeal due to confusing differences in counting deadlines.</w:t>
            </w:r>
          </w:p>
          <w:p>
            <w:pPr>
              <w:spacing w:before="20" w:after="40" w:line="276" w:lineRule="auto"/>
            </w:pPr>
            <w:r>
              <w:rPr>
                <w:rFonts w:ascii="Calibri" w:hAnsi="Calibri"/>
                <w:b/>
                <w:color w:val="212529"/>
                <w:sz w:val="19"/>
              </w:rPr>
              <w:t xml:space="preserve">D. Other Sources Used: </w:t>
            </w:r>
            <w:r>
              <w:rPr>
                <w:rFonts w:ascii="Calibri" w:hAnsi="Calibri"/>
                <w:color w:val="212529"/>
                <w:sz w:val="19"/>
              </w:rPr>
              <w:t>Ordinary meaning of words, statute considered as a whole, legislative history, and established Supreme Court jurisprudence.</w:t>
            </w:r>
          </w:p>
        </w:tc>
      </w:tr>
    </w:tbl>
    <w:p>
      <w:pPr>
        <w:keepNext/>
        <w:spacing w:before="240" w:after="60"/>
      </w:pPr>
      <w:r>
        <w:rPr>
          <w:rFonts w:ascii="Arial" w:hAnsi="Arial"/>
          <w:b/>
          <w:color w:val="0F2043"/>
          <w:sz w:val="21"/>
        </w:rPr>
        <w:t>VII. RELEVANT STATUTORY-CONSTRUCTION CONCEPTS (A–L EVALUATION)</w:t>
      </w:r>
    </w:p>
    <w:tbl>
      <w:tblPr>
        <w:tblW w:type="auto" w:w="0"/>
        <w:jc w:val="center"/>
        <w:tblLook w:firstColumn="1" w:firstRow="1" w:lastColumn="0" w:lastRow="0" w:noHBand="0" w:noVBand="1" w:val="04A0"/>
      </w:tblPr>
      <w:tblGrid>
        <w:gridCol w:w="4824"/>
        <w:gridCol w:w="4824"/>
      </w:tblGrid>
      <w:tr>
        <w:tc>
          <w:tcPr>
            <w:tcW w:type="dxa" w:w="4824"/>
            <w:shd w:fill="EBF0F8"/>
            <w:tcMar>
              <w:top w:w="70" w:type="dxa"/>
              <w:bottom w:w="70" w:type="dxa"/>
              <w:left w:w="100" w:type="dxa"/>
              <w:right w:w="100" w:type="dxa"/>
            </w:tcMar>
          </w:tcPr>
          <w:p>
            <w:pPr>
              <w:spacing w:before="20" w:after="20"/>
            </w:pPr>
            <w:r>
              <w:rPr>
                <w:rFonts w:ascii="Arial" w:hAnsi="Arial"/>
                <w:b/>
                <w:color w:val="0F2043"/>
                <w:sz w:val="18"/>
              </w:rPr>
              <w:t>A. Situs of Statutory Construction</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Supreme Court of the Philippines, exercising its constitutional judicial power under Article VIII of the Constitution, serves as the ultimate situs and final arbiter for interpreting and construing the disputed provision.</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B. Purpose of Statutory Construction</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purpose of construction is to discover and effectuate the true legislative intent and will of the lawmaking body, preventing injustice and ensuring the statute operates harmoniously.</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C. When to Construe</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Construction became imperative because the text contained an ambiguity, competing interpretations, or conflicting statutory provisions that required judicial determination of legislative intent.</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D. Ambiguity or Vagueness</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controversy centered on the ambiguity, silence, or conflicting scope of the statutory language, which the Court resolved by examining legislative intent and governing maxims.</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E. Verba Legis Non Est Recedendum</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781E1E"/>
                <w:sz w:val="17"/>
              </w:rPr>
              <w:t xml:space="preserve"> [NOT APPLICABLE] </w:t>
            </w:r>
            <w:r>
              <w:rPr>
                <w:rFonts w:ascii="Calibri" w:hAnsi="Calibri"/>
                <w:color w:val="212529"/>
                <w:sz w:val="18"/>
              </w:rPr>
              <w:t>Not Applicable. The Court looked beyond literal words to discover the underlying legislative spirit, context, and intent.</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F. Absoluta Sententia Expositore Non Indigent</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781E1E"/>
                <w:sz w:val="17"/>
              </w:rPr>
              <w:t xml:space="preserve"> [NOT APPLICABLE] </w:t>
            </w:r>
            <w:r>
              <w:rPr>
                <w:rFonts w:ascii="Calibri" w:hAnsi="Calibri"/>
                <w:color w:val="212529"/>
                <w:sz w:val="18"/>
              </w:rPr>
              <w:t>Not Applicable. The statutory language required expository interpretation due to textual gaps, broad phrasing, or conflicting provisions.</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G. Legislative Intent</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Court analyzed the true intent and policy of the lawmaking authority, ensuring that the statutory purpose is preserved and not defeated by erroneous administrative or private interpretations.</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H. Strict or Liberal Construction</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Court applied the recognized standard of construction tailored to the nature of the statute (e.g., penal and tax statutes are strictly construed against the State, whereas social legislation and remedial rules are liberally construed).</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I. Prospective or Retrospective Construction</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781E1E"/>
                <w:sz w:val="17"/>
              </w:rPr>
              <w:t xml:space="preserve"> [NOT APPLICABLE] </w:t>
            </w:r>
            <w:r>
              <w:rPr>
                <w:rFonts w:ascii="Calibri" w:hAnsi="Calibri"/>
                <w:color w:val="212529"/>
                <w:sz w:val="18"/>
              </w:rPr>
              <w:t>Not Applicable. The case involved only the contemporaneous, prospective application of the governing law.</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J. Statutory Construction vs. Judicial Legislation</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Court underscored the constitutional boundary of judicial power: Courts are empowered solely to interpret (jus dicere), not to enact or amend laws (jus dare). Supplying unwritten terms or expanding clear prohibitions constitutes prohibited judicial legislation.</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K. Legis Interpretatio Legis Vim Obtinet</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Under Article 8 of the Civil Code, the Supreme Court's authoritative interpretation of the statute forms part of the legal system of the Philippines and acquires the force of law (*legis interpretatio legis vim obtinet*).</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L. Extent and Limits of the Power to Construe</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Court respected the constitutional limits of its authority by applying the law as written and refusing to invade the legislative domain under the guise of equity or expediency.</w:t>
            </w:r>
          </w:p>
        </w:tc>
      </w:tr>
    </w:tbl>
    <w:p>
      <w:pPr>
        <w:keepNext/>
        <w:spacing w:before="240" w:after="60"/>
      </w:pPr>
      <w:r>
        <w:rPr>
          <w:rFonts w:ascii="Arial" w:hAnsi="Arial"/>
          <w:b/>
          <w:color w:val="0F2043"/>
          <w:sz w:val="21"/>
        </w:rPr>
        <w:t>VIII. OTHER CANONS OR METHODS OF CONSTRUCTION</w:t>
      </w:r>
    </w:p>
    <w:tbl>
      <w:tblPr>
        <w:tblW w:type="auto" w:w="0"/>
        <w:jc w:val="center"/>
        <w:tblLook w:firstColumn="1" w:firstRow="1" w:lastColumn="0" w:lastRow="0" w:noHBand="0" w:noVBand="1" w:val="04A0"/>
      </w:tblPr>
      <w:tblGrid>
        <w:gridCol w:w="9648"/>
      </w:tblGrid>
      <w:tr>
        <w:tc>
          <w:tcPr>
            <w:tcW w:type="dxa" w:w="9648"/>
            <w:shd w:fill="F8F9FB"/>
            <w:tcMar>
              <w:top w:w="100" w:type="dxa"/>
              <w:bottom w:w="100" w:type="dxa"/>
              <w:left w:w="160" w:type="dxa"/>
              <w:right w:w="160" w:type="dxa"/>
            </w:tcMar>
          </w:tcPr>
          <w:p>
            <w:pPr>
              <w:spacing w:before="20" w:after="40"/>
            </w:pPr>
            <w:r>
              <w:rPr>
                <w:rFonts w:ascii="Arial" w:hAnsi="Arial"/>
                <w:b/>
                <w:color w:val="0F2043"/>
                <w:sz w:val="19"/>
              </w:rPr>
              <w:t>Secondary Rules &amp; Canons Applied</w:t>
              <w:br/>
            </w:r>
          </w:p>
          <w:p>
            <w:pPr>
              <w:spacing w:before="20" w:after="40" w:line="276" w:lineRule="auto"/>
            </w:pPr>
            <w:r>
              <w:rPr>
                <w:rFonts w:ascii="Calibri" w:hAnsi="Calibri"/>
                <w:b/>
                <w:color w:val="212529"/>
                <w:sz w:val="19"/>
              </w:rPr>
              <w:t xml:space="preserve">• Canon / Maxim: </w:t>
            </w:r>
            <w:r>
              <w:rPr>
                <w:rFonts w:ascii="Calibri" w:hAnsi="Calibri"/>
                <w:color w:val="212529"/>
                <w:sz w:val="19"/>
              </w:rPr>
              <w:t>• Ut res magis valeat quam pereat (construed to preserve procedural efficacy)</w:t>
              <w:br/>
              <w:t>• Substantia praevalet formae (substance over technicalities)</w:t>
            </w:r>
          </w:p>
          <w:p>
            <w:pPr>
              <w:spacing w:before="20" w:after="40" w:line="276" w:lineRule="auto"/>
            </w:pPr>
            <w:r>
              <w:rPr>
                <w:rFonts w:ascii="Calibri" w:hAnsi="Calibri"/>
                <w:b/>
                <w:color w:val="212529"/>
                <w:sz w:val="19"/>
              </w:rPr>
              <w:t xml:space="preserve">• How Applied: </w:t>
            </w:r>
            <w:r>
              <w:rPr>
                <w:rFonts w:ascii="Calibri" w:hAnsi="Calibri"/>
                <w:color w:val="212529"/>
                <w:sz w:val="19"/>
              </w:rPr>
              <w:t>Applied as corroborative canons to reinforce the primary rule of construction.</w:t>
            </w:r>
          </w:p>
          <w:p>
            <w:pPr>
              <w:spacing w:before="20" w:after="40" w:line="276" w:lineRule="auto"/>
            </w:pPr>
            <w:r>
              <w:rPr>
                <w:rFonts w:ascii="Calibri" w:hAnsi="Calibri"/>
                <w:b/>
                <w:color w:val="212529"/>
                <w:sz w:val="19"/>
              </w:rPr>
              <w:t xml:space="preserve">• Effect on Interpretation: </w:t>
            </w:r>
            <w:r>
              <w:rPr>
                <w:rFonts w:ascii="Calibri" w:hAnsi="Calibri"/>
                <w:color w:val="212529"/>
                <w:sz w:val="19"/>
              </w:rPr>
              <w:t>Harmonized the statute and prevented an absurd or unjust result.</w:t>
            </w:r>
          </w:p>
        </w:tc>
      </w:tr>
    </w:tbl>
    <w:p>
      <w:pPr>
        <w:keepNext/>
        <w:spacing w:before="240" w:after="60"/>
      </w:pPr>
      <w:r>
        <w:rPr>
          <w:rFonts w:ascii="Arial" w:hAnsi="Arial"/>
          <w:b/>
          <w:color w:val="0F2043"/>
          <w:sz w:val="21"/>
        </w:rPr>
        <w:t>IX. THE CONSTRUCTION MADE BY THE COURT</w:t>
      </w:r>
    </w:p>
    <w:tbl>
      <w:tblPr>
        <w:tblW w:type="auto" w:w="0"/>
        <w:jc w:val="center"/>
        <w:tblLook w:firstColumn="1" w:firstRow="1" w:lastColumn="0" w:lastRow="0" w:noHBand="0" w:noVBand="1" w:val="04A0"/>
      </w:tblPr>
      <w:tblGrid>
        <w:gridCol w:w="9648"/>
      </w:tblGrid>
      <w:tr>
        <w:tc>
          <w:tcPr>
            <w:tcW w:type="dxa" w:w="9648"/>
            <w:shd w:fill="F9F8F5"/>
            <w:tcMar>
              <w:top w:w="100" w:type="dxa"/>
              <w:bottom w:w="100" w:type="dxa"/>
              <w:left w:w="160" w:type="dxa"/>
              <w:right w:w="160" w:type="dxa"/>
            </w:tcMar>
          </w:tcPr>
          <w:p>
            <w:pPr>
              <w:spacing w:before="20" w:after="40"/>
            </w:pPr>
            <w:r>
              <w:rPr>
                <w:rFonts w:ascii="Arial" w:hAnsi="Arial"/>
                <w:b/>
                <w:color w:val="0F2043"/>
                <w:sz w:val="19"/>
              </w:rPr>
              <w:t>Actual Judicial Construction &amp; Ratio</w:t>
              <w:br/>
            </w:r>
          </w:p>
          <w:p>
            <w:pPr>
              <w:spacing w:before="20" w:after="40" w:line="276" w:lineRule="auto"/>
            </w:pPr>
            <w:r>
              <w:rPr>
                <w:rFonts w:ascii="Calibri" w:hAnsi="Calibri"/>
                <w:b/>
                <w:color w:val="212529"/>
                <w:sz w:val="19"/>
              </w:rPr>
              <w:t xml:space="preserve">• Construction Summary: </w:t>
            </w:r>
            <w:r>
              <w:rPr>
                <w:rFonts w:ascii="Calibri" w:hAnsi="Calibri"/>
                <w:color w:val="212529"/>
                <w:sz w:val="19"/>
              </w:rPr>
              <w:t>The Court construed the disputed statutory provisions in Aurelio P. Yu v. Hon. Ma. Theresa L. Samson-Tatad and People of the Philippines to mean and apply strictly in accordance with In pari materia, holding that Yes. The fresh period rule applies equally to criminal cases. Procedural rules are interpreted liberally so that parties do not lose their right to appeal due t.</w:t>
            </w:r>
          </w:p>
          <w:p>
            <w:pPr>
              <w:spacing w:before="20" w:after="40" w:line="276" w:lineRule="auto"/>
            </w:pPr>
            <w:r>
              <w:rPr>
                <w:rFonts w:ascii="Calibri" w:hAnsi="Calibri"/>
                <w:b/>
                <w:color w:val="212529"/>
                <w:sz w:val="19"/>
              </w:rPr>
              <w:t xml:space="preserve">• Principal Reasoning: </w:t>
            </w:r>
            <w:r>
              <w:rPr>
                <w:rFonts w:ascii="Calibri" w:hAnsi="Calibri"/>
                <w:color w:val="212529"/>
                <w:sz w:val="19"/>
              </w:rPr>
              <w:t>The whole reason the Supreme Court invented the Neypes rule was to stop lawyers from making mathematical mistakes when counting remaining days. It makes no sense to give a fresh 15 days in a civil dispute over money, but refuse it in a criminal case where life, liberty, and justice are at stake.</w:t>
            </w:r>
          </w:p>
        </w:tc>
      </w:tr>
    </w:tbl>
    <w:tbl>
      <w:tblPr>
        <w:tblW w:type="auto" w:w="0"/>
        <w:jc w:val="center"/>
        <w:tblLook w:firstColumn="1" w:firstRow="1" w:lastColumn="0" w:lastRow="0" w:noHBand="0" w:noVBand="1" w:val="04A0"/>
      </w:tblPr>
      <w:tblGrid>
        <w:gridCol w:w="9648"/>
      </w:tblGrid>
      <w:tr>
        <w:tc>
          <w:tcPr>
            <w:tcW w:type="dxa" w:w="9648"/>
            <w:shd w:fill="EEF6F0"/>
            <w:tcMar>
              <w:top w:w="100" w:type="dxa"/>
              <w:bottom w:w="100" w:type="dxa"/>
              <w:left w:w="160" w:type="dxa"/>
              <w:right w:w="160" w:type="dxa"/>
            </w:tcMar>
          </w:tcPr>
          <w:p>
            <w:pPr>
              <w:spacing w:before="20" w:after="40"/>
            </w:pPr>
            <w:r>
              <w:rPr>
                <w:rFonts w:ascii="Arial" w:hAnsi="Arial"/>
                <w:b/>
                <w:color w:val="0D6E4B"/>
                <w:sz w:val="19"/>
              </w:rPr>
              <w:t>X. STATUTORY CONSTRUCTION OR JUDICIAL LEGISLATION?</w:t>
              <w:br/>
            </w:r>
          </w:p>
          <w:p>
            <w:pPr>
              <w:spacing w:before="20" w:after="60"/>
            </w:pPr>
            <w:r>
              <w:rPr>
                <w:rFonts w:ascii="Arial" w:hAnsi="Arial"/>
                <w:b/>
                <w:color w:val="0F2043"/>
                <w:sz w:val="19"/>
              </w:rPr>
              <w:t>☑ Proper statutory construction    ☐ Judicial legislation    ☐ Debatable</w:t>
            </w:r>
          </w:p>
          <w:p>
            <w:pPr>
              <w:spacing w:before="40" w:after="40" w:line="276" w:lineRule="auto"/>
            </w:pPr>
            <w:r>
              <w:rPr>
                <w:rFonts w:ascii="Calibri" w:hAnsi="Calibri"/>
                <w:b/>
                <w:color w:val="212529"/>
                <w:sz w:val="19"/>
              </w:rPr>
              <w:t>Explanation (3–5 sentences):</w:t>
              <w:br/>
            </w:r>
            <w:r>
              <w:rPr>
                <w:rFonts w:ascii="Calibri" w:hAnsi="Calibri"/>
                <w:color w:val="212529"/>
                <w:sz w:val="19"/>
              </w:rPr>
              <w:t>The Supreme Court acted within the legitimate bounds of its constitutional power to interpret the law (jus dicere). By applying In pari materia, the Court faithfully effectuated the legislative intent without creating new rules, modifying clear statutory text, or usurping congressional prerogative. The ruling reinforces the separation of powers and the doctrine that courts must enforce the law as enacted.</w:t>
            </w:r>
          </w:p>
        </w:tc>
      </w:tr>
    </w:tbl>
    <w:p>
      <w:pPr>
        <w:spacing w:before="80" w:after="40"/>
      </w:pPr>
    </w:p>
    <w:tbl>
      <w:tblPr>
        <w:tblW w:type="auto" w:w="0"/>
        <w:jc w:val="center"/>
        <w:tblLook w:firstColumn="1" w:firstRow="1" w:lastColumn="0" w:lastRow="0" w:noHBand="0" w:noVBand="1" w:val="04A0"/>
      </w:tblPr>
      <w:tblGrid>
        <w:gridCol w:w="9648"/>
      </w:tblGrid>
      <w:tr>
        <w:tc>
          <w:tcPr>
            <w:tcW w:type="dxa" w:w="9648"/>
            <w:shd w:fill="FBF6EE"/>
            <w:tcMar>
              <w:top w:w="100" w:type="dxa"/>
              <w:bottom w:w="100" w:type="dxa"/>
              <w:left w:w="160" w:type="dxa"/>
              <w:right w:w="160" w:type="dxa"/>
            </w:tcMar>
          </w:tcPr>
          <w:p>
            <w:pPr>
              <w:spacing w:before="20" w:after="40"/>
            </w:pPr>
            <w:r>
              <w:rPr>
                <w:rFonts w:ascii="Arial" w:hAnsi="Arial"/>
                <w:b/>
                <w:color w:val="8C3200"/>
                <w:sz w:val="19"/>
              </w:rPr>
              <w:t>XI. DOCTRINE (Statutory Construction Principle):</w:t>
              <w:br/>
            </w:r>
            <w:r>
              <w:rPr>
                <w:rFonts w:ascii="Calibri" w:hAnsi="Calibri"/>
                <w:color w:val="212529"/>
                <w:sz w:val="19"/>
              </w:rPr>
              <w:t>Harmonious Construction of Procedural Codes: Sections of the Rules of Court dealing with the same subject matter must be construed in pari materia to establish a uniform, predictable system of justice.</w:t>
              <w:br/>
              <w:br/>
            </w:r>
          </w:p>
          <w:p>
            <w:pPr>
              <w:spacing w:before="20" w:after="40"/>
            </w:pPr>
            <w:r>
              <w:rPr>
                <w:rFonts w:ascii="Arial" w:hAnsi="Arial"/>
                <w:b/>
                <w:color w:val="8C3200"/>
                <w:sz w:val="19"/>
              </w:rPr>
              <w:t>XII. ONE-SENTENCE TAKEAWAY:</w:t>
              <w:br/>
            </w:r>
            <w:r>
              <w:rPr>
                <w:rFonts w:ascii="Calibri" w:hAnsi="Calibri"/>
                <w:i/>
                <w:color w:val="212529"/>
                <w:sz w:val="19"/>
              </w:rPr>
              <w:t>This case is important in Statutory Construction because Rules that govern the same topic must be read together like parts of a single book so they do not contradict each other.</w:t>
            </w:r>
          </w:p>
        </w:tc>
      </w:tr>
    </w:tbl>
    <w:p>
      <w:r>
        <w:br w:type="page"/>
      </w:r>
    </w:p>
    <w:p>
      <w:pPr>
        <w:keepNext/>
        <w:spacing w:before="320" w:after="80"/>
      </w:pPr>
      <w:r>
        <w:rPr>
          <w:rFonts w:ascii="Arial" w:hAnsi="Arial"/>
          <w:b/>
          <w:color w:val="0F2043"/>
          <w:sz w:val="26"/>
        </w:rPr>
        <w:t>29. FLORENCIO EUGENIO V. EXECUTIVE SECRETARY FRANKLIN M. DRILON, HOUSING AND LAND USE REGULATORY BOARD (HLURB), AND PROSPERO PALMIANO</w:t>
      </w:r>
    </w:p>
    <w:p>
      <w:pPr>
        <w:spacing w:before="40" w:after="80" w:line="276" w:lineRule="auto"/>
      </w:pPr>
      <w:r>
        <w:rPr>
          <w:rFonts w:ascii="Calibri" w:hAnsi="Calibri"/>
          <w:b/>
          <w:color w:val="212529"/>
          <w:sz w:val="21"/>
        </w:rPr>
        <w:t xml:space="preserve">Citation: </w:t>
      </w:r>
      <w:r>
        <w:rPr>
          <w:rFonts w:ascii="Calibri" w:hAnsi="Calibri"/>
          <w:i/>
          <w:color w:val="212529"/>
          <w:sz w:val="21"/>
        </w:rPr>
        <w:t>G.R. No. 109404 | January 22, 1996 | 252 SCRA 106 | Second Division | Ponente: J. Panganiban</w:t>
      </w:r>
    </w:p>
    <w:p>
      <w:pPr>
        <w:keepNext/>
        <w:spacing w:before="200" w:after="40"/>
      </w:pPr>
      <w:r>
        <w:rPr>
          <w:rFonts w:ascii="Arial" w:hAnsi="Arial"/>
          <w:b/>
          <w:color w:val="781E1E"/>
          <w:sz w:val="22"/>
        </w:rPr>
        <w:t>LAYER A: ALAC DIGEST, RECITATION SCRIPT &amp; STATCON ANALYSIS</w:t>
      </w:r>
    </w:p>
    <w:p>
      <w:pPr>
        <w:keepNext/>
        <w:spacing w:before="200" w:after="40"/>
      </w:pPr>
      <w:r>
        <w:rPr>
          <w:rFonts w:ascii="Arial" w:hAnsi="Arial"/>
          <w:b/>
          <w:color w:val="781E1E"/>
          <w:sz w:val="22"/>
        </w:rPr>
        <w:t>I. PARTIES &amp; PROCEDURAL BACKGROUND</w:t>
      </w:r>
    </w:p>
    <w:p>
      <w:pPr>
        <w:spacing w:before="40" w:after="80" w:line="276" w:lineRule="auto"/>
      </w:pPr>
      <w:r>
        <w:rPr>
          <w:rFonts w:ascii="Calibri" w:hAnsi="Calibri"/>
          <w:b/>
          <w:color w:val="212529"/>
          <w:sz w:val="21"/>
        </w:rPr>
        <w:t xml:space="preserve">• Plaintiff/Petitioner: </w:t>
      </w:r>
      <w:r>
        <w:rPr>
          <w:rFonts w:ascii="Calibri" w:hAnsi="Calibri"/>
          <w:i w:val="0"/>
          <w:color w:val="212529"/>
          <w:sz w:val="21"/>
        </w:rPr>
        <w:t>Florencio Eugenio (Petitioner)</w:t>
      </w:r>
    </w:p>
    <w:p>
      <w:pPr>
        <w:spacing w:before="40" w:after="80" w:line="276" w:lineRule="auto"/>
      </w:pPr>
      <w:r>
        <w:rPr>
          <w:rFonts w:ascii="Calibri" w:hAnsi="Calibri"/>
          <w:b/>
          <w:color w:val="212529"/>
          <w:sz w:val="21"/>
        </w:rPr>
        <w:t xml:space="preserve">• Defendant/Respondent: </w:t>
      </w:r>
      <w:r>
        <w:rPr>
          <w:rFonts w:ascii="Calibri" w:hAnsi="Calibri"/>
          <w:i w:val="0"/>
          <w:color w:val="212529"/>
          <w:sz w:val="21"/>
        </w:rPr>
        <w:t>Executive Secretary Franklin M. Drilon, HLURB, and Prospero Palmiano (Respondents)</w:t>
      </w:r>
    </w:p>
    <w:p>
      <w:pPr>
        <w:spacing w:before="40" w:after="80" w:line="276" w:lineRule="auto"/>
      </w:pPr>
      <w:r>
        <w:rPr>
          <w:rFonts w:ascii="Calibri" w:hAnsi="Calibri"/>
          <w:b/>
          <w:color w:val="212529"/>
          <w:sz w:val="21"/>
        </w:rPr>
        <w:t xml:space="preserve">• Originating Court: </w:t>
      </w:r>
      <w:r>
        <w:rPr>
          <w:rFonts w:ascii="Calibri" w:hAnsi="Calibri"/>
          <w:i w:val="0"/>
          <w:color w:val="212529"/>
          <w:sz w:val="21"/>
        </w:rPr>
        <w:t>Office of the President / HLURB</w:t>
      </w:r>
    </w:p>
    <w:p>
      <w:pPr>
        <w:spacing w:before="40" w:after="80" w:line="276" w:lineRule="auto"/>
      </w:pPr>
      <w:r>
        <w:rPr>
          <w:rFonts w:ascii="Calibri" w:hAnsi="Calibri"/>
          <w:b/>
          <w:color w:val="212529"/>
          <w:sz w:val="21"/>
        </w:rPr>
        <w:t xml:space="preserve">• Nature of the Action: </w:t>
      </w:r>
      <w:r>
        <w:rPr>
          <w:rFonts w:ascii="Calibri" w:hAnsi="Calibri"/>
          <w:i w:val="0"/>
          <w:color w:val="212529"/>
          <w:sz w:val="21"/>
        </w:rPr>
        <w:t>Petition for Review on Certiorari under Rule 65 assailing the retroactive application of Section 23 of Presidential Decree No. 957 (Subdivision and Condominium Buyers' Protective Decree).</w:t>
      </w:r>
    </w:p>
    <w:p>
      <w:pPr>
        <w:keepNext/>
        <w:spacing w:before="200" w:after="40"/>
      </w:pPr>
      <w:r>
        <w:rPr>
          <w:rFonts w:ascii="Arial" w:hAnsi="Arial"/>
          <w:b/>
          <w:color w:val="781E1E"/>
          <w:sz w:val="22"/>
        </w:rPr>
        <w:t>II. WHOLE FACTS</w:t>
      </w:r>
    </w:p>
    <w:p>
      <w:pPr>
        <w:spacing w:before="40" w:after="80" w:line="276" w:lineRule="auto"/>
      </w:pPr>
      <w:r>
        <w:rPr>
          <w:rFonts w:ascii="Calibri" w:hAnsi="Calibri"/>
          <w:i w:val="0"/>
          <w:color w:val="212529"/>
          <w:sz w:val="21"/>
        </w:rPr>
        <w:t>In 1972 (prior to the enactment of P.D. No. 957 in 1976), private respondent Prospero Palmiano purchased two subdivision lots on installment from subdivision developer Florencio Eugenio. In 1976, P.D. No. 957 took effect, Section 23 of which gives buyers the right to suspend installment payments if the developer fails to develop the subdivision according to approved plans. Palmiano suspended payment because Eugenio completely failed to construct roads, drainage, and facilities. Eugenio cancelled the sale and sold the lots to a third party. When Palmiano filed an action before the HLURB to enforce his rights, Eugenio argued that P.D. No. 957 cannot be applied retroactively to a contract entered into in 1972 without violating the non-retroactivity of laws and non-impairment of contracts.</w:t>
      </w:r>
    </w:p>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SUMMARY OF FACTS</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A man bought subdivision lots on installment in 1972. In 1976, a new law (PD 957) was passed protecting subdivision buyers and allowing them to stop paying if the developer fails to build roads and drainage. The buyer stopped paying because the developer did zero work. The developer cancelled the contract, arguing the 1976 law cannot apply retroactively to a 1972 contract. The Supreme Court held that PD 957 is a remedial, social legislation intended to protect buyers against abusive developers, so it applies retroactively.</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When reciting the facts, state the core dispute in 2 sentences, then state how the case reached the Supreme Court.</w:t>
            </w:r>
          </w:p>
        </w:tc>
      </w:tr>
    </w:tbl>
    <w:p>
      <w:pPr>
        <w:keepNext/>
        <w:spacing w:before="200" w:after="40"/>
      </w:pPr>
      <w:r>
        <w:rPr>
          <w:rFonts w:ascii="Arial" w:hAnsi="Arial"/>
          <w:b/>
          <w:color w:val="781E1E"/>
          <w:sz w:val="22"/>
        </w:rPr>
        <w:t>III. THE LEGAL ISSUE</w:t>
      </w:r>
    </w:p>
    <w:p>
      <w:pPr>
        <w:spacing w:before="40" w:after="80" w:line="276" w:lineRule="auto"/>
      </w:pPr>
      <w:r>
        <w:rPr>
          <w:rFonts w:ascii="Calibri" w:hAnsi="Calibri"/>
          <w:i w:val="0"/>
          <w:color w:val="212529"/>
          <w:sz w:val="21"/>
        </w:rPr>
        <w:t>Whether or not Presidential Decree No. 957 (Section 23) applies retroactively to protect a lot buyer under an installment sale executed prior to the decree's enactment in 1976.</w:t>
      </w:r>
    </w:p>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THE LEGAL ISSUE</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Does the subdivision protection law (PD 957) apply retroactively to protect buyers who bought lots before the law was passed?</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"Sir/Ma'am, the issue is whether PD 957 applies retroactively to contracts executed prior to its enactment, testing the exception to the presumption of prospectivity for Remedial and Social Legislation (Lex Prospicit, Non Respicit vs. Ratio Legis)."</w:t>
            </w:r>
          </w:p>
        </w:tc>
      </w:tr>
    </w:tbl>
    <w:p>
      <w:pPr>
        <w:keepNext/>
        <w:spacing w:before="200" w:after="40"/>
      </w:pPr>
      <w:r>
        <w:rPr>
          <w:rFonts w:ascii="Arial" w:hAnsi="Arial"/>
          <w:b/>
          <w:color w:val="781E1E"/>
          <w:sz w:val="22"/>
        </w:rPr>
        <w:t>IV. ALAC DIGEST</w:t>
      </w:r>
    </w:p>
    <w:tbl>
      <w:tblPr>
        <w:tblW w:type="auto" w:w="0"/>
        <w:jc w:val="center"/>
        <w:tblLook w:firstColumn="1" w:firstRow="1" w:lastColumn="0" w:lastRow="0" w:noHBand="0" w:noVBand="1" w:val="04A0"/>
      </w:tblPr>
      <w:tblGrid>
        <w:gridCol w:w="9648"/>
      </w:tblGrid>
      <w:tr>
        <w:tc>
          <w:tcPr>
            <w:tcW w:type="dxa" w:w="9648"/>
            <w:shd w:fill="F4F6F9"/>
            <w:tcMar>
              <w:top w:w="120" w:type="dxa"/>
              <w:bottom w:w="120" w:type="dxa"/>
              <w:left w:w="180" w:type="dxa"/>
              <w:right w:w="180" w:type="dxa"/>
            </w:tcMar>
          </w:tcPr>
          <w:p>
            <w:pPr>
              <w:spacing w:before="40" w:after="60"/>
            </w:pPr>
            <w:r>
              <w:rPr>
                <w:rFonts w:ascii="Arial" w:hAnsi="Arial"/>
                <w:b/>
                <w:color w:val="0F2043"/>
                <w:sz w:val="21"/>
              </w:rPr>
              <w:t>[A] ANSWER</w:t>
              <w:br/>
            </w:r>
          </w:p>
          <w:p>
            <w:pPr>
              <w:spacing w:before="20" w:after="40" w:line="276" w:lineRule="auto"/>
            </w:pPr>
            <w:r>
              <w:rPr>
                <w:rFonts w:ascii="Calibri" w:hAnsi="Calibri"/>
                <w:color w:val="212529"/>
                <w:sz w:val="20"/>
              </w:rPr>
              <w:t>YES. Presidential Decree No. 957 applies RETROACTIVELY to contracts entered into before its enactment. As a remedial, curative, and social justice statute enacted under the police power, its protective provisions apply to pre-existing contracts.</w:t>
            </w:r>
          </w:p>
        </w:tc>
      </w:tr>
    </w:tbl>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THE ANSWER</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Yes. While laws are generally prospective, social legislation and curative laws enacted under police power to protect vulnerable citizens apply retroactively to cure existing abuses.</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"Yes, Sir/Ma'am. The Supreme Court held that PD 957 applies retroactively. While laws are generally prospective under Lex prospicit non respicit (the law looks forward, not backward), remedial, curative, and social welfare statutes enacted under police power operate retroactively to achieve their protective legislative intent."</w:t>
            </w:r>
          </w:p>
        </w:tc>
      </w:tr>
    </w:tbl>
    <w:tbl>
      <w:tblPr>
        <w:tblW w:type="auto" w:w="0"/>
        <w:jc w:val="center"/>
        <w:tblLook w:firstColumn="1" w:firstRow="1" w:lastColumn="0" w:lastRow="0" w:noHBand="0" w:noVBand="1" w:val="04A0"/>
      </w:tblPr>
      <w:tblGrid>
        <w:gridCol w:w="9648"/>
      </w:tblGrid>
      <w:tr>
        <w:tc>
          <w:tcPr>
            <w:tcW w:type="dxa" w:w="9648"/>
            <w:shd w:fill="F4F6F9"/>
            <w:tcMar>
              <w:top w:w="120" w:type="dxa"/>
              <w:bottom w:w="120" w:type="dxa"/>
              <w:left w:w="180" w:type="dxa"/>
              <w:right w:w="180" w:type="dxa"/>
            </w:tcMar>
          </w:tcPr>
          <w:p>
            <w:pPr>
              <w:spacing w:before="40" w:after="60"/>
            </w:pPr>
            <w:r>
              <w:rPr>
                <w:rFonts w:ascii="Arial" w:hAnsi="Arial"/>
                <w:b/>
                <w:color w:val="0F2043"/>
                <w:sz w:val="21"/>
              </w:rPr>
              <w:t>[L] LEGAL BASIS</w:t>
              <w:br/>
            </w:r>
          </w:p>
          <w:p>
            <w:pPr>
              <w:spacing w:before="20" w:after="40" w:line="276" w:lineRule="auto"/>
            </w:pPr>
            <w:r>
              <w:rPr>
                <w:rFonts w:ascii="Calibri" w:hAnsi="Calibri"/>
                <w:b/>
                <w:color w:val="212529"/>
                <w:sz w:val="20"/>
              </w:rPr>
              <w:t xml:space="preserve">1. Section 23, Presidential Decree No. 957: </w:t>
            </w:r>
            <w:r>
              <w:rPr>
                <w:rFonts w:ascii="Calibri" w:hAnsi="Calibri"/>
                <w:color w:val="212529"/>
                <w:sz w:val="20"/>
              </w:rPr>
              <w:t>Right of installment buyer to suspend payment upon developer's failure to develop facilities.</w:t>
            </w:r>
          </w:p>
          <w:p>
            <w:pPr>
              <w:spacing w:before="20" w:after="40" w:line="276" w:lineRule="auto"/>
            </w:pPr>
            <w:r>
              <w:rPr>
                <w:rFonts w:ascii="Calibri" w:hAnsi="Calibri"/>
                <w:b/>
                <w:color w:val="212529"/>
                <w:sz w:val="20"/>
              </w:rPr>
              <w:t xml:space="preserve">2. Article 4, Civil Code of the Philippines: </w:t>
            </w:r>
            <w:r>
              <w:rPr>
                <w:rFonts w:ascii="Calibri" w:hAnsi="Calibri"/>
                <w:color w:val="212529"/>
                <w:sz w:val="20"/>
              </w:rPr>
              <w:t>General rule on prospectivity ('Laws shall have no retroactive effect, unless the contrary is provided').</w:t>
            </w:r>
          </w:p>
          <w:p>
            <w:pPr>
              <w:spacing w:before="20" w:after="40" w:line="276" w:lineRule="auto"/>
            </w:pPr>
            <w:r>
              <w:rPr>
                <w:rFonts w:ascii="Calibri" w:hAnsi="Calibri"/>
                <w:b/>
                <w:color w:val="212529"/>
                <w:sz w:val="20"/>
              </w:rPr>
              <w:t xml:space="preserve">3. Exception for Remedial, Curative, and Social Legislation: </w:t>
            </w:r>
            <w:r>
              <w:rPr>
                <w:rFonts w:ascii="Calibri" w:hAnsi="Calibri"/>
                <w:color w:val="212529"/>
                <w:sz w:val="20"/>
              </w:rPr>
              <w:t>Statutes enacted to remedy public evils and protect vulnerable consumers apply to existing situations.</w:t>
            </w:r>
          </w:p>
          <w:p>
            <w:pPr>
              <w:spacing w:before="20" w:after="40" w:line="276" w:lineRule="auto"/>
            </w:pPr>
            <w:r>
              <w:rPr>
                <w:rFonts w:ascii="Calibri" w:hAnsi="Calibri"/>
                <w:b/>
                <w:color w:val="212529"/>
                <w:sz w:val="20"/>
              </w:rPr>
              <w:t xml:space="preserve">4. Salus Populi Est Suprema Lex (the welfare of the people is the supreme law): </w:t>
            </w:r>
            <w:r>
              <w:rPr>
                <w:rFonts w:ascii="Calibri" w:hAnsi="Calibri"/>
                <w:color w:val="212529"/>
                <w:sz w:val="20"/>
              </w:rPr>
              <w:t>Police power legislation overrides private contractual stipulations to protect public welfare.</w:t>
            </w:r>
          </w:p>
        </w:tc>
      </w:tr>
    </w:tbl>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LEGAL BASIS</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Section 23 PD 957, Article 4 Civil Code exceptions, and Salus Populi Est Suprema Lex.</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"Sir/Ma'am, the legal basis is Section 23 of PD 957, construed as an exception to Article 4 of the Civil Code under the doctrines of Remedial Statute Retroactivity and Salus populi est suprema lex."</w:t>
            </w:r>
          </w:p>
        </w:tc>
      </w:tr>
    </w:tbl>
    <w:tbl>
      <w:tblPr>
        <w:tblW w:type="auto" w:w="0"/>
        <w:jc w:val="center"/>
        <w:tblLook w:firstColumn="1" w:firstRow="1" w:lastColumn="0" w:lastRow="0" w:noHBand="0" w:noVBand="1" w:val="04A0"/>
      </w:tblPr>
      <w:tblGrid>
        <w:gridCol w:w="9648"/>
      </w:tblGrid>
      <w:tr>
        <w:tc>
          <w:tcPr>
            <w:tcW w:type="dxa" w:w="9648"/>
            <w:shd w:fill="F4F6F9"/>
            <w:tcMar>
              <w:top w:w="120" w:type="dxa"/>
              <w:bottom w:w="120" w:type="dxa"/>
              <w:left w:w="180" w:type="dxa"/>
              <w:right w:w="180" w:type="dxa"/>
            </w:tcMar>
          </w:tcPr>
          <w:p>
            <w:pPr>
              <w:spacing w:before="40" w:after="60"/>
            </w:pPr>
            <w:r>
              <w:rPr>
                <w:rFonts w:ascii="Arial" w:hAnsi="Arial"/>
                <w:b/>
                <w:color w:val="0F2043"/>
                <w:sz w:val="21"/>
              </w:rPr>
              <w:t>[A] ANALYSIS / APPLICATION</w:t>
              <w:br/>
            </w:r>
          </w:p>
          <w:p>
            <w:pPr>
              <w:spacing w:before="20" w:after="40" w:line="276" w:lineRule="auto"/>
            </w:pPr>
            <w:r>
              <w:rPr>
                <w:rFonts w:ascii="Calibri" w:hAnsi="Calibri"/>
                <w:b/>
                <w:color w:val="212529"/>
                <w:sz w:val="20"/>
              </w:rPr>
              <w:t xml:space="preserve">1. Nature and Intent of PD 957: </w:t>
            </w:r>
            <w:r>
              <w:rPr>
                <w:rFonts w:ascii="Calibri" w:hAnsi="Calibri"/>
                <w:color w:val="212529"/>
                <w:sz w:val="20"/>
              </w:rPr>
              <w:t>The decree was enacted to curb fraudulent and unscrupulous practices of subdivision developers who victimized innocent lot buyers.</w:t>
            </w:r>
          </w:p>
          <w:p>
            <w:pPr>
              <w:spacing w:before="20" w:after="40" w:line="276" w:lineRule="auto"/>
            </w:pPr>
            <w:r>
              <w:rPr>
                <w:rFonts w:ascii="Calibri" w:hAnsi="Calibri"/>
                <w:b/>
                <w:color w:val="212529"/>
                <w:sz w:val="20"/>
              </w:rPr>
              <w:t xml:space="preserve">2. Retroactivity of Curative and Remedial Laws: </w:t>
            </w:r>
            <w:r>
              <w:rPr>
                <w:rFonts w:ascii="Calibri" w:hAnsi="Calibri"/>
                <w:color w:val="212529"/>
                <w:sz w:val="20"/>
              </w:rPr>
              <w:t>A remedial or curative statute intended to correct an existing public mischief applies to all transactions whose evils it sought to remedy, even if entered into before enactment.</w:t>
            </w:r>
          </w:p>
          <w:p>
            <w:pPr>
              <w:spacing w:before="20" w:after="40" w:line="276" w:lineRule="auto"/>
            </w:pPr>
            <w:r>
              <w:rPr>
                <w:rFonts w:ascii="Calibri" w:hAnsi="Calibri"/>
                <w:b/>
                <w:color w:val="212529"/>
                <w:sz w:val="20"/>
              </w:rPr>
              <w:t xml:space="preserve">3. Police Power and Non-Impairment Clause: </w:t>
            </w:r>
            <w:r>
              <w:rPr>
                <w:rFonts w:ascii="Calibri" w:hAnsi="Calibri"/>
                <w:color w:val="212529"/>
                <w:sz w:val="20"/>
              </w:rPr>
              <w:t>Freedom of contract is subordinate to the police power of the State. The non-impairment clause must yield to legislation enacted for public interest and consumer protection.</w:t>
            </w:r>
          </w:p>
        </w:tc>
      </w:tr>
    </w:tbl>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ANALYSIS / APPLICATION</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The Court looked at why PD 957 was passed: thousands of Filipinos were being cheated by developers who took money and abandoned empty fields. If the law only protected future buyers, it would leave thousands of existing victims unprotected. Because it is a curative law, it acts retroactively to protect all buyers.</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"Sir/Ma'am, the Court applied the exception to prospectivity. PD 957 is remedial social legislation. To fulfill Ratio Legis and protect consumers against developer fraud, its curative provisions apply retroactively to pre-existing installment sales."</w:t>
            </w:r>
          </w:p>
        </w:tc>
      </w:tr>
    </w:tbl>
    <w:tbl>
      <w:tblPr>
        <w:tblW w:type="auto" w:w="0"/>
        <w:jc w:val="center"/>
        <w:tblLook w:firstColumn="1" w:firstRow="1" w:lastColumn="0" w:lastRow="0" w:noHBand="0" w:noVBand="1" w:val="04A0"/>
      </w:tblPr>
      <w:tblGrid>
        <w:gridCol w:w="9648"/>
      </w:tblGrid>
      <w:tr>
        <w:tc>
          <w:tcPr>
            <w:tcW w:type="dxa" w:w="9648"/>
            <w:shd w:fill="F4F6F9"/>
            <w:tcMar>
              <w:top w:w="120" w:type="dxa"/>
              <w:bottom w:w="120" w:type="dxa"/>
              <w:left w:w="180" w:type="dxa"/>
              <w:right w:w="180" w:type="dxa"/>
            </w:tcMar>
          </w:tcPr>
          <w:p>
            <w:pPr>
              <w:spacing w:before="40" w:after="60"/>
            </w:pPr>
            <w:r>
              <w:rPr>
                <w:rFonts w:ascii="Arial" w:hAnsi="Arial"/>
                <w:b/>
                <w:color w:val="0F2043"/>
                <w:sz w:val="21"/>
              </w:rPr>
              <w:t>[C] CONCLUSION</w:t>
              <w:br/>
            </w:r>
          </w:p>
          <w:p>
            <w:pPr>
              <w:spacing w:before="20" w:after="40" w:line="276" w:lineRule="auto"/>
            </w:pPr>
            <w:r>
              <w:rPr>
                <w:rFonts w:ascii="Calibri" w:hAnsi="Calibri"/>
                <w:color w:val="212529"/>
                <w:sz w:val="20"/>
              </w:rPr>
              <w:t>The Supreme Court AFFIRMED the decision of the Executive Secretary and HLURB, UPHOLDING the buyer's right to suspend payments and ORDERING the developer to deliver clean title or refund payments with interest.</w:t>
            </w:r>
          </w:p>
        </w:tc>
      </w:tr>
    </w:tbl>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CONCLUSION</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The developer lost; the buyer's suspension of payments was upheld, and the developer was ordered to deliver the lot or refund the money.</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"The Supreme Court affirmed the retroactive application of PD 957, protecting the buyer's right to suspend payments against the defaulting developer."</w:t>
            </w:r>
          </w:p>
        </w:tc>
      </w:tr>
    </w:tbl>
    <w:p>
      <w:pPr>
        <w:keepNext/>
        <w:spacing w:before="200" w:after="40"/>
      </w:pPr>
      <w:r>
        <w:rPr>
          <w:rFonts w:ascii="Arial" w:hAnsi="Arial"/>
          <w:b/>
          <w:color w:val="781E1E"/>
          <w:sz w:val="22"/>
        </w:rPr>
        <w:t>V. RELATION TO STATUTORY CONSTRUCTION</w:t>
      </w:r>
    </w:p>
    <w:p>
      <w:pPr>
        <w:spacing w:before="40" w:after="80" w:line="276" w:lineRule="auto"/>
      </w:pPr>
      <w:r>
        <w:rPr>
          <w:rFonts w:ascii="Calibri" w:hAnsi="Calibri"/>
          <w:b/>
          <w:color w:val="212529"/>
          <w:sz w:val="21"/>
        </w:rPr>
        <w:t>• Syllabus Topic Alignment:</w:t>
        <w:br/>
      </w:r>
      <w:r>
        <w:rPr>
          <w:rFonts w:ascii="Calibri" w:hAnsi="Calibri"/>
          <w:i w:val="0"/>
          <w:color w:val="212529"/>
          <w:sz w:val="21"/>
        </w:rPr>
        <w:t>• Chapter III: Basic Guidelines in the Construction and Interpretation of Laws</w:t>
        <w:br/>
        <w:t xml:space="preserve">  - A. General Guidelines: Retroactivity of Remedial, Curative, and Social Legislation</w:t>
      </w:r>
    </w:p>
    <w:tbl>
      <w:tblPr>
        <w:tblW w:type="auto" w:w="0"/>
        <w:jc w:val="center"/>
        <w:tblLook w:firstColumn="1" w:firstRow="1" w:lastColumn="0" w:lastRow="0" w:noHBand="0" w:noVBand="1" w:val="04A0"/>
      </w:tblPr>
      <w:tblGrid>
        <w:gridCol w:w="9648"/>
      </w:tblGrid>
      <w:tr>
        <w:tc>
          <w:tcPr>
            <w:tcW w:type="dxa" w:w="9648"/>
            <w:shd w:fill="FDF6EE"/>
            <w:tcMar>
              <w:top w:w="120" w:type="dxa"/>
              <w:bottom w:w="120" w:type="dxa"/>
              <w:left w:w="180" w:type="dxa"/>
              <w:right w:w="180" w:type="dxa"/>
            </w:tcMar>
          </w:tcPr>
          <w:p>
            <w:pPr>
              <w:spacing w:before="40" w:after="80"/>
            </w:pPr>
            <w:r>
              <w:rPr>
                <w:rFonts w:ascii="Arial" w:hAnsi="Arial"/>
                <w:b/>
                <w:color w:val="8C3200"/>
                <w:sz w:val="20"/>
              </w:rPr>
              <w:t>📜 GOVERNING LATIN MAXIMS WITH ENGLISH TRANSLATIONS</w:t>
              <w:br/>
            </w:r>
          </w:p>
          <w:p>
            <w:pPr>
              <w:spacing w:before="40" w:after="60" w:line="276" w:lineRule="auto"/>
            </w:pPr>
            <w:r>
              <w:rPr>
                <w:rFonts w:ascii="Calibri" w:hAnsi="Calibri"/>
                <w:b/>
                <w:color w:val="8C3200"/>
                <w:sz w:val="20"/>
              </w:rPr>
              <w:t>1. Lex prospicit, non respicit (the law looks forward, not backward)</w:t>
              <w:br/>
            </w:r>
            <w:r>
              <w:rPr>
                <w:rFonts w:ascii="Calibri" w:hAnsi="Calibri"/>
                <w:b/>
                <w:color w:val="212529"/>
                <w:sz w:val="19"/>
              </w:rPr>
              <w:t xml:space="preserve">   • Literal English Translation: </w:t>
            </w:r>
            <w:r>
              <w:rPr>
                <w:rFonts w:ascii="Calibri" w:hAnsi="Calibri"/>
                <w:i/>
                <w:color w:val="212529"/>
                <w:sz w:val="19"/>
              </w:rPr>
              <w:t>The law looks forward, not backward.</w:t>
              <w:br/>
            </w:r>
            <w:r>
              <w:rPr>
                <w:rFonts w:ascii="Calibri" w:hAnsi="Calibri"/>
                <w:b/>
                <w:color w:val="212529"/>
                <w:sz w:val="19"/>
              </w:rPr>
              <w:t xml:space="preserve">   • Plain Legal Meaning &amp; StatCon Application: </w:t>
            </w:r>
            <w:r>
              <w:rPr>
                <w:rFonts w:ascii="Calibri" w:hAnsi="Calibri"/>
                <w:color w:val="212529"/>
                <w:sz w:val="19"/>
              </w:rPr>
              <w:t>The general rule of prospectivity yields to the recognized exception for remedial, curative, and social welfare statutes.</w:t>
            </w:r>
          </w:p>
          <w:p>
            <w:pPr>
              <w:spacing w:before="40" w:after="60" w:line="276" w:lineRule="auto"/>
            </w:pPr>
            <w:r>
              <w:rPr>
                <w:rFonts w:ascii="Calibri" w:hAnsi="Calibri"/>
                <w:b/>
                <w:color w:val="8C3200"/>
                <w:sz w:val="20"/>
              </w:rPr>
              <w:t>2. Salus populi est suprema lex (the welfare of the people is the supreme law)</w:t>
              <w:br/>
            </w:r>
            <w:r>
              <w:rPr>
                <w:rFonts w:ascii="Calibri" w:hAnsi="Calibri"/>
                <w:b/>
                <w:color w:val="212529"/>
                <w:sz w:val="19"/>
              </w:rPr>
              <w:t xml:space="preserve">   • Literal English Translation: </w:t>
            </w:r>
            <w:r>
              <w:rPr>
                <w:rFonts w:ascii="Calibri" w:hAnsi="Calibri"/>
                <w:i/>
                <w:color w:val="212529"/>
                <w:sz w:val="19"/>
              </w:rPr>
              <w:t>The welfare of the people is the supreme law.</w:t>
              <w:br/>
            </w:r>
            <w:r>
              <w:rPr>
                <w:rFonts w:ascii="Calibri" w:hAnsi="Calibri"/>
                <w:b/>
                <w:color w:val="212529"/>
                <w:sz w:val="19"/>
              </w:rPr>
              <w:t xml:space="preserve">   • Plain Legal Meaning &amp; StatCon Application: </w:t>
            </w:r>
            <w:r>
              <w:rPr>
                <w:rFonts w:ascii="Calibri" w:hAnsi="Calibri"/>
                <w:color w:val="212529"/>
                <w:sz w:val="19"/>
              </w:rPr>
              <w:t>Consumer protective decrees enacted under police power override private contractual claims.</w:t>
            </w:r>
          </w:p>
          <w:p>
            <w:pPr>
              <w:spacing w:before="40" w:after="60" w:line="276" w:lineRule="auto"/>
            </w:pPr>
            <w:r>
              <w:rPr>
                <w:rFonts w:ascii="Calibri" w:hAnsi="Calibri"/>
                <w:b/>
                <w:color w:val="8C3200"/>
                <w:sz w:val="20"/>
              </w:rPr>
              <w:t>3. Ratio legis est anima legis (the reason of the law is the soul of the law)</w:t>
              <w:br/>
            </w:r>
            <w:r>
              <w:rPr>
                <w:rFonts w:ascii="Calibri" w:hAnsi="Calibri"/>
                <w:b/>
                <w:color w:val="212529"/>
                <w:sz w:val="19"/>
              </w:rPr>
              <w:t xml:space="preserve">   • Literal English Translation: </w:t>
            </w:r>
            <w:r>
              <w:rPr>
                <w:rFonts w:ascii="Calibri" w:hAnsi="Calibri"/>
                <w:i/>
                <w:color w:val="212529"/>
                <w:sz w:val="19"/>
              </w:rPr>
              <w:t>The reason of the law is the soul of the law.</w:t>
              <w:br/>
            </w:r>
            <w:r>
              <w:rPr>
                <w:rFonts w:ascii="Calibri" w:hAnsi="Calibri"/>
                <w:b/>
                <w:color w:val="212529"/>
                <w:sz w:val="19"/>
              </w:rPr>
              <w:t xml:space="preserve">   • Plain Legal Meaning &amp; StatCon Application: </w:t>
            </w:r>
            <w:r>
              <w:rPr>
                <w:rFonts w:ascii="Calibri" w:hAnsi="Calibri"/>
                <w:color w:val="212529"/>
                <w:sz w:val="19"/>
              </w:rPr>
              <w:t>The legislative intent to eradicate real estate fraud justifies retroactive protection for all victimized buyers.</w:t>
            </w:r>
          </w:p>
        </w:tc>
      </w:tr>
    </w:tbl>
    <w:tbl>
      <w:tblPr>
        <w:tblW w:type="auto" w:w="0"/>
        <w:jc w:val="center"/>
        <w:tblLook w:firstColumn="1" w:firstRow="1" w:lastColumn="0" w:lastRow="0" w:noHBand="0" w:noVBand="1" w:val="04A0"/>
      </w:tblPr>
      <w:tblGrid>
        <w:gridCol w:w="4824"/>
        <w:gridCol w:w="4824"/>
      </w:tblGrid>
      <w:tr>
        <w:tc>
          <w:tcPr>
            <w:tcW w:type="dxa" w:w="4824"/>
            <w:shd w:fill="EAEFF5"/>
            <w:tcMar>
              <w:top w:w="80" w:type="dxa"/>
              <w:bottom w:w="80" w:type="dxa"/>
              <w:left w:w="120" w:type="dxa"/>
              <w:right w:w="120" w:type="dxa"/>
            </w:tcMar>
          </w:tcPr>
          <w:p>
            <w:pPr>
              <w:spacing w:before="40" w:after="40"/>
            </w:pPr>
            <w:r>
              <w:rPr>
                <w:rFonts w:ascii="Arial" w:hAnsi="Arial"/>
                <w:b/>
                <w:color w:val="0F2043"/>
                <w:sz w:val="18"/>
              </w:rPr>
              <w:t>Syllabus Topic Alignment</w:t>
              <w:br/>
              <w:t>(StatCon_Syllabus_JPR.pdf)</w:t>
            </w:r>
          </w:p>
        </w:tc>
        <w:tc>
          <w:tcPr>
            <w:tcW w:type="dxa" w:w="4824"/>
            <w:shd w:fill="FAFAFA"/>
            <w:tcMar>
              <w:top w:w="80" w:type="dxa"/>
              <w:bottom w:w="80" w:type="dxa"/>
              <w:left w:w="120" w:type="dxa"/>
              <w:right w:w="120" w:type="dxa"/>
            </w:tcMar>
          </w:tcPr>
          <w:p>
            <w:pPr>
              <w:spacing w:before="40" w:after="40" w:line="276" w:lineRule="auto"/>
            </w:pPr>
            <w:r>
              <w:rPr>
                <w:rFonts w:ascii="Calibri" w:hAnsi="Calibri"/>
                <w:color w:val="212529"/>
                <w:sz w:val="19"/>
              </w:rPr>
              <w:t>• Chapter III: Basic Guidelines in the Construction and Interpretation of Laws</w:t>
              <w:br/>
              <w:t xml:space="preserve">  - A. General Guidelines: Retroactivity of Remedial, Curative, and Social Legislation</w:t>
            </w:r>
          </w:p>
        </w:tc>
      </w:tr>
      <w:tr>
        <w:tc>
          <w:tcPr>
            <w:tcW w:type="dxa" w:w="4824"/>
            <w:shd w:fill="EAEFF5"/>
            <w:tcMar>
              <w:top w:w="80" w:type="dxa"/>
              <w:bottom w:w="80" w:type="dxa"/>
              <w:left w:w="120" w:type="dxa"/>
              <w:right w:w="120" w:type="dxa"/>
            </w:tcMar>
          </w:tcPr>
          <w:p>
            <w:pPr>
              <w:spacing w:before="40" w:after="40"/>
            </w:pPr>
            <w:r>
              <w:rPr>
                <w:rFonts w:ascii="Arial" w:hAnsi="Arial"/>
                <w:b/>
                <w:color w:val="0F2043"/>
                <w:sz w:val="18"/>
              </w:rPr>
              <w:t>Governing Latin Maxims &amp; English</w:t>
            </w:r>
          </w:p>
        </w:tc>
        <w:tc>
          <w:tcPr>
            <w:tcW w:type="dxa" w:w="4824"/>
            <w:shd w:fill="FAFAFA"/>
            <w:tcMar>
              <w:top w:w="80" w:type="dxa"/>
              <w:bottom w:w="80" w:type="dxa"/>
              <w:left w:w="120" w:type="dxa"/>
              <w:right w:w="120" w:type="dxa"/>
            </w:tcMar>
          </w:tcPr>
          <w:p>
            <w:pPr>
              <w:spacing w:before="40" w:after="40" w:line="276" w:lineRule="auto"/>
            </w:pPr>
            <w:r>
              <w:rPr>
                <w:rFonts w:ascii="Calibri" w:hAnsi="Calibri"/>
                <w:color w:val="212529"/>
                <w:sz w:val="19"/>
              </w:rPr>
              <w:t>Primary:</w:t>
              <w:br/>
              <w:t>Lex prospicit, non respicit</w:t>
              <w:br/>
              <w:t>(the law looks forward, not backward / general rule on prospectivity yields to remedial and curative social legislation)</w:t>
              <w:br/>
              <w:br/>
              <w:t>Secondary:</w:t>
              <w:br/>
              <w:t>• Salus populi est suprema lex (the welfare of the people is supreme law)</w:t>
              <w:br/>
              <w:t>• Ratio legis est anima legis (the reason of the law is its soul)</w:t>
            </w:r>
          </w:p>
        </w:tc>
      </w:tr>
      <w:tr>
        <w:tc>
          <w:tcPr>
            <w:tcW w:type="dxa" w:w="4824"/>
            <w:shd w:fill="EAEFF5"/>
            <w:tcMar>
              <w:top w:w="80" w:type="dxa"/>
              <w:bottom w:w="80" w:type="dxa"/>
              <w:left w:w="120" w:type="dxa"/>
              <w:right w:w="120" w:type="dxa"/>
            </w:tcMar>
          </w:tcPr>
          <w:p>
            <w:pPr>
              <w:spacing w:before="40" w:after="40"/>
            </w:pPr>
            <w:r>
              <w:rPr>
                <w:rFonts w:ascii="Arial" w:hAnsi="Arial"/>
                <w:b/>
                <w:color w:val="0F2043"/>
                <w:sz w:val="18"/>
              </w:rPr>
              <w:t>Case Violation in StatCon</w:t>
            </w:r>
          </w:p>
        </w:tc>
        <w:tc>
          <w:tcPr>
            <w:tcW w:type="dxa" w:w="4824"/>
            <w:shd w:fill="FAFAFA"/>
            <w:tcMar>
              <w:top w:w="80" w:type="dxa"/>
              <w:bottom w:w="80" w:type="dxa"/>
              <w:left w:w="120" w:type="dxa"/>
              <w:right w:w="120" w:type="dxa"/>
            </w:tcMar>
          </w:tcPr>
          <w:p>
            <w:pPr>
              <w:spacing w:before="40" w:after="40" w:line="276" w:lineRule="auto"/>
            </w:pPr>
            <w:r>
              <w:rPr>
                <w:rFonts w:ascii="Calibri" w:hAnsi="Calibri"/>
                <w:color w:val="212529"/>
                <w:sz w:val="19"/>
              </w:rPr>
              <w:t>The developer attempted to shield his fraudulent non-development behind the general rule on prospectivity to deprive the buyer of statutory remedy.</w:t>
            </w:r>
          </w:p>
        </w:tc>
      </w:tr>
      <w:tr>
        <w:tc>
          <w:tcPr>
            <w:tcW w:type="dxa" w:w="4824"/>
            <w:shd w:fill="EAEFF5"/>
            <w:tcMar>
              <w:top w:w="80" w:type="dxa"/>
              <w:bottom w:w="80" w:type="dxa"/>
              <w:left w:w="120" w:type="dxa"/>
              <w:right w:w="120" w:type="dxa"/>
            </w:tcMar>
          </w:tcPr>
          <w:p>
            <w:pPr>
              <w:spacing w:before="40" w:after="40"/>
            </w:pPr>
            <w:r>
              <w:rPr>
                <w:rFonts w:ascii="Arial" w:hAnsi="Arial"/>
                <w:b/>
                <w:color w:val="0F2043"/>
                <w:sz w:val="18"/>
              </w:rPr>
              <w:t>Doctrinal Execution / Principle</w:t>
            </w:r>
          </w:p>
        </w:tc>
        <w:tc>
          <w:tcPr>
            <w:tcW w:type="dxa" w:w="4824"/>
            <w:shd w:fill="FAFAFA"/>
            <w:tcMar>
              <w:top w:w="80" w:type="dxa"/>
              <w:bottom w:w="80" w:type="dxa"/>
              <w:left w:w="120" w:type="dxa"/>
              <w:right w:w="120" w:type="dxa"/>
            </w:tcMar>
          </w:tcPr>
          <w:p>
            <w:pPr>
              <w:spacing w:before="40" w:after="40" w:line="276" w:lineRule="auto"/>
            </w:pPr>
            <w:r>
              <w:rPr>
                <w:rFonts w:ascii="Calibri" w:hAnsi="Calibri"/>
                <w:color w:val="212529"/>
                <w:sz w:val="19"/>
              </w:rPr>
              <w:t>Curative and Remedial Exception to Prospectivity: Statutes enacted to cure administrative defects, prevent consumer exploitation, and advance social justice are given retroactive application.</w:t>
            </w:r>
          </w:p>
        </w:tc>
      </w:tr>
    </w:tbl>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RELATION TO STATUTORY CONSTRUCTION</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While laws usually look forward, laws made to cure widespread fraud and protect cheated consumers reach back to fix existing problems.</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"Sir/Ma'am, Eugenio v. Drilon is the benchmark case for the retroactive application of remedial and social legislation—qualifying the general maxim Lex prospicit non respicit."</w:t>
            </w:r>
          </w:p>
        </w:tc>
      </w:tr>
    </w:tbl>
    <w:p>
      <w:pPr>
        <w:spacing w:before="160" w:after="80"/>
      </w:pPr>
    </w:p>
    <w:tbl>
      <w:tblPr>
        <w:tblW w:type="auto" w:w="0"/>
        <w:jc w:val="center"/>
        <w:tblLook w:firstColumn="1" w:firstRow="1" w:lastColumn="0" w:lastRow="0" w:noHBand="0" w:noVBand="1" w:val="04A0"/>
      </w:tblPr>
      <w:tblGrid>
        <w:gridCol w:w="9648"/>
      </w:tblGrid>
      <w:tr>
        <w:tc>
          <w:tcPr>
            <w:tcW w:type="dxa" w:w="9648"/>
            <w:shd w:fill="1E3A5F"/>
            <w:tcMar>
              <w:top w:w="140" w:type="dxa"/>
              <w:bottom w:w="140" w:type="dxa"/>
              <w:left w:w="200" w:type="dxa"/>
              <w:right w:w="200" w:type="dxa"/>
            </w:tcMar>
          </w:tcPr>
          <w:p>
            <w:pPr>
              <w:spacing w:before="40" w:after="40"/>
              <w:jc w:val="center"/>
            </w:pPr>
            <w:r>
              <w:rPr>
                <w:rFonts w:ascii="Arial" w:hAnsi="Arial"/>
                <w:b/>
                <w:color w:val="FFD700"/>
                <w:sz w:val="22"/>
              </w:rPr>
              <w:t>⚖ STANDARDIZED CASE DIGEST: STATUTORY CONSTRUCTION FORMAT</w:t>
              <w:br/>
            </w:r>
            <w:r>
              <w:rPr>
                <w:rFonts w:ascii="Arial" w:hAnsi="Arial"/>
                <w:i/>
                <w:color w:val="DCEBFF"/>
                <w:sz w:val="18"/>
              </w:rPr>
              <w:t>(Complete 12-Section Academic &amp; Judicial Construction Analysis)</w:t>
            </w:r>
          </w:p>
        </w:tc>
      </w:tr>
    </w:tbl>
    <w:p>
      <w:pPr>
        <w:spacing w:before="80" w:after="80"/>
      </w:pPr>
    </w:p>
    <w:tbl>
      <w:tblPr>
        <w:tblW w:type="auto" w:w="0"/>
        <w:jc w:val="center"/>
        <w:tblLook w:firstColumn="1" w:firstRow="1" w:lastColumn="0" w:lastRow="0" w:noHBand="0" w:noVBand="1" w:val="04A0"/>
      </w:tblPr>
      <w:tblGrid>
        <w:gridCol w:w="4824"/>
        <w:gridCol w:w="4824"/>
      </w:tblGrid>
      <w:tr>
        <w:tc>
          <w:tcPr>
            <w:tcW w:type="dxa" w:w="4824"/>
            <w:shd w:fill="EBF0F7"/>
            <w:tcMar>
              <w:top w:w="60" w:type="dxa"/>
              <w:bottom w:w="60" w:type="dxa"/>
              <w:left w:w="120" w:type="dxa"/>
              <w:right w:w="120" w:type="dxa"/>
            </w:tcMar>
          </w:tcPr>
          <w:p>
            <w:pPr>
              <w:spacing w:before="20" w:after="20"/>
            </w:pPr>
            <w:r>
              <w:rPr>
                <w:rFonts w:ascii="Arial" w:hAnsi="Arial"/>
                <w:b/>
                <w:color w:val="0F2043"/>
                <w:sz w:val="19"/>
              </w:rPr>
              <w:t>Case Title:</w:t>
            </w:r>
          </w:p>
        </w:tc>
        <w:tc>
          <w:tcPr>
            <w:tcW w:type="dxa" w:w="4824"/>
            <w:shd w:fill="FAFCFF"/>
            <w:tcMar>
              <w:top w:w="60" w:type="dxa"/>
              <w:bottom w:w="60" w:type="dxa"/>
              <w:left w:w="120" w:type="dxa"/>
              <w:right w:w="120" w:type="dxa"/>
            </w:tcMar>
          </w:tcPr>
          <w:p>
            <w:pPr>
              <w:spacing w:before="20" w:after="20"/>
            </w:pPr>
            <w:r>
              <w:rPr>
                <w:rFonts w:ascii="Calibri" w:hAnsi="Calibri"/>
                <w:b/>
                <w:color w:val="212529"/>
                <w:sz w:val="19"/>
              </w:rPr>
              <w:t>Florencio Eugenio v. Executive Secretary Franklin M. Drilon, Housing and Land Use Regulatory Board (HLURB), and Prospero Palmiano</w:t>
            </w:r>
          </w:p>
        </w:tc>
      </w:tr>
      <w:tr>
        <w:tc>
          <w:tcPr>
            <w:tcW w:type="dxa" w:w="4824"/>
            <w:shd w:fill="EBF0F7"/>
            <w:tcMar>
              <w:top w:w="60" w:type="dxa"/>
              <w:bottom w:w="60" w:type="dxa"/>
              <w:left w:w="120" w:type="dxa"/>
              <w:right w:w="120" w:type="dxa"/>
            </w:tcMar>
          </w:tcPr>
          <w:p>
            <w:pPr>
              <w:spacing w:before="20" w:after="20"/>
            </w:pPr>
            <w:r>
              <w:rPr>
                <w:rFonts w:ascii="Arial" w:hAnsi="Arial"/>
                <w:b/>
                <w:color w:val="0F2043"/>
                <w:sz w:val="19"/>
              </w:rPr>
              <w:t>G.R. No. / Record:</w:t>
            </w:r>
          </w:p>
        </w:tc>
        <w:tc>
          <w:tcPr>
            <w:tcW w:type="dxa" w:w="4824"/>
            <w:shd w:fill="FAFCFF"/>
            <w:tcMar>
              <w:top w:w="60" w:type="dxa"/>
              <w:bottom w:w="60" w:type="dxa"/>
              <w:left w:w="120" w:type="dxa"/>
              <w:right w:w="120" w:type="dxa"/>
            </w:tcMar>
          </w:tcPr>
          <w:p>
            <w:pPr>
              <w:spacing w:before="20" w:after="20"/>
            </w:pPr>
            <w:r>
              <w:rPr>
                <w:rFonts w:ascii="Calibri" w:hAnsi="Calibri"/>
                <w:b w:val="0"/>
                <w:color w:val="212529"/>
                <w:sz w:val="19"/>
              </w:rPr>
              <w:t>G.R. No. 109404</w:t>
            </w:r>
          </w:p>
        </w:tc>
      </w:tr>
      <w:tr>
        <w:tc>
          <w:tcPr>
            <w:tcW w:type="dxa" w:w="4824"/>
            <w:shd w:fill="EBF0F7"/>
            <w:tcMar>
              <w:top w:w="60" w:type="dxa"/>
              <w:bottom w:w="60" w:type="dxa"/>
              <w:left w:w="120" w:type="dxa"/>
              <w:right w:w="120" w:type="dxa"/>
            </w:tcMar>
          </w:tcPr>
          <w:p>
            <w:pPr>
              <w:spacing w:before="20" w:after="20"/>
            </w:pPr>
            <w:r>
              <w:rPr>
                <w:rFonts w:ascii="Arial" w:hAnsi="Arial"/>
                <w:b/>
                <w:color w:val="0F2043"/>
                <w:sz w:val="19"/>
              </w:rPr>
              <w:t>Date of Promulgation:</w:t>
            </w:r>
          </w:p>
        </w:tc>
        <w:tc>
          <w:tcPr>
            <w:tcW w:type="dxa" w:w="4824"/>
            <w:shd w:fill="FAFCFF"/>
            <w:tcMar>
              <w:top w:w="60" w:type="dxa"/>
              <w:bottom w:w="60" w:type="dxa"/>
              <w:left w:w="120" w:type="dxa"/>
              <w:right w:w="120" w:type="dxa"/>
            </w:tcMar>
          </w:tcPr>
          <w:p>
            <w:pPr>
              <w:spacing w:before="20" w:after="20"/>
            </w:pPr>
            <w:r>
              <w:rPr>
                <w:rFonts w:ascii="Calibri" w:hAnsi="Calibri"/>
                <w:b w:val="0"/>
                <w:color w:val="212529"/>
                <w:sz w:val="19"/>
              </w:rPr>
              <w:t>January 22, 1996</w:t>
            </w:r>
          </w:p>
        </w:tc>
      </w:tr>
      <w:tr>
        <w:tc>
          <w:tcPr>
            <w:tcW w:type="dxa" w:w="4824"/>
            <w:shd w:fill="EBF0F7"/>
            <w:tcMar>
              <w:top w:w="60" w:type="dxa"/>
              <w:bottom w:w="60" w:type="dxa"/>
              <w:left w:w="120" w:type="dxa"/>
              <w:right w:w="120" w:type="dxa"/>
            </w:tcMar>
          </w:tcPr>
          <w:p>
            <w:pPr>
              <w:spacing w:before="20" w:after="20"/>
            </w:pPr>
            <w:r>
              <w:rPr>
                <w:rFonts w:ascii="Arial" w:hAnsi="Arial"/>
                <w:b/>
                <w:color w:val="0F2043"/>
                <w:sz w:val="19"/>
              </w:rPr>
              <w:t>Ponente / Court:</w:t>
            </w:r>
          </w:p>
        </w:tc>
        <w:tc>
          <w:tcPr>
            <w:tcW w:type="dxa" w:w="4824"/>
            <w:shd w:fill="FAFCFF"/>
            <w:tcMar>
              <w:top w:w="60" w:type="dxa"/>
              <w:bottom w:w="60" w:type="dxa"/>
              <w:left w:w="120" w:type="dxa"/>
              <w:right w:w="120" w:type="dxa"/>
            </w:tcMar>
          </w:tcPr>
          <w:p>
            <w:pPr>
              <w:spacing w:before="20" w:after="20"/>
            </w:pPr>
            <w:r>
              <w:rPr>
                <w:rFonts w:ascii="Calibri" w:hAnsi="Calibri"/>
                <w:b w:val="0"/>
                <w:color w:val="212529"/>
                <w:sz w:val="19"/>
              </w:rPr>
              <w:t>Second Division</w:t>
            </w:r>
          </w:p>
        </w:tc>
      </w:tr>
    </w:tbl>
    <w:p>
      <w:pPr>
        <w:keepNext/>
        <w:spacing w:before="240" w:after="60"/>
      </w:pPr>
      <w:r>
        <w:rPr>
          <w:rFonts w:ascii="Arial" w:hAnsi="Arial"/>
          <w:b/>
          <w:color w:val="0F2043"/>
          <w:sz w:val="21"/>
        </w:rPr>
        <w:t>I. FACTS OF THE CASE</w:t>
      </w:r>
    </w:p>
    <w:tbl>
      <w:tblPr>
        <w:tblW w:type="auto" w:w="0"/>
        <w:jc w:val="center"/>
        <w:tblLook w:firstColumn="1" w:firstRow="1" w:lastColumn="0" w:lastRow="0" w:noHBand="0" w:noVBand="1" w:val="04A0"/>
      </w:tblPr>
      <w:tblGrid>
        <w:gridCol w:w="9648"/>
      </w:tblGrid>
      <w:tr>
        <w:tc>
          <w:tcPr>
            <w:tcW w:type="dxa" w:w="9648"/>
            <w:shd w:fill="F8F9FB"/>
            <w:tcMar>
              <w:top w:w="100" w:type="dxa"/>
              <w:bottom w:w="100" w:type="dxa"/>
              <w:left w:w="160" w:type="dxa"/>
              <w:right w:w="160" w:type="dxa"/>
            </w:tcMar>
          </w:tcPr>
          <w:p>
            <w:pPr>
              <w:spacing w:before="20" w:after="40"/>
            </w:pPr>
            <w:r>
              <w:rPr>
                <w:rFonts w:ascii="Arial" w:hAnsi="Arial"/>
                <w:b/>
                <w:color w:val="0F2043"/>
                <w:sz w:val="19"/>
              </w:rPr>
              <w:t>Material Facts of Controversy</w:t>
              <w:br/>
            </w:r>
          </w:p>
          <w:p>
            <w:pPr>
              <w:spacing w:before="20" w:after="40" w:line="276" w:lineRule="auto"/>
            </w:pPr>
            <w:r>
              <w:rPr>
                <w:rFonts w:ascii="Calibri" w:hAnsi="Calibri"/>
                <w:color w:val="212529"/>
                <w:sz w:val="19"/>
              </w:rPr>
              <w:t>In 1972 (prior to the enactment of P.D. No. 957 in 1976), private respondent Prospero Palmiano purchased two subdivision lots on installment from subdivision developer Florencio Eugenio. In 1976, P.D. No. 957 took effect, Section 23 of which gives buyers the right to suspend installment payments if the developer fails to develop the subdivision according to approved plans. Palmiano suspended payment because Eugenio completely failed to construct roads, drainage, and facilities. Eugenio cancelled the sale and sold the lots to a third party. When Palmiano filed an action before the HLURB to enforce his rights, Eugenio argued that P.D. No. 957 cannot be applied retroactively to a contract entered into in 1972 without violating the non-retroactivity of laws and non-impairment of contracts.</w:t>
            </w:r>
          </w:p>
        </w:tc>
      </w:tr>
    </w:tbl>
    <w:p>
      <w:pPr>
        <w:keepNext/>
        <w:spacing w:before="240" w:after="60"/>
      </w:pPr>
      <w:r>
        <w:rPr>
          <w:rFonts w:ascii="Arial" w:hAnsi="Arial"/>
          <w:b/>
          <w:color w:val="0F2043"/>
          <w:sz w:val="21"/>
        </w:rPr>
        <w:t>II. FACTS RELEVANT TO STATUTORY CONSTRUCTION</w:t>
      </w:r>
    </w:p>
    <w:tbl>
      <w:tblPr>
        <w:tblW w:type="auto" w:w="0"/>
        <w:jc w:val="center"/>
        <w:tblLook w:firstColumn="1" w:firstRow="1" w:lastColumn="0" w:lastRow="0" w:noHBand="0" w:noVBand="1" w:val="04A0"/>
      </w:tblPr>
      <w:tblGrid>
        <w:gridCol w:w="9648"/>
      </w:tblGrid>
      <w:tr>
        <w:tc>
          <w:tcPr>
            <w:tcW w:type="dxa" w:w="9648"/>
            <w:shd w:fill="F8F9FB"/>
            <w:tcMar>
              <w:top w:w="100" w:type="dxa"/>
              <w:bottom w:w="100" w:type="dxa"/>
              <w:left w:w="160" w:type="dxa"/>
              <w:right w:w="160" w:type="dxa"/>
            </w:tcMar>
          </w:tcPr>
          <w:p>
            <w:pPr>
              <w:spacing w:before="20" w:after="40"/>
            </w:pPr>
            <w:r>
              <w:rPr>
                <w:rFonts w:ascii="Arial" w:hAnsi="Arial"/>
                <w:b/>
                <w:color w:val="0F2043"/>
                <w:sz w:val="19"/>
              </w:rPr>
              <w:t>Facts Giving Rise to Need for Interpretation</w:t>
              <w:br/>
            </w:r>
          </w:p>
          <w:p>
            <w:pPr>
              <w:spacing w:before="20" w:after="40" w:line="276" w:lineRule="auto"/>
            </w:pPr>
            <w:r>
              <w:rPr>
                <w:rFonts w:ascii="Calibri" w:hAnsi="Calibri"/>
                <w:b/>
                <w:color w:val="212529"/>
                <w:sz w:val="19"/>
              </w:rPr>
              <w:t xml:space="preserve">• What provision of law or rule became relevant? </w:t>
            </w:r>
            <w:r>
              <w:rPr>
                <w:rFonts w:ascii="Calibri" w:hAnsi="Calibri"/>
                <w:color w:val="212529"/>
                <w:sz w:val="19"/>
              </w:rPr>
              <w:t>1. Section 23, Presidential Decree No. 957: Right of installment buyer to suspend payment upon developer's failure to develop facilities.</w:t>
              <w:br/>
              <w:t>2. Article 4, Civil Code of the Philippines: General rule on prospectivity ('Laws shall have no retroactive effect, unless the contrary is provided').</w:t>
            </w:r>
          </w:p>
          <w:p>
            <w:pPr>
              <w:spacing w:before="20" w:after="40" w:line="276" w:lineRule="auto"/>
            </w:pPr>
            <w:r>
              <w:rPr>
                <w:rFonts w:ascii="Calibri" w:hAnsi="Calibri"/>
                <w:b/>
                <w:color w:val="212529"/>
                <w:sz w:val="19"/>
              </w:rPr>
              <w:t xml:space="preserve">• What circumstance made interpretation necessary? </w:t>
            </w:r>
            <w:r>
              <w:rPr>
                <w:rFonts w:ascii="Calibri" w:hAnsi="Calibri"/>
                <w:color w:val="212529"/>
                <w:sz w:val="19"/>
              </w:rPr>
              <w:t>The developer attempted to shield his fraudulent non-development behind the general rule on prospectivity to deprive the buyer of statutory remedy.</w:t>
            </w:r>
          </w:p>
          <w:p>
            <w:pPr>
              <w:spacing w:before="20" w:after="40" w:line="276" w:lineRule="auto"/>
            </w:pPr>
            <w:r>
              <w:rPr>
                <w:rFonts w:ascii="Calibri" w:hAnsi="Calibri"/>
                <w:b/>
                <w:color w:val="212529"/>
                <w:sz w:val="19"/>
              </w:rPr>
              <w:t xml:space="preserve">• What competing interpretations were presented? </w:t>
            </w:r>
            <w:r>
              <w:rPr>
                <w:rFonts w:ascii="Calibri" w:hAnsi="Calibri"/>
                <w:color w:val="212529"/>
                <w:sz w:val="19"/>
              </w:rPr>
              <w:t>Petitioner argued for a favorable interpretation based on statutory intent, while Respondent contended for a literal or restrictive application.</w:t>
            </w:r>
          </w:p>
        </w:tc>
      </w:tr>
    </w:tbl>
    <w:p>
      <w:pPr>
        <w:keepNext/>
        <w:spacing w:before="240" w:after="60"/>
      </w:pPr>
      <w:r>
        <w:rPr>
          <w:rFonts w:ascii="Arial" w:hAnsi="Arial"/>
          <w:b/>
          <w:color w:val="0F2043"/>
          <w:sz w:val="21"/>
        </w:rPr>
        <w:t>III. ISSUES</w:t>
      </w:r>
    </w:p>
    <w:p>
      <w:pPr>
        <w:keepNext/>
        <w:spacing w:before="120" w:after="40"/>
      </w:pPr>
      <w:r>
        <w:rPr>
          <w:rFonts w:ascii="Arial" w:hAnsi="Arial"/>
          <w:b/>
          <w:color w:val="781E1E"/>
          <w:sz w:val="20"/>
        </w:rPr>
        <w:t>A. General Legal Issues</w:t>
      </w:r>
    </w:p>
    <w:p>
      <w:pPr>
        <w:spacing w:before="40" w:after="80" w:line="276" w:lineRule="auto"/>
      </w:pPr>
      <w:r>
        <w:rPr>
          <w:rFonts w:ascii="Calibri" w:hAnsi="Calibri"/>
          <w:i w:val="0"/>
          <w:color w:val="212529"/>
          <w:sz w:val="21"/>
        </w:rPr>
        <w:t>Whether or not Presidential Decree No. 957 (Section 23) applies retroactively to protect a lot buyer under an installment sale executed prior to the decree's enactment in 1976.</w:t>
      </w:r>
    </w:p>
    <w:p>
      <w:pPr>
        <w:keepNext/>
        <w:spacing w:before="120" w:after="40"/>
      </w:pPr>
      <w:r>
        <w:rPr>
          <w:rFonts w:ascii="Arial" w:hAnsi="Arial"/>
          <w:b/>
          <w:color w:val="781E1E"/>
          <w:sz w:val="20"/>
        </w:rPr>
        <w:t>B. Statutory-Construction Issue/s</w:t>
      </w:r>
    </w:p>
    <w:tbl>
      <w:tblPr>
        <w:tblW w:type="auto" w:w="0"/>
        <w:jc w:val="center"/>
        <w:tblLook w:firstColumn="1" w:firstRow="1" w:lastColumn="0" w:lastRow="0" w:noHBand="0" w:noVBand="1" w:val="04A0"/>
      </w:tblPr>
      <w:tblGrid>
        <w:gridCol w:w="9648"/>
      </w:tblGrid>
      <w:tr>
        <w:tc>
          <w:tcPr>
            <w:tcW w:type="dxa" w:w="9648"/>
            <w:shd w:fill="EBF3FA"/>
            <w:tcMar>
              <w:top w:w="100" w:type="dxa"/>
              <w:bottom w:w="100" w:type="dxa"/>
              <w:left w:w="160" w:type="dxa"/>
              <w:right w:w="160" w:type="dxa"/>
            </w:tcMar>
          </w:tcPr>
          <w:p>
            <w:pPr>
              <w:spacing w:before="20" w:after="40"/>
            </w:pPr>
            <w:r>
              <w:rPr>
                <w:rFonts w:ascii="Arial" w:hAnsi="Arial"/>
                <w:b/>
                <w:color w:val="0F2043"/>
                <w:sz w:val="19"/>
              </w:rPr>
              <w:t>Standardized StatCon Issue Statement</w:t>
              <w:br/>
            </w:r>
          </w:p>
          <w:p>
            <w:pPr>
              <w:spacing w:before="20" w:after="40" w:line="276" w:lineRule="auto"/>
            </w:pPr>
            <w:r>
              <w:rPr>
                <w:rFonts w:ascii="Calibri" w:hAnsi="Calibri"/>
                <w:color w:val="212529"/>
                <w:sz w:val="19"/>
              </w:rPr>
              <w:t>Whether the subject statutory act, classification, or terminology under the governing statute/rule means, includes, or applies to the factual controversy in Florencio Eugenio v. Executive Secretary Franklin M. Drilon, Housing and Land Use Regulatory Board (HLURB), and Prospero Palmiano, under the canon of Lex prospicit, non respicit.</w:t>
            </w:r>
          </w:p>
        </w:tc>
      </w:tr>
    </w:tbl>
    <w:p>
      <w:pPr>
        <w:keepNext/>
        <w:spacing w:before="240" w:after="60"/>
      </w:pPr>
      <w:r>
        <w:rPr>
          <w:rFonts w:ascii="Arial" w:hAnsi="Arial"/>
          <w:b/>
          <w:color w:val="0F2043"/>
          <w:sz w:val="21"/>
        </w:rPr>
        <w:t>IV. PROVISION/S OF LAW CONSTRUED</w:t>
      </w:r>
    </w:p>
    <w:tbl>
      <w:tblPr>
        <w:tblW w:type="auto" w:w="0"/>
        <w:jc w:val="center"/>
        <w:tblLook w:firstColumn="1" w:firstRow="1" w:lastColumn="0" w:lastRow="0" w:noHBand="0" w:noVBand="1" w:val="04A0"/>
      </w:tblPr>
      <w:tblGrid>
        <w:gridCol w:w="9648"/>
      </w:tblGrid>
      <w:tr>
        <w:tc>
          <w:tcPr>
            <w:tcW w:type="dxa" w:w="9648"/>
            <w:shd w:fill="F8F9FB"/>
            <w:tcMar>
              <w:top w:w="100" w:type="dxa"/>
              <w:bottom w:w="100" w:type="dxa"/>
              <w:left w:w="160" w:type="dxa"/>
              <w:right w:w="160" w:type="dxa"/>
            </w:tcMar>
          </w:tcPr>
          <w:p>
            <w:pPr>
              <w:spacing w:before="20" w:after="40"/>
            </w:pPr>
            <w:r>
              <w:rPr>
                <w:rFonts w:ascii="Arial" w:hAnsi="Arial"/>
                <w:b/>
                <w:color w:val="0F2043"/>
                <w:sz w:val="19"/>
              </w:rPr>
              <w:t>Statutory / Constitutional Text &amp; Problem</w:t>
              <w:br/>
            </w:r>
          </w:p>
          <w:p>
            <w:pPr>
              <w:spacing w:before="20" w:after="40" w:line="276" w:lineRule="auto"/>
            </w:pPr>
            <w:r>
              <w:rPr>
                <w:rFonts w:ascii="Calibri" w:hAnsi="Calibri"/>
                <w:b/>
                <w:color w:val="212529"/>
                <w:sz w:val="19"/>
              </w:rPr>
              <w:t xml:space="preserve">• Quoted Provision: </w:t>
            </w:r>
            <w:r>
              <w:rPr>
                <w:rFonts w:ascii="Calibri" w:hAnsi="Calibri"/>
                <w:color w:val="212529"/>
                <w:sz w:val="19"/>
              </w:rPr>
              <w:t>1. Section 23, Presidential Decree No. 957: Right of installment buyer to suspend payment upon developer's failure to develop facilities.</w:t>
              <w:br/>
              <w:t>2. Article 4, Civil Code of the Philippines: General rule on prospectivity ('Laws shall have no retroactive effect, unless the contrary is provided').</w:t>
            </w:r>
          </w:p>
          <w:p>
            <w:pPr>
              <w:spacing w:before="20" w:after="40" w:line="276" w:lineRule="auto"/>
            </w:pPr>
            <w:r>
              <w:rPr>
                <w:rFonts w:ascii="Calibri" w:hAnsi="Calibri"/>
                <w:b/>
                <w:color w:val="212529"/>
                <w:sz w:val="19"/>
              </w:rPr>
              <w:t xml:space="preserve">• Interpretive Problem: </w:t>
            </w:r>
            <w:r>
              <w:rPr>
                <w:rFonts w:ascii="Calibri" w:hAnsi="Calibri"/>
                <w:color w:val="212529"/>
                <w:sz w:val="19"/>
              </w:rPr>
              <w:t>Determining the precise legislative intent and boundary of the statutory terms in light of: The developer attempted to shield his fraudulent non-development behind the general rule on prospectivity to deprive the...</w:t>
            </w:r>
          </w:p>
        </w:tc>
      </w:tr>
    </w:tbl>
    <w:p>
      <w:pPr>
        <w:keepNext/>
        <w:spacing w:before="240" w:after="60"/>
      </w:pPr>
      <w:r>
        <w:rPr>
          <w:rFonts w:ascii="Arial" w:hAnsi="Arial"/>
          <w:b/>
          <w:color w:val="0F2043"/>
          <w:sz w:val="21"/>
        </w:rPr>
        <w:t>V. RULING OF THE SUPREME COURT</w:t>
      </w:r>
    </w:p>
    <w:p>
      <w:pPr>
        <w:keepNext/>
        <w:spacing w:before="120" w:after="40"/>
      </w:pPr>
      <w:r>
        <w:rPr>
          <w:rFonts w:ascii="Arial" w:hAnsi="Arial"/>
          <w:b/>
          <w:color w:val="781E1E"/>
          <w:sz w:val="20"/>
        </w:rPr>
        <w:t>A. General Ruling</w:t>
      </w:r>
    </w:p>
    <w:p>
      <w:pPr>
        <w:spacing w:before="40" w:after="80" w:line="276" w:lineRule="auto"/>
      </w:pPr>
      <w:r>
        <w:rPr>
          <w:rFonts w:ascii="Calibri" w:hAnsi="Calibri"/>
          <w:i w:val="0"/>
          <w:color w:val="212529"/>
          <w:sz w:val="21"/>
        </w:rPr>
        <w:t>The Supreme Court AFFIRMED the decision of the Executive Secretary and HLURB, UPHOLDING the buyer's right to suspend payments and ORDERING the developer to deliver clean title or refund payments with interest.</w:t>
      </w:r>
    </w:p>
    <w:p>
      <w:pPr>
        <w:keepNext/>
        <w:spacing w:before="120" w:after="40"/>
      </w:pPr>
      <w:r>
        <w:rPr>
          <w:rFonts w:ascii="Arial" w:hAnsi="Arial"/>
          <w:b/>
          <w:color w:val="781E1E"/>
          <w:sz w:val="20"/>
        </w:rPr>
        <w:t>B. Ruling on the Statutory-Construction Issue</w:t>
      </w:r>
    </w:p>
    <w:tbl>
      <w:tblPr>
        <w:tblW w:type="auto" w:w="0"/>
        <w:jc w:val="center"/>
        <w:tblLook w:firstColumn="1" w:firstRow="1" w:lastColumn="0" w:lastRow="0" w:noHBand="0" w:noVBand="1" w:val="04A0"/>
      </w:tblPr>
      <w:tblGrid>
        <w:gridCol w:w="9648"/>
      </w:tblGrid>
      <w:tr>
        <w:tc>
          <w:tcPr>
            <w:tcW w:type="dxa" w:w="9648"/>
            <w:shd w:fill="F4FAF5"/>
            <w:tcMar>
              <w:top w:w="100" w:type="dxa"/>
              <w:bottom w:w="100" w:type="dxa"/>
              <w:left w:w="160" w:type="dxa"/>
              <w:right w:w="160" w:type="dxa"/>
            </w:tcMar>
          </w:tcPr>
          <w:p>
            <w:pPr>
              <w:spacing w:before="20" w:after="40"/>
            </w:pPr>
            <w:r>
              <w:rPr>
                <w:rFonts w:ascii="Arial" w:hAnsi="Arial"/>
                <w:b/>
                <w:color w:val="0F2043"/>
                <w:sz w:val="19"/>
              </w:rPr>
              <w:t>Statutory Meaning Established by Court</w:t>
              <w:br/>
            </w:r>
          </w:p>
          <w:p>
            <w:pPr>
              <w:spacing w:before="20" w:after="40" w:line="276" w:lineRule="auto"/>
            </w:pPr>
            <w:r>
              <w:rPr>
                <w:rFonts w:ascii="Calibri" w:hAnsi="Calibri"/>
                <w:color w:val="212529"/>
                <w:sz w:val="19"/>
              </w:rPr>
              <w:t>YES. Presidential Decree No. 957 applies RETROACTIVELY to contracts entered into before its enactment. As a remedial, curative, and social justice statute enacted under the police power, its protective provisions apply to pre-existing contracts.</w:t>
            </w:r>
          </w:p>
        </w:tc>
      </w:tr>
    </w:tbl>
    <w:p>
      <w:pPr>
        <w:keepNext/>
        <w:spacing w:before="240" w:after="60"/>
      </w:pPr>
      <w:r>
        <w:rPr>
          <w:rFonts w:ascii="Arial" w:hAnsi="Arial"/>
          <w:b/>
          <w:color w:val="0F2043"/>
          <w:sz w:val="21"/>
        </w:rPr>
        <w:t>VI. HOW THE COURT CONSTRUED THE LAW</w:t>
      </w:r>
    </w:p>
    <w:tbl>
      <w:tblPr>
        <w:tblW w:type="auto" w:w="0"/>
        <w:jc w:val="center"/>
        <w:tblLook w:firstColumn="1" w:firstRow="1" w:lastColumn="0" w:lastRow="0" w:noHBand="0" w:noVBand="1" w:val="04A0"/>
      </w:tblPr>
      <w:tblGrid>
        <w:gridCol w:w="9648"/>
      </w:tblGrid>
      <w:tr>
        <w:tc>
          <w:tcPr>
            <w:tcW w:type="dxa" w:w="9648"/>
            <w:shd w:fill="F8F9FB"/>
            <w:tcMar>
              <w:top w:w="100" w:type="dxa"/>
              <w:bottom w:w="100" w:type="dxa"/>
              <w:left w:w="160" w:type="dxa"/>
              <w:right w:w="160" w:type="dxa"/>
            </w:tcMar>
          </w:tcPr>
          <w:p>
            <w:pPr>
              <w:spacing w:before="20" w:after="40"/>
            </w:pPr>
            <w:r>
              <w:rPr>
                <w:rFonts w:ascii="Arial" w:hAnsi="Arial"/>
                <w:b/>
                <w:color w:val="0F2043"/>
                <w:sz w:val="19"/>
              </w:rPr>
              <w:t>Methodological &amp; Doctrinal Analysis</w:t>
              <w:br/>
            </w:r>
          </w:p>
          <w:p>
            <w:pPr>
              <w:spacing w:before="20" w:after="40" w:line="276" w:lineRule="auto"/>
            </w:pPr>
            <w:r>
              <w:rPr>
                <w:rFonts w:ascii="Calibri" w:hAnsi="Calibri"/>
                <w:b/>
                <w:color w:val="212529"/>
                <w:sz w:val="19"/>
              </w:rPr>
              <w:t xml:space="preserve">A. Why Was Construction Necessary? </w:t>
            </w:r>
            <w:r>
              <w:rPr>
                <w:rFonts w:ascii="Calibri" w:hAnsi="Calibri"/>
                <w:color w:val="212529"/>
                <w:sz w:val="19"/>
              </w:rPr>
              <w:t>Ambiguity in the application and scope of the statute: The developer attempted to shield his fraudulent non-development behind the general rule on prospectivity to deprive the buyer of statutory .</w:t>
            </w:r>
          </w:p>
          <w:p>
            <w:pPr>
              <w:spacing w:before="20" w:after="40" w:line="276" w:lineRule="auto"/>
            </w:pPr>
            <w:r>
              <w:rPr>
                <w:rFonts w:ascii="Calibri" w:hAnsi="Calibri"/>
                <w:b/>
                <w:color w:val="212529"/>
                <w:sz w:val="19"/>
              </w:rPr>
              <w:t xml:space="preserve">B. Purpose of Construction: </w:t>
            </w:r>
            <w:r>
              <w:rPr>
                <w:rFonts w:ascii="Calibri" w:hAnsi="Calibri"/>
                <w:color w:val="212529"/>
                <w:sz w:val="19"/>
              </w:rPr>
              <w:t>To ascertain and give full effect to the true intent, spirit, and purpose of the lawmaking body.</w:t>
            </w:r>
          </w:p>
          <w:p>
            <w:pPr>
              <w:spacing w:before="20" w:after="40" w:line="276" w:lineRule="auto"/>
            </w:pPr>
            <w:r>
              <w:rPr>
                <w:rFonts w:ascii="Calibri" w:hAnsi="Calibri"/>
                <w:b/>
                <w:color w:val="212529"/>
                <w:sz w:val="19"/>
              </w:rPr>
              <w:t xml:space="preserve">C. Method, Canon, or Rule Applied: </w:t>
            </w:r>
            <w:r>
              <w:rPr>
                <w:rFonts w:ascii="Calibri" w:hAnsi="Calibri"/>
                <w:color w:val="212529"/>
                <w:sz w:val="19"/>
              </w:rPr>
              <w:t>Lex prospicit, non respicit</w:t>
              <w:br/>
              <w:t xml:space="preserve">   - Application: Curative and Remedial Exception to Prospectivity: Statutes enacted to cure administrative defects, prevent consumer exploitation, and advance social justice are given retroactive application.</w:t>
              <w:br/>
              <w:t xml:space="preserve">   - Result: Yes. While laws are generally prospective, social legislation and curative laws enacted under police power to protect vulnerable citizens apply retroactively to cure existing abuses.</w:t>
            </w:r>
          </w:p>
          <w:p>
            <w:pPr>
              <w:spacing w:before="20" w:after="40" w:line="276" w:lineRule="auto"/>
            </w:pPr>
            <w:r>
              <w:rPr>
                <w:rFonts w:ascii="Calibri" w:hAnsi="Calibri"/>
                <w:b/>
                <w:color w:val="212529"/>
                <w:sz w:val="19"/>
              </w:rPr>
              <w:t xml:space="preserve">D. Other Sources Used: </w:t>
            </w:r>
            <w:r>
              <w:rPr>
                <w:rFonts w:ascii="Calibri" w:hAnsi="Calibri"/>
                <w:color w:val="212529"/>
                <w:sz w:val="19"/>
              </w:rPr>
              <w:t>Ordinary meaning of words, statute considered as a whole, legislative history, and established Supreme Court jurisprudence.</w:t>
            </w:r>
          </w:p>
        </w:tc>
      </w:tr>
    </w:tbl>
    <w:p>
      <w:pPr>
        <w:keepNext/>
        <w:spacing w:before="240" w:after="60"/>
      </w:pPr>
      <w:r>
        <w:rPr>
          <w:rFonts w:ascii="Arial" w:hAnsi="Arial"/>
          <w:b/>
          <w:color w:val="0F2043"/>
          <w:sz w:val="21"/>
        </w:rPr>
        <w:t>VII. RELEVANT STATUTORY-CONSTRUCTION CONCEPTS (A–L EVALUATION)</w:t>
      </w:r>
    </w:p>
    <w:tbl>
      <w:tblPr>
        <w:tblW w:type="auto" w:w="0"/>
        <w:jc w:val="center"/>
        <w:tblLook w:firstColumn="1" w:firstRow="1" w:lastColumn="0" w:lastRow="0" w:noHBand="0" w:noVBand="1" w:val="04A0"/>
      </w:tblPr>
      <w:tblGrid>
        <w:gridCol w:w="4824"/>
        <w:gridCol w:w="4824"/>
      </w:tblGrid>
      <w:tr>
        <w:tc>
          <w:tcPr>
            <w:tcW w:type="dxa" w:w="4824"/>
            <w:shd w:fill="EBF0F8"/>
            <w:tcMar>
              <w:top w:w="70" w:type="dxa"/>
              <w:bottom w:w="70" w:type="dxa"/>
              <w:left w:w="100" w:type="dxa"/>
              <w:right w:w="100" w:type="dxa"/>
            </w:tcMar>
          </w:tcPr>
          <w:p>
            <w:pPr>
              <w:spacing w:before="20" w:after="20"/>
            </w:pPr>
            <w:r>
              <w:rPr>
                <w:rFonts w:ascii="Arial" w:hAnsi="Arial"/>
                <w:b/>
                <w:color w:val="0F2043"/>
                <w:sz w:val="18"/>
              </w:rPr>
              <w:t>A. Situs of Statutory Construction</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Supreme Court of the Philippines, exercising its constitutional judicial power under Article VIII of the Constitution, serves as the ultimate situs and final arbiter for interpreting and construing the disputed provision.</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B. Purpose of Statutory Construction</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purpose of construction is to discover and effectuate the true legislative intent and will of the lawmaking body, preventing injustice and ensuring the statute operates harmoniously.</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C. When to Construe</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Construction became imperative because the text contained an ambiguity, competing interpretations, or conflicting statutory provisions that required judicial determination of legislative intent.</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D. Ambiguity or Vagueness</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controversy centered on the ambiguity, silence, or conflicting scope of the statutory language, which the Court resolved by examining legislative intent and governing maxims.</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E. Verba Legis Non Est Recedendum</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781E1E"/>
                <w:sz w:val="17"/>
              </w:rPr>
              <w:t xml:space="preserve"> [NOT APPLICABLE] </w:t>
            </w:r>
            <w:r>
              <w:rPr>
                <w:rFonts w:ascii="Calibri" w:hAnsi="Calibri"/>
                <w:color w:val="212529"/>
                <w:sz w:val="18"/>
              </w:rPr>
              <w:t>Not Applicable. The Court looked beyond literal words to discover the underlying legislative spirit, context, and intent.</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F. Absoluta Sententia Expositore Non Indigent</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781E1E"/>
                <w:sz w:val="17"/>
              </w:rPr>
              <w:t xml:space="preserve"> [NOT APPLICABLE] </w:t>
            </w:r>
            <w:r>
              <w:rPr>
                <w:rFonts w:ascii="Calibri" w:hAnsi="Calibri"/>
                <w:color w:val="212529"/>
                <w:sz w:val="18"/>
              </w:rPr>
              <w:t>Not Applicable. The statutory language required expository interpretation due to textual gaps, broad phrasing, or conflicting provisions.</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G. Legislative Intent</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Court analyzed the true intent and policy of the lawmaking authority, ensuring that the statutory purpose is preserved and not defeated by erroneous administrative or private interpretations.</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H. Strict or Liberal Construction</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Court applied the recognized standard of construction tailored to the nature of the statute (e.g., penal and tax statutes are strictly construed against the State, whereas social legislation and remedial rules are liberally construed).</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I. Prospective or Retrospective Construction</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Court applied the fundamental principle that laws and judicial constructions operate prospectively unless the legislative intent for retroactivity is expressly declared or clearly implied.</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J. Statutory Construction vs. Judicial Legislation</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Court underscored the constitutional boundary of judicial power: Courts are empowered solely to interpret (jus dicere), not to enact or amend laws (jus dare). Supplying unwritten terms or expanding clear prohibitions constitutes prohibited judicial legislation.</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K. Legis Interpretatio Legis Vim Obtinet</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Under Article 8 of the Civil Code, the Supreme Court's authoritative interpretation of the statute forms part of the legal system of the Philippines and acquires the force of law (*legis interpretatio legis vim obtinet*).</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L. Extent and Limits of the Power to Construe</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Court respected the constitutional limits of its authority by applying the law as written and refusing to invade the legislative domain under the guise of equity or expediency.</w:t>
            </w:r>
          </w:p>
        </w:tc>
      </w:tr>
    </w:tbl>
    <w:p>
      <w:pPr>
        <w:keepNext/>
        <w:spacing w:before="240" w:after="60"/>
      </w:pPr>
      <w:r>
        <w:rPr>
          <w:rFonts w:ascii="Arial" w:hAnsi="Arial"/>
          <w:b/>
          <w:color w:val="0F2043"/>
          <w:sz w:val="21"/>
        </w:rPr>
        <w:t>VIII. OTHER CANONS OR METHODS OF CONSTRUCTION</w:t>
      </w:r>
    </w:p>
    <w:tbl>
      <w:tblPr>
        <w:tblW w:type="auto" w:w="0"/>
        <w:jc w:val="center"/>
        <w:tblLook w:firstColumn="1" w:firstRow="1" w:lastColumn="0" w:lastRow="0" w:noHBand="0" w:noVBand="1" w:val="04A0"/>
      </w:tblPr>
      <w:tblGrid>
        <w:gridCol w:w="9648"/>
      </w:tblGrid>
      <w:tr>
        <w:tc>
          <w:tcPr>
            <w:tcW w:type="dxa" w:w="9648"/>
            <w:shd w:fill="F8F9FB"/>
            <w:tcMar>
              <w:top w:w="100" w:type="dxa"/>
              <w:bottom w:w="100" w:type="dxa"/>
              <w:left w:w="160" w:type="dxa"/>
              <w:right w:w="160" w:type="dxa"/>
            </w:tcMar>
          </w:tcPr>
          <w:p>
            <w:pPr>
              <w:spacing w:before="20" w:after="40"/>
            </w:pPr>
            <w:r>
              <w:rPr>
                <w:rFonts w:ascii="Arial" w:hAnsi="Arial"/>
                <w:b/>
                <w:color w:val="0F2043"/>
                <w:sz w:val="19"/>
              </w:rPr>
              <w:t>Secondary Rules &amp; Canons Applied</w:t>
              <w:br/>
            </w:r>
          </w:p>
          <w:p>
            <w:pPr>
              <w:spacing w:before="20" w:after="40" w:line="276" w:lineRule="auto"/>
            </w:pPr>
            <w:r>
              <w:rPr>
                <w:rFonts w:ascii="Calibri" w:hAnsi="Calibri"/>
                <w:b/>
                <w:color w:val="212529"/>
                <w:sz w:val="19"/>
              </w:rPr>
              <w:t xml:space="preserve">• Canon / Maxim: </w:t>
            </w:r>
            <w:r>
              <w:rPr>
                <w:rFonts w:ascii="Calibri" w:hAnsi="Calibri"/>
                <w:color w:val="212529"/>
                <w:sz w:val="19"/>
              </w:rPr>
              <w:t>• Salus populi est suprema lex (the welfare of the people is supreme law)</w:t>
              <w:br/>
              <w:t>• Ratio legis est anima legis (the reason of the law is its soul)</w:t>
            </w:r>
          </w:p>
          <w:p>
            <w:pPr>
              <w:spacing w:before="20" w:after="40" w:line="276" w:lineRule="auto"/>
            </w:pPr>
            <w:r>
              <w:rPr>
                <w:rFonts w:ascii="Calibri" w:hAnsi="Calibri"/>
                <w:b/>
                <w:color w:val="212529"/>
                <w:sz w:val="19"/>
              </w:rPr>
              <w:t xml:space="preserve">• How Applied: </w:t>
            </w:r>
            <w:r>
              <w:rPr>
                <w:rFonts w:ascii="Calibri" w:hAnsi="Calibri"/>
                <w:color w:val="212529"/>
                <w:sz w:val="19"/>
              </w:rPr>
              <w:t>Applied as corroborative canons to reinforce the primary rule of construction.</w:t>
            </w:r>
          </w:p>
          <w:p>
            <w:pPr>
              <w:spacing w:before="20" w:after="40" w:line="276" w:lineRule="auto"/>
            </w:pPr>
            <w:r>
              <w:rPr>
                <w:rFonts w:ascii="Calibri" w:hAnsi="Calibri"/>
                <w:b/>
                <w:color w:val="212529"/>
                <w:sz w:val="19"/>
              </w:rPr>
              <w:t xml:space="preserve">• Effect on Interpretation: </w:t>
            </w:r>
            <w:r>
              <w:rPr>
                <w:rFonts w:ascii="Calibri" w:hAnsi="Calibri"/>
                <w:color w:val="212529"/>
                <w:sz w:val="19"/>
              </w:rPr>
              <w:t>Harmonized the statute and prevented an absurd or unjust result.</w:t>
            </w:r>
          </w:p>
        </w:tc>
      </w:tr>
    </w:tbl>
    <w:p>
      <w:pPr>
        <w:keepNext/>
        <w:spacing w:before="240" w:after="60"/>
      </w:pPr>
      <w:r>
        <w:rPr>
          <w:rFonts w:ascii="Arial" w:hAnsi="Arial"/>
          <w:b/>
          <w:color w:val="0F2043"/>
          <w:sz w:val="21"/>
        </w:rPr>
        <w:t>IX. THE CONSTRUCTION MADE BY THE COURT</w:t>
      </w:r>
    </w:p>
    <w:tbl>
      <w:tblPr>
        <w:tblW w:type="auto" w:w="0"/>
        <w:jc w:val="center"/>
        <w:tblLook w:firstColumn="1" w:firstRow="1" w:lastColumn="0" w:lastRow="0" w:noHBand="0" w:noVBand="1" w:val="04A0"/>
      </w:tblPr>
      <w:tblGrid>
        <w:gridCol w:w="9648"/>
      </w:tblGrid>
      <w:tr>
        <w:tc>
          <w:tcPr>
            <w:tcW w:type="dxa" w:w="9648"/>
            <w:shd w:fill="F9F8F5"/>
            <w:tcMar>
              <w:top w:w="100" w:type="dxa"/>
              <w:bottom w:w="100" w:type="dxa"/>
              <w:left w:w="160" w:type="dxa"/>
              <w:right w:w="160" w:type="dxa"/>
            </w:tcMar>
          </w:tcPr>
          <w:p>
            <w:pPr>
              <w:spacing w:before="20" w:after="40"/>
            </w:pPr>
            <w:r>
              <w:rPr>
                <w:rFonts w:ascii="Arial" w:hAnsi="Arial"/>
                <w:b/>
                <w:color w:val="0F2043"/>
                <w:sz w:val="19"/>
              </w:rPr>
              <w:t>Actual Judicial Construction &amp; Ratio</w:t>
              <w:br/>
            </w:r>
          </w:p>
          <w:p>
            <w:pPr>
              <w:spacing w:before="20" w:after="40" w:line="276" w:lineRule="auto"/>
            </w:pPr>
            <w:r>
              <w:rPr>
                <w:rFonts w:ascii="Calibri" w:hAnsi="Calibri"/>
                <w:b/>
                <w:color w:val="212529"/>
                <w:sz w:val="19"/>
              </w:rPr>
              <w:t xml:space="preserve">• Construction Summary: </w:t>
            </w:r>
            <w:r>
              <w:rPr>
                <w:rFonts w:ascii="Calibri" w:hAnsi="Calibri"/>
                <w:color w:val="212529"/>
                <w:sz w:val="19"/>
              </w:rPr>
              <w:t>The Court construed the disputed statutory provisions in Florencio Eugenio v. Executive Secretary Franklin M. Drilon, Housing and Land Use Regulatory Board (HLURB), and Prospero Palmiano to mean and apply strictly in accordance with Lex prospicit, non respicit, holding that Yes. While laws are generally prospective, social legislation and curative laws enacted under police power to protect vulnerable citizens apply retroactively to.</w:t>
            </w:r>
          </w:p>
          <w:p>
            <w:pPr>
              <w:spacing w:before="20" w:after="40" w:line="276" w:lineRule="auto"/>
            </w:pPr>
            <w:r>
              <w:rPr>
                <w:rFonts w:ascii="Calibri" w:hAnsi="Calibri"/>
                <w:b/>
                <w:color w:val="212529"/>
                <w:sz w:val="19"/>
              </w:rPr>
              <w:t xml:space="preserve">• Principal Reasoning: </w:t>
            </w:r>
            <w:r>
              <w:rPr>
                <w:rFonts w:ascii="Calibri" w:hAnsi="Calibri"/>
                <w:color w:val="212529"/>
                <w:sz w:val="19"/>
              </w:rPr>
              <w:t>The Court looked at why PD 957 was passed: thousands of Filipinos were being cheated by developers who took money and abandoned empty fields. If the law only protected future buyers, it would leave thousands of existing victims unprotected. Because it is a curative law, it acts retroactively to protect all buyers.</w:t>
            </w:r>
          </w:p>
        </w:tc>
      </w:tr>
    </w:tbl>
    <w:tbl>
      <w:tblPr>
        <w:tblW w:type="auto" w:w="0"/>
        <w:jc w:val="center"/>
        <w:tblLook w:firstColumn="1" w:firstRow="1" w:lastColumn="0" w:lastRow="0" w:noHBand="0" w:noVBand="1" w:val="04A0"/>
      </w:tblPr>
      <w:tblGrid>
        <w:gridCol w:w="9648"/>
      </w:tblGrid>
      <w:tr>
        <w:tc>
          <w:tcPr>
            <w:tcW w:type="dxa" w:w="9648"/>
            <w:shd w:fill="EEF6F0"/>
            <w:tcMar>
              <w:top w:w="100" w:type="dxa"/>
              <w:bottom w:w="100" w:type="dxa"/>
              <w:left w:w="160" w:type="dxa"/>
              <w:right w:w="160" w:type="dxa"/>
            </w:tcMar>
          </w:tcPr>
          <w:p>
            <w:pPr>
              <w:spacing w:before="20" w:after="40"/>
            </w:pPr>
            <w:r>
              <w:rPr>
                <w:rFonts w:ascii="Arial" w:hAnsi="Arial"/>
                <w:b/>
                <w:color w:val="0D6E4B"/>
                <w:sz w:val="19"/>
              </w:rPr>
              <w:t>X. STATUTORY CONSTRUCTION OR JUDICIAL LEGISLATION?</w:t>
              <w:br/>
            </w:r>
          </w:p>
          <w:p>
            <w:pPr>
              <w:spacing w:before="20" w:after="60"/>
            </w:pPr>
            <w:r>
              <w:rPr>
                <w:rFonts w:ascii="Arial" w:hAnsi="Arial"/>
                <w:b/>
                <w:color w:val="0F2043"/>
                <w:sz w:val="19"/>
              </w:rPr>
              <w:t>☑ Proper statutory construction    ☐ Judicial legislation    ☐ Debatable</w:t>
            </w:r>
          </w:p>
          <w:p>
            <w:pPr>
              <w:spacing w:before="40" w:after="40" w:line="276" w:lineRule="auto"/>
            </w:pPr>
            <w:r>
              <w:rPr>
                <w:rFonts w:ascii="Calibri" w:hAnsi="Calibri"/>
                <w:b/>
                <w:color w:val="212529"/>
                <w:sz w:val="19"/>
              </w:rPr>
              <w:t>Explanation (3–5 sentences):</w:t>
              <w:br/>
            </w:r>
            <w:r>
              <w:rPr>
                <w:rFonts w:ascii="Calibri" w:hAnsi="Calibri"/>
                <w:color w:val="212529"/>
                <w:sz w:val="19"/>
              </w:rPr>
              <w:t>The Supreme Court acted within the legitimate bounds of its constitutional power to interpret the law (jus dicere). By applying Lex prospicit, non respicit, the Court faithfully effectuated the legislative intent without creating new rules, modifying clear statutory text, or usurping congressional prerogative. The ruling reinforces the separation of powers and the doctrine that courts must enforce the law as enacted.</w:t>
            </w:r>
          </w:p>
        </w:tc>
      </w:tr>
    </w:tbl>
    <w:p>
      <w:pPr>
        <w:spacing w:before="80" w:after="40"/>
      </w:pPr>
    </w:p>
    <w:tbl>
      <w:tblPr>
        <w:tblW w:type="auto" w:w="0"/>
        <w:jc w:val="center"/>
        <w:tblLook w:firstColumn="1" w:firstRow="1" w:lastColumn="0" w:lastRow="0" w:noHBand="0" w:noVBand="1" w:val="04A0"/>
      </w:tblPr>
      <w:tblGrid>
        <w:gridCol w:w="9648"/>
      </w:tblGrid>
      <w:tr>
        <w:tc>
          <w:tcPr>
            <w:tcW w:type="dxa" w:w="9648"/>
            <w:shd w:fill="FBF6EE"/>
            <w:tcMar>
              <w:top w:w="100" w:type="dxa"/>
              <w:bottom w:w="100" w:type="dxa"/>
              <w:left w:w="160" w:type="dxa"/>
              <w:right w:w="160" w:type="dxa"/>
            </w:tcMar>
          </w:tcPr>
          <w:p>
            <w:pPr>
              <w:spacing w:before="20" w:after="40"/>
            </w:pPr>
            <w:r>
              <w:rPr>
                <w:rFonts w:ascii="Arial" w:hAnsi="Arial"/>
                <w:b/>
                <w:color w:val="8C3200"/>
                <w:sz w:val="19"/>
              </w:rPr>
              <w:t>XI. DOCTRINE (Statutory Construction Principle):</w:t>
              <w:br/>
            </w:r>
            <w:r>
              <w:rPr>
                <w:rFonts w:ascii="Calibri" w:hAnsi="Calibri"/>
                <w:color w:val="212529"/>
                <w:sz w:val="19"/>
              </w:rPr>
              <w:t>Curative and Remedial Exception to Prospectivity: Statutes enacted to cure administrative defects, prevent consumer exploitation, and advance social justice are given retroactive application.</w:t>
              <w:br/>
              <w:br/>
            </w:r>
          </w:p>
          <w:p>
            <w:pPr>
              <w:spacing w:before="20" w:after="40"/>
            </w:pPr>
            <w:r>
              <w:rPr>
                <w:rFonts w:ascii="Arial" w:hAnsi="Arial"/>
                <w:b/>
                <w:color w:val="8C3200"/>
                <w:sz w:val="19"/>
              </w:rPr>
              <w:t>XII. ONE-SENTENCE TAKEAWAY:</w:t>
              <w:br/>
            </w:r>
            <w:r>
              <w:rPr>
                <w:rFonts w:ascii="Calibri" w:hAnsi="Calibri"/>
                <w:i/>
                <w:color w:val="212529"/>
                <w:sz w:val="19"/>
              </w:rPr>
              <w:t>This case is important in Statutory Construction because While laws usually look forward, laws made to cure widespread fraud and protect cheated consumers reach back to fix existing problems.</w:t>
            </w:r>
          </w:p>
        </w:tc>
      </w:tr>
    </w:tbl>
    <w:p>
      <w:r>
        <w:br w:type="page"/>
      </w:r>
    </w:p>
    <w:p>
      <w:pPr>
        <w:keepNext/>
        <w:spacing w:before="320" w:after="80"/>
      </w:pPr>
      <w:r>
        <w:rPr>
          <w:rFonts w:ascii="Arial" w:hAnsi="Arial"/>
          <w:b/>
          <w:color w:val="0F2043"/>
          <w:sz w:val="26"/>
        </w:rPr>
        <w:t>30. ALONZO V. INTERMEDIATE APPELLATE COURT AND TECLA PADUA</w:t>
      </w:r>
    </w:p>
    <w:p>
      <w:pPr>
        <w:spacing w:before="40" w:after="80" w:line="276" w:lineRule="auto"/>
      </w:pPr>
      <w:r>
        <w:rPr>
          <w:rFonts w:ascii="Calibri" w:hAnsi="Calibri"/>
          <w:b/>
          <w:color w:val="212529"/>
          <w:sz w:val="21"/>
        </w:rPr>
        <w:t xml:space="preserve">Citation: </w:t>
      </w:r>
      <w:r>
        <w:rPr>
          <w:rFonts w:ascii="Calibri" w:hAnsi="Calibri"/>
          <w:i/>
          <w:color w:val="212529"/>
          <w:sz w:val="21"/>
        </w:rPr>
        <w:t>G.R. No. 72873 | May 28, 1987 | 150 SCRA 259 | First Division | Ponente: J. Cruz</w:t>
      </w:r>
    </w:p>
    <w:p>
      <w:pPr>
        <w:keepNext/>
        <w:spacing w:before="200" w:after="40"/>
      </w:pPr>
      <w:r>
        <w:rPr>
          <w:rFonts w:ascii="Arial" w:hAnsi="Arial"/>
          <w:b/>
          <w:color w:val="781E1E"/>
          <w:sz w:val="22"/>
        </w:rPr>
        <w:t>LAYER A: ALAC DIGEST, RECITATION SCRIPT &amp; STATCON ANALYSIS</w:t>
      </w:r>
    </w:p>
    <w:p>
      <w:pPr>
        <w:keepNext/>
        <w:spacing w:before="200" w:after="40"/>
      </w:pPr>
      <w:r>
        <w:rPr>
          <w:rFonts w:ascii="Arial" w:hAnsi="Arial"/>
          <w:b/>
          <w:color w:val="781E1E"/>
          <w:sz w:val="22"/>
        </w:rPr>
        <w:t>I. PARTIES &amp; PROCEDURAL BACKGROUND</w:t>
      </w:r>
    </w:p>
    <w:p>
      <w:pPr>
        <w:spacing w:before="40" w:after="80" w:line="276" w:lineRule="auto"/>
      </w:pPr>
      <w:r>
        <w:rPr>
          <w:rFonts w:ascii="Calibri" w:hAnsi="Calibri"/>
          <w:b/>
          <w:color w:val="212529"/>
          <w:sz w:val="21"/>
        </w:rPr>
        <w:t xml:space="preserve">• Plaintiff/Petitioner: </w:t>
      </w:r>
      <w:r>
        <w:rPr>
          <w:rFonts w:ascii="Calibri" w:hAnsi="Calibri"/>
          <w:i w:val="0"/>
          <w:color w:val="212529"/>
          <w:sz w:val="21"/>
        </w:rPr>
        <w:t>Carlos Alonzo and Casimira Alonzo (Petitioners)</w:t>
      </w:r>
    </w:p>
    <w:p>
      <w:pPr>
        <w:spacing w:before="40" w:after="80" w:line="276" w:lineRule="auto"/>
      </w:pPr>
      <w:r>
        <w:rPr>
          <w:rFonts w:ascii="Calibri" w:hAnsi="Calibri"/>
          <w:b/>
          <w:color w:val="212529"/>
          <w:sz w:val="21"/>
        </w:rPr>
        <w:t xml:space="preserve">• Defendant/Respondent: </w:t>
      </w:r>
      <w:r>
        <w:rPr>
          <w:rFonts w:ascii="Calibri" w:hAnsi="Calibri"/>
          <w:i w:val="0"/>
          <w:color w:val="212529"/>
          <w:sz w:val="21"/>
        </w:rPr>
        <w:t>Intermediate Appellate Court and Tecla Padua (Respondents)</w:t>
      </w:r>
    </w:p>
    <w:p>
      <w:pPr>
        <w:spacing w:before="40" w:after="80" w:line="276" w:lineRule="auto"/>
      </w:pPr>
      <w:r>
        <w:rPr>
          <w:rFonts w:ascii="Calibri" w:hAnsi="Calibri"/>
          <w:b/>
          <w:color w:val="212529"/>
          <w:sz w:val="21"/>
        </w:rPr>
        <w:t xml:space="preserve">• Originating Court: </w:t>
      </w:r>
      <w:r>
        <w:rPr>
          <w:rFonts w:ascii="Calibri" w:hAnsi="Calibri"/>
          <w:i w:val="0"/>
          <w:color w:val="212529"/>
          <w:sz w:val="21"/>
        </w:rPr>
        <w:t>Court of First Instance of Tarlac / Intermediate Appellate Court</w:t>
      </w:r>
    </w:p>
    <w:p>
      <w:pPr>
        <w:spacing w:before="40" w:after="80" w:line="276" w:lineRule="auto"/>
      </w:pPr>
      <w:r>
        <w:rPr>
          <w:rFonts w:ascii="Calibri" w:hAnsi="Calibri"/>
          <w:b/>
          <w:color w:val="212529"/>
          <w:sz w:val="21"/>
        </w:rPr>
        <w:t xml:space="preserve">• Nature of the Action: </w:t>
      </w:r>
      <w:r>
        <w:rPr>
          <w:rFonts w:ascii="Calibri" w:hAnsi="Calibri"/>
          <w:i w:val="0"/>
          <w:color w:val="212529"/>
          <w:sz w:val="21"/>
        </w:rPr>
        <w:t>Petition for Review on Certiorari under Rule 45 concerning legal redemption by co-heirs under Article 1088 of the Civil Code.</w:t>
      </w:r>
    </w:p>
    <w:p>
      <w:pPr>
        <w:keepNext/>
        <w:spacing w:before="200" w:after="40"/>
      </w:pPr>
      <w:r>
        <w:rPr>
          <w:rFonts w:ascii="Arial" w:hAnsi="Arial"/>
          <w:b/>
          <w:color w:val="781E1E"/>
          <w:sz w:val="22"/>
        </w:rPr>
        <w:t>II. WHOLE FACTS</w:t>
      </w:r>
    </w:p>
    <w:p>
      <w:pPr>
        <w:spacing w:before="40" w:after="80" w:line="276" w:lineRule="auto"/>
      </w:pPr>
      <w:r>
        <w:rPr>
          <w:rFonts w:ascii="Calibri" w:hAnsi="Calibri"/>
          <w:i w:val="0"/>
          <w:color w:val="212529"/>
          <w:sz w:val="21"/>
        </w:rPr>
        <w:t>Five siblings inherited a parcel of land in equal shares. In 1963 and 1964, two siblings sold their undivided shares to Carlos and Casimira Alonzo through registered deeds of sale. The buyers built a house and lived on the land for over a decade in plain view of the remaining co-heirs. In 1977 (over 13 years later), respondent Tecla Padua (one of the co-heirs) sought to redeem the sold shares under Article 1088 of the Civil Code, arguing that the 30-day redemption period had not even commenced because the co-heirs were never served with a formal WRITTEN NOTICE of the sale as literally required by Article 1088.</w:t>
      </w:r>
    </w:p>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SUMMARY OF FACTS</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Two siblings sold their inherited land shares to buyers who built a house and lived there openly for 13 years. More than a decade later, another sister tried to redeem the land, claiming she had the right to buy it back because she was never given a formal 'written notice' of the sale. The Supreme Court ruled that 13 years of actual knowledge is far better than a piece of paper, and the law will not allow a party to weaponize a literal technicality to commit injustice.</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When reciting the facts, state the core dispute in 2 sentences, then state how the case reached the Supreme Court.</w:t>
            </w:r>
          </w:p>
        </w:tc>
      </w:tr>
    </w:tbl>
    <w:p>
      <w:pPr>
        <w:keepNext/>
        <w:spacing w:before="200" w:after="40"/>
      </w:pPr>
      <w:r>
        <w:rPr>
          <w:rFonts w:ascii="Arial" w:hAnsi="Arial"/>
          <w:b/>
          <w:color w:val="781E1E"/>
          <w:sz w:val="22"/>
        </w:rPr>
        <w:t>III. THE LEGAL ISSUE</w:t>
      </w:r>
    </w:p>
    <w:p>
      <w:pPr>
        <w:spacing w:before="40" w:after="80" w:line="276" w:lineRule="auto"/>
      </w:pPr>
      <w:r>
        <w:rPr>
          <w:rFonts w:ascii="Calibri" w:hAnsi="Calibri"/>
          <w:i w:val="0"/>
          <w:color w:val="212529"/>
          <w:sz w:val="21"/>
        </w:rPr>
        <w:t>Whether or not the 30-day legal redemption period under Article 1088 of the Civil Code had lapsed despite the lack of formal written notice, where the co-heirs had actual knowledge of the sale for over a decade.</w:t>
      </w:r>
    </w:p>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THE LEGAL ISSUE</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Can a co-heir demand to redeem land 13 years after the sale by arguing that she never received a formal written notice, even though she lived right next to the buyers the whole time?</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"Sir/Ma'am, the issue is whether actual notice satisfies the written notice requirement of Article 1088 of the Civil Code, testing the immortal doctrine that the Spirit and Intention of the Law Prevails Over the Letter (Ratio Legis / Scire Leges Non Hoc Est Verba Earum Tenere)."</w:t>
            </w:r>
          </w:p>
        </w:tc>
      </w:tr>
    </w:tbl>
    <w:p>
      <w:pPr>
        <w:keepNext/>
        <w:spacing w:before="200" w:after="40"/>
      </w:pPr>
      <w:r>
        <w:rPr>
          <w:rFonts w:ascii="Arial" w:hAnsi="Arial"/>
          <w:b/>
          <w:color w:val="781E1E"/>
          <w:sz w:val="22"/>
        </w:rPr>
        <w:t>IV. ALAC DIGEST</w:t>
      </w:r>
    </w:p>
    <w:tbl>
      <w:tblPr>
        <w:tblW w:type="auto" w:w="0"/>
        <w:jc w:val="center"/>
        <w:tblLook w:firstColumn="1" w:firstRow="1" w:lastColumn="0" w:lastRow="0" w:noHBand="0" w:noVBand="1" w:val="04A0"/>
      </w:tblPr>
      <w:tblGrid>
        <w:gridCol w:w="9648"/>
      </w:tblGrid>
      <w:tr>
        <w:tc>
          <w:tcPr>
            <w:tcW w:type="dxa" w:w="9648"/>
            <w:shd w:fill="F4F6F9"/>
            <w:tcMar>
              <w:top w:w="120" w:type="dxa"/>
              <w:bottom w:w="120" w:type="dxa"/>
              <w:left w:w="180" w:type="dxa"/>
              <w:right w:w="180" w:type="dxa"/>
            </w:tcMar>
          </w:tcPr>
          <w:p>
            <w:pPr>
              <w:spacing w:before="40" w:after="60"/>
            </w:pPr>
            <w:r>
              <w:rPr>
                <w:rFonts w:ascii="Arial" w:hAnsi="Arial"/>
                <w:b/>
                <w:color w:val="0F2043"/>
                <w:sz w:val="21"/>
              </w:rPr>
              <w:t>[A] ANSWER</w:t>
              <w:br/>
            </w:r>
          </w:p>
          <w:p>
            <w:pPr>
              <w:spacing w:before="20" w:after="40" w:line="276" w:lineRule="auto"/>
            </w:pPr>
            <w:r>
              <w:rPr>
                <w:rFonts w:ascii="Calibri" w:hAnsi="Calibri"/>
                <w:color w:val="212529"/>
                <w:sz w:val="20"/>
              </w:rPr>
              <w:t>YES. The right of redemption had LAPSED. Actual knowledge of the sale for over a decade dispensed with the need for written notice. The spirit and purpose of the law prevail over a rigid, literal requirement.</w:t>
            </w:r>
          </w:p>
        </w:tc>
      </w:tr>
    </w:tbl>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THE ANSWER</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Yes, the right to redeem expired long ago. Written notice is just a tool to give knowledge. When a co-heir has lived next to the buyer's house for 13 years, she obviously had actual knowledge, and the law will not permit a ridiculous absurdity.</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"Yes, Sir/Ma'am. As Justice Isagani Cruz famously penned, 'The spirit, rather than the letter of a statute, determines its construction.' Under Ratio legis est anima legis and Scire leges non hoc est verba earum tenere (to know laws is not to know their words, but their force and power), actual knowledge for 13 years satisfies the statutory purpose of written notice."</w:t>
            </w:r>
          </w:p>
        </w:tc>
      </w:tr>
    </w:tbl>
    <w:tbl>
      <w:tblPr>
        <w:tblW w:type="auto" w:w="0"/>
        <w:jc w:val="center"/>
        <w:tblLook w:firstColumn="1" w:firstRow="1" w:lastColumn="0" w:lastRow="0" w:noHBand="0" w:noVBand="1" w:val="04A0"/>
      </w:tblPr>
      <w:tblGrid>
        <w:gridCol w:w="9648"/>
      </w:tblGrid>
      <w:tr>
        <w:tc>
          <w:tcPr>
            <w:tcW w:type="dxa" w:w="9648"/>
            <w:shd w:fill="F4F6F9"/>
            <w:tcMar>
              <w:top w:w="120" w:type="dxa"/>
              <w:bottom w:w="120" w:type="dxa"/>
              <w:left w:w="180" w:type="dxa"/>
              <w:right w:w="180" w:type="dxa"/>
            </w:tcMar>
          </w:tcPr>
          <w:p>
            <w:pPr>
              <w:spacing w:before="40" w:after="60"/>
            </w:pPr>
            <w:r>
              <w:rPr>
                <w:rFonts w:ascii="Arial" w:hAnsi="Arial"/>
                <w:b/>
                <w:color w:val="0F2043"/>
                <w:sz w:val="21"/>
              </w:rPr>
              <w:t>[L] LEGAL BASIS</w:t>
              <w:br/>
            </w:r>
          </w:p>
          <w:p>
            <w:pPr>
              <w:spacing w:before="20" w:after="40" w:line="276" w:lineRule="auto"/>
            </w:pPr>
            <w:r>
              <w:rPr>
                <w:rFonts w:ascii="Calibri" w:hAnsi="Calibri"/>
                <w:b/>
                <w:color w:val="212529"/>
                <w:sz w:val="20"/>
              </w:rPr>
              <w:t xml:space="preserve">1. Article 1088, Civil Code of the Philippines: </w:t>
            </w:r>
            <w:r>
              <w:rPr>
                <w:rFonts w:ascii="Calibri" w:hAnsi="Calibri"/>
                <w:color w:val="212529"/>
                <w:sz w:val="20"/>
              </w:rPr>
              <w:t>Provides that co-heirs have 30 days to redeem sold shares from the date they are notified in writing by the vendor.</w:t>
            </w:r>
          </w:p>
          <w:p>
            <w:pPr>
              <w:spacing w:before="20" w:after="40" w:line="276" w:lineRule="auto"/>
            </w:pPr>
            <w:r>
              <w:rPr>
                <w:rFonts w:ascii="Calibri" w:hAnsi="Calibri"/>
                <w:b/>
                <w:color w:val="212529"/>
                <w:sz w:val="20"/>
              </w:rPr>
              <w:t xml:space="preserve">2. Ratio Legis Est Anima Legis (the reason of the law is the soul of the law): </w:t>
            </w:r>
            <w:r>
              <w:rPr>
                <w:rFonts w:ascii="Calibri" w:hAnsi="Calibri"/>
                <w:color w:val="212529"/>
                <w:sz w:val="20"/>
              </w:rPr>
              <w:t>The purpose of the written notice requirement is solely to ensure that co-heirs have actual knowledge of the sale.</w:t>
            </w:r>
          </w:p>
          <w:p>
            <w:pPr>
              <w:spacing w:before="20" w:after="40" w:line="276" w:lineRule="auto"/>
            </w:pPr>
            <w:r>
              <w:rPr>
                <w:rFonts w:ascii="Calibri" w:hAnsi="Calibri"/>
                <w:b/>
                <w:color w:val="212529"/>
                <w:sz w:val="20"/>
              </w:rPr>
              <w:t xml:space="preserve">3. Scire Leges Non Hoc Est Verba Earum Tenere, Sed Vim Ac Potestatem (to know the laws is not to observe their words, but their force and power): </w:t>
            </w:r>
            <w:r>
              <w:rPr>
                <w:rFonts w:ascii="Calibri" w:hAnsi="Calibri"/>
                <w:color w:val="212529"/>
                <w:sz w:val="20"/>
              </w:rPr>
              <w:t>Judicial interpretation must prevent the law from being used to foster injustice or absurdity.</w:t>
            </w:r>
          </w:p>
        </w:tc>
      </w:tr>
    </w:tbl>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LEGAL BASIS</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Article 1088 Civil Code, Ratio Legis Est Anima Legis, and Scire leges non hoc est verba earum tenere.</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"Sir/Ma'am, the legal basis is Article 1088 of the Civil Code, interpreted through Ratio legis est anima legis (the reason of the law is its soul) and Scire leges non hoc est verba earum tenere (to know laws is to understand their spirit, not merely their words)."</w:t>
            </w:r>
          </w:p>
        </w:tc>
      </w:tr>
    </w:tbl>
    <w:tbl>
      <w:tblPr>
        <w:tblW w:type="auto" w:w="0"/>
        <w:jc w:val="center"/>
        <w:tblLook w:firstColumn="1" w:firstRow="1" w:lastColumn="0" w:lastRow="0" w:noHBand="0" w:noVBand="1" w:val="04A0"/>
      </w:tblPr>
      <w:tblGrid>
        <w:gridCol w:w="9648"/>
      </w:tblGrid>
      <w:tr>
        <w:tc>
          <w:tcPr>
            <w:tcW w:type="dxa" w:w="9648"/>
            <w:shd w:fill="F4F6F9"/>
            <w:tcMar>
              <w:top w:w="120" w:type="dxa"/>
              <w:bottom w:w="120" w:type="dxa"/>
              <w:left w:w="180" w:type="dxa"/>
              <w:right w:w="180" w:type="dxa"/>
            </w:tcMar>
          </w:tcPr>
          <w:p>
            <w:pPr>
              <w:spacing w:before="40" w:after="60"/>
            </w:pPr>
            <w:r>
              <w:rPr>
                <w:rFonts w:ascii="Arial" w:hAnsi="Arial"/>
                <w:b/>
                <w:color w:val="0F2043"/>
                <w:sz w:val="21"/>
              </w:rPr>
              <w:t>[A] ANALYSIS / APPLICATION</w:t>
              <w:br/>
            </w:r>
          </w:p>
          <w:p>
            <w:pPr>
              <w:spacing w:before="20" w:after="40" w:line="276" w:lineRule="auto"/>
            </w:pPr>
            <w:r>
              <w:rPr>
                <w:rFonts w:ascii="Calibri" w:hAnsi="Calibri"/>
                <w:b/>
                <w:color w:val="212529"/>
                <w:sz w:val="20"/>
              </w:rPr>
              <w:t xml:space="preserve">1. Purpose of Written Notice: </w:t>
            </w:r>
            <w:r>
              <w:rPr>
                <w:rFonts w:ascii="Calibri" w:hAnsi="Calibri"/>
                <w:color w:val="212529"/>
                <w:sz w:val="20"/>
              </w:rPr>
              <w:t>The written notice required by Article 1088 is not an ornamental sacramental ritual; its sole reason for existence is to inform the co-heir so that he can exercise redemption promptly.</w:t>
            </w:r>
          </w:p>
          <w:p>
            <w:pPr>
              <w:spacing w:before="20" w:after="40" w:line="276" w:lineRule="auto"/>
            </w:pPr>
            <w:r>
              <w:rPr>
                <w:rFonts w:ascii="Calibri" w:hAnsi="Calibri"/>
                <w:b/>
                <w:color w:val="212529"/>
                <w:sz w:val="20"/>
              </w:rPr>
              <w:t xml:space="preserve">2. Impossibility of Ignorance for 13 Years: </w:t>
            </w:r>
            <w:r>
              <w:rPr>
                <w:rFonts w:ascii="Calibri" w:hAnsi="Calibri"/>
                <w:color w:val="212529"/>
                <w:sz w:val="20"/>
              </w:rPr>
              <w:t>The co-heirs lived in the same vicinity, saw the buyers build a house, and coexisted for more than a decade. To claim ignorance due to absence of paper notice is bad faith and sheer absurdity.</w:t>
            </w:r>
          </w:p>
          <w:p>
            <w:pPr>
              <w:spacing w:before="20" w:after="40" w:line="276" w:lineRule="auto"/>
            </w:pPr>
            <w:r>
              <w:rPr>
                <w:rFonts w:ascii="Calibri" w:hAnsi="Calibri"/>
                <w:b/>
                <w:color w:val="212529"/>
                <w:sz w:val="20"/>
              </w:rPr>
              <w:t xml:space="preserve">3. Subordination of the Letter to Equity and Justice: </w:t>
            </w:r>
            <w:r>
              <w:rPr>
                <w:rFonts w:ascii="Calibri" w:hAnsi="Calibri"/>
                <w:color w:val="212529"/>
                <w:sz w:val="20"/>
              </w:rPr>
              <w:t>When the literal interpretation leads to patent injustice, absurdity, or mischief, the spirit and purpose of the statute must prevail.</w:t>
            </w:r>
          </w:p>
        </w:tc>
      </w:tr>
    </w:tbl>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ANALYSIS / APPLICATION</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The purpose of writing is to inform. If you already know something for 13 years because the buyers are your physical neighbors, demanding a written letter is just an excuse to commit extortion. The Court ruled that justice and common sense come first.</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"Sir/Ma'am, Justice Cruz declared that courts must not be stymied by a pedantic allegiance to literal words. Since the co-heir had actual knowledge for over a decade, the 30-day redemption period had long expired under the true spirit of Article 1088."</w:t>
            </w:r>
          </w:p>
        </w:tc>
      </w:tr>
    </w:tbl>
    <w:tbl>
      <w:tblPr>
        <w:tblW w:type="auto" w:w="0"/>
        <w:jc w:val="center"/>
        <w:tblLook w:firstColumn="1" w:firstRow="1" w:lastColumn="0" w:lastRow="0" w:noHBand="0" w:noVBand="1" w:val="04A0"/>
      </w:tblPr>
      <w:tblGrid>
        <w:gridCol w:w="9648"/>
      </w:tblGrid>
      <w:tr>
        <w:tc>
          <w:tcPr>
            <w:tcW w:type="dxa" w:w="9648"/>
            <w:shd w:fill="F4F6F9"/>
            <w:tcMar>
              <w:top w:w="120" w:type="dxa"/>
              <w:bottom w:w="120" w:type="dxa"/>
              <w:left w:w="180" w:type="dxa"/>
              <w:right w:w="180" w:type="dxa"/>
            </w:tcMar>
          </w:tcPr>
          <w:p>
            <w:pPr>
              <w:spacing w:before="40" w:after="60"/>
            </w:pPr>
            <w:r>
              <w:rPr>
                <w:rFonts w:ascii="Arial" w:hAnsi="Arial"/>
                <w:b/>
                <w:color w:val="0F2043"/>
                <w:sz w:val="21"/>
              </w:rPr>
              <w:t>[C] CONCLUSION</w:t>
              <w:br/>
            </w:r>
          </w:p>
          <w:p>
            <w:pPr>
              <w:spacing w:before="20" w:after="40" w:line="276" w:lineRule="auto"/>
            </w:pPr>
            <w:r>
              <w:rPr>
                <w:rFonts w:ascii="Calibri" w:hAnsi="Calibri"/>
                <w:color w:val="212529"/>
                <w:sz w:val="20"/>
              </w:rPr>
              <w:t>The Supreme Court REVERSED the Intermediate Appellate Court, DISMISSED the complaint for legal redemption, and DECLARED the Alonzos' title absolute and indefeasible.</w:t>
            </w:r>
          </w:p>
        </w:tc>
      </w:tr>
    </w:tbl>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CONCLUSION</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The redemption suit was dismissed and the buyers were confirmed as absolute owners of the land.</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"The Supreme Court reversed the appellate court and dismissed the redemption suit, holding that actual notice for 13 years barred redemption under the spirit of the law."</w:t>
            </w:r>
          </w:p>
        </w:tc>
      </w:tr>
    </w:tbl>
    <w:p>
      <w:pPr>
        <w:keepNext/>
        <w:spacing w:before="200" w:after="40"/>
      </w:pPr>
      <w:r>
        <w:rPr>
          <w:rFonts w:ascii="Arial" w:hAnsi="Arial"/>
          <w:b/>
          <w:color w:val="781E1E"/>
          <w:sz w:val="22"/>
        </w:rPr>
        <w:t>V. RELATION TO STATUTORY CONSTRUCTION</w:t>
      </w:r>
    </w:p>
    <w:p>
      <w:pPr>
        <w:spacing w:before="40" w:after="80" w:line="276" w:lineRule="auto"/>
      </w:pPr>
      <w:r>
        <w:rPr>
          <w:rFonts w:ascii="Calibri" w:hAnsi="Calibri"/>
          <w:b/>
          <w:color w:val="212529"/>
          <w:sz w:val="21"/>
        </w:rPr>
        <w:t>• Syllabus Topic Alignment:</w:t>
        <w:br/>
      </w:r>
      <w:r>
        <w:rPr>
          <w:rFonts w:ascii="Calibri" w:hAnsi="Calibri"/>
          <w:i w:val="0"/>
          <w:color w:val="212529"/>
          <w:sz w:val="21"/>
        </w:rPr>
        <w:t>• Chapter III: Basic Guidelines in the Construction and Interpretation of Laws</w:t>
        <w:br/>
        <w:t xml:space="preserve">  - A. General Guidelines: The Spirit and Purpose of the Law Prevails Over the Literal Text (Ratio Legis)</w:t>
      </w:r>
    </w:p>
    <w:tbl>
      <w:tblPr>
        <w:tblW w:type="auto" w:w="0"/>
        <w:jc w:val="center"/>
        <w:tblLook w:firstColumn="1" w:firstRow="1" w:lastColumn="0" w:lastRow="0" w:noHBand="0" w:noVBand="1" w:val="04A0"/>
      </w:tblPr>
      <w:tblGrid>
        <w:gridCol w:w="9648"/>
      </w:tblGrid>
      <w:tr>
        <w:tc>
          <w:tcPr>
            <w:tcW w:type="dxa" w:w="9648"/>
            <w:shd w:fill="FDF6EE"/>
            <w:tcMar>
              <w:top w:w="120" w:type="dxa"/>
              <w:bottom w:w="120" w:type="dxa"/>
              <w:left w:w="180" w:type="dxa"/>
              <w:right w:w="180" w:type="dxa"/>
            </w:tcMar>
          </w:tcPr>
          <w:p>
            <w:pPr>
              <w:spacing w:before="40" w:after="80"/>
            </w:pPr>
            <w:r>
              <w:rPr>
                <w:rFonts w:ascii="Arial" w:hAnsi="Arial"/>
                <w:b/>
                <w:color w:val="8C3200"/>
                <w:sz w:val="20"/>
              </w:rPr>
              <w:t>📜 GOVERNING LATIN MAXIMS WITH ENGLISH TRANSLATIONS</w:t>
              <w:br/>
            </w:r>
          </w:p>
          <w:p>
            <w:pPr>
              <w:spacing w:before="40" w:after="60" w:line="276" w:lineRule="auto"/>
            </w:pPr>
            <w:r>
              <w:rPr>
                <w:rFonts w:ascii="Calibri" w:hAnsi="Calibri"/>
                <w:b/>
                <w:color w:val="8C3200"/>
                <w:sz w:val="20"/>
              </w:rPr>
              <w:t>1. Scire leges non hoc est verba earum tenere, sed vim ac potestatem (to know laws is not to memorize their words, but to comprehend their intent and scope)</w:t>
              <w:br/>
            </w:r>
            <w:r>
              <w:rPr>
                <w:rFonts w:ascii="Calibri" w:hAnsi="Calibri"/>
                <w:b/>
                <w:color w:val="212529"/>
                <w:sz w:val="19"/>
              </w:rPr>
              <w:t xml:space="preserve">   • Literal English Translation: </w:t>
            </w:r>
            <w:r>
              <w:rPr>
                <w:rFonts w:ascii="Calibri" w:hAnsi="Calibri"/>
                <w:i/>
                <w:color w:val="212529"/>
                <w:sz w:val="19"/>
              </w:rPr>
              <w:t>To know the laws is not to hold their words, but their force and power.</w:t>
              <w:br/>
            </w:r>
            <w:r>
              <w:rPr>
                <w:rFonts w:ascii="Calibri" w:hAnsi="Calibri"/>
                <w:b/>
                <w:color w:val="212529"/>
                <w:sz w:val="19"/>
              </w:rPr>
              <w:t xml:space="preserve">   • Plain Legal Meaning &amp; StatCon Application: </w:t>
            </w:r>
            <w:r>
              <w:rPr>
                <w:rFonts w:ascii="Calibri" w:hAnsi="Calibri"/>
                <w:color w:val="212529"/>
                <w:sz w:val="19"/>
              </w:rPr>
              <w:t>True statutory interpretation grasps the underlying purpose rather than getting enslaved by literal phrasing.</w:t>
            </w:r>
          </w:p>
          <w:p>
            <w:pPr>
              <w:spacing w:before="40" w:after="60" w:line="276" w:lineRule="auto"/>
            </w:pPr>
            <w:r>
              <w:rPr>
                <w:rFonts w:ascii="Calibri" w:hAnsi="Calibri"/>
                <w:b/>
                <w:color w:val="8C3200"/>
                <w:sz w:val="20"/>
              </w:rPr>
              <w:t>2. Ratio legis est anima legis (the reason of the law is the soul of the law)</w:t>
              <w:br/>
            </w:r>
            <w:r>
              <w:rPr>
                <w:rFonts w:ascii="Calibri" w:hAnsi="Calibri"/>
                <w:b/>
                <w:color w:val="212529"/>
                <w:sz w:val="19"/>
              </w:rPr>
              <w:t xml:space="preserve">   • Literal English Translation: </w:t>
            </w:r>
            <w:r>
              <w:rPr>
                <w:rFonts w:ascii="Calibri" w:hAnsi="Calibri"/>
                <w:i/>
                <w:color w:val="212529"/>
                <w:sz w:val="19"/>
              </w:rPr>
              <w:t>The reason of the law is the soul of the law.</w:t>
              <w:br/>
            </w:r>
            <w:r>
              <w:rPr>
                <w:rFonts w:ascii="Calibri" w:hAnsi="Calibri"/>
                <w:b/>
                <w:color w:val="212529"/>
                <w:sz w:val="19"/>
              </w:rPr>
              <w:t xml:space="preserve">   • Plain Legal Meaning &amp; StatCon Application: </w:t>
            </w:r>
            <w:r>
              <w:rPr>
                <w:rFonts w:ascii="Calibri" w:hAnsi="Calibri"/>
                <w:color w:val="212529"/>
                <w:sz w:val="19"/>
              </w:rPr>
              <w:t>The informational purpose of written notice was fully accomplished by 13 years of actual knowledge.</w:t>
            </w:r>
          </w:p>
          <w:p>
            <w:pPr>
              <w:spacing w:before="40" w:after="60" w:line="276" w:lineRule="auto"/>
            </w:pPr>
            <w:r>
              <w:rPr>
                <w:rFonts w:ascii="Calibri" w:hAnsi="Calibri"/>
                <w:b/>
                <w:color w:val="8C3200"/>
                <w:sz w:val="20"/>
              </w:rPr>
              <w:t>3. Lex non intendit aliquid impossibile aut absurdum (the law does not intend anything impossible or absurd)</w:t>
              <w:br/>
            </w:r>
            <w:r>
              <w:rPr>
                <w:rFonts w:ascii="Calibri" w:hAnsi="Calibri"/>
                <w:b/>
                <w:color w:val="212529"/>
                <w:sz w:val="19"/>
              </w:rPr>
              <w:t xml:space="preserve">   • Literal English Translation: </w:t>
            </w:r>
            <w:r>
              <w:rPr>
                <w:rFonts w:ascii="Calibri" w:hAnsi="Calibri"/>
                <w:i/>
                <w:color w:val="212529"/>
                <w:sz w:val="19"/>
              </w:rPr>
              <w:t>The law does not intend anything impossible or absurd.</w:t>
              <w:br/>
            </w:r>
            <w:r>
              <w:rPr>
                <w:rFonts w:ascii="Calibri" w:hAnsi="Calibri"/>
                <w:b/>
                <w:color w:val="212529"/>
                <w:sz w:val="19"/>
              </w:rPr>
              <w:t xml:space="preserve">   • Plain Legal Meaning &amp; StatCon Application: </w:t>
            </w:r>
            <w:r>
              <w:rPr>
                <w:rFonts w:ascii="Calibri" w:hAnsi="Calibri"/>
                <w:color w:val="212529"/>
                <w:sz w:val="19"/>
              </w:rPr>
              <w:t>It is absurd to allow redemption 13 years later based on the absence of a written piece of paper.</w:t>
            </w:r>
          </w:p>
          <w:p>
            <w:pPr>
              <w:spacing w:before="40" w:after="60" w:line="276" w:lineRule="auto"/>
            </w:pPr>
            <w:r>
              <w:rPr>
                <w:rFonts w:ascii="Calibri" w:hAnsi="Calibri"/>
                <w:b/>
                <w:color w:val="8C3200"/>
                <w:sz w:val="20"/>
              </w:rPr>
              <w:t>4. Ius summum saepe summa malitia est (the highest law is often the greatest malice / extreme law is extreme injustice)</w:t>
              <w:br/>
            </w:r>
            <w:r>
              <w:rPr>
                <w:rFonts w:ascii="Calibri" w:hAnsi="Calibri"/>
                <w:b/>
                <w:color w:val="212529"/>
                <w:sz w:val="19"/>
              </w:rPr>
              <w:t xml:space="preserve">   • Literal English Translation: </w:t>
            </w:r>
            <w:r>
              <w:rPr>
                <w:rFonts w:ascii="Calibri" w:hAnsi="Calibri"/>
                <w:i/>
                <w:color w:val="212529"/>
                <w:sz w:val="19"/>
              </w:rPr>
              <w:t>Extreme law is extreme injustice.</w:t>
              <w:br/>
            </w:r>
            <w:r>
              <w:rPr>
                <w:rFonts w:ascii="Calibri" w:hAnsi="Calibri"/>
                <w:b/>
                <w:color w:val="212529"/>
                <w:sz w:val="19"/>
              </w:rPr>
              <w:t xml:space="preserve">   • Plain Legal Meaning &amp; StatCon Application: </w:t>
            </w:r>
            <w:r>
              <w:rPr>
                <w:rFonts w:ascii="Calibri" w:hAnsi="Calibri"/>
                <w:color w:val="212529"/>
                <w:sz w:val="19"/>
              </w:rPr>
              <w:t>A rigid, blind application of literal text produces injustice rather than law.</w:t>
            </w:r>
          </w:p>
        </w:tc>
      </w:tr>
    </w:tbl>
    <w:tbl>
      <w:tblPr>
        <w:tblW w:type="auto" w:w="0"/>
        <w:jc w:val="center"/>
        <w:tblLook w:firstColumn="1" w:firstRow="1" w:lastColumn="0" w:lastRow="0" w:noHBand="0" w:noVBand="1" w:val="04A0"/>
      </w:tblPr>
      <w:tblGrid>
        <w:gridCol w:w="4824"/>
        <w:gridCol w:w="4824"/>
      </w:tblGrid>
      <w:tr>
        <w:tc>
          <w:tcPr>
            <w:tcW w:type="dxa" w:w="4824"/>
            <w:shd w:fill="EAEFF5"/>
            <w:tcMar>
              <w:top w:w="80" w:type="dxa"/>
              <w:bottom w:w="80" w:type="dxa"/>
              <w:left w:w="120" w:type="dxa"/>
              <w:right w:w="120" w:type="dxa"/>
            </w:tcMar>
          </w:tcPr>
          <w:p>
            <w:pPr>
              <w:spacing w:before="40" w:after="40"/>
            </w:pPr>
            <w:r>
              <w:rPr>
                <w:rFonts w:ascii="Arial" w:hAnsi="Arial"/>
                <w:b/>
                <w:color w:val="0F2043"/>
                <w:sz w:val="18"/>
              </w:rPr>
              <w:t>Syllabus Topic Alignment</w:t>
              <w:br/>
              <w:t>(StatCon_Syllabus_JPR.pdf)</w:t>
            </w:r>
          </w:p>
        </w:tc>
        <w:tc>
          <w:tcPr>
            <w:tcW w:type="dxa" w:w="4824"/>
            <w:shd w:fill="FAFAFA"/>
            <w:tcMar>
              <w:top w:w="80" w:type="dxa"/>
              <w:bottom w:w="80" w:type="dxa"/>
              <w:left w:w="120" w:type="dxa"/>
              <w:right w:w="120" w:type="dxa"/>
            </w:tcMar>
          </w:tcPr>
          <w:p>
            <w:pPr>
              <w:spacing w:before="40" w:after="40" w:line="276" w:lineRule="auto"/>
            </w:pPr>
            <w:r>
              <w:rPr>
                <w:rFonts w:ascii="Calibri" w:hAnsi="Calibri"/>
                <w:color w:val="212529"/>
                <w:sz w:val="19"/>
              </w:rPr>
              <w:t>• Chapter III: Basic Guidelines in the Construction and Interpretation of Laws</w:t>
              <w:br/>
              <w:t xml:space="preserve">  - A. General Guidelines: The Spirit and Purpose of the Law Prevails Over the Literal Text (Ratio Legis)</w:t>
            </w:r>
          </w:p>
        </w:tc>
      </w:tr>
      <w:tr>
        <w:tc>
          <w:tcPr>
            <w:tcW w:type="dxa" w:w="4824"/>
            <w:shd w:fill="EAEFF5"/>
            <w:tcMar>
              <w:top w:w="80" w:type="dxa"/>
              <w:bottom w:w="80" w:type="dxa"/>
              <w:left w:w="120" w:type="dxa"/>
              <w:right w:w="120" w:type="dxa"/>
            </w:tcMar>
          </w:tcPr>
          <w:p>
            <w:pPr>
              <w:spacing w:before="40" w:after="40"/>
            </w:pPr>
            <w:r>
              <w:rPr>
                <w:rFonts w:ascii="Arial" w:hAnsi="Arial"/>
                <w:b/>
                <w:color w:val="0F2043"/>
                <w:sz w:val="18"/>
              </w:rPr>
              <w:t>Governing Latin Maxims &amp; English</w:t>
            </w:r>
          </w:p>
        </w:tc>
        <w:tc>
          <w:tcPr>
            <w:tcW w:type="dxa" w:w="4824"/>
            <w:shd w:fill="FAFAFA"/>
            <w:tcMar>
              <w:top w:w="80" w:type="dxa"/>
              <w:bottom w:w="80" w:type="dxa"/>
              <w:left w:w="120" w:type="dxa"/>
              <w:right w:w="120" w:type="dxa"/>
            </w:tcMar>
          </w:tcPr>
          <w:p>
            <w:pPr>
              <w:spacing w:before="40" w:after="40" w:line="276" w:lineRule="auto"/>
            </w:pPr>
            <w:r>
              <w:rPr>
                <w:rFonts w:ascii="Calibri" w:hAnsi="Calibri"/>
                <w:color w:val="212529"/>
                <w:sz w:val="19"/>
              </w:rPr>
              <w:t>Primary:</w:t>
              <w:br/>
              <w:t>Scire leges non hoc est verba earum tenere, sed vim ac potestatem</w:t>
              <w:br/>
              <w:t>(to know laws is to understand their spirit and power, not merely their literal words / Justice Isagani Cruz's landmark doctrine)</w:t>
              <w:br/>
              <w:br/>
              <w:t>Secondary:</w:t>
              <w:br/>
              <w:t>• Ratio legis est anima legis (the reason of the law is its soul)</w:t>
              <w:br/>
              <w:t>• Lex non intendit absurdum (the law does not intend absurdity)</w:t>
              <w:br/>
              <w:t>• Ius summum saepe summa malitia est (extreme literalism is extreme injustice)</w:t>
            </w:r>
          </w:p>
        </w:tc>
      </w:tr>
      <w:tr>
        <w:tc>
          <w:tcPr>
            <w:tcW w:type="dxa" w:w="4824"/>
            <w:shd w:fill="EAEFF5"/>
            <w:tcMar>
              <w:top w:w="80" w:type="dxa"/>
              <w:bottom w:w="80" w:type="dxa"/>
              <w:left w:w="120" w:type="dxa"/>
              <w:right w:w="120" w:type="dxa"/>
            </w:tcMar>
          </w:tcPr>
          <w:p>
            <w:pPr>
              <w:spacing w:before="40" w:after="40"/>
            </w:pPr>
            <w:r>
              <w:rPr>
                <w:rFonts w:ascii="Arial" w:hAnsi="Arial"/>
                <w:b/>
                <w:color w:val="0F2043"/>
                <w:sz w:val="18"/>
              </w:rPr>
              <w:t>Case Violation in StatCon</w:t>
            </w:r>
          </w:p>
        </w:tc>
        <w:tc>
          <w:tcPr>
            <w:tcW w:type="dxa" w:w="4824"/>
            <w:shd w:fill="FAFAFA"/>
            <w:tcMar>
              <w:top w:w="80" w:type="dxa"/>
              <w:bottom w:w="80" w:type="dxa"/>
              <w:left w:w="120" w:type="dxa"/>
              <w:right w:w="120" w:type="dxa"/>
            </w:tcMar>
          </w:tcPr>
          <w:p>
            <w:pPr>
              <w:spacing w:before="40" w:after="40" w:line="276" w:lineRule="auto"/>
            </w:pPr>
            <w:r>
              <w:rPr>
                <w:rFonts w:ascii="Calibri" w:hAnsi="Calibri"/>
                <w:color w:val="212529"/>
                <w:sz w:val="19"/>
              </w:rPr>
              <w:t>The appellate court committed grave error by adhering to a blind, mechanical literalism that rewarded bad faith and produced gross injustice.</w:t>
            </w:r>
          </w:p>
        </w:tc>
      </w:tr>
      <w:tr>
        <w:tc>
          <w:tcPr>
            <w:tcW w:type="dxa" w:w="4824"/>
            <w:shd w:fill="EAEFF5"/>
            <w:tcMar>
              <w:top w:w="80" w:type="dxa"/>
              <w:bottom w:w="80" w:type="dxa"/>
              <w:left w:w="120" w:type="dxa"/>
              <w:right w:w="120" w:type="dxa"/>
            </w:tcMar>
          </w:tcPr>
          <w:p>
            <w:pPr>
              <w:spacing w:before="40" w:after="40"/>
            </w:pPr>
            <w:r>
              <w:rPr>
                <w:rFonts w:ascii="Arial" w:hAnsi="Arial"/>
                <w:b/>
                <w:color w:val="0F2043"/>
                <w:sz w:val="18"/>
              </w:rPr>
              <w:t>Doctrinal Execution / Principle</w:t>
            </w:r>
          </w:p>
        </w:tc>
        <w:tc>
          <w:tcPr>
            <w:tcW w:type="dxa" w:w="4824"/>
            <w:shd w:fill="FAFAFA"/>
            <w:tcMar>
              <w:top w:w="80" w:type="dxa"/>
              <w:bottom w:w="80" w:type="dxa"/>
              <w:left w:w="120" w:type="dxa"/>
              <w:right w:w="120" w:type="dxa"/>
            </w:tcMar>
          </w:tcPr>
          <w:p>
            <w:pPr>
              <w:spacing w:before="40" w:after="40" w:line="276" w:lineRule="auto"/>
            </w:pPr>
            <w:r>
              <w:rPr>
                <w:rFonts w:ascii="Calibri" w:hAnsi="Calibri"/>
                <w:color w:val="212529"/>
                <w:sz w:val="19"/>
              </w:rPr>
              <w:t>The Spirit Over the Letter Doctrine: The letter of the law killeth, but the spirit giveth life. When literal adherence defeats legislative intent and produces injustice, the spirit governs.</w:t>
            </w:r>
          </w:p>
        </w:tc>
      </w:tr>
    </w:tbl>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RELATION TO STATUTORY CONSTRUCTION</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Judges are not robots; they must interpret the law with wisdom, common sense, and fairness, ensuring the spirit of the law defeats legalistic trickery.</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"Sir/Ma'am, Alonzo v. IAC is the supreme landmark decision penned by Justice Isagani Cruz on Ratio Legis and Scire Leges: the spirit of the law must always triumph over the literal letter to prevent absurdity and injustice."</w:t>
            </w:r>
          </w:p>
        </w:tc>
      </w:tr>
    </w:tbl>
    <w:p>
      <w:pPr>
        <w:spacing w:before="160" w:after="80"/>
      </w:pPr>
    </w:p>
    <w:tbl>
      <w:tblPr>
        <w:tblW w:type="auto" w:w="0"/>
        <w:jc w:val="center"/>
        <w:tblLook w:firstColumn="1" w:firstRow="1" w:lastColumn="0" w:lastRow="0" w:noHBand="0" w:noVBand="1" w:val="04A0"/>
      </w:tblPr>
      <w:tblGrid>
        <w:gridCol w:w="9648"/>
      </w:tblGrid>
      <w:tr>
        <w:tc>
          <w:tcPr>
            <w:tcW w:type="dxa" w:w="9648"/>
            <w:shd w:fill="1E3A5F"/>
            <w:tcMar>
              <w:top w:w="140" w:type="dxa"/>
              <w:bottom w:w="140" w:type="dxa"/>
              <w:left w:w="200" w:type="dxa"/>
              <w:right w:w="200" w:type="dxa"/>
            </w:tcMar>
          </w:tcPr>
          <w:p>
            <w:pPr>
              <w:spacing w:before="40" w:after="40"/>
              <w:jc w:val="center"/>
            </w:pPr>
            <w:r>
              <w:rPr>
                <w:rFonts w:ascii="Arial" w:hAnsi="Arial"/>
                <w:b/>
                <w:color w:val="FFD700"/>
                <w:sz w:val="22"/>
              </w:rPr>
              <w:t>⚖ STANDARDIZED CASE DIGEST: STATUTORY CONSTRUCTION FORMAT</w:t>
              <w:br/>
            </w:r>
            <w:r>
              <w:rPr>
                <w:rFonts w:ascii="Arial" w:hAnsi="Arial"/>
                <w:i/>
                <w:color w:val="DCEBFF"/>
                <w:sz w:val="18"/>
              </w:rPr>
              <w:t>(Complete 12-Section Academic &amp; Judicial Construction Analysis)</w:t>
            </w:r>
          </w:p>
        </w:tc>
      </w:tr>
    </w:tbl>
    <w:p>
      <w:pPr>
        <w:spacing w:before="80" w:after="80"/>
      </w:pPr>
    </w:p>
    <w:tbl>
      <w:tblPr>
        <w:tblW w:type="auto" w:w="0"/>
        <w:jc w:val="center"/>
        <w:tblLook w:firstColumn="1" w:firstRow="1" w:lastColumn="0" w:lastRow="0" w:noHBand="0" w:noVBand="1" w:val="04A0"/>
      </w:tblPr>
      <w:tblGrid>
        <w:gridCol w:w="4824"/>
        <w:gridCol w:w="4824"/>
      </w:tblGrid>
      <w:tr>
        <w:tc>
          <w:tcPr>
            <w:tcW w:type="dxa" w:w="4824"/>
            <w:shd w:fill="EBF0F7"/>
            <w:tcMar>
              <w:top w:w="60" w:type="dxa"/>
              <w:bottom w:w="60" w:type="dxa"/>
              <w:left w:w="120" w:type="dxa"/>
              <w:right w:w="120" w:type="dxa"/>
            </w:tcMar>
          </w:tcPr>
          <w:p>
            <w:pPr>
              <w:spacing w:before="20" w:after="20"/>
            </w:pPr>
            <w:r>
              <w:rPr>
                <w:rFonts w:ascii="Arial" w:hAnsi="Arial"/>
                <w:b/>
                <w:color w:val="0F2043"/>
                <w:sz w:val="19"/>
              </w:rPr>
              <w:t>Case Title:</w:t>
            </w:r>
          </w:p>
        </w:tc>
        <w:tc>
          <w:tcPr>
            <w:tcW w:type="dxa" w:w="4824"/>
            <w:shd w:fill="FAFCFF"/>
            <w:tcMar>
              <w:top w:w="60" w:type="dxa"/>
              <w:bottom w:w="60" w:type="dxa"/>
              <w:left w:w="120" w:type="dxa"/>
              <w:right w:w="120" w:type="dxa"/>
            </w:tcMar>
          </w:tcPr>
          <w:p>
            <w:pPr>
              <w:spacing w:before="20" w:after="20"/>
            </w:pPr>
            <w:r>
              <w:rPr>
                <w:rFonts w:ascii="Calibri" w:hAnsi="Calibri"/>
                <w:b/>
                <w:color w:val="212529"/>
                <w:sz w:val="19"/>
              </w:rPr>
              <w:t>Alonzo v. Intermediate Appellate Court and Tecla Padua</w:t>
            </w:r>
          </w:p>
        </w:tc>
      </w:tr>
      <w:tr>
        <w:tc>
          <w:tcPr>
            <w:tcW w:type="dxa" w:w="4824"/>
            <w:shd w:fill="EBF0F7"/>
            <w:tcMar>
              <w:top w:w="60" w:type="dxa"/>
              <w:bottom w:w="60" w:type="dxa"/>
              <w:left w:w="120" w:type="dxa"/>
              <w:right w:w="120" w:type="dxa"/>
            </w:tcMar>
          </w:tcPr>
          <w:p>
            <w:pPr>
              <w:spacing w:before="20" w:after="20"/>
            </w:pPr>
            <w:r>
              <w:rPr>
                <w:rFonts w:ascii="Arial" w:hAnsi="Arial"/>
                <w:b/>
                <w:color w:val="0F2043"/>
                <w:sz w:val="19"/>
              </w:rPr>
              <w:t>G.R. No. / Record:</w:t>
            </w:r>
          </w:p>
        </w:tc>
        <w:tc>
          <w:tcPr>
            <w:tcW w:type="dxa" w:w="4824"/>
            <w:shd w:fill="FAFCFF"/>
            <w:tcMar>
              <w:top w:w="60" w:type="dxa"/>
              <w:bottom w:w="60" w:type="dxa"/>
              <w:left w:w="120" w:type="dxa"/>
              <w:right w:w="120" w:type="dxa"/>
            </w:tcMar>
          </w:tcPr>
          <w:p>
            <w:pPr>
              <w:spacing w:before="20" w:after="20"/>
            </w:pPr>
            <w:r>
              <w:rPr>
                <w:rFonts w:ascii="Calibri" w:hAnsi="Calibri"/>
                <w:b w:val="0"/>
                <w:color w:val="212529"/>
                <w:sz w:val="19"/>
              </w:rPr>
              <w:t>G.R. No. 72873</w:t>
            </w:r>
          </w:p>
        </w:tc>
      </w:tr>
      <w:tr>
        <w:tc>
          <w:tcPr>
            <w:tcW w:type="dxa" w:w="4824"/>
            <w:shd w:fill="EBF0F7"/>
            <w:tcMar>
              <w:top w:w="60" w:type="dxa"/>
              <w:bottom w:w="60" w:type="dxa"/>
              <w:left w:w="120" w:type="dxa"/>
              <w:right w:w="120" w:type="dxa"/>
            </w:tcMar>
          </w:tcPr>
          <w:p>
            <w:pPr>
              <w:spacing w:before="20" w:after="20"/>
            </w:pPr>
            <w:r>
              <w:rPr>
                <w:rFonts w:ascii="Arial" w:hAnsi="Arial"/>
                <w:b/>
                <w:color w:val="0F2043"/>
                <w:sz w:val="19"/>
              </w:rPr>
              <w:t>Date of Promulgation:</w:t>
            </w:r>
          </w:p>
        </w:tc>
        <w:tc>
          <w:tcPr>
            <w:tcW w:type="dxa" w:w="4824"/>
            <w:shd w:fill="FAFCFF"/>
            <w:tcMar>
              <w:top w:w="60" w:type="dxa"/>
              <w:bottom w:w="60" w:type="dxa"/>
              <w:left w:w="120" w:type="dxa"/>
              <w:right w:w="120" w:type="dxa"/>
            </w:tcMar>
          </w:tcPr>
          <w:p>
            <w:pPr>
              <w:spacing w:before="20" w:after="20"/>
            </w:pPr>
            <w:r>
              <w:rPr>
                <w:rFonts w:ascii="Calibri" w:hAnsi="Calibri"/>
                <w:b w:val="0"/>
                <w:color w:val="212529"/>
                <w:sz w:val="19"/>
              </w:rPr>
              <w:t>May 28, 1987</w:t>
            </w:r>
          </w:p>
        </w:tc>
      </w:tr>
      <w:tr>
        <w:tc>
          <w:tcPr>
            <w:tcW w:type="dxa" w:w="4824"/>
            <w:shd w:fill="EBF0F7"/>
            <w:tcMar>
              <w:top w:w="60" w:type="dxa"/>
              <w:bottom w:w="60" w:type="dxa"/>
              <w:left w:w="120" w:type="dxa"/>
              <w:right w:w="120" w:type="dxa"/>
            </w:tcMar>
          </w:tcPr>
          <w:p>
            <w:pPr>
              <w:spacing w:before="20" w:after="20"/>
            </w:pPr>
            <w:r>
              <w:rPr>
                <w:rFonts w:ascii="Arial" w:hAnsi="Arial"/>
                <w:b/>
                <w:color w:val="0F2043"/>
                <w:sz w:val="19"/>
              </w:rPr>
              <w:t>Ponente / Court:</w:t>
            </w:r>
          </w:p>
        </w:tc>
        <w:tc>
          <w:tcPr>
            <w:tcW w:type="dxa" w:w="4824"/>
            <w:shd w:fill="FAFCFF"/>
            <w:tcMar>
              <w:top w:w="60" w:type="dxa"/>
              <w:bottom w:w="60" w:type="dxa"/>
              <w:left w:w="120" w:type="dxa"/>
              <w:right w:w="120" w:type="dxa"/>
            </w:tcMar>
          </w:tcPr>
          <w:p>
            <w:pPr>
              <w:spacing w:before="20" w:after="20"/>
            </w:pPr>
            <w:r>
              <w:rPr>
                <w:rFonts w:ascii="Calibri" w:hAnsi="Calibri"/>
                <w:b w:val="0"/>
                <w:color w:val="212529"/>
                <w:sz w:val="19"/>
              </w:rPr>
              <w:t>First Division</w:t>
            </w:r>
          </w:p>
        </w:tc>
      </w:tr>
    </w:tbl>
    <w:p>
      <w:pPr>
        <w:keepNext/>
        <w:spacing w:before="240" w:after="60"/>
      </w:pPr>
      <w:r>
        <w:rPr>
          <w:rFonts w:ascii="Arial" w:hAnsi="Arial"/>
          <w:b/>
          <w:color w:val="0F2043"/>
          <w:sz w:val="21"/>
        </w:rPr>
        <w:t>I. FACTS OF THE CASE</w:t>
      </w:r>
    </w:p>
    <w:tbl>
      <w:tblPr>
        <w:tblW w:type="auto" w:w="0"/>
        <w:jc w:val="center"/>
        <w:tblLook w:firstColumn="1" w:firstRow="1" w:lastColumn="0" w:lastRow="0" w:noHBand="0" w:noVBand="1" w:val="04A0"/>
      </w:tblPr>
      <w:tblGrid>
        <w:gridCol w:w="9648"/>
      </w:tblGrid>
      <w:tr>
        <w:tc>
          <w:tcPr>
            <w:tcW w:type="dxa" w:w="9648"/>
            <w:shd w:fill="F8F9FB"/>
            <w:tcMar>
              <w:top w:w="100" w:type="dxa"/>
              <w:bottom w:w="100" w:type="dxa"/>
              <w:left w:w="160" w:type="dxa"/>
              <w:right w:w="160" w:type="dxa"/>
            </w:tcMar>
          </w:tcPr>
          <w:p>
            <w:pPr>
              <w:spacing w:before="20" w:after="40"/>
            </w:pPr>
            <w:r>
              <w:rPr>
                <w:rFonts w:ascii="Arial" w:hAnsi="Arial"/>
                <w:b/>
                <w:color w:val="0F2043"/>
                <w:sz w:val="19"/>
              </w:rPr>
              <w:t>Material Facts of Controversy</w:t>
              <w:br/>
            </w:r>
          </w:p>
          <w:p>
            <w:pPr>
              <w:spacing w:before="20" w:after="40" w:line="276" w:lineRule="auto"/>
            </w:pPr>
            <w:r>
              <w:rPr>
                <w:rFonts w:ascii="Calibri" w:hAnsi="Calibri"/>
                <w:color w:val="212529"/>
                <w:sz w:val="19"/>
              </w:rPr>
              <w:t>Five siblings inherited a parcel of land in equal shares. In 1963 and 1964, two siblings sold their undivided shares to Carlos and Casimira Alonzo through registered deeds of sale. The buyers built a house and lived on the land for over a decade in plain view of the remaining co-heirs. In 1977 (over 13 years later), respondent Tecla Padua (one of the co-heirs) sought to redeem the sold shares under Article 1088 of the Civil Code, arguing that the 30-day redemption period had not even commenced because the co-heirs were never served with a formal WRITTEN NOTICE of the sale as literally required by Article 1088.</w:t>
            </w:r>
          </w:p>
        </w:tc>
      </w:tr>
    </w:tbl>
    <w:p>
      <w:pPr>
        <w:keepNext/>
        <w:spacing w:before="240" w:after="60"/>
      </w:pPr>
      <w:r>
        <w:rPr>
          <w:rFonts w:ascii="Arial" w:hAnsi="Arial"/>
          <w:b/>
          <w:color w:val="0F2043"/>
          <w:sz w:val="21"/>
        </w:rPr>
        <w:t>II. FACTS RELEVANT TO STATUTORY CONSTRUCTION</w:t>
      </w:r>
    </w:p>
    <w:tbl>
      <w:tblPr>
        <w:tblW w:type="auto" w:w="0"/>
        <w:jc w:val="center"/>
        <w:tblLook w:firstColumn="1" w:firstRow="1" w:lastColumn="0" w:lastRow="0" w:noHBand="0" w:noVBand="1" w:val="04A0"/>
      </w:tblPr>
      <w:tblGrid>
        <w:gridCol w:w="9648"/>
      </w:tblGrid>
      <w:tr>
        <w:tc>
          <w:tcPr>
            <w:tcW w:type="dxa" w:w="9648"/>
            <w:shd w:fill="F8F9FB"/>
            <w:tcMar>
              <w:top w:w="100" w:type="dxa"/>
              <w:bottom w:w="100" w:type="dxa"/>
              <w:left w:w="160" w:type="dxa"/>
              <w:right w:w="160" w:type="dxa"/>
            </w:tcMar>
          </w:tcPr>
          <w:p>
            <w:pPr>
              <w:spacing w:before="20" w:after="40"/>
            </w:pPr>
            <w:r>
              <w:rPr>
                <w:rFonts w:ascii="Arial" w:hAnsi="Arial"/>
                <w:b/>
                <w:color w:val="0F2043"/>
                <w:sz w:val="19"/>
              </w:rPr>
              <w:t>Facts Giving Rise to Need for Interpretation</w:t>
              <w:br/>
            </w:r>
          </w:p>
          <w:p>
            <w:pPr>
              <w:spacing w:before="20" w:after="40" w:line="276" w:lineRule="auto"/>
            </w:pPr>
            <w:r>
              <w:rPr>
                <w:rFonts w:ascii="Calibri" w:hAnsi="Calibri"/>
                <w:b/>
                <w:color w:val="212529"/>
                <w:sz w:val="19"/>
              </w:rPr>
              <w:t xml:space="preserve">• What provision of law or rule became relevant? </w:t>
            </w:r>
            <w:r>
              <w:rPr>
                <w:rFonts w:ascii="Calibri" w:hAnsi="Calibri"/>
                <w:color w:val="212529"/>
                <w:sz w:val="19"/>
              </w:rPr>
              <w:t>1. Article 1088, Civil Code of the Philippines: Provides that co-heirs have 30 days to redeem sold shares from the date they are notified in writing by the vendor.</w:t>
              <w:br/>
              <w:t>2. Ratio Legis Est Anima Legis (the reason of the law is the soul of the law): The purpose of the written notice requirement is solely to ensure that co-heirs have actual knowledge of the sale.</w:t>
            </w:r>
          </w:p>
          <w:p>
            <w:pPr>
              <w:spacing w:before="20" w:after="40" w:line="276" w:lineRule="auto"/>
            </w:pPr>
            <w:r>
              <w:rPr>
                <w:rFonts w:ascii="Calibri" w:hAnsi="Calibri"/>
                <w:b/>
                <w:color w:val="212529"/>
                <w:sz w:val="19"/>
              </w:rPr>
              <w:t xml:space="preserve">• What circumstance made interpretation necessary? </w:t>
            </w:r>
            <w:r>
              <w:rPr>
                <w:rFonts w:ascii="Calibri" w:hAnsi="Calibri"/>
                <w:color w:val="212529"/>
                <w:sz w:val="19"/>
              </w:rPr>
              <w:t>The appellate court committed grave error by adhering to a blind, mechanical literalism that rewarded bad faith and produced gross injustice.</w:t>
            </w:r>
          </w:p>
          <w:p>
            <w:pPr>
              <w:spacing w:before="20" w:after="40" w:line="276" w:lineRule="auto"/>
            </w:pPr>
            <w:r>
              <w:rPr>
                <w:rFonts w:ascii="Calibri" w:hAnsi="Calibri"/>
                <w:b/>
                <w:color w:val="212529"/>
                <w:sz w:val="19"/>
              </w:rPr>
              <w:t xml:space="preserve">• What competing interpretations were presented? </w:t>
            </w:r>
            <w:r>
              <w:rPr>
                <w:rFonts w:ascii="Calibri" w:hAnsi="Calibri"/>
                <w:color w:val="212529"/>
                <w:sz w:val="19"/>
              </w:rPr>
              <w:t>Petitioner argued for a favorable interpretation based on statutory intent, while Respondent contended for a literal or restrictive application.</w:t>
            </w:r>
          </w:p>
        </w:tc>
      </w:tr>
    </w:tbl>
    <w:p>
      <w:pPr>
        <w:keepNext/>
        <w:spacing w:before="240" w:after="60"/>
      </w:pPr>
      <w:r>
        <w:rPr>
          <w:rFonts w:ascii="Arial" w:hAnsi="Arial"/>
          <w:b/>
          <w:color w:val="0F2043"/>
          <w:sz w:val="21"/>
        </w:rPr>
        <w:t>III. ISSUES</w:t>
      </w:r>
    </w:p>
    <w:p>
      <w:pPr>
        <w:keepNext/>
        <w:spacing w:before="120" w:after="40"/>
      </w:pPr>
      <w:r>
        <w:rPr>
          <w:rFonts w:ascii="Arial" w:hAnsi="Arial"/>
          <w:b/>
          <w:color w:val="781E1E"/>
          <w:sz w:val="20"/>
        </w:rPr>
        <w:t>A. General Legal Issues</w:t>
      </w:r>
    </w:p>
    <w:p>
      <w:pPr>
        <w:spacing w:before="40" w:after="80" w:line="276" w:lineRule="auto"/>
      </w:pPr>
      <w:r>
        <w:rPr>
          <w:rFonts w:ascii="Calibri" w:hAnsi="Calibri"/>
          <w:i w:val="0"/>
          <w:color w:val="212529"/>
          <w:sz w:val="21"/>
        </w:rPr>
        <w:t>Whether or not the 30-day legal redemption period under Article 1088 of the Civil Code had lapsed despite the lack of formal written notice, where the co-heirs had actual knowledge of the sale for over a decade.</w:t>
      </w:r>
    </w:p>
    <w:p>
      <w:pPr>
        <w:keepNext/>
        <w:spacing w:before="120" w:after="40"/>
      </w:pPr>
      <w:r>
        <w:rPr>
          <w:rFonts w:ascii="Arial" w:hAnsi="Arial"/>
          <w:b/>
          <w:color w:val="781E1E"/>
          <w:sz w:val="20"/>
        </w:rPr>
        <w:t>B. Statutory-Construction Issue/s</w:t>
      </w:r>
    </w:p>
    <w:tbl>
      <w:tblPr>
        <w:tblW w:type="auto" w:w="0"/>
        <w:jc w:val="center"/>
        <w:tblLook w:firstColumn="1" w:firstRow="1" w:lastColumn="0" w:lastRow="0" w:noHBand="0" w:noVBand="1" w:val="04A0"/>
      </w:tblPr>
      <w:tblGrid>
        <w:gridCol w:w="9648"/>
      </w:tblGrid>
      <w:tr>
        <w:tc>
          <w:tcPr>
            <w:tcW w:type="dxa" w:w="9648"/>
            <w:shd w:fill="EBF3FA"/>
            <w:tcMar>
              <w:top w:w="100" w:type="dxa"/>
              <w:bottom w:w="100" w:type="dxa"/>
              <w:left w:w="160" w:type="dxa"/>
              <w:right w:w="160" w:type="dxa"/>
            </w:tcMar>
          </w:tcPr>
          <w:p>
            <w:pPr>
              <w:spacing w:before="20" w:after="40"/>
            </w:pPr>
            <w:r>
              <w:rPr>
                <w:rFonts w:ascii="Arial" w:hAnsi="Arial"/>
                <w:b/>
                <w:color w:val="0F2043"/>
                <w:sz w:val="19"/>
              </w:rPr>
              <w:t>Standardized StatCon Issue Statement</w:t>
              <w:br/>
            </w:r>
          </w:p>
          <w:p>
            <w:pPr>
              <w:spacing w:before="20" w:after="40" w:line="276" w:lineRule="auto"/>
            </w:pPr>
            <w:r>
              <w:rPr>
                <w:rFonts w:ascii="Calibri" w:hAnsi="Calibri"/>
                <w:color w:val="212529"/>
                <w:sz w:val="19"/>
              </w:rPr>
              <w:t>Whether the subject statutory act, classification, or terminology under the governing statute/rule means, includes, or applies to the factual controversy in Alonzo v. Intermediate Appellate Court and Tecla Padua, under the canon of Scire leges non hoc est verba earum tenere, sed vim ac potestatem.</w:t>
            </w:r>
          </w:p>
        </w:tc>
      </w:tr>
    </w:tbl>
    <w:p>
      <w:pPr>
        <w:keepNext/>
        <w:spacing w:before="240" w:after="60"/>
      </w:pPr>
      <w:r>
        <w:rPr>
          <w:rFonts w:ascii="Arial" w:hAnsi="Arial"/>
          <w:b/>
          <w:color w:val="0F2043"/>
          <w:sz w:val="21"/>
        </w:rPr>
        <w:t>IV. PROVISION/S OF LAW CONSTRUED</w:t>
      </w:r>
    </w:p>
    <w:tbl>
      <w:tblPr>
        <w:tblW w:type="auto" w:w="0"/>
        <w:jc w:val="center"/>
        <w:tblLook w:firstColumn="1" w:firstRow="1" w:lastColumn="0" w:lastRow="0" w:noHBand="0" w:noVBand="1" w:val="04A0"/>
      </w:tblPr>
      <w:tblGrid>
        <w:gridCol w:w="9648"/>
      </w:tblGrid>
      <w:tr>
        <w:tc>
          <w:tcPr>
            <w:tcW w:type="dxa" w:w="9648"/>
            <w:shd w:fill="F8F9FB"/>
            <w:tcMar>
              <w:top w:w="100" w:type="dxa"/>
              <w:bottom w:w="100" w:type="dxa"/>
              <w:left w:w="160" w:type="dxa"/>
              <w:right w:w="160" w:type="dxa"/>
            </w:tcMar>
          </w:tcPr>
          <w:p>
            <w:pPr>
              <w:spacing w:before="20" w:after="40"/>
            </w:pPr>
            <w:r>
              <w:rPr>
                <w:rFonts w:ascii="Arial" w:hAnsi="Arial"/>
                <w:b/>
                <w:color w:val="0F2043"/>
                <w:sz w:val="19"/>
              </w:rPr>
              <w:t>Statutory / Constitutional Text &amp; Problem</w:t>
              <w:br/>
            </w:r>
          </w:p>
          <w:p>
            <w:pPr>
              <w:spacing w:before="20" w:after="40" w:line="276" w:lineRule="auto"/>
            </w:pPr>
            <w:r>
              <w:rPr>
                <w:rFonts w:ascii="Calibri" w:hAnsi="Calibri"/>
                <w:b/>
                <w:color w:val="212529"/>
                <w:sz w:val="19"/>
              </w:rPr>
              <w:t xml:space="preserve">• Quoted Provision: </w:t>
            </w:r>
            <w:r>
              <w:rPr>
                <w:rFonts w:ascii="Calibri" w:hAnsi="Calibri"/>
                <w:color w:val="212529"/>
                <w:sz w:val="19"/>
              </w:rPr>
              <w:t>1. Article 1088, Civil Code of the Philippines: Provides that co-heirs have 30 days to redeem sold shares from the date they are notified in writing by the vendor.</w:t>
              <w:br/>
              <w:t>2. Ratio Legis Est Anima Legis (the reason of the law is the soul of the law): The purpose of the written notice requirement is solely to ensure that co-heirs have actual knowledge of the sale.</w:t>
            </w:r>
          </w:p>
          <w:p>
            <w:pPr>
              <w:spacing w:before="20" w:after="40" w:line="276" w:lineRule="auto"/>
            </w:pPr>
            <w:r>
              <w:rPr>
                <w:rFonts w:ascii="Calibri" w:hAnsi="Calibri"/>
                <w:b/>
                <w:color w:val="212529"/>
                <w:sz w:val="19"/>
              </w:rPr>
              <w:t xml:space="preserve">• Interpretive Problem: </w:t>
            </w:r>
            <w:r>
              <w:rPr>
                <w:rFonts w:ascii="Calibri" w:hAnsi="Calibri"/>
                <w:color w:val="212529"/>
                <w:sz w:val="19"/>
              </w:rPr>
              <w:t>Determining the precise legislative intent and boundary of the statutory terms in light of: The appellate court committed grave error by adhering to a blind, mechanical literalism that rewarded bad faith and prod...</w:t>
            </w:r>
          </w:p>
        </w:tc>
      </w:tr>
    </w:tbl>
    <w:p>
      <w:pPr>
        <w:keepNext/>
        <w:spacing w:before="240" w:after="60"/>
      </w:pPr>
      <w:r>
        <w:rPr>
          <w:rFonts w:ascii="Arial" w:hAnsi="Arial"/>
          <w:b/>
          <w:color w:val="0F2043"/>
          <w:sz w:val="21"/>
        </w:rPr>
        <w:t>V. RULING OF THE SUPREME COURT</w:t>
      </w:r>
    </w:p>
    <w:p>
      <w:pPr>
        <w:keepNext/>
        <w:spacing w:before="120" w:after="40"/>
      </w:pPr>
      <w:r>
        <w:rPr>
          <w:rFonts w:ascii="Arial" w:hAnsi="Arial"/>
          <w:b/>
          <w:color w:val="781E1E"/>
          <w:sz w:val="20"/>
        </w:rPr>
        <w:t>A. General Ruling</w:t>
      </w:r>
    </w:p>
    <w:p>
      <w:pPr>
        <w:spacing w:before="40" w:after="80" w:line="276" w:lineRule="auto"/>
      </w:pPr>
      <w:r>
        <w:rPr>
          <w:rFonts w:ascii="Calibri" w:hAnsi="Calibri"/>
          <w:i w:val="0"/>
          <w:color w:val="212529"/>
          <w:sz w:val="21"/>
        </w:rPr>
        <w:t>The Supreme Court REVERSED the Intermediate Appellate Court, DISMISSED the complaint for legal redemption, and DECLARED the Alonzos' title absolute and indefeasible.</w:t>
      </w:r>
    </w:p>
    <w:p>
      <w:pPr>
        <w:keepNext/>
        <w:spacing w:before="120" w:after="40"/>
      </w:pPr>
      <w:r>
        <w:rPr>
          <w:rFonts w:ascii="Arial" w:hAnsi="Arial"/>
          <w:b/>
          <w:color w:val="781E1E"/>
          <w:sz w:val="20"/>
        </w:rPr>
        <w:t>B. Ruling on the Statutory-Construction Issue</w:t>
      </w:r>
    </w:p>
    <w:tbl>
      <w:tblPr>
        <w:tblW w:type="auto" w:w="0"/>
        <w:jc w:val="center"/>
        <w:tblLook w:firstColumn="1" w:firstRow="1" w:lastColumn="0" w:lastRow="0" w:noHBand="0" w:noVBand="1" w:val="04A0"/>
      </w:tblPr>
      <w:tblGrid>
        <w:gridCol w:w="9648"/>
      </w:tblGrid>
      <w:tr>
        <w:tc>
          <w:tcPr>
            <w:tcW w:type="dxa" w:w="9648"/>
            <w:shd w:fill="F4FAF5"/>
            <w:tcMar>
              <w:top w:w="100" w:type="dxa"/>
              <w:bottom w:w="100" w:type="dxa"/>
              <w:left w:w="160" w:type="dxa"/>
              <w:right w:w="160" w:type="dxa"/>
            </w:tcMar>
          </w:tcPr>
          <w:p>
            <w:pPr>
              <w:spacing w:before="20" w:after="40"/>
            </w:pPr>
            <w:r>
              <w:rPr>
                <w:rFonts w:ascii="Arial" w:hAnsi="Arial"/>
                <w:b/>
                <w:color w:val="0F2043"/>
                <w:sz w:val="19"/>
              </w:rPr>
              <w:t>Statutory Meaning Established by Court</w:t>
              <w:br/>
            </w:r>
          </w:p>
          <w:p>
            <w:pPr>
              <w:spacing w:before="20" w:after="40" w:line="276" w:lineRule="auto"/>
            </w:pPr>
            <w:r>
              <w:rPr>
                <w:rFonts w:ascii="Calibri" w:hAnsi="Calibri"/>
                <w:color w:val="212529"/>
                <w:sz w:val="19"/>
              </w:rPr>
              <w:t>YES. The right of redemption had LAPSED. Actual knowledge of the sale for over a decade dispensed with the need for written notice. The spirit and purpose of the law prevail over a rigid, literal requirement.</w:t>
            </w:r>
          </w:p>
        </w:tc>
      </w:tr>
    </w:tbl>
    <w:p>
      <w:pPr>
        <w:keepNext/>
        <w:spacing w:before="240" w:after="60"/>
      </w:pPr>
      <w:r>
        <w:rPr>
          <w:rFonts w:ascii="Arial" w:hAnsi="Arial"/>
          <w:b/>
          <w:color w:val="0F2043"/>
          <w:sz w:val="21"/>
        </w:rPr>
        <w:t>VI. HOW THE COURT CONSTRUED THE LAW</w:t>
      </w:r>
    </w:p>
    <w:tbl>
      <w:tblPr>
        <w:tblW w:type="auto" w:w="0"/>
        <w:jc w:val="center"/>
        <w:tblLook w:firstColumn="1" w:firstRow="1" w:lastColumn="0" w:lastRow="0" w:noHBand="0" w:noVBand="1" w:val="04A0"/>
      </w:tblPr>
      <w:tblGrid>
        <w:gridCol w:w="9648"/>
      </w:tblGrid>
      <w:tr>
        <w:tc>
          <w:tcPr>
            <w:tcW w:type="dxa" w:w="9648"/>
            <w:shd w:fill="F8F9FB"/>
            <w:tcMar>
              <w:top w:w="100" w:type="dxa"/>
              <w:bottom w:w="100" w:type="dxa"/>
              <w:left w:w="160" w:type="dxa"/>
              <w:right w:w="160" w:type="dxa"/>
            </w:tcMar>
          </w:tcPr>
          <w:p>
            <w:pPr>
              <w:spacing w:before="20" w:after="40"/>
            </w:pPr>
            <w:r>
              <w:rPr>
                <w:rFonts w:ascii="Arial" w:hAnsi="Arial"/>
                <w:b/>
                <w:color w:val="0F2043"/>
                <w:sz w:val="19"/>
              </w:rPr>
              <w:t>Methodological &amp; Doctrinal Analysis</w:t>
              <w:br/>
            </w:r>
          </w:p>
          <w:p>
            <w:pPr>
              <w:spacing w:before="20" w:after="40" w:line="276" w:lineRule="auto"/>
            </w:pPr>
            <w:r>
              <w:rPr>
                <w:rFonts w:ascii="Calibri" w:hAnsi="Calibri"/>
                <w:b/>
                <w:color w:val="212529"/>
                <w:sz w:val="19"/>
              </w:rPr>
              <w:t xml:space="preserve">A. Why Was Construction Necessary? </w:t>
            </w:r>
            <w:r>
              <w:rPr>
                <w:rFonts w:ascii="Calibri" w:hAnsi="Calibri"/>
                <w:color w:val="212529"/>
                <w:sz w:val="19"/>
              </w:rPr>
              <w:t>A party sought to create an exception or import non-textual requirements into a clear statute; the Court intervened to reassert that plain language admits of no judicial construction.</w:t>
            </w:r>
          </w:p>
          <w:p>
            <w:pPr>
              <w:spacing w:before="20" w:after="40" w:line="276" w:lineRule="auto"/>
            </w:pPr>
            <w:r>
              <w:rPr>
                <w:rFonts w:ascii="Calibri" w:hAnsi="Calibri"/>
                <w:b/>
                <w:color w:val="212529"/>
                <w:sz w:val="19"/>
              </w:rPr>
              <w:t xml:space="preserve">B. Purpose of Construction: </w:t>
            </w:r>
            <w:r>
              <w:rPr>
                <w:rFonts w:ascii="Calibri" w:hAnsi="Calibri"/>
                <w:color w:val="212529"/>
                <w:sz w:val="19"/>
              </w:rPr>
              <w:t>To uphold the plain meaning of the statute, preserve legislative supremacy, and avoid arbitrary judicial expansion.</w:t>
            </w:r>
          </w:p>
          <w:p>
            <w:pPr>
              <w:spacing w:before="20" w:after="40" w:line="276" w:lineRule="auto"/>
            </w:pPr>
            <w:r>
              <w:rPr>
                <w:rFonts w:ascii="Calibri" w:hAnsi="Calibri"/>
                <w:b/>
                <w:color w:val="212529"/>
                <w:sz w:val="19"/>
              </w:rPr>
              <w:t xml:space="preserve">C. Method, Canon, or Rule Applied: </w:t>
            </w:r>
            <w:r>
              <w:rPr>
                <w:rFonts w:ascii="Calibri" w:hAnsi="Calibri"/>
                <w:color w:val="212529"/>
                <w:sz w:val="19"/>
              </w:rPr>
              <w:t>Scire leges non hoc est verba earum tenere, sed vim ac potestatem</w:t>
              <w:br/>
              <w:t xml:space="preserve">   - Application: The Spirit Over the Letter Doctrine: The letter of the law killeth, but the spirit giveth life. When literal adherence defeats legislative intent and produces injustice, the spirit governs.</w:t>
              <w:br/>
              <w:t xml:space="preserve">   - Result: Yes, the right to redeem expired long ago. Written notice is just a tool to give knowledge. When a co-heir has lived next to the buyer's house for 13 years, she obviously had actual knowledge, and the law will not permit a ridiculous absurdity.</w:t>
            </w:r>
          </w:p>
          <w:p>
            <w:pPr>
              <w:spacing w:before="20" w:after="40" w:line="276" w:lineRule="auto"/>
            </w:pPr>
            <w:r>
              <w:rPr>
                <w:rFonts w:ascii="Calibri" w:hAnsi="Calibri"/>
                <w:b/>
                <w:color w:val="212529"/>
                <w:sz w:val="19"/>
              </w:rPr>
              <w:t xml:space="preserve">D. Other Sources Used: </w:t>
            </w:r>
            <w:r>
              <w:rPr>
                <w:rFonts w:ascii="Calibri" w:hAnsi="Calibri"/>
                <w:color w:val="212529"/>
                <w:sz w:val="19"/>
              </w:rPr>
              <w:t>Ordinary meaning of words, statute considered as a whole, legislative history, and established Supreme Court jurisprudence.</w:t>
            </w:r>
          </w:p>
        </w:tc>
      </w:tr>
    </w:tbl>
    <w:p>
      <w:pPr>
        <w:keepNext/>
        <w:spacing w:before="240" w:after="60"/>
      </w:pPr>
      <w:r>
        <w:rPr>
          <w:rFonts w:ascii="Arial" w:hAnsi="Arial"/>
          <w:b/>
          <w:color w:val="0F2043"/>
          <w:sz w:val="21"/>
        </w:rPr>
        <w:t>VII. RELEVANT STATUTORY-CONSTRUCTION CONCEPTS (A–L EVALUATION)</w:t>
      </w:r>
    </w:p>
    <w:tbl>
      <w:tblPr>
        <w:tblW w:type="auto" w:w="0"/>
        <w:jc w:val="center"/>
        <w:tblLook w:firstColumn="1" w:firstRow="1" w:lastColumn="0" w:lastRow="0" w:noHBand="0" w:noVBand="1" w:val="04A0"/>
      </w:tblPr>
      <w:tblGrid>
        <w:gridCol w:w="4824"/>
        <w:gridCol w:w="4824"/>
      </w:tblGrid>
      <w:tr>
        <w:tc>
          <w:tcPr>
            <w:tcW w:type="dxa" w:w="4824"/>
            <w:shd w:fill="EBF0F8"/>
            <w:tcMar>
              <w:top w:w="70" w:type="dxa"/>
              <w:bottom w:w="70" w:type="dxa"/>
              <w:left w:w="100" w:type="dxa"/>
              <w:right w:w="100" w:type="dxa"/>
            </w:tcMar>
          </w:tcPr>
          <w:p>
            <w:pPr>
              <w:spacing w:before="20" w:after="20"/>
            </w:pPr>
            <w:r>
              <w:rPr>
                <w:rFonts w:ascii="Arial" w:hAnsi="Arial"/>
                <w:b/>
                <w:color w:val="0F2043"/>
                <w:sz w:val="18"/>
              </w:rPr>
              <w:t>A. Situs of Statutory Construction</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Supreme Court of the Philippines, exercising its constitutional judicial power under Article VIII of the Constitution, serves as the ultimate situs and final arbiter for interpreting and construing the disputed provision.</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B. Purpose of Statutory Construction</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purpose of construction is to discover and effectuate the true legislative intent and will of the lawmaking body, preventing injustice and ensuring the statute operates harmoniously.</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C. When to Construe</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Construction became imperative because the text contained an ambiguity, competing interpretations, or conflicting statutory provisions that required judicial determination of legislative intent.</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D. Ambiguity or Vagueness</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controversy centered on the ambiguity, silence, or conflicting scope of the statutory language, which the Court resolved by examining legislative intent and governing maxims.</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E. Verba Legis Non Est Recedendum</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Court adhered strictly to the literal wording of the statute, holding that from the words of a statute there should be no departure.</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F. Absoluta Sententia Expositore Non Indigent</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781E1E"/>
                <w:sz w:val="17"/>
              </w:rPr>
              <w:t xml:space="preserve"> [NOT APPLICABLE] </w:t>
            </w:r>
            <w:r>
              <w:rPr>
                <w:rFonts w:ascii="Calibri" w:hAnsi="Calibri"/>
                <w:color w:val="212529"/>
                <w:sz w:val="18"/>
              </w:rPr>
              <w:t>Not Applicable. The statutory language required expository interpretation due to textual gaps, broad phrasing, or conflicting provisions.</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G. Legislative Intent</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Court analyzed the true intent and policy of the lawmaking authority, ensuring that the statutory purpose is preserved and not defeated by erroneous administrative or private interpretations.</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H. Strict or Liberal Construction</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781E1E"/>
                <w:sz w:val="17"/>
              </w:rPr>
              <w:t xml:space="preserve"> [NOT APPLICABLE] </w:t>
            </w:r>
            <w:r>
              <w:rPr>
                <w:rFonts w:ascii="Calibri" w:hAnsi="Calibri"/>
                <w:color w:val="212529"/>
                <w:sz w:val="18"/>
              </w:rPr>
              <w:t>Not Applicable. The Court applied standard ordinary rules of statutory interpretation without resorting to special strict or liberal construction doctrines.</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I. Prospective or Retrospective Construction</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781E1E"/>
                <w:sz w:val="17"/>
              </w:rPr>
              <w:t xml:space="preserve"> [NOT APPLICABLE] </w:t>
            </w:r>
            <w:r>
              <w:rPr>
                <w:rFonts w:ascii="Calibri" w:hAnsi="Calibri"/>
                <w:color w:val="212529"/>
                <w:sz w:val="18"/>
              </w:rPr>
              <w:t>Not Applicable. The case involved only the contemporaneous, prospective application of the governing law.</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J. Statutory Construction vs. Judicial Legislation</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Court underscored the constitutional boundary of judicial power: Courts are empowered solely to interpret (jus dicere), not to enact or amend laws (jus dare). Supplying unwritten terms or expanding clear prohibitions constitutes prohibited judicial legislation.</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K. Legis Interpretatio Legis Vim Obtinet</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Under Article 8 of the Civil Code, the Supreme Court's authoritative interpretation of the statute forms part of the legal system of the Philippines and acquires the force of law (*legis interpretatio legis vim obtinet*).</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L. Extent and Limits of the Power to Construe</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Court respected the constitutional limits of its authority by applying the law as written and refusing to invade the legislative domain under the guise of equity or expediency.</w:t>
            </w:r>
          </w:p>
        </w:tc>
      </w:tr>
    </w:tbl>
    <w:p>
      <w:pPr>
        <w:keepNext/>
        <w:spacing w:before="240" w:after="60"/>
      </w:pPr>
      <w:r>
        <w:rPr>
          <w:rFonts w:ascii="Arial" w:hAnsi="Arial"/>
          <w:b/>
          <w:color w:val="0F2043"/>
          <w:sz w:val="21"/>
        </w:rPr>
        <w:t>VIII. OTHER CANONS OR METHODS OF CONSTRUCTION</w:t>
      </w:r>
    </w:p>
    <w:tbl>
      <w:tblPr>
        <w:tblW w:type="auto" w:w="0"/>
        <w:jc w:val="center"/>
        <w:tblLook w:firstColumn="1" w:firstRow="1" w:lastColumn="0" w:lastRow="0" w:noHBand="0" w:noVBand="1" w:val="04A0"/>
      </w:tblPr>
      <w:tblGrid>
        <w:gridCol w:w="9648"/>
      </w:tblGrid>
      <w:tr>
        <w:tc>
          <w:tcPr>
            <w:tcW w:type="dxa" w:w="9648"/>
            <w:shd w:fill="F8F9FB"/>
            <w:tcMar>
              <w:top w:w="100" w:type="dxa"/>
              <w:bottom w:w="100" w:type="dxa"/>
              <w:left w:w="160" w:type="dxa"/>
              <w:right w:w="160" w:type="dxa"/>
            </w:tcMar>
          </w:tcPr>
          <w:p>
            <w:pPr>
              <w:spacing w:before="20" w:after="40"/>
            </w:pPr>
            <w:r>
              <w:rPr>
                <w:rFonts w:ascii="Arial" w:hAnsi="Arial"/>
                <w:b/>
                <w:color w:val="0F2043"/>
                <w:sz w:val="19"/>
              </w:rPr>
              <w:t>Secondary Rules &amp; Canons Applied</w:t>
              <w:br/>
            </w:r>
          </w:p>
          <w:p>
            <w:pPr>
              <w:spacing w:before="20" w:after="40" w:line="276" w:lineRule="auto"/>
            </w:pPr>
            <w:r>
              <w:rPr>
                <w:rFonts w:ascii="Calibri" w:hAnsi="Calibri"/>
                <w:b/>
                <w:color w:val="212529"/>
                <w:sz w:val="19"/>
              </w:rPr>
              <w:t xml:space="preserve">• Canon / Maxim: </w:t>
            </w:r>
            <w:r>
              <w:rPr>
                <w:rFonts w:ascii="Calibri" w:hAnsi="Calibri"/>
                <w:color w:val="212529"/>
                <w:sz w:val="19"/>
              </w:rPr>
              <w:t>• Ratio legis est anima legis (the reason of the law is its soul)</w:t>
              <w:br/>
              <w:t>• Lex non intendit absurdum (the law does not intend absurdity)</w:t>
              <w:br/>
              <w:t>• Ius summum saepe summa malitia est (extreme literalism is extreme injustice)</w:t>
            </w:r>
          </w:p>
          <w:p>
            <w:pPr>
              <w:spacing w:before="20" w:after="40" w:line="276" w:lineRule="auto"/>
            </w:pPr>
            <w:r>
              <w:rPr>
                <w:rFonts w:ascii="Calibri" w:hAnsi="Calibri"/>
                <w:b/>
                <w:color w:val="212529"/>
                <w:sz w:val="19"/>
              </w:rPr>
              <w:t xml:space="preserve">• How Applied: </w:t>
            </w:r>
            <w:r>
              <w:rPr>
                <w:rFonts w:ascii="Calibri" w:hAnsi="Calibri"/>
                <w:color w:val="212529"/>
                <w:sz w:val="19"/>
              </w:rPr>
              <w:t>Applied as corroborative canons to reinforce the primary rule of construction.</w:t>
            </w:r>
          </w:p>
          <w:p>
            <w:pPr>
              <w:spacing w:before="20" w:after="40" w:line="276" w:lineRule="auto"/>
            </w:pPr>
            <w:r>
              <w:rPr>
                <w:rFonts w:ascii="Calibri" w:hAnsi="Calibri"/>
                <w:b/>
                <w:color w:val="212529"/>
                <w:sz w:val="19"/>
              </w:rPr>
              <w:t xml:space="preserve">• Effect on Interpretation: </w:t>
            </w:r>
            <w:r>
              <w:rPr>
                <w:rFonts w:ascii="Calibri" w:hAnsi="Calibri"/>
                <w:color w:val="212529"/>
                <w:sz w:val="19"/>
              </w:rPr>
              <w:t>Harmonized the statute and prevented an absurd or unjust result.</w:t>
            </w:r>
          </w:p>
        </w:tc>
      </w:tr>
    </w:tbl>
    <w:p>
      <w:pPr>
        <w:keepNext/>
        <w:spacing w:before="240" w:after="60"/>
      </w:pPr>
      <w:r>
        <w:rPr>
          <w:rFonts w:ascii="Arial" w:hAnsi="Arial"/>
          <w:b/>
          <w:color w:val="0F2043"/>
          <w:sz w:val="21"/>
        </w:rPr>
        <w:t>IX. THE CONSTRUCTION MADE BY THE COURT</w:t>
      </w:r>
    </w:p>
    <w:tbl>
      <w:tblPr>
        <w:tblW w:type="auto" w:w="0"/>
        <w:jc w:val="center"/>
        <w:tblLook w:firstColumn="1" w:firstRow="1" w:lastColumn="0" w:lastRow="0" w:noHBand="0" w:noVBand="1" w:val="04A0"/>
      </w:tblPr>
      <w:tblGrid>
        <w:gridCol w:w="9648"/>
      </w:tblGrid>
      <w:tr>
        <w:tc>
          <w:tcPr>
            <w:tcW w:type="dxa" w:w="9648"/>
            <w:shd w:fill="F9F8F5"/>
            <w:tcMar>
              <w:top w:w="100" w:type="dxa"/>
              <w:bottom w:w="100" w:type="dxa"/>
              <w:left w:w="160" w:type="dxa"/>
              <w:right w:w="160" w:type="dxa"/>
            </w:tcMar>
          </w:tcPr>
          <w:p>
            <w:pPr>
              <w:spacing w:before="20" w:after="40"/>
            </w:pPr>
            <w:r>
              <w:rPr>
                <w:rFonts w:ascii="Arial" w:hAnsi="Arial"/>
                <w:b/>
                <w:color w:val="0F2043"/>
                <w:sz w:val="19"/>
              </w:rPr>
              <w:t>Actual Judicial Construction &amp; Ratio</w:t>
              <w:br/>
            </w:r>
          </w:p>
          <w:p>
            <w:pPr>
              <w:spacing w:before="20" w:after="40" w:line="276" w:lineRule="auto"/>
            </w:pPr>
            <w:r>
              <w:rPr>
                <w:rFonts w:ascii="Calibri" w:hAnsi="Calibri"/>
                <w:b/>
                <w:color w:val="212529"/>
                <w:sz w:val="19"/>
              </w:rPr>
              <w:t xml:space="preserve">• Construction Summary: </w:t>
            </w:r>
            <w:r>
              <w:rPr>
                <w:rFonts w:ascii="Calibri" w:hAnsi="Calibri"/>
                <w:color w:val="212529"/>
                <w:sz w:val="19"/>
              </w:rPr>
              <w:t>The Court construed the disputed statutory provisions in Alonzo v. Intermediate Appellate Court and Tecla Padua to mean and apply strictly in accordance with Scire leges non hoc est verba earum tenere, sed vim ac potestatem, holding that Yes, the right to redeem expired long ago. Written notice is just a tool to give knowledge. When a co-heir has lived next to the buyer's house for 13 years, she.</w:t>
            </w:r>
          </w:p>
          <w:p>
            <w:pPr>
              <w:spacing w:before="20" w:after="40" w:line="276" w:lineRule="auto"/>
            </w:pPr>
            <w:r>
              <w:rPr>
                <w:rFonts w:ascii="Calibri" w:hAnsi="Calibri"/>
                <w:b/>
                <w:color w:val="212529"/>
                <w:sz w:val="19"/>
              </w:rPr>
              <w:t xml:space="preserve">• Principal Reasoning: </w:t>
            </w:r>
            <w:r>
              <w:rPr>
                <w:rFonts w:ascii="Calibri" w:hAnsi="Calibri"/>
                <w:color w:val="212529"/>
                <w:sz w:val="19"/>
              </w:rPr>
              <w:t>The purpose of writing is to inform. If you already know something for 13 years because the buyers are your physical neighbors, demanding a written letter is just an excuse to commit extortion. The Court ruled that justice and common sense come first.</w:t>
            </w:r>
          </w:p>
        </w:tc>
      </w:tr>
    </w:tbl>
    <w:tbl>
      <w:tblPr>
        <w:tblW w:type="auto" w:w="0"/>
        <w:jc w:val="center"/>
        <w:tblLook w:firstColumn="1" w:firstRow="1" w:lastColumn="0" w:lastRow="0" w:noHBand="0" w:noVBand="1" w:val="04A0"/>
      </w:tblPr>
      <w:tblGrid>
        <w:gridCol w:w="9648"/>
      </w:tblGrid>
      <w:tr>
        <w:tc>
          <w:tcPr>
            <w:tcW w:type="dxa" w:w="9648"/>
            <w:shd w:fill="EEF6F0"/>
            <w:tcMar>
              <w:top w:w="100" w:type="dxa"/>
              <w:bottom w:w="100" w:type="dxa"/>
              <w:left w:w="160" w:type="dxa"/>
              <w:right w:w="160" w:type="dxa"/>
            </w:tcMar>
          </w:tcPr>
          <w:p>
            <w:pPr>
              <w:spacing w:before="20" w:after="40"/>
            </w:pPr>
            <w:r>
              <w:rPr>
                <w:rFonts w:ascii="Arial" w:hAnsi="Arial"/>
                <w:b/>
                <w:color w:val="0D6E4B"/>
                <w:sz w:val="19"/>
              </w:rPr>
              <w:t>X. STATUTORY CONSTRUCTION OR JUDICIAL LEGISLATION?</w:t>
              <w:br/>
            </w:r>
          </w:p>
          <w:p>
            <w:pPr>
              <w:spacing w:before="20" w:after="60"/>
            </w:pPr>
            <w:r>
              <w:rPr>
                <w:rFonts w:ascii="Arial" w:hAnsi="Arial"/>
                <w:b/>
                <w:color w:val="0F2043"/>
                <w:sz w:val="19"/>
              </w:rPr>
              <w:t>☑ Proper statutory construction    ☐ Judicial legislation    ☐ Debatable</w:t>
            </w:r>
          </w:p>
          <w:p>
            <w:pPr>
              <w:spacing w:before="40" w:after="40" w:line="276" w:lineRule="auto"/>
            </w:pPr>
            <w:r>
              <w:rPr>
                <w:rFonts w:ascii="Calibri" w:hAnsi="Calibri"/>
                <w:b/>
                <w:color w:val="212529"/>
                <w:sz w:val="19"/>
              </w:rPr>
              <w:t>Explanation (3–5 sentences):</w:t>
              <w:br/>
            </w:r>
            <w:r>
              <w:rPr>
                <w:rFonts w:ascii="Calibri" w:hAnsi="Calibri"/>
                <w:color w:val="212529"/>
                <w:sz w:val="19"/>
              </w:rPr>
              <w:t>The Supreme Court acted within the legitimate bounds of its constitutional power to interpret the law (jus dicere). By applying Scire leges non hoc est verba earum tenere, sed vim ac potestatem, the Court faithfully effectuated the legislative intent without creating new rules, modifying clear statutory text, or usurping congressional prerogative. The ruling reinforces the separation of powers and the doctrine that courts must enforce the law as enacted.</w:t>
            </w:r>
          </w:p>
        </w:tc>
      </w:tr>
    </w:tbl>
    <w:p>
      <w:pPr>
        <w:spacing w:before="80" w:after="40"/>
      </w:pPr>
    </w:p>
    <w:tbl>
      <w:tblPr>
        <w:tblW w:type="auto" w:w="0"/>
        <w:jc w:val="center"/>
        <w:tblLook w:firstColumn="1" w:firstRow="1" w:lastColumn="0" w:lastRow="0" w:noHBand="0" w:noVBand="1" w:val="04A0"/>
      </w:tblPr>
      <w:tblGrid>
        <w:gridCol w:w="9648"/>
      </w:tblGrid>
      <w:tr>
        <w:tc>
          <w:tcPr>
            <w:tcW w:type="dxa" w:w="9648"/>
            <w:shd w:fill="FBF6EE"/>
            <w:tcMar>
              <w:top w:w="100" w:type="dxa"/>
              <w:bottom w:w="100" w:type="dxa"/>
              <w:left w:w="160" w:type="dxa"/>
              <w:right w:w="160" w:type="dxa"/>
            </w:tcMar>
          </w:tcPr>
          <w:p>
            <w:pPr>
              <w:spacing w:before="20" w:after="40"/>
            </w:pPr>
            <w:r>
              <w:rPr>
                <w:rFonts w:ascii="Arial" w:hAnsi="Arial"/>
                <w:b/>
                <w:color w:val="8C3200"/>
                <w:sz w:val="19"/>
              </w:rPr>
              <w:t>XI. DOCTRINE (Statutory Construction Principle):</w:t>
              <w:br/>
            </w:r>
            <w:r>
              <w:rPr>
                <w:rFonts w:ascii="Calibri" w:hAnsi="Calibri"/>
                <w:color w:val="212529"/>
                <w:sz w:val="19"/>
              </w:rPr>
              <w:t>The Spirit Over the Letter Doctrine: The letter of the law killeth, but the spirit giveth life. When literal adherence defeats legislative intent and produces injustice, the spirit governs.</w:t>
              <w:br/>
              <w:br/>
            </w:r>
          </w:p>
          <w:p>
            <w:pPr>
              <w:spacing w:before="20" w:after="40"/>
            </w:pPr>
            <w:r>
              <w:rPr>
                <w:rFonts w:ascii="Arial" w:hAnsi="Arial"/>
                <w:b/>
                <w:color w:val="8C3200"/>
                <w:sz w:val="19"/>
              </w:rPr>
              <w:t>XII. ONE-SENTENCE TAKEAWAY:</w:t>
              <w:br/>
            </w:r>
            <w:r>
              <w:rPr>
                <w:rFonts w:ascii="Calibri" w:hAnsi="Calibri"/>
                <w:i/>
                <w:color w:val="212529"/>
                <w:sz w:val="19"/>
              </w:rPr>
              <w:t>This case is important in Statutory Construction because Judges are not robots; they must interpret the law with wisdom, common sense, and fairness, ensuring the spirit of the law defeats legalistic trickery.</w:t>
            </w:r>
          </w:p>
        </w:tc>
      </w:tr>
    </w:tbl>
    <w:p>
      <w:r>
        <w:br w:type="page"/>
      </w:r>
    </w:p>
    <w:p>
      <w:pPr>
        <w:keepNext/>
        <w:spacing w:before="320" w:after="80"/>
      </w:pPr>
      <w:r>
        <w:rPr>
          <w:rFonts w:ascii="Arial" w:hAnsi="Arial"/>
          <w:b/>
          <w:color w:val="0F2043"/>
          <w:sz w:val="26"/>
        </w:rPr>
        <w:t>31. JOSE V. MELCHOR, JR. V. COMMISSION ON AUDIT</w:t>
      </w:r>
    </w:p>
    <w:p>
      <w:pPr>
        <w:spacing w:before="40" w:after="80" w:line="276" w:lineRule="auto"/>
      </w:pPr>
      <w:r>
        <w:rPr>
          <w:rFonts w:ascii="Calibri" w:hAnsi="Calibri"/>
          <w:b/>
          <w:color w:val="212529"/>
          <w:sz w:val="21"/>
        </w:rPr>
        <w:t xml:space="preserve">Citation: </w:t>
      </w:r>
      <w:r>
        <w:rPr>
          <w:rFonts w:ascii="Calibri" w:hAnsi="Calibri"/>
          <w:i/>
          <w:color w:val="212529"/>
          <w:sz w:val="21"/>
        </w:rPr>
        <w:t>G.R. No. 95398 | August 16, 1991 | 200 SCRA 704 | En Banc | Ponente: J. Gutierrez, Jr.</w:t>
      </w:r>
    </w:p>
    <w:p>
      <w:pPr>
        <w:keepNext/>
        <w:spacing w:before="200" w:after="40"/>
      </w:pPr>
      <w:r>
        <w:rPr>
          <w:rFonts w:ascii="Arial" w:hAnsi="Arial"/>
          <w:b/>
          <w:color w:val="781E1E"/>
          <w:sz w:val="22"/>
        </w:rPr>
        <w:t>LAYER A: ALAC DIGEST, RECITATION SCRIPT &amp; STATCON ANALYSIS</w:t>
      </w:r>
    </w:p>
    <w:p>
      <w:pPr>
        <w:keepNext/>
        <w:spacing w:before="200" w:after="40"/>
      </w:pPr>
      <w:r>
        <w:rPr>
          <w:rFonts w:ascii="Arial" w:hAnsi="Arial"/>
          <w:b/>
          <w:color w:val="781E1E"/>
          <w:sz w:val="22"/>
        </w:rPr>
        <w:t>I. PARTIES &amp; PROCEDURAL BACKGROUND</w:t>
      </w:r>
    </w:p>
    <w:p>
      <w:pPr>
        <w:spacing w:before="40" w:after="80" w:line="276" w:lineRule="auto"/>
      </w:pPr>
      <w:r>
        <w:rPr>
          <w:rFonts w:ascii="Calibri" w:hAnsi="Calibri"/>
          <w:b/>
          <w:color w:val="212529"/>
          <w:sz w:val="21"/>
        </w:rPr>
        <w:t xml:space="preserve">• Plaintiff/Petitioner: </w:t>
      </w:r>
      <w:r>
        <w:rPr>
          <w:rFonts w:ascii="Calibri" w:hAnsi="Calibri"/>
          <w:i w:val="0"/>
          <w:color w:val="212529"/>
          <w:sz w:val="21"/>
        </w:rPr>
        <w:t>Jose V. Melchor, Jr. (Petitioner)</w:t>
      </w:r>
    </w:p>
    <w:p>
      <w:pPr>
        <w:spacing w:before="40" w:after="80" w:line="276" w:lineRule="auto"/>
      </w:pPr>
      <w:r>
        <w:rPr>
          <w:rFonts w:ascii="Calibri" w:hAnsi="Calibri"/>
          <w:b/>
          <w:color w:val="212529"/>
          <w:sz w:val="21"/>
        </w:rPr>
        <w:t xml:space="preserve">• Defendant/Respondent: </w:t>
      </w:r>
      <w:r>
        <w:rPr>
          <w:rFonts w:ascii="Calibri" w:hAnsi="Calibri"/>
          <w:i w:val="0"/>
          <w:color w:val="212529"/>
          <w:sz w:val="21"/>
        </w:rPr>
        <w:t>Commission on Audit (COA) (Respondent)</w:t>
      </w:r>
    </w:p>
    <w:p>
      <w:pPr>
        <w:spacing w:before="40" w:after="80" w:line="276" w:lineRule="auto"/>
      </w:pPr>
      <w:r>
        <w:rPr>
          <w:rFonts w:ascii="Calibri" w:hAnsi="Calibri"/>
          <w:b/>
          <w:color w:val="212529"/>
          <w:sz w:val="21"/>
        </w:rPr>
        <w:t xml:space="preserve">• Originating Court: </w:t>
      </w:r>
      <w:r>
        <w:rPr>
          <w:rFonts w:ascii="Calibri" w:hAnsi="Calibri"/>
          <w:i w:val="0"/>
          <w:color w:val="212529"/>
          <w:sz w:val="21"/>
        </w:rPr>
        <w:t>Commission on Audit (COA En Banc)</w:t>
      </w:r>
    </w:p>
    <w:p>
      <w:pPr>
        <w:spacing w:before="40" w:after="80" w:line="276" w:lineRule="auto"/>
      </w:pPr>
      <w:r>
        <w:rPr>
          <w:rFonts w:ascii="Calibri" w:hAnsi="Calibri"/>
          <w:b/>
          <w:color w:val="212529"/>
          <w:sz w:val="21"/>
        </w:rPr>
        <w:t xml:space="preserve">• Nature of the Action: </w:t>
      </w:r>
      <w:r>
        <w:rPr>
          <w:rFonts w:ascii="Calibri" w:hAnsi="Calibri"/>
          <w:i w:val="0"/>
          <w:color w:val="212529"/>
          <w:sz w:val="21"/>
        </w:rPr>
        <w:t>Petition for Certiorari under Rule 65 assailing COA decision disallowing payments for completed infrastructure repair work based on absence of prior public bidding and certificate of availability of funds.</w:t>
      </w:r>
    </w:p>
    <w:p>
      <w:pPr>
        <w:keepNext/>
        <w:spacing w:before="200" w:after="40"/>
      </w:pPr>
      <w:r>
        <w:rPr>
          <w:rFonts w:ascii="Arial" w:hAnsi="Arial"/>
          <w:b/>
          <w:color w:val="781E1E"/>
          <w:sz w:val="22"/>
        </w:rPr>
        <w:t>II. WHOLE FACTS</w:t>
      </w:r>
    </w:p>
    <w:p>
      <w:pPr>
        <w:spacing w:before="40" w:after="80" w:line="276" w:lineRule="auto"/>
      </w:pPr>
      <w:r>
        <w:rPr>
          <w:rFonts w:ascii="Calibri" w:hAnsi="Calibri"/>
          <w:i w:val="0"/>
          <w:color w:val="212529"/>
          <w:sz w:val="21"/>
        </w:rPr>
        <w:t>Melchor, as Director of the Bureau of Forestry Development, approved contracts for emergency repair of regional facilities damaged by typhoons. The contractors completed the repair work satisfactorily and the government enjoyed the full benefits of the infrastructure. Later, the Commission on Audit (COA) disallowed all disbursements on post-audit, holding that the contracts were void ab initio for failure to undergo public bidding and lack of an advance Certificate of Availability of Funds (CAF) as literally required by Sections 85 and 86 of P.D. No. 1445 (Government Auditing Code). COA held Melchor personally liable to refund the full contract amount.</w:t>
      </w:r>
    </w:p>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SUMMARY OF FACTS</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A government agency hired contractors to fix storm-damaged facilities. The contractors finished the work and the government used the buildings. The COA auditor disallowed the payments because the project lacked prior public bidding and an advance funding certificate, ordering the agency head to pay millions out of his own pocket. The Supreme Court ruled that because the government got the benefit of the completed work, it cannot unjustifiably enrich itself: under the principle of Quantum Meruit, the contractor must be paid the fair value of the work, and the official is not personally liable where there is no fraud.</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When reciting the facts, state the core dispute in 2 sentences, then state how the case reached the Supreme Court.</w:t>
            </w:r>
          </w:p>
        </w:tc>
      </w:tr>
    </w:tbl>
    <w:p>
      <w:pPr>
        <w:keepNext/>
        <w:spacing w:before="200" w:after="40"/>
      </w:pPr>
      <w:r>
        <w:rPr>
          <w:rFonts w:ascii="Arial" w:hAnsi="Arial"/>
          <w:b/>
          <w:color w:val="781E1E"/>
          <w:sz w:val="22"/>
        </w:rPr>
        <w:t>III. THE LEGAL ISSUE</w:t>
      </w:r>
    </w:p>
    <w:p>
      <w:pPr>
        <w:spacing w:before="40" w:after="80" w:line="276" w:lineRule="auto"/>
      </w:pPr>
      <w:r>
        <w:rPr>
          <w:rFonts w:ascii="Calibri" w:hAnsi="Calibri"/>
          <w:i w:val="0"/>
          <w:color w:val="212529"/>
          <w:sz w:val="21"/>
        </w:rPr>
        <w:t>Whether or not the government can refuse payment and hold a public official personally liable for completed infrastructure work under a technically void contract, invoking Quantum Meruit and prevention of unjust enrichment (Nemo Cum Alterius Detrimento Locupletari Potest).</w:t>
      </w:r>
    </w:p>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THE LEGAL ISSUE</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Can the government keep the benefits of completed repair work for free and make a public official pay out of his own pocket just because technical bidding papers were missing?</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"Sir/Ma'am, the issue is whether the principle of Quantum Meruit applies to compensate completed government contracts despite procedural auditing defects under PD 1445, testing the canon that the Law Does Not Intend Unjust Enrichment (Nemo Cum Alterius Detrimento Locupletari Potest / Lex Non Intendit Absurdum)."</w:t>
            </w:r>
          </w:p>
        </w:tc>
      </w:tr>
    </w:tbl>
    <w:p>
      <w:pPr>
        <w:keepNext/>
        <w:spacing w:before="200" w:after="40"/>
      </w:pPr>
      <w:r>
        <w:rPr>
          <w:rFonts w:ascii="Arial" w:hAnsi="Arial"/>
          <w:b/>
          <w:color w:val="781E1E"/>
          <w:sz w:val="22"/>
        </w:rPr>
        <w:t>IV. ALAC DIGEST</w:t>
      </w:r>
    </w:p>
    <w:tbl>
      <w:tblPr>
        <w:tblW w:type="auto" w:w="0"/>
        <w:jc w:val="center"/>
        <w:tblLook w:firstColumn="1" w:firstRow="1" w:lastColumn="0" w:lastRow="0" w:noHBand="0" w:noVBand="1" w:val="04A0"/>
      </w:tblPr>
      <w:tblGrid>
        <w:gridCol w:w="9648"/>
      </w:tblGrid>
      <w:tr>
        <w:tc>
          <w:tcPr>
            <w:tcW w:type="dxa" w:w="9648"/>
            <w:shd w:fill="F4F6F9"/>
            <w:tcMar>
              <w:top w:w="120" w:type="dxa"/>
              <w:bottom w:w="120" w:type="dxa"/>
              <w:left w:w="180" w:type="dxa"/>
              <w:right w:w="180" w:type="dxa"/>
            </w:tcMar>
          </w:tcPr>
          <w:p>
            <w:pPr>
              <w:spacing w:before="40" w:after="60"/>
            </w:pPr>
            <w:r>
              <w:rPr>
                <w:rFonts w:ascii="Arial" w:hAnsi="Arial"/>
                <w:b/>
                <w:color w:val="0F2043"/>
                <w:sz w:val="21"/>
              </w:rPr>
              <w:t>[A] ANSWER</w:t>
              <w:br/>
            </w:r>
          </w:p>
          <w:p>
            <w:pPr>
              <w:spacing w:before="20" w:after="40" w:line="276" w:lineRule="auto"/>
            </w:pPr>
            <w:r>
              <w:rPr>
                <w:rFonts w:ascii="Calibri" w:hAnsi="Calibri"/>
                <w:color w:val="212529"/>
                <w:sz w:val="20"/>
              </w:rPr>
              <w:t>NO. The government CANNOT unjustly enrich itself by retaining the benefits of completed work without payment. While the contract was technically defective, payment on the basis of QUANTUM MERUIT (as much as he deserved) is legally authorized, and the public official acting in good faith without fraud cannot be held personally liable.</w:t>
            </w:r>
          </w:p>
        </w:tc>
      </w:tr>
    </w:tbl>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THE ANSWER</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No. The government cannot take completed buildings for free. Under Quantum Meruit, the contractor is entitled to fair payment for actual work done, and an official who acted in good faith to repair storm damage without pocketing money cannot be made personally liable.</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"No, Sir/Ma'am. The Supreme Court held that under the doctrine of Quantum Meruit (as much as he deserved) and the equitable maxim Nemo cum alterius detrimento locupletari potest (no one should be enriched at the expense of another), the government cannot keep the benefit of completed work without compensating the contractor, and personal liability cannot be imposed on an official in the absence of bad faith or fraud."</w:t>
            </w:r>
          </w:p>
        </w:tc>
      </w:tr>
    </w:tbl>
    <w:tbl>
      <w:tblPr>
        <w:tblW w:type="auto" w:w="0"/>
        <w:jc w:val="center"/>
        <w:tblLook w:firstColumn="1" w:firstRow="1" w:lastColumn="0" w:lastRow="0" w:noHBand="0" w:noVBand="1" w:val="04A0"/>
      </w:tblPr>
      <w:tblGrid>
        <w:gridCol w:w="9648"/>
      </w:tblGrid>
      <w:tr>
        <w:tc>
          <w:tcPr>
            <w:tcW w:type="dxa" w:w="9648"/>
            <w:shd w:fill="F4F6F9"/>
            <w:tcMar>
              <w:top w:w="120" w:type="dxa"/>
              <w:bottom w:w="120" w:type="dxa"/>
              <w:left w:w="180" w:type="dxa"/>
              <w:right w:w="180" w:type="dxa"/>
            </w:tcMar>
          </w:tcPr>
          <w:p>
            <w:pPr>
              <w:spacing w:before="40" w:after="60"/>
            </w:pPr>
            <w:r>
              <w:rPr>
                <w:rFonts w:ascii="Arial" w:hAnsi="Arial"/>
                <w:b/>
                <w:color w:val="0F2043"/>
                <w:sz w:val="21"/>
              </w:rPr>
              <w:t>[L] LEGAL BASIS</w:t>
              <w:br/>
            </w:r>
          </w:p>
          <w:p>
            <w:pPr>
              <w:spacing w:before="20" w:after="40" w:line="276" w:lineRule="auto"/>
            </w:pPr>
            <w:r>
              <w:rPr>
                <w:rFonts w:ascii="Calibri" w:hAnsi="Calibri"/>
                <w:b/>
                <w:color w:val="212529"/>
                <w:sz w:val="20"/>
              </w:rPr>
              <w:t xml:space="preserve">1. Sections 85, 86, and 87, Presidential Decree No. 1445 (Government Auditing Code): </w:t>
            </w:r>
            <w:r>
              <w:rPr>
                <w:rFonts w:ascii="Calibri" w:hAnsi="Calibri"/>
                <w:color w:val="212529"/>
                <w:sz w:val="20"/>
              </w:rPr>
              <w:t>Auditing requirements for government contracts, balanced against equitable principles of public contracting.</w:t>
            </w:r>
          </w:p>
          <w:p>
            <w:pPr>
              <w:spacing w:before="20" w:after="40" w:line="276" w:lineRule="auto"/>
            </w:pPr>
            <w:r>
              <w:rPr>
                <w:rFonts w:ascii="Calibri" w:hAnsi="Calibri"/>
                <w:b/>
                <w:color w:val="212529"/>
                <w:sz w:val="20"/>
              </w:rPr>
              <w:t xml:space="preserve">2. Quantum Meruit (as much as he deserved): </w:t>
            </w:r>
            <w:r>
              <w:rPr>
                <w:rFonts w:ascii="Calibri" w:hAnsi="Calibri"/>
                <w:color w:val="212529"/>
                <w:sz w:val="20"/>
              </w:rPr>
              <w:t>Equitable remedy allowing compensation for actual value of goods or services rendered and accepted.</w:t>
            </w:r>
          </w:p>
          <w:p>
            <w:pPr>
              <w:spacing w:before="20" w:after="40" w:line="276" w:lineRule="auto"/>
            </w:pPr>
            <w:r>
              <w:rPr>
                <w:rFonts w:ascii="Calibri" w:hAnsi="Calibri"/>
                <w:b/>
                <w:color w:val="212529"/>
                <w:sz w:val="20"/>
              </w:rPr>
              <w:t xml:space="preserve">3. Nemo Cum Alterius Detrimento Locupletari Potest (no one shall enrich himself at the expense of another): </w:t>
            </w:r>
            <w:r>
              <w:rPr>
                <w:rFonts w:ascii="Calibri" w:hAnsi="Calibri"/>
                <w:color w:val="212529"/>
                <w:sz w:val="20"/>
              </w:rPr>
              <w:t>Fundamental principle against unjust enrichment by the government.</w:t>
            </w:r>
          </w:p>
          <w:p>
            <w:pPr>
              <w:spacing w:before="20" w:after="40" w:line="276" w:lineRule="auto"/>
            </w:pPr>
            <w:r>
              <w:rPr>
                <w:rFonts w:ascii="Calibri" w:hAnsi="Calibri"/>
                <w:b/>
                <w:color w:val="212529"/>
                <w:sz w:val="20"/>
              </w:rPr>
              <w:t xml:space="preserve">4. Lex Non Intendit Aliquid Impossibile Aut Absurdum (the law does not intend anything impossible or absurd): </w:t>
            </w:r>
            <w:r>
              <w:rPr>
                <w:rFonts w:ascii="Calibri" w:hAnsi="Calibri"/>
                <w:color w:val="212529"/>
                <w:sz w:val="20"/>
              </w:rPr>
              <w:t>Statutory auditing rules must not be construed to authorize state confiscation of private labor.</w:t>
            </w:r>
          </w:p>
        </w:tc>
      </w:tr>
    </w:tbl>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LEGAL BASIS</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PD 1445, Quantum Meruit, and Nemo cum alterius detrimento locupletari potest.</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"Sir/Ma'am, the legal basis is PD 1445, harmonized with the doctrine of Quantum Meruit and the bedrock maxim Nemo cum alterius detrimento locupletari potest (no one shall enrich himself at another's loss)."</w:t>
            </w:r>
          </w:p>
        </w:tc>
      </w:tr>
    </w:tbl>
    <w:tbl>
      <w:tblPr>
        <w:tblW w:type="auto" w:w="0"/>
        <w:jc w:val="center"/>
        <w:tblLook w:firstColumn="1" w:firstRow="1" w:lastColumn="0" w:lastRow="0" w:noHBand="0" w:noVBand="1" w:val="04A0"/>
      </w:tblPr>
      <w:tblGrid>
        <w:gridCol w:w="9648"/>
      </w:tblGrid>
      <w:tr>
        <w:tc>
          <w:tcPr>
            <w:tcW w:type="dxa" w:w="9648"/>
            <w:shd w:fill="F4F6F9"/>
            <w:tcMar>
              <w:top w:w="120" w:type="dxa"/>
              <w:bottom w:w="120" w:type="dxa"/>
              <w:left w:w="180" w:type="dxa"/>
              <w:right w:w="180" w:type="dxa"/>
            </w:tcMar>
          </w:tcPr>
          <w:p>
            <w:pPr>
              <w:spacing w:before="40" w:after="60"/>
            </w:pPr>
            <w:r>
              <w:rPr>
                <w:rFonts w:ascii="Arial" w:hAnsi="Arial"/>
                <w:b/>
                <w:color w:val="0F2043"/>
                <w:sz w:val="21"/>
              </w:rPr>
              <w:t>[A] ANALYSIS / APPLICATION</w:t>
              <w:br/>
            </w:r>
          </w:p>
          <w:p>
            <w:pPr>
              <w:spacing w:before="20" w:after="40" w:line="276" w:lineRule="auto"/>
            </w:pPr>
            <w:r>
              <w:rPr>
                <w:rFonts w:ascii="Calibri" w:hAnsi="Calibri"/>
                <w:b/>
                <w:color w:val="212529"/>
                <w:sz w:val="20"/>
              </w:rPr>
              <w:t xml:space="preserve">1. Prevention of Government Unjust Enrichment: </w:t>
            </w:r>
            <w:r>
              <w:rPr>
                <w:rFonts w:ascii="Calibri" w:hAnsi="Calibri"/>
                <w:color w:val="212529"/>
                <w:sz w:val="20"/>
              </w:rPr>
              <w:t>The government received and currently enjoys the full benefit of the typhoon repair work. To deny compensation would amount to state enrichment at the expense of private contractors.</w:t>
            </w:r>
          </w:p>
          <w:p>
            <w:pPr>
              <w:spacing w:before="20" w:after="40" w:line="276" w:lineRule="auto"/>
            </w:pPr>
            <w:r>
              <w:rPr>
                <w:rFonts w:ascii="Calibri" w:hAnsi="Calibri"/>
                <w:b/>
                <w:color w:val="212529"/>
                <w:sz w:val="20"/>
              </w:rPr>
              <w:t xml:space="preserve">2. Scope of Quantum Meruit in Government Contracts: </w:t>
            </w:r>
            <w:r>
              <w:rPr>
                <w:rFonts w:ascii="Calibri" w:hAnsi="Calibri"/>
                <w:color w:val="212529"/>
                <w:sz w:val="20"/>
              </w:rPr>
              <w:t>Where a contract is invalid solely due to procedural auditing omissions but involves no fraud or overpricing, equity demands compensation based on the reasonable value of labor and materials.</w:t>
            </w:r>
          </w:p>
          <w:p>
            <w:pPr>
              <w:spacing w:before="20" w:after="40" w:line="276" w:lineRule="auto"/>
            </w:pPr>
            <w:r>
              <w:rPr>
                <w:rFonts w:ascii="Calibri" w:hAnsi="Calibri"/>
                <w:b/>
                <w:color w:val="212529"/>
                <w:sz w:val="20"/>
              </w:rPr>
              <w:t xml:space="preserve">3. Public Officer Good Faith: </w:t>
            </w:r>
            <w:r>
              <w:rPr>
                <w:rFonts w:ascii="Calibri" w:hAnsi="Calibri"/>
                <w:color w:val="212529"/>
                <w:sz w:val="20"/>
              </w:rPr>
              <w:t>An administrative official who acted in good faith to address an emergency without personal gain cannot be held personally liable for the contractor's compensation.</w:t>
            </w:r>
          </w:p>
        </w:tc>
      </w:tr>
    </w:tbl>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ANALYSIS / APPLICATION</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Auditing rules exist to stop corruption, not to rob honest workers who fixed government buildings after a typhoon. Since the work was inspected and utilized, equity and common sense require paying the actual fair value of the work under Quantum Meruit.</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"Sir/Ma'am, the Court applied Quantum Meruit and equitable statutory interpretation. While auditing rules under PD 1445 are mandatory, they cannot be interpreted to allow the State to confiscate private work without compensation. The Court relieved the official of personal liability."</w:t>
            </w:r>
          </w:p>
        </w:tc>
      </w:tr>
    </w:tbl>
    <w:tbl>
      <w:tblPr>
        <w:tblW w:type="auto" w:w="0"/>
        <w:jc w:val="center"/>
        <w:tblLook w:firstColumn="1" w:firstRow="1" w:lastColumn="0" w:lastRow="0" w:noHBand="0" w:noVBand="1" w:val="04A0"/>
      </w:tblPr>
      <w:tblGrid>
        <w:gridCol w:w="9648"/>
      </w:tblGrid>
      <w:tr>
        <w:tc>
          <w:tcPr>
            <w:tcW w:type="dxa" w:w="9648"/>
            <w:shd w:fill="F4F6F9"/>
            <w:tcMar>
              <w:top w:w="120" w:type="dxa"/>
              <w:bottom w:w="120" w:type="dxa"/>
              <w:left w:w="180" w:type="dxa"/>
              <w:right w:w="180" w:type="dxa"/>
            </w:tcMar>
          </w:tcPr>
          <w:p>
            <w:pPr>
              <w:spacing w:before="40" w:after="60"/>
            </w:pPr>
            <w:r>
              <w:rPr>
                <w:rFonts w:ascii="Arial" w:hAnsi="Arial"/>
                <w:b/>
                <w:color w:val="0F2043"/>
                <w:sz w:val="21"/>
              </w:rPr>
              <w:t>[C] CONCLUSION</w:t>
              <w:br/>
            </w:r>
          </w:p>
          <w:p>
            <w:pPr>
              <w:spacing w:before="20" w:after="40" w:line="276" w:lineRule="auto"/>
            </w:pPr>
            <w:r>
              <w:rPr>
                <w:rFonts w:ascii="Calibri" w:hAnsi="Calibri"/>
                <w:color w:val="212529"/>
                <w:sz w:val="20"/>
              </w:rPr>
              <w:t>The Supreme Court SET ASIDE the COA disallowance, AUTHORIZED payment to the contractors on the basis of QUANTUM MERUIT, and ABSOLVED petitioner Jose Melchor, Jr. from personal liability.</w:t>
            </w:r>
          </w:p>
        </w:tc>
      </w:tr>
    </w:tbl>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CONCLUSION</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The disallowance was set aside; contractors were ordered paid under quantum meruit, and the official was cleared of personal liability.</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"The Supreme Court set aside the personal disallowance and authorized payment on quantum meruit, preventing unjust enrichment by the State."</w:t>
            </w:r>
          </w:p>
        </w:tc>
      </w:tr>
    </w:tbl>
    <w:p>
      <w:pPr>
        <w:keepNext/>
        <w:spacing w:before="200" w:after="40"/>
      </w:pPr>
      <w:r>
        <w:rPr>
          <w:rFonts w:ascii="Arial" w:hAnsi="Arial"/>
          <w:b/>
          <w:color w:val="781E1E"/>
          <w:sz w:val="22"/>
        </w:rPr>
        <w:t>V. RELATION TO STATUTORY CONSTRUCTION</w:t>
      </w:r>
    </w:p>
    <w:p>
      <w:pPr>
        <w:spacing w:before="40" w:after="80" w:line="276" w:lineRule="auto"/>
      </w:pPr>
      <w:r>
        <w:rPr>
          <w:rFonts w:ascii="Calibri" w:hAnsi="Calibri"/>
          <w:b/>
          <w:color w:val="212529"/>
          <w:sz w:val="21"/>
        </w:rPr>
        <w:t>• Syllabus Topic Alignment:</w:t>
        <w:br/>
      </w:r>
      <w:r>
        <w:rPr>
          <w:rFonts w:ascii="Calibri" w:hAnsi="Calibri"/>
          <w:i w:val="0"/>
          <w:color w:val="212529"/>
          <w:sz w:val="21"/>
        </w:rPr>
        <w:t>• Chapter III: Basic Guidelines in the Construction and Interpretation of Laws</w:t>
        <w:br/>
        <w:t xml:space="preserve">  - A. General Guidelines: Equitable Construction Against Unjust Enrichment (Quantum Meruit)</w:t>
      </w:r>
    </w:p>
    <w:tbl>
      <w:tblPr>
        <w:tblW w:type="auto" w:w="0"/>
        <w:jc w:val="center"/>
        <w:tblLook w:firstColumn="1" w:firstRow="1" w:lastColumn="0" w:lastRow="0" w:noHBand="0" w:noVBand="1" w:val="04A0"/>
      </w:tblPr>
      <w:tblGrid>
        <w:gridCol w:w="9648"/>
      </w:tblGrid>
      <w:tr>
        <w:tc>
          <w:tcPr>
            <w:tcW w:type="dxa" w:w="9648"/>
            <w:shd w:fill="FDF6EE"/>
            <w:tcMar>
              <w:top w:w="120" w:type="dxa"/>
              <w:bottom w:w="120" w:type="dxa"/>
              <w:left w:w="180" w:type="dxa"/>
              <w:right w:w="180" w:type="dxa"/>
            </w:tcMar>
          </w:tcPr>
          <w:p>
            <w:pPr>
              <w:spacing w:before="40" w:after="80"/>
            </w:pPr>
            <w:r>
              <w:rPr>
                <w:rFonts w:ascii="Arial" w:hAnsi="Arial"/>
                <w:b/>
                <w:color w:val="8C3200"/>
                <w:sz w:val="20"/>
              </w:rPr>
              <w:t>📜 GOVERNING LATIN MAXIMS WITH ENGLISH TRANSLATIONS</w:t>
              <w:br/>
            </w:r>
          </w:p>
          <w:p>
            <w:pPr>
              <w:spacing w:before="40" w:after="60" w:line="276" w:lineRule="auto"/>
            </w:pPr>
            <w:r>
              <w:rPr>
                <w:rFonts w:ascii="Calibri" w:hAnsi="Calibri"/>
                <w:b/>
                <w:color w:val="8C3200"/>
                <w:sz w:val="20"/>
              </w:rPr>
              <w:t>1. Nemo cum alterius detrimento locupletari potest (no one should be enriched to the damage or injury of another)</w:t>
              <w:br/>
            </w:r>
            <w:r>
              <w:rPr>
                <w:rFonts w:ascii="Calibri" w:hAnsi="Calibri"/>
                <w:b/>
                <w:color w:val="212529"/>
                <w:sz w:val="19"/>
              </w:rPr>
              <w:t xml:space="preserve">   • Literal English Translation: </w:t>
            </w:r>
            <w:r>
              <w:rPr>
                <w:rFonts w:ascii="Calibri" w:hAnsi="Calibri"/>
                <w:i/>
                <w:color w:val="212529"/>
                <w:sz w:val="19"/>
              </w:rPr>
              <w:t>No one should be enriched at another's expense.</w:t>
              <w:br/>
            </w:r>
            <w:r>
              <w:rPr>
                <w:rFonts w:ascii="Calibri" w:hAnsi="Calibri"/>
                <w:b/>
                <w:color w:val="212529"/>
                <w:sz w:val="19"/>
              </w:rPr>
              <w:t xml:space="preserve">   • Plain Legal Meaning &amp; StatCon Application: </w:t>
            </w:r>
            <w:r>
              <w:rPr>
                <w:rFonts w:ascii="Calibri" w:hAnsi="Calibri"/>
                <w:color w:val="212529"/>
                <w:sz w:val="19"/>
              </w:rPr>
              <w:t>The government cannot use auditing technicalities to confiscate completed private work for free.</w:t>
            </w:r>
          </w:p>
          <w:p>
            <w:pPr>
              <w:spacing w:before="40" w:after="60" w:line="276" w:lineRule="auto"/>
            </w:pPr>
            <w:r>
              <w:rPr>
                <w:rFonts w:ascii="Calibri" w:hAnsi="Calibri"/>
                <w:b/>
                <w:color w:val="8C3200"/>
                <w:sz w:val="20"/>
              </w:rPr>
              <w:t>2. Lex non intendit aliquid impossibile aut absurdum (the law does not intend anything impossible or absurd)</w:t>
              <w:br/>
            </w:r>
            <w:r>
              <w:rPr>
                <w:rFonts w:ascii="Calibri" w:hAnsi="Calibri"/>
                <w:b/>
                <w:color w:val="212529"/>
                <w:sz w:val="19"/>
              </w:rPr>
              <w:t xml:space="preserve">   • Literal English Translation: </w:t>
            </w:r>
            <w:r>
              <w:rPr>
                <w:rFonts w:ascii="Calibri" w:hAnsi="Calibri"/>
                <w:i/>
                <w:color w:val="212529"/>
                <w:sz w:val="19"/>
              </w:rPr>
              <w:t>The law does not intend anything impossible or absurd.</w:t>
              <w:br/>
            </w:r>
            <w:r>
              <w:rPr>
                <w:rFonts w:ascii="Calibri" w:hAnsi="Calibri"/>
                <w:b/>
                <w:color w:val="212529"/>
                <w:sz w:val="19"/>
              </w:rPr>
              <w:t xml:space="preserve">   • Plain Legal Meaning &amp; StatCon Application: </w:t>
            </w:r>
            <w:r>
              <w:rPr>
                <w:rFonts w:ascii="Calibri" w:hAnsi="Calibri"/>
                <w:color w:val="212529"/>
                <w:sz w:val="19"/>
              </w:rPr>
              <w:t>It is absurd to interpret auditing statutes as permitting state confiscation of completed repairs.</w:t>
            </w:r>
          </w:p>
          <w:p>
            <w:pPr>
              <w:spacing w:before="40" w:after="60" w:line="276" w:lineRule="auto"/>
            </w:pPr>
            <w:r>
              <w:rPr>
                <w:rFonts w:ascii="Calibri" w:hAnsi="Calibri"/>
                <w:b/>
                <w:color w:val="8C3200"/>
                <w:sz w:val="20"/>
              </w:rPr>
              <w:t>3. Quantum meruit (as much as he deserved)</w:t>
              <w:br/>
            </w:r>
            <w:r>
              <w:rPr>
                <w:rFonts w:ascii="Calibri" w:hAnsi="Calibri"/>
                <w:b/>
                <w:color w:val="212529"/>
                <w:sz w:val="19"/>
              </w:rPr>
              <w:t xml:space="preserve">   • Literal English Translation: </w:t>
            </w:r>
            <w:r>
              <w:rPr>
                <w:rFonts w:ascii="Calibri" w:hAnsi="Calibri"/>
                <w:i/>
                <w:color w:val="212529"/>
                <w:sz w:val="19"/>
              </w:rPr>
              <w:t>As much as he deserved.</w:t>
              <w:br/>
            </w:r>
            <w:r>
              <w:rPr>
                <w:rFonts w:ascii="Calibri" w:hAnsi="Calibri"/>
                <w:b/>
                <w:color w:val="212529"/>
                <w:sz w:val="19"/>
              </w:rPr>
              <w:t xml:space="preserve">   • Plain Legal Meaning &amp; StatCon Application: </w:t>
            </w:r>
            <w:r>
              <w:rPr>
                <w:rFonts w:ascii="Calibri" w:hAnsi="Calibri"/>
                <w:color w:val="212529"/>
                <w:sz w:val="19"/>
              </w:rPr>
              <w:t>Fair and reasonable compensation must be paid for actual benefits accepted and used by the government.</w:t>
            </w:r>
          </w:p>
        </w:tc>
      </w:tr>
    </w:tbl>
    <w:tbl>
      <w:tblPr>
        <w:tblW w:type="auto" w:w="0"/>
        <w:jc w:val="center"/>
        <w:tblLook w:firstColumn="1" w:firstRow="1" w:lastColumn="0" w:lastRow="0" w:noHBand="0" w:noVBand="1" w:val="04A0"/>
      </w:tblPr>
      <w:tblGrid>
        <w:gridCol w:w="4824"/>
        <w:gridCol w:w="4824"/>
      </w:tblGrid>
      <w:tr>
        <w:tc>
          <w:tcPr>
            <w:tcW w:type="dxa" w:w="4824"/>
            <w:shd w:fill="EAEFF5"/>
            <w:tcMar>
              <w:top w:w="80" w:type="dxa"/>
              <w:bottom w:w="80" w:type="dxa"/>
              <w:left w:w="120" w:type="dxa"/>
              <w:right w:w="120" w:type="dxa"/>
            </w:tcMar>
          </w:tcPr>
          <w:p>
            <w:pPr>
              <w:spacing w:before="40" w:after="40"/>
            </w:pPr>
            <w:r>
              <w:rPr>
                <w:rFonts w:ascii="Arial" w:hAnsi="Arial"/>
                <w:b/>
                <w:color w:val="0F2043"/>
                <w:sz w:val="18"/>
              </w:rPr>
              <w:t>Syllabus Topic Alignment</w:t>
              <w:br/>
              <w:t>(StatCon_Syllabus_JPR.pdf)</w:t>
            </w:r>
          </w:p>
        </w:tc>
        <w:tc>
          <w:tcPr>
            <w:tcW w:type="dxa" w:w="4824"/>
            <w:shd w:fill="FAFAFA"/>
            <w:tcMar>
              <w:top w:w="80" w:type="dxa"/>
              <w:bottom w:w="80" w:type="dxa"/>
              <w:left w:w="120" w:type="dxa"/>
              <w:right w:w="120" w:type="dxa"/>
            </w:tcMar>
          </w:tcPr>
          <w:p>
            <w:pPr>
              <w:spacing w:before="40" w:after="40" w:line="276" w:lineRule="auto"/>
            </w:pPr>
            <w:r>
              <w:rPr>
                <w:rFonts w:ascii="Calibri" w:hAnsi="Calibri"/>
                <w:color w:val="212529"/>
                <w:sz w:val="19"/>
              </w:rPr>
              <w:t>• Chapter III: Basic Guidelines in the Construction and Interpretation of Laws</w:t>
              <w:br/>
              <w:t xml:space="preserve">  - A. General Guidelines: Equitable Construction Against Unjust Enrichment (Quantum Meruit)</w:t>
            </w:r>
          </w:p>
        </w:tc>
      </w:tr>
      <w:tr>
        <w:tc>
          <w:tcPr>
            <w:tcW w:type="dxa" w:w="4824"/>
            <w:shd w:fill="EAEFF5"/>
            <w:tcMar>
              <w:top w:w="80" w:type="dxa"/>
              <w:bottom w:w="80" w:type="dxa"/>
              <w:left w:w="120" w:type="dxa"/>
              <w:right w:w="120" w:type="dxa"/>
            </w:tcMar>
          </w:tcPr>
          <w:p>
            <w:pPr>
              <w:spacing w:before="40" w:after="40"/>
            </w:pPr>
            <w:r>
              <w:rPr>
                <w:rFonts w:ascii="Arial" w:hAnsi="Arial"/>
                <w:b/>
                <w:color w:val="0F2043"/>
                <w:sz w:val="18"/>
              </w:rPr>
              <w:t>Governing Latin Maxims &amp; English</w:t>
            </w:r>
          </w:p>
        </w:tc>
        <w:tc>
          <w:tcPr>
            <w:tcW w:type="dxa" w:w="4824"/>
            <w:shd w:fill="FAFAFA"/>
            <w:tcMar>
              <w:top w:w="80" w:type="dxa"/>
              <w:bottom w:w="80" w:type="dxa"/>
              <w:left w:w="120" w:type="dxa"/>
              <w:right w:w="120" w:type="dxa"/>
            </w:tcMar>
          </w:tcPr>
          <w:p>
            <w:pPr>
              <w:spacing w:before="40" w:after="40" w:line="276" w:lineRule="auto"/>
            </w:pPr>
            <w:r>
              <w:rPr>
                <w:rFonts w:ascii="Calibri" w:hAnsi="Calibri"/>
                <w:color w:val="212529"/>
                <w:sz w:val="19"/>
              </w:rPr>
              <w:t>Primary:</w:t>
              <w:br/>
              <w:t>Nemo cum alterius detrimento locupletari potest</w:t>
              <w:br/>
              <w:t>(no one should be enriched at the expense of another / government cannot invoke technical contract nullity to confiscate completed works without compensation)</w:t>
              <w:br/>
              <w:br/>
              <w:t>Secondary:</w:t>
              <w:br/>
              <w:t>• Quantum meruit (as much as he deserved)</w:t>
              <w:br/>
              <w:t>• Lex non intendit absurdum (the law does not intend absurdity)</w:t>
            </w:r>
          </w:p>
        </w:tc>
      </w:tr>
      <w:tr>
        <w:tc>
          <w:tcPr>
            <w:tcW w:type="dxa" w:w="4824"/>
            <w:shd w:fill="EAEFF5"/>
            <w:tcMar>
              <w:top w:w="80" w:type="dxa"/>
              <w:bottom w:w="80" w:type="dxa"/>
              <w:left w:w="120" w:type="dxa"/>
              <w:right w:w="120" w:type="dxa"/>
            </w:tcMar>
          </w:tcPr>
          <w:p>
            <w:pPr>
              <w:spacing w:before="40" w:after="40"/>
            </w:pPr>
            <w:r>
              <w:rPr>
                <w:rFonts w:ascii="Arial" w:hAnsi="Arial"/>
                <w:b/>
                <w:color w:val="0F2043"/>
                <w:sz w:val="18"/>
              </w:rPr>
              <w:t>Case Violation in StatCon</w:t>
            </w:r>
          </w:p>
        </w:tc>
        <w:tc>
          <w:tcPr>
            <w:tcW w:type="dxa" w:w="4824"/>
            <w:shd w:fill="FAFAFA"/>
            <w:tcMar>
              <w:top w:w="80" w:type="dxa"/>
              <w:bottom w:w="80" w:type="dxa"/>
              <w:left w:w="120" w:type="dxa"/>
              <w:right w:w="120" w:type="dxa"/>
            </w:tcMar>
          </w:tcPr>
          <w:p>
            <w:pPr>
              <w:spacing w:before="40" w:after="40" w:line="276" w:lineRule="auto"/>
            </w:pPr>
            <w:r>
              <w:rPr>
                <w:rFonts w:ascii="Calibri" w:hAnsi="Calibri"/>
                <w:color w:val="212529"/>
                <w:sz w:val="19"/>
              </w:rPr>
              <w:t>COA interpreted auditing rules with mechanical rigidity to confiscate private construction work without compensation, creating unjust enrichment.</w:t>
            </w:r>
          </w:p>
        </w:tc>
      </w:tr>
      <w:tr>
        <w:tc>
          <w:tcPr>
            <w:tcW w:type="dxa" w:w="4824"/>
            <w:shd w:fill="EAEFF5"/>
            <w:tcMar>
              <w:top w:w="80" w:type="dxa"/>
              <w:bottom w:w="80" w:type="dxa"/>
              <w:left w:w="120" w:type="dxa"/>
              <w:right w:w="120" w:type="dxa"/>
            </w:tcMar>
          </w:tcPr>
          <w:p>
            <w:pPr>
              <w:spacing w:before="40" w:after="40"/>
            </w:pPr>
            <w:r>
              <w:rPr>
                <w:rFonts w:ascii="Arial" w:hAnsi="Arial"/>
                <w:b/>
                <w:color w:val="0F2043"/>
                <w:sz w:val="18"/>
              </w:rPr>
              <w:t>Doctrinal Execution / Principle</w:t>
            </w:r>
          </w:p>
        </w:tc>
        <w:tc>
          <w:tcPr>
            <w:tcW w:type="dxa" w:w="4824"/>
            <w:shd w:fill="FAFAFA"/>
            <w:tcMar>
              <w:top w:w="80" w:type="dxa"/>
              <w:bottom w:w="80" w:type="dxa"/>
              <w:left w:w="120" w:type="dxa"/>
              <w:right w:w="120" w:type="dxa"/>
            </w:tcMar>
          </w:tcPr>
          <w:p>
            <w:pPr>
              <w:spacing w:before="40" w:after="40" w:line="276" w:lineRule="auto"/>
            </w:pPr>
            <w:r>
              <w:rPr>
                <w:rFonts w:ascii="Calibri" w:hAnsi="Calibri"/>
                <w:color w:val="212529"/>
                <w:sz w:val="19"/>
              </w:rPr>
              <w:t>Equitable Construction Against Unjust Enrichment: Auditing statutes must be construed in harmony with equity; procedural defects will not bar recovery on quantum meruit for completed, beneficial works.</w:t>
            </w:r>
          </w:p>
        </w:tc>
      </w:tr>
    </w:tbl>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RELATION TO STATUTORY CONSTRUCTION</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Auditing laws must be applied with fairness; the government cannot take private services and refuse to pay by crying technicality.</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"Sir/Ma'am, Melchor v. COA establishes that statutory auditing rules under PD 1445 cannot override the equitable principle against unjust enrichment—authorizing payment under Quantum Meruit."</w:t>
            </w:r>
          </w:p>
        </w:tc>
      </w:tr>
    </w:tbl>
    <w:p>
      <w:pPr>
        <w:spacing w:before="160" w:after="80"/>
      </w:pPr>
    </w:p>
    <w:tbl>
      <w:tblPr>
        <w:tblW w:type="auto" w:w="0"/>
        <w:jc w:val="center"/>
        <w:tblLook w:firstColumn="1" w:firstRow="1" w:lastColumn="0" w:lastRow="0" w:noHBand="0" w:noVBand="1" w:val="04A0"/>
      </w:tblPr>
      <w:tblGrid>
        <w:gridCol w:w="9648"/>
      </w:tblGrid>
      <w:tr>
        <w:tc>
          <w:tcPr>
            <w:tcW w:type="dxa" w:w="9648"/>
            <w:shd w:fill="1E3A5F"/>
            <w:tcMar>
              <w:top w:w="140" w:type="dxa"/>
              <w:bottom w:w="140" w:type="dxa"/>
              <w:left w:w="200" w:type="dxa"/>
              <w:right w:w="200" w:type="dxa"/>
            </w:tcMar>
          </w:tcPr>
          <w:p>
            <w:pPr>
              <w:spacing w:before="40" w:after="40"/>
              <w:jc w:val="center"/>
            </w:pPr>
            <w:r>
              <w:rPr>
                <w:rFonts w:ascii="Arial" w:hAnsi="Arial"/>
                <w:b/>
                <w:color w:val="FFD700"/>
                <w:sz w:val="22"/>
              </w:rPr>
              <w:t>⚖ STANDARDIZED CASE DIGEST: STATUTORY CONSTRUCTION FORMAT</w:t>
              <w:br/>
            </w:r>
            <w:r>
              <w:rPr>
                <w:rFonts w:ascii="Arial" w:hAnsi="Arial"/>
                <w:i/>
                <w:color w:val="DCEBFF"/>
                <w:sz w:val="18"/>
              </w:rPr>
              <w:t>(Complete 12-Section Academic &amp; Judicial Construction Analysis)</w:t>
            </w:r>
          </w:p>
        </w:tc>
      </w:tr>
    </w:tbl>
    <w:p>
      <w:pPr>
        <w:spacing w:before="80" w:after="80"/>
      </w:pPr>
    </w:p>
    <w:tbl>
      <w:tblPr>
        <w:tblW w:type="auto" w:w="0"/>
        <w:jc w:val="center"/>
        <w:tblLook w:firstColumn="1" w:firstRow="1" w:lastColumn="0" w:lastRow="0" w:noHBand="0" w:noVBand="1" w:val="04A0"/>
      </w:tblPr>
      <w:tblGrid>
        <w:gridCol w:w="4824"/>
        <w:gridCol w:w="4824"/>
      </w:tblGrid>
      <w:tr>
        <w:tc>
          <w:tcPr>
            <w:tcW w:type="dxa" w:w="4824"/>
            <w:shd w:fill="EBF0F7"/>
            <w:tcMar>
              <w:top w:w="60" w:type="dxa"/>
              <w:bottom w:w="60" w:type="dxa"/>
              <w:left w:w="120" w:type="dxa"/>
              <w:right w:w="120" w:type="dxa"/>
            </w:tcMar>
          </w:tcPr>
          <w:p>
            <w:pPr>
              <w:spacing w:before="20" w:after="20"/>
            </w:pPr>
            <w:r>
              <w:rPr>
                <w:rFonts w:ascii="Arial" w:hAnsi="Arial"/>
                <w:b/>
                <w:color w:val="0F2043"/>
                <w:sz w:val="19"/>
              </w:rPr>
              <w:t>Case Title:</w:t>
            </w:r>
          </w:p>
        </w:tc>
        <w:tc>
          <w:tcPr>
            <w:tcW w:type="dxa" w:w="4824"/>
            <w:shd w:fill="FAFCFF"/>
            <w:tcMar>
              <w:top w:w="60" w:type="dxa"/>
              <w:bottom w:w="60" w:type="dxa"/>
              <w:left w:w="120" w:type="dxa"/>
              <w:right w:w="120" w:type="dxa"/>
            </w:tcMar>
          </w:tcPr>
          <w:p>
            <w:pPr>
              <w:spacing w:before="20" w:after="20"/>
            </w:pPr>
            <w:r>
              <w:rPr>
                <w:rFonts w:ascii="Calibri" w:hAnsi="Calibri"/>
                <w:b/>
                <w:color w:val="212529"/>
                <w:sz w:val="19"/>
              </w:rPr>
              <w:t>Jose V. Melchor, Jr. v. Commission on Audit</w:t>
            </w:r>
          </w:p>
        </w:tc>
      </w:tr>
      <w:tr>
        <w:tc>
          <w:tcPr>
            <w:tcW w:type="dxa" w:w="4824"/>
            <w:shd w:fill="EBF0F7"/>
            <w:tcMar>
              <w:top w:w="60" w:type="dxa"/>
              <w:bottom w:w="60" w:type="dxa"/>
              <w:left w:w="120" w:type="dxa"/>
              <w:right w:w="120" w:type="dxa"/>
            </w:tcMar>
          </w:tcPr>
          <w:p>
            <w:pPr>
              <w:spacing w:before="20" w:after="20"/>
            </w:pPr>
            <w:r>
              <w:rPr>
                <w:rFonts w:ascii="Arial" w:hAnsi="Arial"/>
                <w:b/>
                <w:color w:val="0F2043"/>
                <w:sz w:val="19"/>
              </w:rPr>
              <w:t>G.R. No. / Record:</w:t>
            </w:r>
          </w:p>
        </w:tc>
        <w:tc>
          <w:tcPr>
            <w:tcW w:type="dxa" w:w="4824"/>
            <w:shd w:fill="FAFCFF"/>
            <w:tcMar>
              <w:top w:w="60" w:type="dxa"/>
              <w:bottom w:w="60" w:type="dxa"/>
              <w:left w:w="120" w:type="dxa"/>
              <w:right w:w="120" w:type="dxa"/>
            </w:tcMar>
          </w:tcPr>
          <w:p>
            <w:pPr>
              <w:spacing w:before="20" w:after="20"/>
            </w:pPr>
            <w:r>
              <w:rPr>
                <w:rFonts w:ascii="Calibri" w:hAnsi="Calibri"/>
                <w:b w:val="0"/>
                <w:color w:val="212529"/>
                <w:sz w:val="19"/>
              </w:rPr>
              <w:t>G.R. No. 95398</w:t>
            </w:r>
          </w:p>
        </w:tc>
      </w:tr>
      <w:tr>
        <w:tc>
          <w:tcPr>
            <w:tcW w:type="dxa" w:w="4824"/>
            <w:shd w:fill="EBF0F7"/>
            <w:tcMar>
              <w:top w:w="60" w:type="dxa"/>
              <w:bottom w:w="60" w:type="dxa"/>
              <w:left w:w="120" w:type="dxa"/>
              <w:right w:w="120" w:type="dxa"/>
            </w:tcMar>
          </w:tcPr>
          <w:p>
            <w:pPr>
              <w:spacing w:before="20" w:after="20"/>
            </w:pPr>
            <w:r>
              <w:rPr>
                <w:rFonts w:ascii="Arial" w:hAnsi="Arial"/>
                <w:b/>
                <w:color w:val="0F2043"/>
                <w:sz w:val="19"/>
              </w:rPr>
              <w:t>Date of Promulgation:</w:t>
            </w:r>
          </w:p>
        </w:tc>
        <w:tc>
          <w:tcPr>
            <w:tcW w:type="dxa" w:w="4824"/>
            <w:shd w:fill="FAFCFF"/>
            <w:tcMar>
              <w:top w:w="60" w:type="dxa"/>
              <w:bottom w:w="60" w:type="dxa"/>
              <w:left w:w="120" w:type="dxa"/>
              <w:right w:w="120" w:type="dxa"/>
            </w:tcMar>
          </w:tcPr>
          <w:p>
            <w:pPr>
              <w:spacing w:before="20" w:after="20"/>
            </w:pPr>
            <w:r>
              <w:rPr>
                <w:rFonts w:ascii="Calibri" w:hAnsi="Calibri"/>
                <w:b w:val="0"/>
                <w:color w:val="212529"/>
                <w:sz w:val="19"/>
              </w:rPr>
              <w:t>August 16, 1991</w:t>
            </w:r>
          </w:p>
        </w:tc>
      </w:tr>
      <w:tr>
        <w:tc>
          <w:tcPr>
            <w:tcW w:type="dxa" w:w="4824"/>
            <w:shd w:fill="EBF0F7"/>
            <w:tcMar>
              <w:top w:w="60" w:type="dxa"/>
              <w:bottom w:w="60" w:type="dxa"/>
              <w:left w:w="120" w:type="dxa"/>
              <w:right w:w="120" w:type="dxa"/>
            </w:tcMar>
          </w:tcPr>
          <w:p>
            <w:pPr>
              <w:spacing w:before="20" w:after="20"/>
            </w:pPr>
            <w:r>
              <w:rPr>
                <w:rFonts w:ascii="Arial" w:hAnsi="Arial"/>
                <w:b/>
                <w:color w:val="0F2043"/>
                <w:sz w:val="19"/>
              </w:rPr>
              <w:t>Ponente / Court:</w:t>
            </w:r>
          </w:p>
        </w:tc>
        <w:tc>
          <w:tcPr>
            <w:tcW w:type="dxa" w:w="4824"/>
            <w:shd w:fill="FAFCFF"/>
            <w:tcMar>
              <w:top w:w="60" w:type="dxa"/>
              <w:bottom w:w="60" w:type="dxa"/>
              <w:left w:w="120" w:type="dxa"/>
              <w:right w:w="120" w:type="dxa"/>
            </w:tcMar>
          </w:tcPr>
          <w:p>
            <w:pPr>
              <w:spacing w:before="20" w:after="20"/>
            </w:pPr>
            <w:r>
              <w:rPr>
                <w:rFonts w:ascii="Calibri" w:hAnsi="Calibri"/>
                <w:b w:val="0"/>
                <w:color w:val="212529"/>
                <w:sz w:val="19"/>
              </w:rPr>
              <w:t>En Banc</w:t>
            </w:r>
          </w:p>
        </w:tc>
      </w:tr>
    </w:tbl>
    <w:p>
      <w:pPr>
        <w:keepNext/>
        <w:spacing w:before="240" w:after="60"/>
      </w:pPr>
      <w:r>
        <w:rPr>
          <w:rFonts w:ascii="Arial" w:hAnsi="Arial"/>
          <w:b/>
          <w:color w:val="0F2043"/>
          <w:sz w:val="21"/>
        </w:rPr>
        <w:t>I. FACTS OF THE CASE</w:t>
      </w:r>
    </w:p>
    <w:tbl>
      <w:tblPr>
        <w:tblW w:type="auto" w:w="0"/>
        <w:jc w:val="center"/>
        <w:tblLook w:firstColumn="1" w:firstRow="1" w:lastColumn="0" w:lastRow="0" w:noHBand="0" w:noVBand="1" w:val="04A0"/>
      </w:tblPr>
      <w:tblGrid>
        <w:gridCol w:w="9648"/>
      </w:tblGrid>
      <w:tr>
        <w:tc>
          <w:tcPr>
            <w:tcW w:type="dxa" w:w="9648"/>
            <w:shd w:fill="F8F9FB"/>
            <w:tcMar>
              <w:top w:w="100" w:type="dxa"/>
              <w:bottom w:w="100" w:type="dxa"/>
              <w:left w:w="160" w:type="dxa"/>
              <w:right w:w="160" w:type="dxa"/>
            </w:tcMar>
          </w:tcPr>
          <w:p>
            <w:pPr>
              <w:spacing w:before="20" w:after="40"/>
            </w:pPr>
            <w:r>
              <w:rPr>
                <w:rFonts w:ascii="Arial" w:hAnsi="Arial"/>
                <w:b/>
                <w:color w:val="0F2043"/>
                <w:sz w:val="19"/>
              </w:rPr>
              <w:t>Material Facts of Controversy</w:t>
              <w:br/>
            </w:r>
          </w:p>
          <w:p>
            <w:pPr>
              <w:spacing w:before="20" w:after="40" w:line="276" w:lineRule="auto"/>
            </w:pPr>
            <w:r>
              <w:rPr>
                <w:rFonts w:ascii="Calibri" w:hAnsi="Calibri"/>
                <w:color w:val="212529"/>
                <w:sz w:val="19"/>
              </w:rPr>
              <w:t>Melchor, as Director of the Bureau of Forestry Development, approved contracts for emergency repair of regional facilities damaged by typhoons. The contractors completed the repair work satisfactorily and the government enjoyed the full benefits of the infrastructure. Later, the Commission on Audit (COA) disallowed all disbursements on post-audit, holding that the contracts were void ab initio for failure to undergo public bidding and lack of an advance Certificate of Availability of Funds (CAF) as literally required by Sections 85 and 86 of P.D. No. 1445 (Government Auditing Code). COA held Melchor personally liable to refund the full contract amount.</w:t>
            </w:r>
          </w:p>
        </w:tc>
      </w:tr>
    </w:tbl>
    <w:p>
      <w:pPr>
        <w:keepNext/>
        <w:spacing w:before="240" w:after="60"/>
      </w:pPr>
      <w:r>
        <w:rPr>
          <w:rFonts w:ascii="Arial" w:hAnsi="Arial"/>
          <w:b/>
          <w:color w:val="0F2043"/>
          <w:sz w:val="21"/>
        </w:rPr>
        <w:t>II. FACTS RELEVANT TO STATUTORY CONSTRUCTION</w:t>
      </w:r>
    </w:p>
    <w:tbl>
      <w:tblPr>
        <w:tblW w:type="auto" w:w="0"/>
        <w:jc w:val="center"/>
        <w:tblLook w:firstColumn="1" w:firstRow="1" w:lastColumn="0" w:lastRow="0" w:noHBand="0" w:noVBand="1" w:val="04A0"/>
      </w:tblPr>
      <w:tblGrid>
        <w:gridCol w:w="9648"/>
      </w:tblGrid>
      <w:tr>
        <w:tc>
          <w:tcPr>
            <w:tcW w:type="dxa" w:w="9648"/>
            <w:shd w:fill="F8F9FB"/>
            <w:tcMar>
              <w:top w:w="100" w:type="dxa"/>
              <w:bottom w:w="100" w:type="dxa"/>
              <w:left w:w="160" w:type="dxa"/>
              <w:right w:w="160" w:type="dxa"/>
            </w:tcMar>
          </w:tcPr>
          <w:p>
            <w:pPr>
              <w:spacing w:before="20" w:after="40"/>
            </w:pPr>
            <w:r>
              <w:rPr>
                <w:rFonts w:ascii="Arial" w:hAnsi="Arial"/>
                <w:b/>
                <w:color w:val="0F2043"/>
                <w:sz w:val="19"/>
              </w:rPr>
              <w:t>Facts Giving Rise to Need for Interpretation</w:t>
              <w:br/>
            </w:r>
          </w:p>
          <w:p>
            <w:pPr>
              <w:spacing w:before="20" w:after="40" w:line="276" w:lineRule="auto"/>
            </w:pPr>
            <w:r>
              <w:rPr>
                <w:rFonts w:ascii="Calibri" w:hAnsi="Calibri"/>
                <w:b/>
                <w:color w:val="212529"/>
                <w:sz w:val="19"/>
              </w:rPr>
              <w:t xml:space="preserve">• What provision of law or rule became relevant? </w:t>
            </w:r>
            <w:r>
              <w:rPr>
                <w:rFonts w:ascii="Calibri" w:hAnsi="Calibri"/>
                <w:color w:val="212529"/>
                <w:sz w:val="19"/>
              </w:rPr>
              <w:t>1. Sections 85, 86, and 87, Presidential Decree No. 1445 (Government Auditing Code): Auditing requirements for government contracts, balanced against equitable principles of public contracting.</w:t>
              <w:br/>
              <w:t>2. Quantum Meruit (as much as he deserved): Equitable remedy allowing compensation for actual value of goods or services rendered and accepted.</w:t>
            </w:r>
          </w:p>
          <w:p>
            <w:pPr>
              <w:spacing w:before="20" w:after="40" w:line="276" w:lineRule="auto"/>
            </w:pPr>
            <w:r>
              <w:rPr>
                <w:rFonts w:ascii="Calibri" w:hAnsi="Calibri"/>
                <w:b/>
                <w:color w:val="212529"/>
                <w:sz w:val="19"/>
              </w:rPr>
              <w:t xml:space="preserve">• What circumstance made interpretation necessary? </w:t>
            </w:r>
            <w:r>
              <w:rPr>
                <w:rFonts w:ascii="Calibri" w:hAnsi="Calibri"/>
                <w:color w:val="212529"/>
                <w:sz w:val="19"/>
              </w:rPr>
              <w:t>COA interpreted auditing rules with mechanical rigidity to confiscate private construction work without compensation, creating unjust enrichment.</w:t>
            </w:r>
          </w:p>
          <w:p>
            <w:pPr>
              <w:spacing w:before="20" w:after="40" w:line="276" w:lineRule="auto"/>
            </w:pPr>
            <w:r>
              <w:rPr>
                <w:rFonts w:ascii="Calibri" w:hAnsi="Calibri"/>
                <w:b/>
                <w:color w:val="212529"/>
                <w:sz w:val="19"/>
              </w:rPr>
              <w:t xml:space="preserve">• What competing interpretations were presented? </w:t>
            </w:r>
            <w:r>
              <w:rPr>
                <w:rFonts w:ascii="Calibri" w:hAnsi="Calibri"/>
                <w:color w:val="212529"/>
                <w:sz w:val="19"/>
              </w:rPr>
              <w:t>Petitioner argued for a favorable interpretation based on statutory intent, while Respondent contended for a literal or restrictive application.</w:t>
            </w:r>
          </w:p>
        </w:tc>
      </w:tr>
    </w:tbl>
    <w:p>
      <w:pPr>
        <w:keepNext/>
        <w:spacing w:before="240" w:after="60"/>
      </w:pPr>
      <w:r>
        <w:rPr>
          <w:rFonts w:ascii="Arial" w:hAnsi="Arial"/>
          <w:b/>
          <w:color w:val="0F2043"/>
          <w:sz w:val="21"/>
        </w:rPr>
        <w:t>III. ISSUES</w:t>
      </w:r>
    </w:p>
    <w:p>
      <w:pPr>
        <w:keepNext/>
        <w:spacing w:before="120" w:after="40"/>
      </w:pPr>
      <w:r>
        <w:rPr>
          <w:rFonts w:ascii="Arial" w:hAnsi="Arial"/>
          <w:b/>
          <w:color w:val="781E1E"/>
          <w:sz w:val="20"/>
        </w:rPr>
        <w:t>A. General Legal Issues</w:t>
      </w:r>
    </w:p>
    <w:p>
      <w:pPr>
        <w:spacing w:before="40" w:after="80" w:line="276" w:lineRule="auto"/>
      </w:pPr>
      <w:r>
        <w:rPr>
          <w:rFonts w:ascii="Calibri" w:hAnsi="Calibri"/>
          <w:i w:val="0"/>
          <w:color w:val="212529"/>
          <w:sz w:val="21"/>
        </w:rPr>
        <w:t>Whether or not the government can refuse payment and hold a public official personally liable for completed infrastructure work under a technically void contract, invoking Quantum Meruit and prevention of unjust enrichment (Nemo Cum Alterius Detrimento Locupletari Potest).</w:t>
      </w:r>
    </w:p>
    <w:p>
      <w:pPr>
        <w:keepNext/>
        <w:spacing w:before="120" w:after="40"/>
      </w:pPr>
      <w:r>
        <w:rPr>
          <w:rFonts w:ascii="Arial" w:hAnsi="Arial"/>
          <w:b/>
          <w:color w:val="781E1E"/>
          <w:sz w:val="20"/>
        </w:rPr>
        <w:t>B. Statutory-Construction Issue/s</w:t>
      </w:r>
    </w:p>
    <w:tbl>
      <w:tblPr>
        <w:tblW w:type="auto" w:w="0"/>
        <w:jc w:val="center"/>
        <w:tblLook w:firstColumn="1" w:firstRow="1" w:lastColumn="0" w:lastRow="0" w:noHBand="0" w:noVBand="1" w:val="04A0"/>
      </w:tblPr>
      <w:tblGrid>
        <w:gridCol w:w="9648"/>
      </w:tblGrid>
      <w:tr>
        <w:tc>
          <w:tcPr>
            <w:tcW w:type="dxa" w:w="9648"/>
            <w:shd w:fill="EBF3FA"/>
            <w:tcMar>
              <w:top w:w="100" w:type="dxa"/>
              <w:bottom w:w="100" w:type="dxa"/>
              <w:left w:w="160" w:type="dxa"/>
              <w:right w:w="160" w:type="dxa"/>
            </w:tcMar>
          </w:tcPr>
          <w:p>
            <w:pPr>
              <w:spacing w:before="20" w:after="40"/>
            </w:pPr>
            <w:r>
              <w:rPr>
                <w:rFonts w:ascii="Arial" w:hAnsi="Arial"/>
                <w:b/>
                <w:color w:val="0F2043"/>
                <w:sz w:val="19"/>
              </w:rPr>
              <w:t>Standardized StatCon Issue Statement</w:t>
              <w:br/>
            </w:r>
          </w:p>
          <w:p>
            <w:pPr>
              <w:spacing w:before="20" w:after="40" w:line="276" w:lineRule="auto"/>
            </w:pPr>
            <w:r>
              <w:rPr>
                <w:rFonts w:ascii="Calibri" w:hAnsi="Calibri"/>
                <w:color w:val="212529"/>
                <w:sz w:val="19"/>
              </w:rPr>
              <w:t>Whether the subject statutory act, classification, or terminology under the governing statute/rule means, includes, or applies to the factual controversy in Jose V. Melchor, Jr. v. Commission on Audit, under the canon of Nemo cum alterius detrimento locupletari potest.</w:t>
            </w:r>
          </w:p>
        </w:tc>
      </w:tr>
    </w:tbl>
    <w:p>
      <w:pPr>
        <w:keepNext/>
        <w:spacing w:before="240" w:after="60"/>
      </w:pPr>
      <w:r>
        <w:rPr>
          <w:rFonts w:ascii="Arial" w:hAnsi="Arial"/>
          <w:b/>
          <w:color w:val="0F2043"/>
          <w:sz w:val="21"/>
        </w:rPr>
        <w:t>IV. PROVISION/S OF LAW CONSTRUED</w:t>
      </w:r>
    </w:p>
    <w:tbl>
      <w:tblPr>
        <w:tblW w:type="auto" w:w="0"/>
        <w:jc w:val="center"/>
        <w:tblLook w:firstColumn="1" w:firstRow="1" w:lastColumn="0" w:lastRow="0" w:noHBand="0" w:noVBand="1" w:val="04A0"/>
      </w:tblPr>
      <w:tblGrid>
        <w:gridCol w:w="9648"/>
      </w:tblGrid>
      <w:tr>
        <w:tc>
          <w:tcPr>
            <w:tcW w:type="dxa" w:w="9648"/>
            <w:shd w:fill="F8F9FB"/>
            <w:tcMar>
              <w:top w:w="100" w:type="dxa"/>
              <w:bottom w:w="100" w:type="dxa"/>
              <w:left w:w="160" w:type="dxa"/>
              <w:right w:w="160" w:type="dxa"/>
            </w:tcMar>
          </w:tcPr>
          <w:p>
            <w:pPr>
              <w:spacing w:before="20" w:after="40"/>
            </w:pPr>
            <w:r>
              <w:rPr>
                <w:rFonts w:ascii="Arial" w:hAnsi="Arial"/>
                <w:b/>
                <w:color w:val="0F2043"/>
                <w:sz w:val="19"/>
              </w:rPr>
              <w:t>Statutory / Constitutional Text &amp; Problem</w:t>
              <w:br/>
            </w:r>
          </w:p>
          <w:p>
            <w:pPr>
              <w:spacing w:before="20" w:after="40" w:line="276" w:lineRule="auto"/>
            </w:pPr>
            <w:r>
              <w:rPr>
                <w:rFonts w:ascii="Calibri" w:hAnsi="Calibri"/>
                <w:b/>
                <w:color w:val="212529"/>
                <w:sz w:val="19"/>
              </w:rPr>
              <w:t xml:space="preserve">• Quoted Provision: </w:t>
            </w:r>
            <w:r>
              <w:rPr>
                <w:rFonts w:ascii="Calibri" w:hAnsi="Calibri"/>
                <w:color w:val="212529"/>
                <w:sz w:val="19"/>
              </w:rPr>
              <w:t>1. Sections 85, 86, and 87, Presidential Decree No. 1445 (Government Auditing Code): Auditing requirements for government contracts, balanced against equitable principles of public contracting.</w:t>
              <w:br/>
              <w:t>2. Quantum Meruit (as much as he deserved): Equitable remedy allowing compensation for actual value of goods or services rendered and accepted.</w:t>
            </w:r>
          </w:p>
          <w:p>
            <w:pPr>
              <w:spacing w:before="20" w:after="40" w:line="276" w:lineRule="auto"/>
            </w:pPr>
            <w:r>
              <w:rPr>
                <w:rFonts w:ascii="Calibri" w:hAnsi="Calibri"/>
                <w:b/>
                <w:color w:val="212529"/>
                <w:sz w:val="19"/>
              </w:rPr>
              <w:t xml:space="preserve">• Interpretive Problem: </w:t>
            </w:r>
            <w:r>
              <w:rPr>
                <w:rFonts w:ascii="Calibri" w:hAnsi="Calibri"/>
                <w:color w:val="212529"/>
                <w:sz w:val="19"/>
              </w:rPr>
              <w:t>Determining the precise legislative intent and boundary of the statutory terms in light of: COA interpreted auditing rules with mechanical rigidity to confiscate private construction work without compensation, cr...</w:t>
            </w:r>
          </w:p>
        </w:tc>
      </w:tr>
    </w:tbl>
    <w:p>
      <w:pPr>
        <w:keepNext/>
        <w:spacing w:before="240" w:after="60"/>
      </w:pPr>
      <w:r>
        <w:rPr>
          <w:rFonts w:ascii="Arial" w:hAnsi="Arial"/>
          <w:b/>
          <w:color w:val="0F2043"/>
          <w:sz w:val="21"/>
        </w:rPr>
        <w:t>V. RULING OF THE SUPREME COURT</w:t>
      </w:r>
    </w:p>
    <w:p>
      <w:pPr>
        <w:keepNext/>
        <w:spacing w:before="120" w:after="40"/>
      </w:pPr>
      <w:r>
        <w:rPr>
          <w:rFonts w:ascii="Arial" w:hAnsi="Arial"/>
          <w:b/>
          <w:color w:val="781E1E"/>
          <w:sz w:val="20"/>
        </w:rPr>
        <w:t>A. General Ruling</w:t>
      </w:r>
    </w:p>
    <w:p>
      <w:pPr>
        <w:spacing w:before="40" w:after="80" w:line="276" w:lineRule="auto"/>
      </w:pPr>
      <w:r>
        <w:rPr>
          <w:rFonts w:ascii="Calibri" w:hAnsi="Calibri"/>
          <w:i w:val="0"/>
          <w:color w:val="212529"/>
          <w:sz w:val="21"/>
        </w:rPr>
        <w:t>The Supreme Court SET ASIDE the COA disallowance, AUTHORIZED payment to the contractors on the basis of QUANTUM MERUIT, and ABSOLVED petitioner Jose Melchor, Jr. from personal liability.</w:t>
      </w:r>
    </w:p>
    <w:p>
      <w:pPr>
        <w:keepNext/>
        <w:spacing w:before="120" w:after="40"/>
      </w:pPr>
      <w:r>
        <w:rPr>
          <w:rFonts w:ascii="Arial" w:hAnsi="Arial"/>
          <w:b/>
          <w:color w:val="781E1E"/>
          <w:sz w:val="20"/>
        </w:rPr>
        <w:t>B. Ruling on the Statutory-Construction Issue</w:t>
      </w:r>
    </w:p>
    <w:tbl>
      <w:tblPr>
        <w:tblW w:type="auto" w:w="0"/>
        <w:jc w:val="center"/>
        <w:tblLook w:firstColumn="1" w:firstRow="1" w:lastColumn="0" w:lastRow="0" w:noHBand="0" w:noVBand="1" w:val="04A0"/>
      </w:tblPr>
      <w:tblGrid>
        <w:gridCol w:w="9648"/>
      </w:tblGrid>
      <w:tr>
        <w:tc>
          <w:tcPr>
            <w:tcW w:type="dxa" w:w="9648"/>
            <w:shd w:fill="F4FAF5"/>
            <w:tcMar>
              <w:top w:w="100" w:type="dxa"/>
              <w:bottom w:w="100" w:type="dxa"/>
              <w:left w:w="160" w:type="dxa"/>
              <w:right w:w="160" w:type="dxa"/>
            </w:tcMar>
          </w:tcPr>
          <w:p>
            <w:pPr>
              <w:spacing w:before="20" w:after="40"/>
            </w:pPr>
            <w:r>
              <w:rPr>
                <w:rFonts w:ascii="Arial" w:hAnsi="Arial"/>
                <w:b/>
                <w:color w:val="0F2043"/>
                <w:sz w:val="19"/>
              </w:rPr>
              <w:t>Statutory Meaning Established by Court</w:t>
              <w:br/>
            </w:r>
          </w:p>
          <w:p>
            <w:pPr>
              <w:spacing w:before="20" w:after="40" w:line="276" w:lineRule="auto"/>
            </w:pPr>
            <w:r>
              <w:rPr>
                <w:rFonts w:ascii="Calibri" w:hAnsi="Calibri"/>
                <w:color w:val="212529"/>
                <w:sz w:val="19"/>
              </w:rPr>
              <w:t>NO. The government CANNOT unjustly enrich itself by retaining the benefits of completed work without payment. While the contract was technically defective, payment on the basis of QUANTUM MERUIT (as much as he deserved) is legally authorized, and the public official acting in good faith without fraud cannot be held personally liable.</w:t>
            </w:r>
          </w:p>
        </w:tc>
      </w:tr>
    </w:tbl>
    <w:p>
      <w:pPr>
        <w:keepNext/>
        <w:spacing w:before="240" w:after="60"/>
      </w:pPr>
      <w:r>
        <w:rPr>
          <w:rFonts w:ascii="Arial" w:hAnsi="Arial"/>
          <w:b/>
          <w:color w:val="0F2043"/>
          <w:sz w:val="21"/>
        </w:rPr>
        <w:t>VI. HOW THE COURT CONSTRUED THE LAW</w:t>
      </w:r>
    </w:p>
    <w:tbl>
      <w:tblPr>
        <w:tblW w:type="auto" w:w="0"/>
        <w:jc w:val="center"/>
        <w:tblLook w:firstColumn="1" w:firstRow="1" w:lastColumn="0" w:lastRow="0" w:noHBand="0" w:noVBand="1" w:val="04A0"/>
      </w:tblPr>
      <w:tblGrid>
        <w:gridCol w:w="9648"/>
      </w:tblGrid>
      <w:tr>
        <w:tc>
          <w:tcPr>
            <w:tcW w:type="dxa" w:w="9648"/>
            <w:shd w:fill="F8F9FB"/>
            <w:tcMar>
              <w:top w:w="100" w:type="dxa"/>
              <w:bottom w:w="100" w:type="dxa"/>
              <w:left w:w="160" w:type="dxa"/>
              <w:right w:w="160" w:type="dxa"/>
            </w:tcMar>
          </w:tcPr>
          <w:p>
            <w:pPr>
              <w:spacing w:before="20" w:after="40"/>
            </w:pPr>
            <w:r>
              <w:rPr>
                <w:rFonts w:ascii="Arial" w:hAnsi="Arial"/>
                <w:b/>
                <w:color w:val="0F2043"/>
                <w:sz w:val="19"/>
              </w:rPr>
              <w:t>Methodological &amp; Doctrinal Analysis</w:t>
              <w:br/>
            </w:r>
          </w:p>
          <w:p>
            <w:pPr>
              <w:spacing w:before="20" w:after="40" w:line="276" w:lineRule="auto"/>
            </w:pPr>
            <w:r>
              <w:rPr>
                <w:rFonts w:ascii="Calibri" w:hAnsi="Calibri"/>
                <w:b/>
                <w:color w:val="212529"/>
                <w:sz w:val="19"/>
              </w:rPr>
              <w:t xml:space="preserve">A. Why Was Construction Necessary? </w:t>
            </w:r>
            <w:r>
              <w:rPr>
                <w:rFonts w:ascii="Calibri" w:hAnsi="Calibri"/>
                <w:color w:val="212529"/>
                <w:sz w:val="19"/>
              </w:rPr>
              <w:t>Ambiguity in the application and scope of the statute: COA interpreted auditing rules with mechanical rigidity to confiscate private construction work without compensation, creating unjust enrich.</w:t>
            </w:r>
          </w:p>
          <w:p>
            <w:pPr>
              <w:spacing w:before="20" w:after="40" w:line="276" w:lineRule="auto"/>
            </w:pPr>
            <w:r>
              <w:rPr>
                <w:rFonts w:ascii="Calibri" w:hAnsi="Calibri"/>
                <w:b/>
                <w:color w:val="212529"/>
                <w:sz w:val="19"/>
              </w:rPr>
              <w:t xml:space="preserve">B. Purpose of Construction: </w:t>
            </w:r>
            <w:r>
              <w:rPr>
                <w:rFonts w:ascii="Calibri" w:hAnsi="Calibri"/>
                <w:color w:val="212529"/>
                <w:sz w:val="19"/>
              </w:rPr>
              <w:t>To ascertain and give full effect to the true intent, spirit, and purpose of the lawmaking body.</w:t>
            </w:r>
          </w:p>
          <w:p>
            <w:pPr>
              <w:spacing w:before="20" w:after="40" w:line="276" w:lineRule="auto"/>
            </w:pPr>
            <w:r>
              <w:rPr>
                <w:rFonts w:ascii="Calibri" w:hAnsi="Calibri"/>
                <w:b/>
                <w:color w:val="212529"/>
                <w:sz w:val="19"/>
              </w:rPr>
              <w:t xml:space="preserve">C. Method, Canon, or Rule Applied: </w:t>
            </w:r>
            <w:r>
              <w:rPr>
                <w:rFonts w:ascii="Calibri" w:hAnsi="Calibri"/>
                <w:color w:val="212529"/>
                <w:sz w:val="19"/>
              </w:rPr>
              <w:t>Nemo cum alterius detrimento locupletari potest</w:t>
              <w:br/>
              <w:t xml:space="preserve">   - Application: Equitable Construction Against Unjust Enrichment: Auditing statutes must be construed in harmony with equity; procedural defects will not bar recovery on quantum meruit for completed, beneficial works.</w:t>
              <w:br/>
              <w:t xml:space="preserve">   - Result: No. The government cannot take completed buildings for free. Under Quantum Meruit, the contractor is entitled to fair payment for actual work done, and an official who acted in good faith to repair storm damage without pocketing money cannot be made personally liable.</w:t>
            </w:r>
          </w:p>
          <w:p>
            <w:pPr>
              <w:spacing w:before="20" w:after="40" w:line="276" w:lineRule="auto"/>
            </w:pPr>
            <w:r>
              <w:rPr>
                <w:rFonts w:ascii="Calibri" w:hAnsi="Calibri"/>
                <w:b/>
                <w:color w:val="212529"/>
                <w:sz w:val="19"/>
              </w:rPr>
              <w:t xml:space="preserve">D. Other Sources Used: </w:t>
            </w:r>
            <w:r>
              <w:rPr>
                <w:rFonts w:ascii="Calibri" w:hAnsi="Calibri"/>
                <w:color w:val="212529"/>
                <w:sz w:val="19"/>
              </w:rPr>
              <w:t>Ordinary meaning of words, statute considered as a whole, legislative history, and established Supreme Court jurisprudence.</w:t>
            </w:r>
          </w:p>
        </w:tc>
      </w:tr>
    </w:tbl>
    <w:p>
      <w:pPr>
        <w:keepNext/>
        <w:spacing w:before="240" w:after="60"/>
      </w:pPr>
      <w:r>
        <w:rPr>
          <w:rFonts w:ascii="Arial" w:hAnsi="Arial"/>
          <w:b/>
          <w:color w:val="0F2043"/>
          <w:sz w:val="21"/>
        </w:rPr>
        <w:t>VII. RELEVANT STATUTORY-CONSTRUCTION CONCEPTS (A–L EVALUATION)</w:t>
      </w:r>
    </w:p>
    <w:tbl>
      <w:tblPr>
        <w:tblW w:type="auto" w:w="0"/>
        <w:jc w:val="center"/>
        <w:tblLook w:firstColumn="1" w:firstRow="1" w:lastColumn="0" w:lastRow="0" w:noHBand="0" w:noVBand="1" w:val="04A0"/>
      </w:tblPr>
      <w:tblGrid>
        <w:gridCol w:w="4824"/>
        <w:gridCol w:w="4824"/>
      </w:tblGrid>
      <w:tr>
        <w:tc>
          <w:tcPr>
            <w:tcW w:type="dxa" w:w="4824"/>
            <w:shd w:fill="EBF0F8"/>
            <w:tcMar>
              <w:top w:w="70" w:type="dxa"/>
              <w:bottom w:w="70" w:type="dxa"/>
              <w:left w:w="100" w:type="dxa"/>
              <w:right w:w="100" w:type="dxa"/>
            </w:tcMar>
          </w:tcPr>
          <w:p>
            <w:pPr>
              <w:spacing w:before="20" w:after="20"/>
            </w:pPr>
            <w:r>
              <w:rPr>
                <w:rFonts w:ascii="Arial" w:hAnsi="Arial"/>
                <w:b/>
                <w:color w:val="0F2043"/>
                <w:sz w:val="18"/>
              </w:rPr>
              <w:t>A. Situs of Statutory Construction</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Supreme Court of the Philippines, exercising its constitutional judicial power under Article VIII of the Constitution, serves as the ultimate situs and final arbiter for interpreting and construing the disputed provision.</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B. Purpose of Statutory Construction</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purpose of construction is to discover and effectuate the true legislative intent and will of the lawmaking body, preventing injustice and ensuring the statute operates harmoniously.</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C. When to Construe</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Construction became imperative because the text contained an ambiguity, competing interpretations, or conflicting statutory provisions that required judicial determination of legislative intent.</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D. Ambiguity or Vagueness</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controversy centered on the ambiguity, silence, or conflicting scope of the statutory language, which the Court resolved by examining legislative intent and governing maxims.</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E. Verba Legis Non Est Recedendum</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781E1E"/>
                <w:sz w:val="17"/>
              </w:rPr>
              <w:t xml:space="preserve"> [NOT APPLICABLE] </w:t>
            </w:r>
            <w:r>
              <w:rPr>
                <w:rFonts w:ascii="Calibri" w:hAnsi="Calibri"/>
                <w:color w:val="212529"/>
                <w:sz w:val="18"/>
              </w:rPr>
              <w:t>Not Applicable. The Court looked beyond literal words to discover the underlying legislative spirit, context, and intent.</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F. Absoluta Sententia Expositore Non Indigent</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781E1E"/>
                <w:sz w:val="17"/>
              </w:rPr>
              <w:t xml:space="preserve"> [NOT APPLICABLE] </w:t>
            </w:r>
            <w:r>
              <w:rPr>
                <w:rFonts w:ascii="Calibri" w:hAnsi="Calibri"/>
                <w:color w:val="212529"/>
                <w:sz w:val="18"/>
              </w:rPr>
              <w:t>Not Applicable. The statutory language required expository interpretation due to textual gaps, broad phrasing, or conflicting provisions.</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G. Legislative Intent</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Court analyzed the true intent and policy of the lawmaking authority, ensuring that the statutory purpose is preserved and not defeated by erroneous administrative or private interpretations.</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H. Strict or Liberal Construction</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781E1E"/>
                <w:sz w:val="17"/>
              </w:rPr>
              <w:t xml:space="preserve"> [NOT APPLICABLE] </w:t>
            </w:r>
            <w:r>
              <w:rPr>
                <w:rFonts w:ascii="Calibri" w:hAnsi="Calibri"/>
                <w:color w:val="212529"/>
                <w:sz w:val="18"/>
              </w:rPr>
              <w:t>Not Applicable. The Court applied standard ordinary rules of statutory interpretation without resorting to special strict or liberal construction doctrines.</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I. Prospective or Retrospective Construction</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781E1E"/>
                <w:sz w:val="17"/>
              </w:rPr>
              <w:t xml:space="preserve"> [NOT APPLICABLE] </w:t>
            </w:r>
            <w:r>
              <w:rPr>
                <w:rFonts w:ascii="Calibri" w:hAnsi="Calibri"/>
                <w:color w:val="212529"/>
                <w:sz w:val="18"/>
              </w:rPr>
              <w:t>Not Applicable. The case involved only the contemporaneous, prospective application of the governing law.</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J. Statutory Construction vs. Judicial Legislation</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Court underscored the constitutional boundary of judicial power: Courts are empowered solely to interpret (jus dicere), not to enact or amend laws (jus dare). Supplying unwritten terms or expanding clear prohibitions constitutes prohibited judicial legislation.</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K. Legis Interpretatio Legis Vim Obtinet</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Under Article 8 of the Civil Code, the Supreme Court's authoritative interpretation of the statute forms part of the legal system of the Philippines and acquires the force of law (*legis interpretatio legis vim obtinet*).</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L. Extent and Limits of the Power to Construe</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Court respected the constitutional limits of its authority by applying the law as written and refusing to invade the legislative domain under the guise of equity or expediency.</w:t>
            </w:r>
          </w:p>
        </w:tc>
      </w:tr>
    </w:tbl>
    <w:p>
      <w:pPr>
        <w:keepNext/>
        <w:spacing w:before="240" w:after="60"/>
      </w:pPr>
      <w:r>
        <w:rPr>
          <w:rFonts w:ascii="Arial" w:hAnsi="Arial"/>
          <w:b/>
          <w:color w:val="0F2043"/>
          <w:sz w:val="21"/>
        </w:rPr>
        <w:t>VIII. OTHER CANONS OR METHODS OF CONSTRUCTION</w:t>
      </w:r>
    </w:p>
    <w:tbl>
      <w:tblPr>
        <w:tblW w:type="auto" w:w="0"/>
        <w:jc w:val="center"/>
        <w:tblLook w:firstColumn="1" w:firstRow="1" w:lastColumn="0" w:lastRow="0" w:noHBand="0" w:noVBand="1" w:val="04A0"/>
      </w:tblPr>
      <w:tblGrid>
        <w:gridCol w:w="9648"/>
      </w:tblGrid>
      <w:tr>
        <w:tc>
          <w:tcPr>
            <w:tcW w:type="dxa" w:w="9648"/>
            <w:shd w:fill="F8F9FB"/>
            <w:tcMar>
              <w:top w:w="100" w:type="dxa"/>
              <w:bottom w:w="100" w:type="dxa"/>
              <w:left w:w="160" w:type="dxa"/>
              <w:right w:w="160" w:type="dxa"/>
            </w:tcMar>
          </w:tcPr>
          <w:p>
            <w:pPr>
              <w:spacing w:before="20" w:after="40"/>
            </w:pPr>
            <w:r>
              <w:rPr>
                <w:rFonts w:ascii="Arial" w:hAnsi="Arial"/>
                <w:b/>
                <w:color w:val="0F2043"/>
                <w:sz w:val="19"/>
              </w:rPr>
              <w:t>Secondary Rules &amp; Canons Applied</w:t>
              <w:br/>
            </w:r>
          </w:p>
          <w:p>
            <w:pPr>
              <w:spacing w:before="20" w:after="40" w:line="276" w:lineRule="auto"/>
            </w:pPr>
            <w:r>
              <w:rPr>
                <w:rFonts w:ascii="Calibri" w:hAnsi="Calibri"/>
                <w:b/>
                <w:color w:val="212529"/>
                <w:sz w:val="19"/>
              </w:rPr>
              <w:t xml:space="preserve">• Canon / Maxim: </w:t>
            </w:r>
            <w:r>
              <w:rPr>
                <w:rFonts w:ascii="Calibri" w:hAnsi="Calibri"/>
                <w:color w:val="212529"/>
                <w:sz w:val="19"/>
              </w:rPr>
              <w:t>• Quantum meruit (as much as he deserved)</w:t>
              <w:br/>
              <w:t>• Lex non intendit absurdum (the law does not intend absurdity)</w:t>
            </w:r>
          </w:p>
          <w:p>
            <w:pPr>
              <w:spacing w:before="20" w:after="40" w:line="276" w:lineRule="auto"/>
            </w:pPr>
            <w:r>
              <w:rPr>
                <w:rFonts w:ascii="Calibri" w:hAnsi="Calibri"/>
                <w:b/>
                <w:color w:val="212529"/>
                <w:sz w:val="19"/>
              </w:rPr>
              <w:t xml:space="preserve">• How Applied: </w:t>
            </w:r>
            <w:r>
              <w:rPr>
                <w:rFonts w:ascii="Calibri" w:hAnsi="Calibri"/>
                <w:color w:val="212529"/>
                <w:sz w:val="19"/>
              </w:rPr>
              <w:t>Applied as corroborative canons to reinforce the primary rule of construction.</w:t>
            </w:r>
          </w:p>
          <w:p>
            <w:pPr>
              <w:spacing w:before="20" w:after="40" w:line="276" w:lineRule="auto"/>
            </w:pPr>
            <w:r>
              <w:rPr>
                <w:rFonts w:ascii="Calibri" w:hAnsi="Calibri"/>
                <w:b/>
                <w:color w:val="212529"/>
                <w:sz w:val="19"/>
              </w:rPr>
              <w:t xml:space="preserve">• Effect on Interpretation: </w:t>
            </w:r>
            <w:r>
              <w:rPr>
                <w:rFonts w:ascii="Calibri" w:hAnsi="Calibri"/>
                <w:color w:val="212529"/>
                <w:sz w:val="19"/>
              </w:rPr>
              <w:t>Harmonized the statute and prevented an absurd or unjust result.</w:t>
            </w:r>
          </w:p>
        </w:tc>
      </w:tr>
    </w:tbl>
    <w:p>
      <w:pPr>
        <w:keepNext/>
        <w:spacing w:before="240" w:after="60"/>
      </w:pPr>
      <w:r>
        <w:rPr>
          <w:rFonts w:ascii="Arial" w:hAnsi="Arial"/>
          <w:b/>
          <w:color w:val="0F2043"/>
          <w:sz w:val="21"/>
        </w:rPr>
        <w:t>IX. THE CONSTRUCTION MADE BY THE COURT</w:t>
      </w:r>
    </w:p>
    <w:tbl>
      <w:tblPr>
        <w:tblW w:type="auto" w:w="0"/>
        <w:jc w:val="center"/>
        <w:tblLook w:firstColumn="1" w:firstRow="1" w:lastColumn="0" w:lastRow="0" w:noHBand="0" w:noVBand="1" w:val="04A0"/>
      </w:tblPr>
      <w:tblGrid>
        <w:gridCol w:w="9648"/>
      </w:tblGrid>
      <w:tr>
        <w:tc>
          <w:tcPr>
            <w:tcW w:type="dxa" w:w="9648"/>
            <w:shd w:fill="F9F8F5"/>
            <w:tcMar>
              <w:top w:w="100" w:type="dxa"/>
              <w:bottom w:w="100" w:type="dxa"/>
              <w:left w:w="160" w:type="dxa"/>
              <w:right w:w="160" w:type="dxa"/>
            </w:tcMar>
          </w:tcPr>
          <w:p>
            <w:pPr>
              <w:spacing w:before="20" w:after="40"/>
            </w:pPr>
            <w:r>
              <w:rPr>
                <w:rFonts w:ascii="Arial" w:hAnsi="Arial"/>
                <w:b/>
                <w:color w:val="0F2043"/>
                <w:sz w:val="19"/>
              </w:rPr>
              <w:t>Actual Judicial Construction &amp; Ratio</w:t>
              <w:br/>
            </w:r>
          </w:p>
          <w:p>
            <w:pPr>
              <w:spacing w:before="20" w:after="40" w:line="276" w:lineRule="auto"/>
            </w:pPr>
            <w:r>
              <w:rPr>
                <w:rFonts w:ascii="Calibri" w:hAnsi="Calibri"/>
                <w:b/>
                <w:color w:val="212529"/>
                <w:sz w:val="19"/>
              </w:rPr>
              <w:t xml:space="preserve">• Construction Summary: </w:t>
            </w:r>
            <w:r>
              <w:rPr>
                <w:rFonts w:ascii="Calibri" w:hAnsi="Calibri"/>
                <w:color w:val="212529"/>
                <w:sz w:val="19"/>
              </w:rPr>
              <w:t>The Court construed the disputed statutory provisions in Jose V. Melchor, Jr. v. Commission on Audit to mean and apply strictly in accordance with Nemo cum alterius detrimento locupletari potest, holding that No. The government cannot take completed buildings for free. Under Quantum Meruit, the contractor is entitled to fair payment for actual work done, and an offic.</w:t>
            </w:r>
          </w:p>
          <w:p>
            <w:pPr>
              <w:spacing w:before="20" w:after="40" w:line="276" w:lineRule="auto"/>
            </w:pPr>
            <w:r>
              <w:rPr>
                <w:rFonts w:ascii="Calibri" w:hAnsi="Calibri"/>
                <w:b/>
                <w:color w:val="212529"/>
                <w:sz w:val="19"/>
              </w:rPr>
              <w:t xml:space="preserve">• Principal Reasoning: </w:t>
            </w:r>
            <w:r>
              <w:rPr>
                <w:rFonts w:ascii="Calibri" w:hAnsi="Calibri"/>
                <w:color w:val="212529"/>
                <w:sz w:val="19"/>
              </w:rPr>
              <w:t>Auditing rules exist to stop corruption, not to rob honest workers who fixed government buildings after a typhoon. Since the work was inspected and utilized, equity and common sense require paying the actual fair value of the work under Quantum Meruit.</w:t>
            </w:r>
          </w:p>
        </w:tc>
      </w:tr>
    </w:tbl>
    <w:tbl>
      <w:tblPr>
        <w:tblW w:type="auto" w:w="0"/>
        <w:jc w:val="center"/>
        <w:tblLook w:firstColumn="1" w:firstRow="1" w:lastColumn="0" w:lastRow="0" w:noHBand="0" w:noVBand="1" w:val="04A0"/>
      </w:tblPr>
      <w:tblGrid>
        <w:gridCol w:w="9648"/>
      </w:tblGrid>
      <w:tr>
        <w:tc>
          <w:tcPr>
            <w:tcW w:type="dxa" w:w="9648"/>
            <w:shd w:fill="EEF6F0"/>
            <w:tcMar>
              <w:top w:w="100" w:type="dxa"/>
              <w:bottom w:w="100" w:type="dxa"/>
              <w:left w:w="160" w:type="dxa"/>
              <w:right w:w="160" w:type="dxa"/>
            </w:tcMar>
          </w:tcPr>
          <w:p>
            <w:pPr>
              <w:spacing w:before="20" w:after="40"/>
            </w:pPr>
            <w:r>
              <w:rPr>
                <w:rFonts w:ascii="Arial" w:hAnsi="Arial"/>
                <w:b/>
                <w:color w:val="0D6E4B"/>
                <w:sz w:val="19"/>
              </w:rPr>
              <w:t>X. STATUTORY CONSTRUCTION OR JUDICIAL LEGISLATION?</w:t>
              <w:br/>
            </w:r>
          </w:p>
          <w:p>
            <w:pPr>
              <w:spacing w:before="20" w:after="60"/>
            </w:pPr>
            <w:r>
              <w:rPr>
                <w:rFonts w:ascii="Arial" w:hAnsi="Arial"/>
                <w:b/>
                <w:color w:val="0F2043"/>
                <w:sz w:val="19"/>
              </w:rPr>
              <w:t>☑ Proper statutory construction    ☐ Judicial legislation    ☐ Debatable</w:t>
            </w:r>
          </w:p>
          <w:p>
            <w:pPr>
              <w:spacing w:before="40" w:after="40" w:line="276" w:lineRule="auto"/>
            </w:pPr>
            <w:r>
              <w:rPr>
                <w:rFonts w:ascii="Calibri" w:hAnsi="Calibri"/>
                <w:b/>
                <w:color w:val="212529"/>
                <w:sz w:val="19"/>
              </w:rPr>
              <w:t>Explanation (3–5 sentences):</w:t>
              <w:br/>
            </w:r>
            <w:r>
              <w:rPr>
                <w:rFonts w:ascii="Calibri" w:hAnsi="Calibri"/>
                <w:color w:val="212529"/>
                <w:sz w:val="19"/>
              </w:rPr>
              <w:t>The Supreme Court acted within the legitimate bounds of its constitutional power to interpret the law (jus dicere). By applying Nemo cum alterius detrimento locupletari potest, the Court faithfully effectuated the legislative intent without creating new rules, modifying clear statutory text, or usurping congressional prerogative. The ruling reinforces the separation of powers and the doctrine that courts must enforce the law as enacted.</w:t>
            </w:r>
          </w:p>
        </w:tc>
      </w:tr>
    </w:tbl>
    <w:p>
      <w:pPr>
        <w:spacing w:before="80" w:after="40"/>
      </w:pPr>
    </w:p>
    <w:tbl>
      <w:tblPr>
        <w:tblW w:type="auto" w:w="0"/>
        <w:jc w:val="center"/>
        <w:tblLook w:firstColumn="1" w:firstRow="1" w:lastColumn="0" w:lastRow="0" w:noHBand="0" w:noVBand="1" w:val="04A0"/>
      </w:tblPr>
      <w:tblGrid>
        <w:gridCol w:w="9648"/>
      </w:tblGrid>
      <w:tr>
        <w:tc>
          <w:tcPr>
            <w:tcW w:type="dxa" w:w="9648"/>
            <w:shd w:fill="FBF6EE"/>
            <w:tcMar>
              <w:top w:w="100" w:type="dxa"/>
              <w:bottom w:w="100" w:type="dxa"/>
              <w:left w:w="160" w:type="dxa"/>
              <w:right w:w="160" w:type="dxa"/>
            </w:tcMar>
          </w:tcPr>
          <w:p>
            <w:pPr>
              <w:spacing w:before="20" w:after="40"/>
            </w:pPr>
            <w:r>
              <w:rPr>
                <w:rFonts w:ascii="Arial" w:hAnsi="Arial"/>
                <w:b/>
                <w:color w:val="8C3200"/>
                <w:sz w:val="19"/>
              </w:rPr>
              <w:t>XI. DOCTRINE (Statutory Construction Principle):</w:t>
              <w:br/>
            </w:r>
            <w:r>
              <w:rPr>
                <w:rFonts w:ascii="Calibri" w:hAnsi="Calibri"/>
                <w:color w:val="212529"/>
                <w:sz w:val="19"/>
              </w:rPr>
              <w:t>Equitable Construction Against Unjust Enrichment: Auditing statutes must be construed in harmony with equity; procedural defects will not bar recovery on quantum meruit for completed, beneficial works.</w:t>
              <w:br/>
              <w:br/>
            </w:r>
          </w:p>
          <w:p>
            <w:pPr>
              <w:spacing w:before="20" w:after="40"/>
            </w:pPr>
            <w:r>
              <w:rPr>
                <w:rFonts w:ascii="Arial" w:hAnsi="Arial"/>
                <w:b/>
                <w:color w:val="8C3200"/>
                <w:sz w:val="19"/>
              </w:rPr>
              <w:t>XII. ONE-SENTENCE TAKEAWAY:</w:t>
              <w:br/>
            </w:r>
            <w:r>
              <w:rPr>
                <w:rFonts w:ascii="Calibri" w:hAnsi="Calibri"/>
                <w:i/>
                <w:color w:val="212529"/>
                <w:sz w:val="19"/>
              </w:rPr>
              <w:t>This case is important in Statutory Construction because Auditing laws must be applied with fairness; the government cannot take private services and refuse to pay by crying technicality.</w:t>
            </w:r>
          </w:p>
        </w:tc>
      </w:tr>
    </w:tbl>
    <w:p>
      <w:r>
        <w:br w:type="page"/>
      </w:r>
    </w:p>
    <w:p>
      <w:pPr>
        <w:keepNext/>
        <w:spacing w:before="320" w:after="80"/>
      </w:pPr>
      <w:r>
        <w:rPr>
          <w:rFonts w:ascii="Arial" w:hAnsi="Arial"/>
          <w:b/>
          <w:color w:val="0F2043"/>
          <w:sz w:val="26"/>
        </w:rPr>
        <w:t>32. PEOPLE OF THE PHILIPPINES V. PATRICIO GARCIA</w:t>
      </w:r>
    </w:p>
    <w:p>
      <w:pPr>
        <w:spacing w:before="40" w:after="80" w:line="276" w:lineRule="auto"/>
      </w:pPr>
      <w:r>
        <w:rPr>
          <w:rFonts w:ascii="Calibri" w:hAnsi="Calibri"/>
          <w:b/>
          <w:color w:val="212529"/>
          <w:sz w:val="21"/>
        </w:rPr>
        <w:t xml:space="preserve">Citation: </w:t>
      </w:r>
      <w:r>
        <w:rPr>
          <w:rFonts w:ascii="Calibri" w:hAnsi="Calibri"/>
          <w:i/>
          <w:color w:val="212529"/>
          <w:sz w:val="21"/>
        </w:rPr>
        <w:t>G.R. No. L-2873 | February 28, 1950 | 85 Phil. 651 | En Banc | Ponente: J. Tuason</w:t>
      </w:r>
    </w:p>
    <w:p>
      <w:pPr>
        <w:keepNext/>
        <w:spacing w:before="200" w:after="40"/>
      </w:pPr>
      <w:r>
        <w:rPr>
          <w:rFonts w:ascii="Arial" w:hAnsi="Arial"/>
          <w:b/>
          <w:color w:val="781E1E"/>
          <w:sz w:val="22"/>
        </w:rPr>
        <w:t>LAYER A: ALAC DIGEST, RECITATION SCRIPT &amp; STATCON ANALYSIS</w:t>
      </w:r>
    </w:p>
    <w:p>
      <w:pPr>
        <w:keepNext/>
        <w:spacing w:before="200" w:after="40"/>
      </w:pPr>
      <w:r>
        <w:rPr>
          <w:rFonts w:ascii="Arial" w:hAnsi="Arial"/>
          <w:b/>
          <w:color w:val="781E1E"/>
          <w:sz w:val="22"/>
        </w:rPr>
        <w:t>I. PARTIES &amp; PROCEDURAL BACKGROUND</w:t>
      </w:r>
    </w:p>
    <w:p>
      <w:pPr>
        <w:spacing w:before="40" w:after="80" w:line="276" w:lineRule="auto"/>
      </w:pPr>
      <w:r>
        <w:rPr>
          <w:rFonts w:ascii="Calibri" w:hAnsi="Calibri"/>
          <w:b/>
          <w:color w:val="212529"/>
          <w:sz w:val="21"/>
        </w:rPr>
        <w:t xml:space="preserve">• Plaintiff/Petitioner: </w:t>
      </w:r>
      <w:r>
        <w:rPr>
          <w:rFonts w:ascii="Calibri" w:hAnsi="Calibri"/>
          <w:i w:val="0"/>
          <w:color w:val="212529"/>
          <w:sz w:val="21"/>
        </w:rPr>
        <w:t>People of the Philippines (Appellee)</w:t>
      </w:r>
    </w:p>
    <w:p>
      <w:pPr>
        <w:spacing w:before="40" w:after="80" w:line="276" w:lineRule="auto"/>
      </w:pPr>
      <w:r>
        <w:rPr>
          <w:rFonts w:ascii="Calibri" w:hAnsi="Calibri"/>
          <w:b/>
          <w:color w:val="212529"/>
          <w:sz w:val="21"/>
        </w:rPr>
        <w:t xml:space="preserve">• Defendant/Respondent: </w:t>
      </w:r>
      <w:r>
        <w:rPr>
          <w:rFonts w:ascii="Calibri" w:hAnsi="Calibri"/>
          <w:i w:val="0"/>
          <w:color w:val="212529"/>
          <w:sz w:val="21"/>
        </w:rPr>
        <w:t>Patricio Garcia (Appellant)</w:t>
      </w:r>
    </w:p>
    <w:p>
      <w:pPr>
        <w:spacing w:before="40" w:after="80" w:line="276" w:lineRule="auto"/>
      </w:pPr>
      <w:r>
        <w:rPr>
          <w:rFonts w:ascii="Calibri" w:hAnsi="Calibri"/>
          <w:b/>
          <w:color w:val="212529"/>
          <w:sz w:val="21"/>
        </w:rPr>
        <w:t xml:space="preserve">• Originating Court: </w:t>
      </w:r>
      <w:r>
        <w:rPr>
          <w:rFonts w:ascii="Calibri" w:hAnsi="Calibri"/>
          <w:i w:val="0"/>
          <w:color w:val="212529"/>
          <w:sz w:val="21"/>
        </w:rPr>
        <w:t>Court of First Instance of Manila</w:t>
      </w:r>
    </w:p>
    <w:p>
      <w:pPr>
        <w:spacing w:before="40" w:after="80" w:line="276" w:lineRule="auto"/>
      </w:pPr>
      <w:r>
        <w:rPr>
          <w:rFonts w:ascii="Calibri" w:hAnsi="Calibri"/>
          <w:b/>
          <w:color w:val="212529"/>
          <w:sz w:val="21"/>
        </w:rPr>
        <w:t xml:space="preserve">• Nature of the Action: </w:t>
      </w:r>
      <w:r>
        <w:rPr>
          <w:rFonts w:ascii="Calibri" w:hAnsi="Calibri"/>
          <w:i w:val="0"/>
          <w:color w:val="212529"/>
          <w:sz w:val="21"/>
        </w:rPr>
        <w:t>Appeal from a criminal conviction for Robbery with Homicide involving the statutory benefit of suspended sentence under Article 80 of the Revised Penal Code.</w:t>
      </w:r>
    </w:p>
    <w:p>
      <w:pPr>
        <w:keepNext/>
        <w:spacing w:before="200" w:after="40"/>
      </w:pPr>
      <w:r>
        <w:rPr>
          <w:rFonts w:ascii="Arial" w:hAnsi="Arial"/>
          <w:b/>
          <w:color w:val="781E1E"/>
          <w:sz w:val="22"/>
        </w:rPr>
        <w:t>II. WHOLE FACTS</w:t>
      </w:r>
    </w:p>
    <w:p>
      <w:pPr>
        <w:spacing w:before="40" w:after="80" w:line="276" w:lineRule="auto"/>
      </w:pPr>
      <w:r>
        <w:rPr>
          <w:rFonts w:ascii="Calibri" w:hAnsi="Calibri"/>
          <w:i w:val="0"/>
          <w:color w:val="212529"/>
          <w:sz w:val="21"/>
        </w:rPr>
        <w:t>Patricio Garcia committed robbery with homicide when he was 17 years old (a minor). However, due to delays in apprehension and trial, by the time the judgment of conviction was rendered by the trial court, Garcia had already reached 20 years of age (past the age of 18). Article 80 of the Revised Penal Code provided that when a minor under 18 years of age is accused of a crime, the court shall suspend proceedings and commit him to a correctional institution until he reaches the age of majority. The trial court refused to apply Article 80, holding that the accused was no longer under 18 at the time of judgment. Garcia appealed, arguing that minority at the time of the COMMISSION of the crime governs.</w:t>
      </w:r>
    </w:p>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SUMMARY OF FACTS</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A 17-year-old boy committed a robbery. By the time his trial finished, he was 20 years old. The law (Article 80 RPC) gives juvenile delinquents suspended sentences instead of prison, sending them to reformatories. The trial judge refused to grant the youth reformatory benefits, saying the accused was already an adult on the day of sentencing. The Supreme Court ruled that age at the time the crime was committed determines whether you get the benefit of the youth rehabilitation law.</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When reciting the facts, state the core dispute in 2 sentences, then state how the case reached the Supreme Court.</w:t>
            </w:r>
          </w:p>
        </w:tc>
      </w:tr>
    </w:tbl>
    <w:p>
      <w:pPr>
        <w:keepNext/>
        <w:spacing w:before="200" w:after="40"/>
      </w:pPr>
      <w:r>
        <w:rPr>
          <w:rFonts w:ascii="Arial" w:hAnsi="Arial"/>
          <w:b/>
          <w:color w:val="781E1E"/>
          <w:sz w:val="22"/>
        </w:rPr>
        <w:t>III. THE LEGAL ISSUE</w:t>
      </w:r>
    </w:p>
    <w:p>
      <w:pPr>
        <w:spacing w:before="40" w:after="80" w:line="276" w:lineRule="auto"/>
      </w:pPr>
      <w:r>
        <w:rPr>
          <w:rFonts w:ascii="Calibri" w:hAnsi="Calibri"/>
          <w:i w:val="0"/>
          <w:color w:val="212529"/>
          <w:sz w:val="21"/>
        </w:rPr>
        <w:t>Whether or not the benefits of suspended sentence under Article 80 of the Revised Penal Code apply to an accused who was a minor at the time of the commission of the crime, but who reached majority during trial.</w:t>
      </w:r>
    </w:p>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THE LEGAL ISSUE</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Does a teenager get the benefit of the juvenile suspended sentence law if he was 17 when he committed the crime, but turned 20 before the judge finished the trial?</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"Sir/Ma'am, the issue is whether Article 80 RPC applies based on the age of the offender at the time of the commission of the offense rather than at the time of trial or judgment, testing the canon Favorabilia Sunt Amplianda, Odiosa Restringenda (favorable things should be enlarged, hateful things restricted) and In Dubio Pro Reo."</w:t>
            </w:r>
          </w:p>
        </w:tc>
      </w:tr>
    </w:tbl>
    <w:p>
      <w:pPr>
        <w:keepNext/>
        <w:spacing w:before="200" w:after="40"/>
      </w:pPr>
      <w:r>
        <w:rPr>
          <w:rFonts w:ascii="Arial" w:hAnsi="Arial"/>
          <w:b/>
          <w:color w:val="781E1E"/>
          <w:sz w:val="22"/>
        </w:rPr>
        <w:t>IV. ALAC DIGEST</w:t>
      </w:r>
    </w:p>
    <w:tbl>
      <w:tblPr>
        <w:tblW w:type="auto" w:w="0"/>
        <w:jc w:val="center"/>
        <w:tblLook w:firstColumn="1" w:firstRow="1" w:lastColumn="0" w:lastRow="0" w:noHBand="0" w:noVBand="1" w:val="04A0"/>
      </w:tblPr>
      <w:tblGrid>
        <w:gridCol w:w="9648"/>
      </w:tblGrid>
      <w:tr>
        <w:tc>
          <w:tcPr>
            <w:tcW w:type="dxa" w:w="9648"/>
            <w:shd w:fill="F4F6F9"/>
            <w:tcMar>
              <w:top w:w="120" w:type="dxa"/>
              <w:bottom w:w="120" w:type="dxa"/>
              <w:left w:w="180" w:type="dxa"/>
              <w:right w:w="180" w:type="dxa"/>
            </w:tcMar>
          </w:tcPr>
          <w:p>
            <w:pPr>
              <w:spacing w:before="40" w:after="60"/>
            </w:pPr>
            <w:r>
              <w:rPr>
                <w:rFonts w:ascii="Arial" w:hAnsi="Arial"/>
                <w:b/>
                <w:color w:val="0F2043"/>
                <w:sz w:val="21"/>
              </w:rPr>
              <w:t>[A] ANSWER</w:t>
              <w:br/>
            </w:r>
          </w:p>
          <w:p>
            <w:pPr>
              <w:spacing w:before="20" w:after="40" w:line="276" w:lineRule="auto"/>
            </w:pPr>
            <w:r>
              <w:rPr>
                <w:rFonts w:ascii="Calibri" w:hAnsi="Calibri"/>
                <w:color w:val="212529"/>
                <w:sz w:val="20"/>
              </w:rPr>
              <w:t>YES. The age of the accused at the TIME OF THE COMMISSION of the offense governs. Penal laws providing beneficial treatment or mitigation to juvenile offenders are liberally construed in favor of the accused (Favorabilia sunt amplianda, odiosa restringenda).</w:t>
            </w:r>
          </w:p>
        </w:tc>
      </w:tr>
    </w:tbl>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THE ANSWER</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Yes. What matters is how old the youth was when he committed the act. Because penal laws that help the accused must be interpreted broadly and generously, court delays cannot steal away the reformatory rights granted to minors.</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"Yes, Sir/Ma'am. Under the canon Favorabilia sunt amplianda, odiosa restringenda (matters of favor are enlarged, and hateful matters restricted) and strict construction of penal laws in favor of the accused, the Supreme Court held that the age at the time of the commission of the crime controls, preserving juvenile reformatory benefits."</w:t>
            </w:r>
          </w:p>
        </w:tc>
      </w:tr>
    </w:tbl>
    <w:tbl>
      <w:tblPr>
        <w:tblW w:type="auto" w:w="0"/>
        <w:jc w:val="center"/>
        <w:tblLook w:firstColumn="1" w:firstRow="1" w:lastColumn="0" w:lastRow="0" w:noHBand="0" w:noVBand="1" w:val="04A0"/>
      </w:tblPr>
      <w:tblGrid>
        <w:gridCol w:w="9648"/>
      </w:tblGrid>
      <w:tr>
        <w:tc>
          <w:tcPr>
            <w:tcW w:type="dxa" w:w="9648"/>
            <w:shd w:fill="F4F6F9"/>
            <w:tcMar>
              <w:top w:w="120" w:type="dxa"/>
              <w:bottom w:w="120" w:type="dxa"/>
              <w:left w:w="180" w:type="dxa"/>
              <w:right w:w="180" w:type="dxa"/>
            </w:tcMar>
          </w:tcPr>
          <w:p>
            <w:pPr>
              <w:spacing w:before="40" w:after="60"/>
            </w:pPr>
            <w:r>
              <w:rPr>
                <w:rFonts w:ascii="Arial" w:hAnsi="Arial"/>
                <w:b/>
                <w:color w:val="0F2043"/>
                <w:sz w:val="21"/>
              </w:rPr>
              <w:t>[L] LEGAL BASIS</w:t>
              <w:br/>
            </w:r>
          </w:p>
          <w:p>
            <w:pPr>
              <w:spacing w:before="20" w:after="40" w:line="276" w:lineRule="auto"/>
            </w:pPr>
            <w:r>
              <w:rPr>
                <w:rFonts w:ascii="Calibri" w:hAnsi="Calibri"/>
                <w:b/>
                <w:color w:val="212529"/>
                <w:sz w:val="20"/>
              </w:rPr>
              <w:t xml:space="preserve">1. Article 80, Revised Penal Code (as amended): </w:t>
            </w:r>
            <w:r>
              <w:rPr>
                <w:rFonts w:ascii="Calibri" w:hAnsi="Calibri"/>
                <w:color w:val="212529"/>
                <w:sz w:val="20"/>
              </w:rPr>
              <w:t>Suspension of sentence and commitment of juvenile delinquents to training institutions.</w:t>
            </w:r>
          </w:p>
          <w:p>
            <w:pPr>
              <w:spacing w:before="20" w:after="40" w:line="276" w:lineRule="auto"/>
            </w:pPr>
            <w:r>
              <w:rPr>
                <w:rFonts w:ascii="Calibri" w:hAnsi="Calibri"/>
                <w:b/>
                <w:color w:val="212529"/>
                <w:sz w:val="20"/>
              </w:rPr>
              <w:t xml:space="preserve">2. Favorabilia Sunt Amplianda, Odiosa Restringenda (favorable things should be enlarged, odious things restricted): </w:t>
            </w:r>
            <w:r>
              <w:rPr>
                <w:rFonts w:ascii="Calibri" w:hAnsi="Calibri"/>
                <w:color w:val="212529"/>
                <w:sz w:val="20"/>
              </w:rPr>
              <w:t>Beneficial statutory provisions are interpreted broadly, while punitive or restrictive rules are interpreted narrowly.</w:t>
            </w:r>
          </w:p>
          <w:p>
            <w:pPr>
              <w:spacing w:before="20" w:after="40" w:line="276" w:lineRule="auto"/>
            </w:pPr>
            <w:r>
              <w:rPr>
                <w:rFonts w:ascii="Calibri" w:hAnsi="Calibri"/>
                <w:b/>
                <w:color w:val="212529"/>
                <w:sz w:val="20"/>
              </w:rPr>
              <w:t xml:space="preserve">3. In Favorem Libertatis / In Dubio Pro Reo (in favor of liberty / in doubt, rule for the accused): </w:t>
            </w:r>
            <w:r>
              <w:rPr>
                <w:rFonts w:ascii="Calibri" w:hAnsi="Calibri"/>
                <w:color w:val="212529"/>
                <w:sz w:val="20"/>
              </w:rPr>
              <w:t>All doubts in criminal statutory provisions are resolved in favor of the accused.</w:t>
            </w:r>
          </w:p>
        </w:tc>
      </w:tr>
    </w:tbl>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LEGAL BASIS</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Article 80 RPC, Favorabilia Sunt Amplianda, Odiosa Restringenda, and In Favorem Libertatis.</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"Sir/Ma'am, the legal basis is Article 80 RPC, governed by Favorabilia sunt amplianda, odiosa restringenda (favorable things enlarged, hateful things restricted) and In favorem libertatis (in favor of personal liberty)."</w:t>
            </w:r>
          </w:p>
        </w:tc>
      </w:tr>
    </w:tbl>
    <w:tbl>
      <w:tblPr>
        <w:tblW w:type="auto" w:w="0"/>
        <w:jc w:val="center"/>
        <w:tblLook w:firstColumn="1" w:firstRow="1" w:lastColumn="0" w:lastRow="0" w:noHBand="0" w:noVBand="1" w:val="04A0"/>
      </w:tblPr>
      <w:tblGrid>
        <w:gridCol w:w="9648"/>
      </w:tblGrid>
      <w:tr>
        <w:tc>
          <w:tcPr>
            <w:tcW w:type="dxa" w:w="9648"/>
            <w:shd w:fill="F4F6F9"/>
            <w:tcMar>
              <w:top w:w="120" w:type="dxa"/>
              <w:bottom w:w="120" w:type="dxa"/>
              <w:left w:w="180" w:type="dxa"/>
              <w:right w:w="180" w:type="dxa"/>
            </w:tcMar>
          </w:tcPr>
          <w:p>
            <w:pPr>
              <w:spacing w:before="40" w:after="60"/>
            </w:pPr>
            <w:r>
              <w:rPr>
                <w:rFonts w:ascii="Arial" w:hAnsi="Arial"/>
                <w:b/>
                <w:color w:val="0F2043"/>
                <w:sz w:val="21"/>
              </w:rPr>
              <w:t>[A] ANALYSIS / APPLICATION</w:t>
              <w:br/>
            </w:r>
          </w:p>
          <w:p>
            <w:pPr>
              <w:spacing w:before="20" w:after="40" w:line="276" w:lineRule="auto"/>
            </w:pPr>
            <w:r>
              <w:rPr>
                <w:rFonts w:ascii="Calibri" w:hAnsi="Calibri"/>
                <w:b/>
                <w:color w:val="212529"/>
                <w:sz w:val="20"/>
              </w:rPr>
              <w:t xml:space="preserve">1. Purpose of Juvenile Delinquency Legislation: </w:t>
            </w:r>
            <w:r>
              <w:rPr>
                <w:rFonts w:ascii="Calibri" w:hAnsi="Calibri"/>
                <w:color w:val="212529"/>
                <w:sz w:val="20"/>
              </w:rPr>
              <w:t>The primary intention of Article 80 RPC is reformative and rehabilitative rather than retributive, recognizing the immature discernment of youthful offenders.</w:t>
            </w:r>
          </w:p>
          <w:p>
            <w:pPr>
              <w:spacing w:before="20" w:after="40" w:line="276" w:lineRule="auto"/>
            </w:pPr>
            <w:r>
              <w:rPr>
                <w:rFonts w:ascii="Calibri" w:hAnsi="Calibri"/>
                <w:b/>
                <w:color w:val="212529"/>
                <w:sz w:val="20"/>
              </w:rPr>
              <w:t xml:space="preserve">2. Prevention of Prejudice Through Court Delay: </w:t>
            </w:r>
            <w:r>
              <w:rPr>
                <w:rFonts w:ascii="Calibri" w:hAnsi="Calibri"/>
                <w:color w:val="212529"/>
                <w:sz w:val="20"/>
              </w:rPr>
              <w:t>An accused should not be deprived of statutory leniency and juvenile protection simply because judicial proceedings were delayed through no fault of his own.</w:t>
            </w:r>
          </w:p>
          <w:p>
            <w:pPr>
              <w:spacing w:before="20" w:after="40" w:line="276" w:lineRule="auto"/>
            </w:pPr>
            <w:r>
              <w:rPr>
                <w:rFonts w:ascii="Calibri" w:hAnsi="Calibri"/>
                <w:b/>
                <w:color w:val="212529"/>
                <w:sz w:val="20"/>
              </w:rPr>
              <w:t xml:space="preserve">3. Liberal Construction of Beneficial Provisions: </w:t>
            </w:r>
            <w:r>
              <w:rPr>
                <w:rFonts w:ascii="Calibri" w:hAnsi="Calibri"/>
                <w:color w:val="212529"/>
                <w:sz w:val="20"/>
              </w:rPr>
              <w:t>Statutes that alleviate the harshness of criminal punishment must be given the most expansive, favorable interpretation permitted by reason.</w:t>
            </w:r>
          </w:p>
        </w:tc>
      </w:tr>
    </w:tbl>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ANALYSIS / APPLICATION</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The purpose of youth laws is to reform young minds. If the law were tied to the date of judgment, a slow court schedule would punish the boy as an adult, which contradicts the whole reason the legislature passed the law. The Court ruled that beneficial laws must be stretched to protect human rehabilitation.</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"Sir/Ma'am, the Court applied Favorabilia Sunt Amplianda. The purpose of juvenile legislation is rehabilitation. Interpreting the law to require minority at the date of sentence would make youth benefits depend on accidental court delays, defeating the humane intent of the legislature."</w:t>
            </w:r>
          </w:p>
        </w:tc>
      </w:tr>
    </w:tbl>
    <w:tbl>
      <w:tblPr>
        <w:tblW w:type="auto" w:w="0"/>
        <w:jc w:val="center"/>
        <w:tblLook w:firstColumn="1" w:firstRow="1" w:lastColumn="0" w:lastRow="0" w:noHBand="0" w:noVBand="1" w:val="04A0"/>
      </w:tblPr>
      <w:tblGrid>
        <w:gridCol w:w="9648"/>
      </w:tblGrid>
      <w:tr>
        <w:tc>
          <w:tcPr>
            <w:tcW w:type="dxa" w:w="9648"/>
            <w:shd w:fill="F4F6F9"/>
            <w:tcMar>
              <w:top w:w="120" w:type="dxa"/>
              <w:bottom w:w="120" w:type="dxa"/>
              <w:left w:w="180" w:type="dxa"/>
              <w:right w:w="180" w:type="dxa"/>
            </w:tcMar>
          </w:tcPr>
          <w:p>
            <w:pPr>
              <w:spacing w:before="40" w:after="60"/>
            </w:pPr>
            <w:r>
              <w:rPr>
                <w:rFonts w:ascii="Arial" w:hAnsi="Arial"/>
                <w:b/>
                <w:color w:val="0F2043"/>
                <w:sz w:val="21"/>
              </w:rPr>
              <w:t>[C] CONCLUSION</w:t>
              <w:br/>
            </w:r>
          </w:p>
          <w:p>
            <w:pPr>
              <w:spacing w:before="20" w:after="40" w:line="276" w:lineRule="auto"/>
            </w:pPr>
            <w:r>
              <w:rPr>
                <w:rFonts w:ascii="Calibri" w:hAnsi="Calibri"/>
                <w:color w:val="212529"/>
                <w:sz w:val="20"/>
              </w:rPr>
              <w:t>The Supreme Court SET ASIDE the prison sentence and ORDERED the trial court to apply the rehabilitative benefits of Article 80 of the Revised Penal Code.</w:t>
            </w:r>
          </w:p>
        </w:tc>
      </w:tr>
    </w:tbl>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CONCLUSION</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The youth was granted the benefits of juvenile rehabilitation rather than adult prison.</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"The Supreme Court set aside the regular prison penalty, holding that age at the time of the offense governs under the rule of liberal construction of beneficial penal laws."</w:t>
            </w:r>
          </w:p>
        </w:tc>
      </w:tr>
    </w:tbl>
    <w:p>
      <w:pPr>
        <w:keepNext/>
        <w:spacing w:before="200" w:after="40"/>
      </w:pPr>
      <w:r>
        <w:rPr>
          <w:rFonts w:ascii="Arial" w:hAnsi="Arial"/>
          <w:b/>
          <w:color w:val="781E1E"/>
          <w:sz w:val="22"/>
        </w:rPr>
        <w:t>V. RELATION TO STATUTORY CONSTRUCTION</w:t>
      </w:r>
    </w:p>
    <w:p>
      <w:pPr>
        <w:spacing w:before="40" w:after="80" w:line="276" w:lineRule="auto"/>
      </w:pPr>
      <w:r>
        <w:rPr>
          <w:rFonts w:ascii="Calibri" w:hAnsi="Calibri"/>
          <w:b/>
          <w:color w:val="212529"/>
          <w:sz w:val="21"/>
        </w:rPr>
        <w:t>• Syllabus Topic Alignment:</w:t>
        <w:br/>
      </w:r>
      <w:r>
        <w:rPr>
          <w:rFonts w:ascii="Calibri" w:hAnsi="Calibri"/>
          <w:i w:val="0"/>
          <w:color w:val="212529"/>
          <w:sz w:val="21"/>
        </w:rPr>
        <w:t>• Chapter III: Basic Guidelines in the Construction and Interpretation of Laws</w:t>
        <w:br/>
        <w:t xml:space="preserve">  - B. Considerations within the Statute: Favorabilia Sunt Amplianda, Odiosa Restringenda</w:t>
      </w:r>
    </w:p>
    <w:tbl>
      <w:tblPr>
        <w:tblW w:type="auto" w:w="0"/>
        <w:jc w:val="center"/>
        <w:tblLook w:firstColumn="1" w:firstRow="1" w:lastColumn="0" w:lastRow="0" w:noHBand="0" w:noVBand="1" w:val="04A0"/>
      </w:tblPr>
      <w:tblGrid>
        <w:gridCol w:w="9648"/>
      </w:tblGrid>
      <w:tr>
        <w:tc>
          <w:tcPr>
            <w:tcW w:type="dxa" w:w="9648"/>
            <w:shd w:fill="FDF6EE"/>
            <w:tcMar>
              <w:top w:w="120" w:type="dxa"/>
              <w:bottom w:w="120" w:type="dxa"/>
              <w:left w:w="180" w:type="dxa"/>
              <w:right w:w="180" w:type="dxa"/>
            </w:tcMar>
          </w:tcPr>
          <w:p>
            <w:pPr>
              <w:spacing w:before="40" w:after="80"/>
            </w:pPr>
            <w:r>
              <w:rPr>
                <w:rFonts w:ascii="Arial" w:hAnsi="Arial"/>
                <w:b/>
                <w:color w:val="8C3200"/>
                <w:sz w:val="20"/>
              </w:rPr>
              <w:t>📜 GOVERNING LATIN MAXIMS WITH ENGLISH TRANSLATIONS</w:t>
              <w:br/>
            </w:r>
          </w:p>
          <w:p>
            <w:pPr>
              <w:spacing w:before="40" w:after="60" w:line="276" w:lineRule="auto"/>
            </w:pPr>
            <w:r>
              <w:rPr>
                <w:rFonts w:ascii="Calibri" w:hAnsi="Calibri"/>
                <w:b/>
                <w:color w:val="8C3200"/>
                <w:sz w:val="20"/>
              </w:rPr>
              <w:t>1. Favorabilia sunt amplianda, odiosa restringenda (favorable things should be enlarged, hateful things restricted)</w:t>
              <w:br/>
            </w:r>
            <w:r>
              <w:rPr>
                <w:rFonts w:ascii="Calibri" w:hAnsi="Calibri"/>
                <w:b/>
                <w:color w:val="212529"/>
                <w:sz w:val="19"/>
              </w:rPr>
              <w:t xml:space="preserve">   • Literal English Translation: </w:t>
            </w:r>
            <w:r>
              <w:rPr>
                <w:rFonts w:ascii="Calibri" w:hAnsi="Calibri"/>
                <w:i/>
                <w:color w:val="212529"/>
                <w:sz w:val="19"/>
              </w:rPr>
              <w:t>Matters of favor are to be extended, matters of burden or penalty are to be restrained.</w:t>
              <w:br/>
            </w:r>
            <w:r>
              <w:rPr>
                <w:rFonts w:ascii="Calibri" w:hAnsi="Calibri"/>
                <w:b/>
                <w:color w:val="212529"/>
                <w:sz w:val="19"/>
              </w:rPr>
              <w:t xml:space="preserve">   • Plain Legal Meaning &amp; StatCon Application: </w:t>
            </w:r>
            <w:r>
              <w:rPr>
                <w:rFonts w:ascii="Calibri" w:hAnsi="Calibri"/>
                <w:color w:val="212529"/>
                <w:sz w:val="19"/>
              </w:rPr>
              <w:t>Beneficial statutory provisions for juvenile offenders must be given the widest possible scope.</w:t>
            </w:r>
          </w:p>
          <w:p>
            <w:pPr>
              <w:spacing w:before="40" w:after="60" w:line="276" w:lineRule="auto"/>
            </w:pPr>
            <w:r>
              <w:rPr>
                <w:rFonts w:ascii="Calibri" w:hAnsi="Calibri"/>
                <w:b/>
                <w:color w:val="8C3200"/>
                <w:sz w:val="20"/>
              </w:rPr>
              <w:t>2. In favorem libertatis (in favor of personal liberty)</w:t>
              <w:br/>
            </w:r>
            <w:r>
              <w:rPr>
                <w:rFonts w:ascii="Calibri" w:hAnsi="Calibri"/>
                <w:b/>
                <w:color w:val="212529"/>
                <w:sz w:val="19"/>
              </w:rPr>
              <w:t xml:space="preserve">   • Literal English Translation: </w:t>
            </w:r>
            <w:r>
              <w:rPr>
                <w:rFonts w:ascii="Calibri" w:hAnsi="Calibri"/>
                <w:i/>
                <w:color w:val="212529"/>
                <w:sz w:val="19"/>
              </w:rPr>
              <w:t>In favor of liberty.</w:t>
              <w:br/>
            </w:r>
            <w:r>
              <w:rPr>
                <w:rFonts w:ascii="Calibri" w:hAnsi="Calibri"/>
                <w:b/>
                <w:color w:val="212529"/>
                <w:sz w:val="19"/>
              </w:rPr>
              <w:t xml:space="preserve">   • Plain Legal Meaning &amp; StatCon Application: </w:t>
            </w:r>
            <w:r>
              <w:rPr>
                <w:rFonts w:ascii="Calibri" w:hAnsi="Calibri"/>
                <w:color w:val="212529"/>
                <w:sz w:val="19"/>
              </w:rPr>
              <w:t>Penal and procedural statutes are interpreted to favor personal liberty and human rehabilitation.</w:t>
            </w:r>
          </w:p>
          <w:p>
            <w:pPr>
              <w:spacing w:before="40" w:after="60" w:line="276" w:lineRule="auto"/>
            </w:pPr>
            <w:r>
              <w:rPr>
                <w:rFonts w:ascii="Calibri" w:hAnsi="Calibri"/>
                <w:b/>
                <w:color w:val="8C3200"/>
                <w:sz w:val="20"/>
              </w:rPr>
              <w:t>3. Ratio legis est anima legis (the reason of the law is the soul of the law)</w:t>
              <w:br/>
            </w:r>
            <w:r>
              <w:rPr>
                <w:rFonts w:ascii="Calibri" w:hAnsi="Calibri"/>
                <w:b/>
                <w:color w:val="212529"/>
                <w:sz w:val="19"/>
              </w:rPr>
              <w:t xml:space="preserve">   • Literal English Translation: </w:t>
            </w:r>
            <w:r>
              <w:rPr>
                <w:rFonts w:ascii="Calibri" w:hAnsi="Calibri"/>
                <w:i/>
                <w:color w:val="212529"/>
                <w:sz w:val="19"/>
              </w:rPr>
              <w:t>The reason of the law is the soul of the law.</w:t>
              <w:br/>
            </w:r>
            <w:r>
              <w:rPr>
                <w:rFonts w:ascii="Calibri" w:hAnsi="Calibri"/>
                <w:b/>
                <w:color w:val="212529"/>
                <w:sz w:val="19"/>
              </w:rPr>
              <w:t xml:space="preserve">   • Plain Legal Meaning &amp; StatCon Application: </w:t>
            </w:r>
            <w:r>
              <w:rPr>
                <w:rFonts w:ascii="Calibri" w:hAnsi="Calibri"/>
                <w:color w:val="212529"/>
                <w:sz w:val="19"/>
              </w:rPr>
              <w:t>The rehabilitative objective of youth laws determines their proper statutory scope.</w:t>
            </w:r>
          </w:p>
        </w:tc>
      </w:tr>
    </w:tbl>
    <w:tbl>
      <w:tblPr>
        <w:tblW w:type="auto" w:w="0"/>
        <w:jc w:val="center"/>
        <w:tblLook w:firstColumn="1" w:firstRow="1" w:lastColumn="0" w:lastRow="0" w:noHBand="0" w:noVBand="1" w:val="04A0"/>
      </w:tblPr>
      <w:tblGrid>
        <w:gridCol w:w="4824"/>
        <w:gridCol w:w="4824"/>
      </w:tblGrid>
      <w:tr>
        <w:tc>
          <w:tcPr>
            <w:tcW w:type="dxa" w:w="4824"/>
            <w:shd w:fill="EAEFF5"/>
            <w:tcMar>
              <w:top w:w="80" w:type="dxa"/>
              <w:bottom w:w="80" w:type="dxa"/>
              <w:left w:w="120" w:type="dxa"/>
              <w:right w:w="120" w:type="dxa"/>
            </w:tcMar>
          </w:tcPr>
          <w:p>
            <w:pPr>
              <w:spacing w:before="40" w:after="40"/>
            </w:pPr>
            <w:r>
              <w:rPr>
                <w:rFonts w:ascii="Arial" w:hAnsi="Arial"/>
                <w:b/>
                <w:color w:val="0F2043"/>
                <w:sz w:val="18"/>
              </w:rPr>
              <w:t>Syllabus Topic Alignment</w:t>
              <w:br/>
              <w:t>(StatCon_Syllabus_JPR.pdf)</w:t>
            </w:r>
          </w:p>
        </w:tc>
        <w:tc>
          <w:tcPr>
            <w:tcW w:type="dxa" w:w="4824"/>
            <w:shd w:fill="FAFAFA"/>
            <w:tcMar>
              <w:top w:w="80" w:type="dxa"/>
              <w:bottom w:w="80" w:type="dxa"/>
              <w:left w:w="120" w:type="dxa"/>
              <w:right w:w="120" w:type="dxa"/>
            </w:tcMar>
          </w:tcPr>
          <w:p>
            <w:pPr>
              <w:spacing w:before="40" w:after="40" w:line="276" w:lineRule="auto"/>
            </w:pPr>
            <w:r>
              <w:rPr>
                <w:rFonts w:ascii="Calibri" w:hAnsi="Calibri"/>
                <w:color w:val="212529"/>
                <w:sz w:val="19"/>
              </w:rPr>
              <w:t>• Chapter III: Basic Guidelines in the Construction and Interpretation of Laws</w:t>
              <w:br/>
              <w:t xml:space="preserve">  - B. Considerations within the Statute: Favorabilia Sunt Amplianda, Odiosa Restringenda</w:t>
            </w:r>
          </w:p>
        </w:tc>
      </w:tr>
      <w:tr>
        <w:tc>
          <w:tcPr>
            <w:tcW w:type="dxa" w:w="4824"/>
            <w:shd w:fill="EAEFF5"/>
            <w:tcMar>
              <w:top w:w="80" w:type="dxa"/>
              <w:bottom w:w="80" w:type="dxa"/>
              <w:left w:w="120" w:type="dxa"/>
              <w:right w:w="120" w:type="dxa"/>
            </w:tcMar>
          </w:tcPr>
          <w:p>
            <w:pPr>
              <w:spacing w:before="40" w:after="40"/>
            </w:pPr>
            <w:r>
              <w:rPr>
                <w:rFonts w:ascii="Arial" w:hAnsi="Arial"/>
                <w:b/>
                <w:color w:val="0F2043"/>
                <w:sz w:val="18"/>
              </w:rPr>
              <w:t>Governing Latin Maxims &amp; English</w:t>
            </w:r>
          </w:p>
        </w:tc>
        <w:tc>
          <w:tcPr>
            <w:tcW w:type="dxa" w:w="4824"/>
            <w:shd w:fill="FAFAFA"/>
            <w:tcMar>
              <w:top w:w="80" w:type="dxa"/>
              <w:bottom w:w="80" w:type="dxa"/>
              <w:left w:w="120" w:type="dxa"/>
              <w:right w:w="120" w:type="dxa"/>
            </w:tcMar>
          </w:tcPr>
          <w:p>
            <w:pPr>
              <w:spacing w:before="40" w:after="40" w:line="276" w:lineRule="auto"/>
            </w:pPr>
            <w:r>
              <w:rPr>
                <w:rFonts w:ascii="Calibri" w:hAnsi="Calibri"/>
                <w:color w:val="212529"/>
                <w:sz w:val="19"/>
              </w:rPr>
              <w:t>Primary:</w:t>
              <w:br/>
              <w:t>Favorabilia sunt amplianda, odiosa restringenda</w:t>
              <w:br/>
              <w:t>(favorable things should be enlarged, hateful things restricted / beneficial juvenile penal provisions are given broad, humane construction)</w:t>
              <w:br/>
              <w:br/>
              <w:t>Secondary:</w:t>
              <w:br/>
              <w:t>• In favorem libertatis (in favor of liberty)</w:t>
              <w:br/>
              <w:t>• Ratio legis est anima legis (the reason of the law is its soul)</w:t>
            </w:r>
          </w:p>
        </w:tc>
      </w:tr>
      <w:tr>
        <w:tc>
          <w:tcPr>
            <w:tcW w:type="dxa" w:w="4824"/>
            <w:shd w:fill="EAEFF5"/>
            <w:tcMar>
              <w:top w:w="80" w:type="dxa"/>
              <w:bottom w:w="80" w:type="dxa"/>
              <w:left w:w="120" w:type="dxa"/>
              <w:right w:w="120" w:type="dxa"/>
            </w:tcMar>
          </w:tcPr>
          <w:p>
            <w:pPr>
              <w:spacing w:before="40" w:after="40"/>
            </w:pPr>
            <w:r>
              <w:rPr>
                <w:rFonts w:ascii="Arial" w:hAnsi="Arial"/>
                <w:b/>
                <w:color w:val="0F2043"/>
                <w:sz w:val="18"/>
              </w:rPr>
              <w:t>Case Violation in StatCon</w:t>
            </w:r>
          </w:p>
        </w:tc>
        <w:tc>
          <w:tcPr>
            <w:tcW w:type="dxa" w:w="4824"/>
            <w:shd w:fill="FAFAFA"/>
            <w:tcMar>
              <w:top w:w="80" w:type="dxa"/>
              <w:bottom w:w="80" w:type="dxa"/>
              <w:left w:w="120" w:type="dxa"/>
              <w:right w:w="120" w:type="dxa"/>
            </w:tcMar>
          </w:tcPr>
          <w:p>
            <w:pPr>
              <w:spacing w:before="40" w:after="40" w:line="276" w:lineRule="auto"/>
            </w:pPr>
            <w:r>
              <w:rPr>
                <w:rFonts w:ascii="Calibri" w:hAnsi="Calibri"/>
                <w:color w:val="212529"/>
                <w:sz w:val="19"/>
              </w:rPr>
              <w:t>The trial court applied a harsh, restrictive interpretation that converted court docket delays into an instrument to strip a juvenile offender of statutory reformatory benefits.</w:t>
            </w:r>
          </w:p>
        </w:tc>
      </w:tr>
      <w:tr>
        <w:tc>
          <w:tcPr>
            <w:tcW w:type="dxa" w:w="4824"/>
            <w:shd w:fill="EAEFF5"/>
            <w:tcMar>
              <w:top w:w="80" w:type="dxa"/>
              <w:bottom w:w="80" w:type="dxa"/>
              <w:left w:w="120" w:type="dxa"/>
              <w:right w:w="120" w:type="dxa"/>
            </w:tcMar>
          </w:tcPr>
          <w:p>
            <w:pPr>
              <w:spacing w:before="40" w:after="40"/>
            </w:pPr>
            <w:r>
              <w:rPr>
                <w:rFonts w:ascii="Arial" w:hAnsi="Arial"/>
                <w:b/>
                <w:color w:val="0F2043"/>
                <w:sz w:val="18"/>
              </w:rPr>
              <w:t>Doctrinal Execution / Principle</w:t>
            </w:r>
          </w:p>
        </w:tc>
        <w:tc>
          <w:tcPr>
            <w:tcW w:type="dxa" w:w="4824"/>
            <w:shd w:fill="FAFAFA"/>
            <w:tcMar>
              <w:top w:w="80" w:type="dxa"/>
              <w:bottom w:w="80" w:type="dxa"/>
              <w:left w:w="120" w:type="dxa"/>
              <w:right w:w="120" w:type="dxa"/>
            </w:tcMar>
          </w:tcPr>
          <w:p>
            <w:pPr>
              <w:spacing w:before="40" w:after="40" w:line="276" w:lineRule="auto"/>
            </w:pPr>
            <w:r>
              <w:rPr>
                <w:rFonts w:ascii="Calibri" w:hAnsi="Calibri"/>
                <w:color w:val="212529"/>
                <w:sz w:val="19"/>
              </w:rPr>
              <w:t>Liberal Construction of Beneficial Statutes: Statutory provisions that mitigate criminal penalties or provide rehabilitation must be interpreted broadly in favor of the beneficiary.</w:t>
            </w:r>
          </w:p>
        </w:tc>
      </w:tr>
    </w:tbl>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RELATION TO STATUTORY CONSTRUCTION</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When a law offers mercy, pardon, or rehabilitation, judges must interpret it broadly to give the person a second chance.</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"Sir/Ma'am, People v. Garcia is the foremost authority on Favorabilia sunt amplianda, odiosa restringenda: beneficial provisions in criminal law are interpreted expansively in favor of the accused."</w:t>
            </w:r>
          </w:p>
        </w:tc>
      </w:tr>
    </w:tbl>
    <w:p>
      <w:pPr>
        <w:spacing w:before="160" w:after="80"/>
      </w:pPr>
    </w:p>
    <w:tbl>
      <w:tblPr>
        <w:tblW w:type="auto" w:w="0"/>
        <w:jc w:val="center"/>
        <w:tblLook w:firstColumn="1" w:firstRow="1" w:lastColumn="0" w:lastRow="0" w:noHBand="0" w:noVBand="1" w:val="04A0"/>
      </w:tblPr>
      <w:tblGrid>
        <w:gridCol w:w="9648"/>
      </w:tblGrid>
      <w:tr>
        <w:tc>
          <w:tcPr>
            <w:tcW w:type="dxa" w:w="9648"/>
            <w:shd w:fill="1E3A5F"/>
            <w:tcMar>
              <w:top w:w="140" w:type="dxa"/>
              <w:bottom w:w="140" w:type="dxa"/>
              <w:left w:w="200" w:type="dxa"/>
              <w:right w:w="200" w:type="dxa"/>
            </w:tcMar>
          </w:tcPr>
          <w:p>
            <w:pPr>
              <w:spacing w:before="40" w:after="40"/>
              <w:jc w:val="center"/>
            </w:pPr>
            <w:r>
              <w:rPr>
                <w:rFonts w:ascii="Arial" w:hAnsi="Arial"/>
                <w:b/>
                <w:color w:val="FFD700"/>
                <w:sz w:val="22"/>
              </w:rPr>
              <w:t>⚖ STANDARDIZED CASE DIGEST: STATUTORY CONSTRUCTION FORMAT</w:t>
              <w:br/>
            </w:r>
            <w:r>
              <w:rPr>
                <w:rFonts w:ascii="Arial" w:hAnsi="Arial"/>
                <w:i/>
                <w:color w:val="DCEBFF"/>
                <w:sz w:val="18"/>
              </w:rPr>
              <w:t>(Complete 12-Section Academic &amp; Judicial Construction Analysis)</w:t>
            </w:r>
          </w:p>
        </w:tc>
      </w:tr>
    </w:tbl>
    <w:p>
      <w:pPr>
        <w:spacing w:before="80" w:after="80"/>
      </w:pPr>
    </w:p>
    <w:tbl>
      <w:tblPr>
        <w:tblW w:type="auto" w:w="0"/>
        <w:jc w:val="center"/>
        <w:tblLook w:firstColumn="1" w:firstRow="1" w:lastColumn="0" w:lastRow="0" w:noHBand="0" w:noVBand="1" w:val="04A0"/>
      </w:tblPr>
      <w:tblGrid>
        <w:gridCol w:w="4824"/>
        <w:gridCol w:w="4824"/>
      </w:tblGrid>
      <w:tr>
        <w:tc>
          <w:tcPr>
            <w:tcW w:type="dxa" w:w="4824"/>
            <w:shd w:fill="EBF0F7"/>
            <w:tcMar>
              <w:top w:w="60" w:type="dxa"/>
              <w:bottom w:w="60" w:type="dxa"/>
              <w:left w:w="120" w:type="dxa"/>
              <w:right w:w="120" w:type="dxa"/>
            </w:tcMar>
          </w:tcPr>
          <w:p>
            <w:pPr>
              <w:spacing w:before="20" w:after="20"/>
            </w:pPr>
            <w:r>
              <w:rPr>
                <w:rFonts w:ascii="Arial" w:hAnsi="Arial"/>
                <w:b/>
                <w:color w:val="0F2043"/>
                <w:sz w:val="19"/>
              </w:rPr>
              <w:t>Case Title:</w:t>
            </w:r>
          </w:p>
        </w:tc>
        <w:tc>
          <w:tcPr>
            <w:tcW w:type="dxa" w:w="4824"/>
            <w:shd w:fill="FAFCFF"/>
            <w:tcMar>
              <w:top w:w="60" w:type="dxa"/>
              <w:bottom w:w="60" w:type="dxa"/>
              <w:left w:w="120" w:type="dxa"/>
              <w:right w:w="120" w:type="dxa"/>
            </w:tcMar>
          </w:tcPr>
          <w:p>
            <w:pPr>
              <w:spacing w:before="20" w:after="20"/>
            </w:pPr>
            <w:r>
              <w:rPr>
                <w:rFonts w:ascii="Calibri" w:hAnsi="Calibri"/>
                <w:b/>
                <w:color w:val="212529"/>
                <w:sz w:val="19"/>
              </w:rPr>
              <w:t>People of the Philippines v. Patricio Garcia</w:t>
            </w:r>
          </w:p>
        </w:tc>
      </w:tr>
      <w:tr>
        <w:tc>
          <w:tcPr>
            <w:tcW w:type="dxa" w:w="4824"/>
            <w:shd w:fill="EBF0F7"/>
            <w:tcMar>
              <w:top w:w="60" w:type="dxa"/>
              <w:bottom w:w="60" w:type="dxa"/>
              <w:left w:w="120" w:type="dxa"/>
              <w:right w:w="120" w:type="dxa"/>
            </w:tcMar>
          </w:tcPr>
          <w:p>
            <w:pPr>
              <w:spacing w:before="20" w:after="20"/>
            </w:pPr>
            <w:r>
              <w:rPr>
                <w:rFonts w:ascii="Arial" w:hAnsi="Arial"/>
                <w:b/>
                <w:color w:val="0F2043"/>
                <w:sz w:val="19"/>
              </w:rPr>
              <w:t>G.R. No. / Record:</w:t>
            </w:r>
          </w:p>
        </w:tc>
        <w:tc>
          <w:tcPr>
            <w:tcW w:type="dxa" w:w="4824"/>
            <w:shd w:fill="FAFCFF"/>
            <w:tcMar>
              <w:top w:w="60" w:type="dxa"/>
              <w:bottom w:w="60" w:type="dxa"/>
              <w:left w:w="120" w:type="dxa"/>
              <w:right w:w="120" w:type="dxa"/>
            </w:tcMar>
          </w:tcPr>
          <w:p>
            <w:pPr>
              <w:spacing w:before="20" w:after="20"/>
            </w:pPr>
            <w:r>
              <w:rPr>
                <w:rFonts w:ascii="Calibri" w:hAnsi="Calibri"/>
                <w:b w:val="0"/>
                <w:color w:val="212529"/>
                <w:sz w:val="19"/>
              </w:rPr>
              <w:t>G.R. No. L-2873</w:t>
            </w:r>
          </w:p>
        </w:tc>
      </w:tr>
      <w:tr>
        <w:tc>
          <w:tcPr>
            <w:tcW w:type="dxa" w:w="4824"/>
            <w:shd w:fill="EBF0F7"/>
            <w:tcMar>
              <w:top w:w="60" w:type="dxa"/>
              <w:bottom w:w="60" w:type="dxa"/>
              <w:left w:w="120" w:type="dxa"/>
              <w:right w:w="120" w:type="dxa"/>
            </w:tcMar>
          </w:tcPr>
          <w:p>
            <w:pPr>
              <w:spacing w:before="20" w:after="20"/>
            </w:pPr>
            <w:r>
              <w:rPr>
                <w:rFonts w:ascii="Arial" w:hAnsi="Arial"/>
                <w:b/>
                <w:color w:val="0F2043"/>
                <w:sz w:val="19"/>
              </w:rPr>
              <w:t>Date of Promulgation:</w:t>
            </w:r>
          </w:p>
        </w:tc>
        <w:tc>
          <w:tcPr>
            <w:tcW w:type="dxa" w:w="4824"/>
            <w:shd w:fill="FAFCFF"/>
            <w:tcMar>
              <w:top w:w="60" w:type="dxa"/>
              <w:bottom w:w="60" w:type="dxa"/>
              <w:left w:w="120" w:type="dxa"/>
              <w:right w:w="120" w:type="dxa"/>
            </w:tcMar>
          </w:tcPr>
          <w:p>
            <w:pPr>
              <w:spacing w:before="20" w:after="20"/>
            </w:pPr>
            <w:r>
              <w:rPr>
                <w:rFonts w:ascii="Calibri" w:hAnsi="Calibri"/>
                <w:b w:val="0"/>
                <w:color w:val="212529"/>
                <w:sz w:val="19"/>
              </w:rPr>
              <w:t>February 28, 1950</w:t>
            </w:r>
          </w:p>
        </w:tc>
      </w:tr>
      <w:tr>
        <w:tc>
          <w:tcPr>
            <w:tcW w:type="dxa" w:w="4824"/>
            <w:shd w:fill="EBF0F7"/>
            <w:tcMar>
              <w:top w:w="60" w:type="dxa"/>
              <w:bottom w:w="60" w:type="dxa"/>
              <w:left w:w="120" w:type="dxa"/>
              <w:right w:w="120" w:type="dxa"/>
            </w:tcMar>
          </w:tcPr>
          <w:p>
            <w:pPr>
              <w:spacing w:before="20" w:after="20"/>
            </w:pPr>
            <w:r>
              <w:rPr>
                <w:rFonts w:ascii="Arial" w:hAnsi="Arial"/>
                <w:b/>
                <w:color w:val="0F2043"/>
                <w:sz w:val="19"/>
              </w:rPr>
              <w:t>Ponente / Court:</w:t>
            </w:r>
          </w:p>
        </w:tc>
        <w:tc>
          <w:tcPr>
            <w:tcW w:type="dxa" w:w="4824"/>
            <w:shd w:fill="FAFCFF"/>
            <w:tcMar>
              <w:top w:w="60" w:type="dxa"/>
              <w:bottom w:w="60" w:type="dxa"/>
              <w:left w:w="120" w:type="dxa"/>
              <w:right w:w="120" w:type="dxa"/>
            </w:tcMar>
          </w:tcPr>
          <w:p>
            <w:pPr>
              <w:spacing w:before="20" w:after="20"/>
            </w:pPr>
            <w:r>
              <w:rPr>
                <w:rFonts w:ascii="Calibri" w:hAnsi="Calibri"/>
                <w:b w:val="0"/>
                <w:color w:val="212529"/>
                <w:sz w:val="19"/>
              </w:rPr>
              <w:t>En Banc</w:t>
            </w:r>
          </w:p>
        </w:tc>
      </w:tr>
    </w:tbl>
    <w:p>
      <w:pPr>
        <w:keepNext/>
        <w:spacing w:before="240" w:after="60"/>
      </w:pPr>
      <w:r>
        <w:rPr>
          <w:rFonts w:ascii="Arial" w:hAnsi="Arial"/>
          <w:b/>
          <w:color w:val="0F2043"/>
          <w:sz w:val="21"/>
        </w:rPr>
        <w:t>I. FACTS OF THE CASE</w:t>
      </w:r>
    </w:p>
    <w:tbl>
      <w:tblPr>
        <w:tblW w:type="auto" w:w="0"/>
        <w:jc w:val="center"/>
        <w:tblLook w:firstColumn="1" w:firstRow="1" w:lastColumn="0" w:lastRow="0" w:noHBand="0" w:noVBand="1" w:val="04A0"/>
      </w:tblPr>
      <w:tblGrid>
        <w:gridCol w:w="9648"/>
      </w:tblGrid>
      <w:tr>
        <w:tc>
          <w:tcPr>
            <w:tcW w:type="dxa" w:w="9648"/>
            <w:shd w:fill="F8F9FB"/>
            <w:tcMar>
              <w:top w:w="100" w:type="dxa"/>
              <w:bottom w:w="100" w:type="dxa"/>
              <w:left w:w="160" w:type="dxa"/>
              <w:right w:w="160" w:type="dxa"/>
            </w:tcMar>
          </w:tcPr>
          <w:p>
            <w:pPr>
              <w:spacing w:before="20" w:after="40"/>
            </w:pPr>
            <w:r>
              <w:rPr>
                <w:rFonts w:ascii="Arial" w:hAnsi="Arial"/>
                <w:b/>
                <w:color w:val="0F2043"/>
                <w:sz w:val="19"/>
              </w:rPr>
              <w:t>Material Facts of Controversy</w:t>
              <w:br/>
            </w:r>
          </w:p>
          <w:p>
            <w:pPr>
              <w:spacing w:before="20" w:after="40" w:line="276" w:lineRule="auto"/>
            </w:pPr>
            <w:r>
              <w:rPr>
                <w:rFonts w:ascii="Calibri" w:hAnsi="Calibri"/>
                <w:color w:val="212529"/>
                <w:sz w:val="19"/>
              </w:rPr>
              <w:t>Patricio Garcia committed robbery with homicide when he was 17 years old (a minor). However, due to delays in apprehension and trial, by the time the judgment of conviction was rendered by the trial court, Garcia had already reached 20 years of age (past the age of 18). Article 80 of the Revised Penal Code provided that when a minor under 18 years of age is accused of a crime, the court shall suspend proceedings and commit him to a correctional institution until he reaches the age of majority. The trial court refused to apply Article 80, holding that the accused was no longer under 18 at the time of judgment. Garcia appealed, arguing that minority at the time of the COMMISSION of the crime governs.</w:t>
            </w:r>
          </w:p>
        </w:tc>
      </w:tr>
    </w:tbl>
    <w:p>
      <w:pPr>
        <w:keepNext/>
        <w:spacing w:before="240" w:after="60"/>
      </w:pPr>
      <w:r>
        <w:rPr>
          <w:rFonts w:ascii="Arial" w:hAnsi="Arial"/>
          <w:b/>
          <w:color w:val="0F2043"/>
          <w:sz w:val="21"/>
        </w:rPr>
        <w:t>II. FACTS RELEVANT TO STATUTORY CONSTRUCTION</w:t>
      </w:r>
    </w:p>
    <w:tbl>
      <w:tblPr>
        <w:tblW w:type="auto" w:w="0"/>
        <w:jc w:val="center"/>
        <w:tblLook w:firstColumn="1" w:firstRow="1" w:lastColumn="0" w:lastRow="0" w:noHBand="0" w:noVBand="1" w:val="04A0"/>
      </w:tblPr>
      <w:tblGrid>
        <w:gridCol w:w="9648"/>
      </w:tblGrid>
      <w:tr>
        <w:tc>
          <w:tcPr>
            <w:tcW w:type="dxa" w:w="9648"/>
            <w:shd w:fill="F8F9FB"/>
            <w:tcMar>
              <w:top w:w="100" w:type="dxa"/>
              <w:bottom w:w="100" w:type="dxa"/>
              <w:left w:w="160" w:type="dxa"/>
              <w:right w:w="160" w:type="dxa"/>
            </w:tcMar>
          </w:tcPr>
          <w:p>
            <w:pPr>
              <w:spacing w:before="20" w:after="40"/>
            </w:pPr>
            <w:r>
              <w:rPr>
                <w:rFonts w:ascii="Arial" w:hAnsi="Arial"/>
                <w:b/>
                <w:color w:val="0F2043"/>
                <w:sz w:val="19"/>
              </w:rPr>
              <w:t>Facts Giving Rise to Need for Interpretation</w:t>
              <w:br/>
            </w:r>
          </w:p>
          <w:p>
            <w:pPr>
              <w:spacing w:before="20" w:after="40" w:line="276" w:lineRule="auto"/>
            </w:pPr>
            <w:r>
              <w:rPr>
                <w:rFonts w:ascii="Calibri" w:hAnsi="Calibri"/>
                <w:b/>
                <w:color w:val="212529"/>
                <w:sz w:val="19"/>
              </w:rPr>
              <w:t xml:space="preserve">• What provision of law or rule became relevant? </w:t>
            </w:r>
            <w:r>
              <w:rPr>
                <w:rFonts w:ascii="Calibri" w:hAnsi="Calibri"/>
                <w:color w:val="212529"/>
                <w:sz w:val="19"/>
              </w:rPr>
              <w:t>1. Article 80, Revised Penal Code (as amended): Suspension of sentence and commitment of juvenile delinquents to training institutions.</w:t>
              <w:br/>
              <w:t>2. Favorabilia Sunt Amplianda, Odiosa Restringenda (favorable things should be enlarged, odious things restricted): Beneficial statutory provisions are interpreted broadly, while punitive or restrictive rules are interpreted narrowly.</w:t>
            </w:r>
          </w:p>
          <w:p>
            <w:pPr>
              <w:spacing w:before="20" w:after="40" w:line="276" w:lineRule="auto"/>
            </w:pPr>
            <w:r>
              <w:rPr>
                <w:rFonts w:ascii="Calibri" w:hAnsi="Calibri"/>
                <w:b/>
                <w:color w:val="212529"/>
                <w:sz w:val="19"/>
              </w:rPr>
              <w:t xml:space="preserve">• What circumstance made interpretation necessary? </w:t>
            </w:r>
            <w:r>
              <w:rPr>
                <w:rFonts w:ascii="Calibri" w:hAnsi="Calibri"/>
                <w:color w:val="212529"/>
                <w:sz w:val="19"/>
              </w:rPr>
              <w:t>The trial court applied a harsh, restrictive interpretation that converted court docket delays into an instrument to strip a juvenile offender of statutory reformatory benefits.</w:t>
            </w:r>
          </w:p>
          <w:p>
            <w:pPr>
              <w:spacing w:before="20" w:after="40" w:line="276" w:lineRule="auto"/>
            </w:pPr>
            <w:r>
              <w:rPr>
                <w:rFonts w:ascii="Calibri" w:hAnsi="Calibri"/>
                <w:b/>
                <w:color w:val="212529"/>
                <w:sz w:val="19"/>
              </w:rPr>
              <w:t xml:space="preserve">• What competing interpretations were presented? </w:t>
            </w:r>
            <w:r>
              <w:rPr>
                <w:rFonts w:ascii="Calibri" w:hAnsi="Calibri"/>
                <w:color w:val="212529"/>
                <w:sz w:val="19"/>
              </w:rPr>
              <w:t>Petitioner argued for a favorable interpretation based on statutory intent, while Respondent contended for a literal or restrictive application.</w:t>
            </w:r>
          </w:p>
        </w:tc>
      </w:tr>
    </w:tbl>
    <w:p>
      <w:pPr>
        <w:keepNext/>
        <w:spacing w:before="240" w:after="60"/>
      </w:pPr>
      <w:r>
        <w:rPr>
          <w:rFonts w:ascii="Arial" w:hAnsi="Arial"/>
          <w:b/>
          <w:color w:val="0F2043"/>
          <w:sz w:val="21"/>
        </w:rPr>
        <w:t>III. ISSUES</w:t>
      </w:r>
    </w:p>
    <w:p>
      <w:pPr>
        <w:keepNext/>
        <w:spacing w:before="120" w:after="40"/>
      </w:pPr>
      <w:r>
        <w:rPr>
          <w:rFonts w:ascii="Arial" w:hAnsi="Arial"/>
          <w:b/>
          <w:color w:val="781E1E"/>
          <w:sz w:val="20"/>
        </w:rPr>
        <w:t>A. General Legal Issues</w:t>
      </w:r>
    </w:p>
    <w:p>
      <w:pPr>
        <w:spacing w:before="40" w:after="80" w:line="276" w:lineRule="auto"/>
      </w:pPr>
      <w:r>
        <w:rPr>
          <w:rFonts w:ascii="Calibri" w:hAnsi="Calibri"/>
          <w:i w:val="0"/>
          <w:color w:val="212529"/>
          <w:sz w:val="21"/>
        </w:rPr>
        <w:t>Whether or not the benefits of suspended sentence under Article 80 of the Revised Penal Code apply to an accused who was a minor at the time of the commission of the crime, but who reached majority during trial.</w:t>
      </w:r>
    </w:p>
    <w:p>
      <w:pPr>
        <w:keepNext/>
        <w:spacing w:before="120" w:after="40"/>
      </w:pPr>
      <w:r>
        <w:rPr>
          <w:rFonts w:ascii="Arial" w:hAnsi="Arial"/>
          <w:b/>
          <w:color w:val="781E1E"/>
          <w:sz w:val="20"/>
        </w:rPr>
        <w:t>B. Statutory-Construction Issue/s</w:t>
      </w:r>
    </w:p>
    <w:tbl>
      <w:tblPr>
        <w:tblW w:type="auto" w:w="0"/>
        <w:jc w:val="center"/>
        <w:tblLook w:firstColumn="1" w:firstRow="1" w:lastColumn="0" w:lastRow="0" w:noHBand="0" w:noVBand="1" w:val="04A0"/>
      </w:tblPr>
      <w:tblGrid>
        <w:gridCol w:w="9648"/>
      </w:tblGrid>
      <w:tr>
        <w:tc>
          <w:tcPr>
            <w:tcW w:type="dxa" w:w="9648"/>
            <w:shd w:fill="EBF3FA"/>
            <w:tcMar>
              <w:top w:w="100" w:type="dxa"/>
              <w:bottom w:w="100" w:type="dxa"/>
              <w:left w:w="160" w:type="dxa"/>
              <w:right w:w="160" w:type="dxa"/>
            </w:tcMar>
          </w:tcPr>
          <w:p>
            <w:pPr>
              <w:spacing w:before="20" w:after="40"/>
            </w:pPr>
            <w:r>
              <w:rPr>
                <w:rFonts w:ascii="Arial" w:hAnsi="Arial"/>
                <w:b/>
                <w:color w:val="0F2043"/>
                <w:sz w:val="19"/>
              </w:rPr>
              <w:t>Standardized StatCon Issue Statement</w:t>
              <w:br/>
            </w:r>
          </w:p>
          <w:p>
            <w:pPr>
              <w:spacing w:before="20" w:after="40" w:line="276" w:lineRule="auto"/>
            </w:pPr>
            <w:r>
              <w:rPr>
                <w:rFonts w:ascii="Calibri" w:hAnsi="Calibri"/>
                <w:color w:val="212529"/>
                <w:sz w:val="19"/>
              </w:rPr>
              <w:t>Whether the subject statutory act, classification, or terminology under the governing statute/rule means, includes, or applies to the factual controversy in People of the Philippines v. Patricio Garcia, under the canon of Favorabilia sunt amplianda, odiosa restringenda.</w:t>
            </w:r>
          </w:p>
        </w:tc>
      </w:tr>
    </w:tbl>
    <w:p>
      <w:pPr>
        <w:keepNext/>
        <w:spacing w:before="240" w:after="60"/>
      </w:pPr>
      <w:r>
        <w:rPr>
          <w:rFonts w:ascii="Arial" w:hAnsi="Arial"/>
          <w:b/>
          <w:color w:val="0F2043"/>
          <w:sz w:val="21"/>
        </w:rPr>
        <w:t>IV. PROVISION/S OF LAW CONSTRUED</w:t>
      </w:r>
    </w:p>
    <w:tbl>
      <w:tblPr>
        <w:tblW w:type="auto" w:w="0"/>
        <w:jc w:val="center"/>
        <w:tblLook w:firstColumn="1" w:firstRow="1" w:lastColumn="0" w:lastRow="0" w:noHBand="0" w:noVBand="1" w:val="04A0"/>
      </w:tblPr>
      <w:tblGrid>
        <w:gridCol w:w="9648"/>
      </w:tblGrid>
      <w:tr>
        <w:tc>
          <w:tcPr>
            <w:tcW w:type="dxa" w:w="9648"/>
            <w:shd w:fill="F8F9FB"/>
            <w:tcMar>
              <w:top w:w="100" w:type="dxa"/>
              <w:bottom w:w="100" w:type="dxa"/>
              <w:left w:w="160" w:type="dxa"/>
              <w:right w:w="160" w:type="dxa"/>
            </w:tcMar>
          </w:tcPr>
          <w:p>
            <w:pPr>
              <w:spacing w:before="20" w:after="40"/>
            </w:pPr>
            <w:r>
              <w:rPr>
                <w:rFonts w:ascii="Arial" w:hAnsi="Arial"/>
                <w:b/>
                <w:color w:val="0F2043"/>
                <w:sz w:val="19"/>
              </w:rPr>
              <w:t>Statutory / Constitutional Text &amp; Problem</w:t>
              <w:br/>
            </w:r>
          </w:p>
          <w:p>
            <w:pPr>
              <w:spacing w:before="20" w:after="40" w:line="276" w:lineRule="auto"/>
            </w:pPr>
            <w:r>
              <w:rPr>
                <w:rFonts w:ascii="Calibri" w:hAnsi="Calibri"/>
                <w:b/>
                <w:color w:val="212529"/>
                <w:sz w:val="19"/>
              </w:rPr>
              <w:t xml:space="preserve">• Quoted Provision: </w:t>
            </w:r>
            <w:r>
              <w:rPr>
                <w:rFonts w:ascii="Calibri" w:hAnsi="Calibri"/>
                <w:color w:val="212529"/>
                <w:sz w:val="19"/>
              </w:rPr>
              <w:t>1. Article 80, Revised Penal Code (as amended): Suspension of sentence and commitment of juvenile delinquents to training institutions.</w:t>
              <w:br/>
              <w:t>2. Favorabilia Sunt Amplianda, Odiosa Restringenda (favorable things should be enlarged, odious things restricted): Beneficial statutory provisions are interpreted broadly, while punitive or restrictive rules are interpreted narrowly.</w:t>
            </w:r>
          </w:p>
          <w:p>
            <w:pPr>
              <w:spacing w:before="20" w:after="40" w:line="276" w:lineRule="auto"/>
            </w:pPr>
            <w:r>
              <w:rPr>
                <w:rFonts w:ascii="Calibri" w:hAnsi="Calibri"/>
                <w:b/>
                <w:color w:val="212529"/>
                <w:sz w:val="19"/>
              </w:rPr>
              <w:t xml:space="preserve">• Interpretive Problem: </w:t>
            </w:r>
            <w:r>
              <w:rPr>
                <w:rFonts w:ascii="Calibri" w:hAnsi="Calibri"/>
                <w:color w:val="212529"/>
                <w:sz w:val="19"/>
              </w:rPr>
              <w:t>Determining the precise legislative intent and boundary of the statutory terms in light of: The trial court applied a harsh, restrictive interpretation that converted court docket delays into an instrument to str...</w:t>
            </w:r>
          </w:p>
        </w:tc>
      </w:tr>
    </w:tbl>
    <w:p>
      <w:pPr>
        <w:keepNext/>
        <w:spacing w:before="240" w:after="60"/>
      </w:pPr>
      <w:r>
        <w:rPr>
          <w:rFonts w:ascii="Arial" w:hAnsi="Arial"/>
          <w:b/>
          <w:color w:val="0F2043"/>
          <w:sz w:val="21"/>
        </w:rPr>
        <w:t>V. RULING OF THE SUPREME COURT</w:t>
      </w:r>
    </w:p>
    <w:p>
      <w:pPr>
        <w:keepNext/>
        <w:spacing w:before="120" w:after="40"/>
      </w:pPr>
      <w:r>
        <w:rPr>
          <w:rFonts w:ascii="Arial" w:hAnsi="Arial"/>
          <w:b/>
          <w:color w:val="781E1E"/>
          <w:sz w:val="20"/>
        </w:rPr>
        <w:t>A. General Ruling</w:t>
      </w:r>
    </w:p>
    <w:p>
      <w:pPr>
        <w:spacing w:before="40" w:after="80" w:line="276" w:lineRule="auto"/>
      </w:pPr>
      <w:r>
        <w:rPr>
          <w:rFonts w:ascii="Calibri" w:hAnsi="Calibri"/>
          <w:i w:val="0"/>
          <w:color w:val="212529"/>
          <w:sz w:val="21"/>
        </w:rPr>
        <w:t>The Supreme Court SET ASIDE the prison sentence and ORDERED the trial court to apply the rehabilitative benefits of Article 80 of the Revised Penal Code.</w:t>
      </w:r>
    </w:p>
    <w:p>
      <w:pPr>
        <w:keepNext/>
        <w:spacing w:before="120" w:after="40"/>
      </w:pPr>
      <w:r>
        <w:rPr>
          <w:rFonts w:ascii="Arial" w:hAnsi="Arial"/>
          <w:b/>
          <w:color w:val="781E1E"/>
          <w:sz w:val="20"/>
        </w:rPr>
        <w:t>B. Ruling on the Statutory-Construction Issue</w:t>
      </w:r>
    </w:p>
    <w:tbl>
      <w:tblPr>
        <w:tblW w:type="auto" w:w="0"/>
        <w:jc w:val="center"/>
        <w:tblLook w:firstColumn="1" w:firstRow="1" w:lastColumn="0" w:lastRow="0" w:noHBand="0" w:noVBand="1" w:val="04A0"/>
      </w:tblPr>
      <w:tblGrid>
        <w:gridCol w:w="9648"/>
      </w:tblGrid>
      <w:tr>
        <w:tc>
          <w:tcPr>
            <w:tcW w:type="dxa" w:w="9648"/>
            <w:shd w:fill="F4FAF5"/>
            <w:tcMar>
              <w:top w:w="100" w:type="dxa"/>
              <w:bottom w:w="100" w:type="dxa"/>
              <w:left w:w="160" w:type="dxa"/>
              <w:right w:w="160" w:type="dxa"/>
            </w:tcMar>
          </w:tcPr>
          <w:p>
            <w:pPr>
              <w:spacing w:before="20" w:after="40"/>
            </w:pPr>
            <w:r>
              <w:rPr>
                <w:rFonts w:ascii="Arial" w:hAnsi="Arial"/>
                <w:b/>
                <w:color w:val="0F2043"/>
                <w:sz w:val="19"/>
              </w:rPr>
              <w:t>Statutory Meaning Established by Court</w:t>
              <w:br/>
            </w:r>
          </w:p>
          <w:p>
            <w:pPr>
              <w:spacing w:before="20" w:after="40" w:line="276" w:lineRule="auto"/>
            </w:pPr>
            <w:r>
              <w:rPr>
                <w:rFonts w:ascii="Calibri" w:hAnsi="Calibri"/>
                <w:color w:val="212529"/>
                <w:sz w:val="19"/>
              </w:rPr>
              <w:t>YES. The age of the accused at the TIME OF THE COMMISSION of the offense governs. Penal laws providing beneficial treatment or mitigation to juvenile offenders are liberally construed in favor of the accused (Favorabilia sunt amplianda, odiosa restringenda).</w:t>
            </w:r>
          </w:p>
        </w:tc>
      </w:tr>
    </w:tbl>
    <w:p>
      <w:pPr>
        <w:keepNext/>
        <w:spacing w:before="240" w:after="60"/>
      </w:pPr>
      <w:r>
        <w:rPr>
          <w:rFonts w:ascii="Arial" w:hAnsi="Arial"/>
          <w:b/>
          <w:color w:val="0F2043"/>
          <w:sz w:val="21"/>
        </w:rPr>
        <w:t>VI. HOW THE COURT CONSTRUED THE LAW</w:t>
      </w:r>
    </w:p>
    <w:tbl>
      <w:tblPr>
        <w:tblW w:type="auto" w:w="0"/>
        <w:jc w:val="center"/>
        <w:tblLook w:firstColumn="1" w:firstRow="1" w:lastColumn="0" w:lastRow="0" w:noHBand="0" w:noVBand="1" w:val="04A0"/>
      </w:tblPr>
      <w:tblGrid>
        <w:gridCol w:w="9648"/>
      </w:tblGrid>
      <w:tr>
        <w:tc>
          <w:tcPr>
            <w:tcW w:type="dxa" w:w="9648"/>
            <w:shd w:fill="F8F9FB"/>
            <w:tcMar>
              <w:top w:w="100" w:type="dxa"/>
              <w:bottom w:w="100" w:type="dxa"/>
              <w:left w:w="160" w:type="dxa"/>
              <w:right w:w="160" w:type="dxa"/>
            </w:tcMar>
          </w:tcPr>
          <w:p>
            <w:pPr>
              <w:spacing w:before="20" w:after="40"/>
            </w:pPr>
            <w:r>
              <w:rPr>
                <w:rFonts w:ascii="Arial" w:hAnsi="Arial"/>
                <w:b/>
                <w:color w:val="0F2043"/>
                <w:sz w:val="19"/>
              </w:rPr>
              <w:t>Methodological &amp; Doctrinal Analysis</w:t>
              <w:br/>
            </w:r>
          </w:p>
          <w:p>
            <w:pPr>
              <w:spacing w:before="20" w:after="40" w:line="276" w:lineRule="auto"/>
            </w:pPr>
            <w:r>
              <w:rPr>
                <w:rFonts w:ascii="Calibri" w:hAnsi="Calibri"/>
                <w:b/>
                <w:color w:val="212529"/>
                <w:sz w:val="19"/>
              </w:rPr>
              <w:t xml:space="preserve">A. Why Was Construction Necessary? </w:t>
            </w:r>
            <w:r>
              <w:rPr>
                <w:rFonts w:ascii="Calibri" w:hAnsi="Calibri"/>
                <w:color w:val="212529"/>
                <w:sz w:val="19"/>
              </w:rPr>
              <w:t>Ambiguity in the application and scope of the statute: The trial court applied a harsh, restrictive interpretation that converted court docket delays into an instrument to strip a juvenile offend.</w:t>
            </w:r>
          </w:p>
          <w:p>
            <w:pPr>
              <w:spacing w:before="20" w:after="40" w:line="276" w:lineRule="auto"/>
            </w:pPr>
            <w:r>
              <w:rPr>
                <w:rFonts w:ascii="Calibri" w:hAnsi="Calibri"/>
                <w:b/>
                <w:color w:val="212529"/>
                <w:sz w:val="19"/>
              </w:rPr>
              <w:t xml:space="preserve">B. Purpose of Construction: </w:t>
            </w:r>
            <w:r>
              <w:rPr>
                <w:rFonts w:ascii="Calibri" w:hAnsi="Calibri"/>
                <w:color w:val="212529"/>
                <w:sz w:val="19"/>
              </w:rPr>
              <w:t>To ascertain and give full effect to the true intent, spirit, and purpose of the lawmaking body.</w:t>
            </w:r>
          </w:p>
          <w:p>
            <w:pPr>
              <w:spacing w:before="20" w:after="40" w:line="276" w:lineRule="auto"/>
            </w:pPr>
            <w:r>
              <w:rPr>
                <w:rFonts w:ascii="Calibri" w:hAnsi="Calibri"/>
                <w:b/>
                <w:color w:val="212529"/>
                <w:sz w:val="19"/>
              </w:rPr>
              <w:t xml:space="preserve">C. Method, Canon, or Rule Applied: </w:t>
            </w:r>
            <w:r>
              <w:rPr>
                <w:rFonts w:ascii="Calibri" w:hAnsi="Calibri"/>
                <w:color w:val="212529"/>
                <w:sz w:val="19"/>
              </w:rPr>
              <w:t>Favorabilia sunt amplianda, odiosa restringenda</w:t>
              <w:br/>
              <w:t xml:space="preserve">   - Application: Liberal Construction of Beneficial Statutes: Statutory provisions that mitigate criminal penalties or provide rehabilitation must be interpreted broadly in favor of the beneficiary.</w:t>
              <w:br/>
              <w:t xml:space="preserve">   - Result: Yes. What matters is how old the youth was when he committed the act. Because penal laws that help the accused must be interpreted broadly and generously, court delays cannot steal away the reformatory rights granted to minors.</w:t>
            </w:r>
          </w:p>
          <w:p>
            <w:pPr>
              <w:spacing w:before="20" w:after="40" w:line="276" w:lineRule="auto"/>
            </w:pPr>
            <w:r>
              <w:rPr>
                <w:rFonts w:ascii="Calibri" w:hAnsi="Calibri"/>
                <w:b/>
                <w:color w:val="212529"/>
                <w:sz w:val="19"/>
              </w:rPr>
              <w:t xml:space="preserve">D. Other Sources Used: </w:t>
            </w:r>
            <w:r>
              <w:rPr>
                <w:rFonts w:ascii="Calibri" w:hAnsi="Calibri"/>
                <w:color w:val="212529"/>
                <w:sz w:val="19"/>
              </w:rPr>
              <w:t>Ordinary meaning of words, statute considered as a whole, legislative history, and established Supreme Court jurisprudence.</w:t>
            </w:r>
          </w:p>
        </w:tc>
      </w:tr>
    </w:tbl>
    <w:p>
      <w:pPr>
        <w:keepNext/>
        <w:spacing w:before="240" w:after="60"/>
      </w:pPr>
      <w:r>
        <w:rPr>
          <w:rFonts w:ascii="Arial" w:hAnsi="Arial"/>
          <w:b/>
          <w:color w:val="0F2043"/>
          <w:sz w:val="21"/>
        </w:rPr>
        <w:t>VII. RELEVANT STATUTORY-CONSTRUCTION CONCEPTS (A–L EVALUATION)</w:t>
      </w:r>
    </w:p>
    <w:tbl>
      <w:tblPr>
        <w:tblW w:type="auto" w:w="0"/>
        <w:jc w:val="center"/>
        <w:tblLook w:firstColumn="1" w:firstRow="1" w:lastColumn="0" w:lastRow="0" w:noHBand="0" w:noVBand="1" w:val="04A0"/>
      </w:tblPr>
      <w:tblGrid>
        <w:gridCol w:w="4824"/>
        <w:gridCol w:w="4824"/>
      </w:tblGrid>
      <w:tr>
        <w:tc>
          <w:tcPr>
            <w:tcW w:type="dxa" w:w="4824"/>
            <w:shd w:fill="EBF0F8"/>
            <w:tcMar>
              <w:top w:w="70" w:type="dxa"/>
              <w:bottom w:w="70" w:type="dxa"/>
              <w:left w:w="100" w:type="dxa"/>
              <w:right w:w="100" w:type="dxa"/>
            </w:tcMar>
          </w:tcPr>
          <w:p>
            <w:pPr>
              <w:spacing w:before="20" w:after="20"/>
            </w:pPr>
            <w:r>
              <w:rPr>
                <w:rFonts w:ascii="Arial" w:hAnsi="Arial"/>
                <w:b/>
                <w:color w:val="0F2043"/>
                <w:sz w:val="18"/>
              </w:rPr>
              <w:t>A. Situs of Statutory Construction</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Supreme Court of the Philippines, exercising its constitutional judicial power under Article VIII of the Constitution, serves as the ultimate situs and final arbiter for interpreting and construing the disputed provision.</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B. Purpose of Statutory Construction</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purpose of construction is to discover and effectuate the true legislative intent and will of the lawmaking body, preventing injustice and ensuring the statute operates harmoniously.</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C. When to Construe</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Construction became imperative because the text contained an ambiguity, competing interpretations, or conflicting statutory provisions that required judicial determination of legislative intent.</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D. Ambiguity or Vagueness</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controversy centered on the ambiguity, silence, or conflicting scope of the statutory language, which the Court resolved by examining legislative intent and governing maxims.</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E. Verba Legis Non Est Recedendum</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781E1E"/>
                <w:sz w:val="17"/>
              </w:rPr>
              <w:t xml:space="preserve"> [NOT APPLICABLE] </w:t>
            </w:r>
            <w:r>
              <w:rPr>
                <w:rFonts w:ascii="Calibri" w:hAnsi="Calibri"/>
                <w:color w:val="212529"/>
                <w:sz w:val="18"/>
              </w:rPr>
              <w:t>Not Applicable. The Court looked beyond literal words to discover the underlying legislative spirit, context, and intent.</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F. Absoluta Sententia Expositore Non Indigent</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781E1E"/>
                <w:sz w:val="17"/>
              </w:rPr>
              <w:t xml:space="preserve"> [NOT APPLICABLE] </w:t>
            </w:r>
            <w:r>
              <w:rPr>
                <w:rFonts w:ascii="Calibri" w:hAnsi="Calibri"/>
                <w:color w:val="212529"/>
                <w:sz w:val="18"/>
              </w:rPr>
              <w:t>Not Applicable. The statutory language required expository interpretation due to textual gaps, broad phrasing, or conflicting provisions.</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G. Legislative Intent</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Court analyzed the true intent and policy of the lawmaking authority, ensuring that the statutory purpose is preserved and not defeated by erroneous administrative or private interpretations.</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H. Strict or Liberal Construction</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781E1E"/>
                <w:sz w:val="17"/>
              </w:rPr>
              <w:t xml:space="preserve"> [NOT APPLICABLE] </w:t>
            </w:r>
            <w:r>
              <w:rPr>
                <w:rFonts w:ascii="Calibri" w:hAnsi="Calibri"/>
                <w:color w:val="212529"/>
                <w:sz w:val="18"/>
              </w:rPr>
              <w:t>Not Applicable. The Court applied standard ordinary rules of statutory interpretation without resorting to special strict or liberal construction doctrines.</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I. Prospective or Retrospective Construction</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781E1E"/>
                <w:sz w:val="17"/>
              </w:rPr>
              <w:t xml:space="preserve"> [NOT APPLICABLE] </w:t>
            </w:r>
            <w:r>
              <w:rPr>
                <w:rFonts w:ascii="Calibri" w:hAnsi="Calibri"/>
                <w:color w:val="212529"/>
                <w:sz w:val="18"/>
              </w:rPr>
              <w:t>Not Applicable. The case involved only the contemporaneous, prospective application of the governing law.</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J. Statutory Construction vs. Judicial Legislation</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Court underscored the constitutional boundary of judicial power: Courts are empowered solely to interpret (jus dicere), not to enact or amend laws (jus dare). Supplying unwritten terms or expanding clear prohibitions constitutes prohibited judicial legislation.</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K. Legis Interpretatio Legis Vim Obtinet</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Under Article 8 of the Civil Code, the Supreme Court's authoritative interpretation of the statute forms part of the legal system of the Philippines and acquires the force of law (*legis interpretatio legis vim obtinet*).</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L. Extent and Limits of the Power to Construe</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Court respected the constitutional limits of its authority by applying the law as written and refusing to invade the legislative domain under the guise of equity or expediency.</w:t>
            </w:r>
          </w:p>
        </w:tc>
      </w:tr>
    </w:tbl>
    <w:p>
      <w:pPr>
        <w:keepNext/>
        <w:spacing w:before="240" w:after="60"/>
      </w:pPr>
      <w:r>
        <w:rPr>
          <w:rFonts w:ascii="Arial" w:hAnsi="Arial"/>
          <w:b/>
          <w:color w:val="0F2043"/>
          <w:sz w:val="21"/>
        </w:rPr>
        <w:t>VIII. OTHER CANONS OR METHODS OF CONSTRUCTION</w:t>
      </w:r>
    </w:p>
    <w:tbl>
      <w:tblPr>
        <w:tblW w:type="auto" w:w="0"/>
        <w:jc w:val="center"/>
        <w:tblLook w:firstColumn="1" w:firstRow="1" w:lastColumn="0" w:lastRow="0" w:noHBand="0" w:noVBand="1" w:val="04A0"/>
      </w:tblPr>
      <w:tblGrid>
        <w:gridCol w:w="9648"/>
      </w:tblGrid>
      <w:tr>
        <w:tc>
          <w:tcPr>
            <w:tcW w:type="dxa" w:w="9648"/>
            <w:shd w:fill="F8F9FB"/>
            <w:tcMar>
              <w:top w:w="100" w:type="dxa"/>
              <w:bottom w:w="100" w:type="dxa"/>
              <w:left w:w="160" w:type="dxa"/>
              <w:right w:w="160" w:type="dxa"/>
            </w:tcMar>
          </w:tcPr>
          <w:p>
            <w:pPr>
              <w:spacing w:before="20" w:after="40"/>
            </w:pPr>
            <w:r>
              <w:rPr>
                <w:rFonts w:ascii="Arial" w:hAnsi="Arial"/>
                <w:b/>
                <w:color w:val="0F2043"/>
                <w:sz w:val="19"/>
              </w:rPr>
              <w:t>Secondary Rules &amp; Canons Applied</w:t>
              <w:br/>
            </w:r>
          </w:p>
          <w:p>
            <w:pPr>
              <w:spacing w:before="20" w:after="40" w:line="276" w:lineRule="auto"/>
            </w:pPr>
            <w:r>
              <w:rPr>
                <w:rFonts w:ascii="Calibri" w:hAnsi="Calibri"/>
                <w:b/>
                <w:color w:val="212529"/>
                <w:sz w:val="19"/>
              </w:rPr>
              <w:t xml:space="preserve">• Canon / Maxim: </w:t>
            </w:r>
            <w:r>
              <w:rPr>
                <w:rFonts w:ascii="Calibri" w:hAnsi="Calibri"/>
                <w:color w:val="212529"/>
                <w:sz w:val="19"/>
              </w:rPr>
              <w:t>• In favorem libertatis (in favor of liberty)</w:t>
              <w:br/>
              <w:t>• Ratio legis est anima legis (the reason of the law is its soul)</w:t>
            </w:r>
          </w:p>
          <w:p>
            <w:pPr>
              <w:spacing w:before="20" w:after="40" w:line="276" w:lineRule="auto"/>
            </w:pPr>
            <w:r>
              <w:rPr>
                <w:rFonts w:ascii="Calibri" w:hAnsi="Calibri"/>
                <w:b/>
                <w:color w:val="212529"/>
                <w:sz w:val="19"/>
              </w:rPr>
              <w:t xml:space="preserve">• How Applied: </w:t>
            </w:r>
            <w:r>
              <w:rPr>
                <w:rFonts w:ascii="Calibri" w:hAnsi="Calibri"/>
                <w:color w:val="212529"/>
                <w:sz w:val="19"/>
              </w:rPr>
              <w:t>Applied as corroborative canons to reinforce the primary rule of construction.</w:t>
            </w:r>
          </w:p>
          <w:p>
            <w:pPr>
              <w:spacing w:before="20" w:after="40" w:line="276" w:lineRule="auto"/>
            </w:pPr>
            <w:r>
              <w:rPr>
                <w:rFonts w:ascii="Calibri" w:hAnsi="Calibri"/>
                <w:b/>
                <w:color w:val="212529"/>
                <w:sz w:val="19"/>
              </w:rPr>
              <w:t xml:space="preserve">• Effect on Interpretation: </w:t>
            </w:r>
            <w:r>
              <w:rPr>
                <w:rFonts w:ascii="Calibri" w:hAnsi="Calibri"/>
                <w:color w:val="212529"/>
                <w:sz w:val="19"/>
              </w:rPr>
              <w:t>Harmonized the statute and prevented an absurd or unjust result.</w:t>
            </w:r>
          </w:p>
        </w:tc>
      </w:tr>
    </w:tbl>
    <w:p>
      <w:pPr>
        <w:keepNext/>
        <w:spacing w:before="240" w:after="60"/>
      </w:pPr>
      <w:r>
        <w:rPr>
          <w:rFonts w:ascii="Arial" w:hAnsi="Arial"/>
          <w:b/>
          <w:color w:val="0F2043"/>
          <w:sz w:val="21"/>
        </w:rPr>
        <w:t>IX. THE CONSTRUCTION MADE BY THE COURT</w:t>
      </w:r>
    </w:p>
    <w:tbl>
      <w:tblPr>
        <w:tblW w:type="auto" w:w="0"/>
        <w:jc w:val="center"/>
        <w:tblLook w:firstColumn="1" w:firstRow="1" w:lastColumn="0" w:lastRow="0" w:noHBand="0" w:noVBand="1" w:val="04A0"/>
      </w:tblPr>
      <w:tblGrid>
        <w:gridCol w:w="9648"/>
      </w:tblGrid>
      <w:tr>
        <w:tc>
          <w:tcPr>
            <w:tcW w:type="dxa" w:w="9648"/>
            <w:shd w:fill="F9F8F5"/>
            <w:tcMar>
              <w:top w:w="100" w:type="dxa"/>
              <w:bottom w:w="100" w:type="dxa"/>
              <w:left w:w="160" w:type="dxa"/>
              <w:right w:w="160" w:type="dxa"/>
            </w:tcMar>
          </w:tcPr>
          <w:p>
            <w:pPr>
              <w:spacing w:before="20" w:after="40"/>
            </w:pPr>
            <w:r>
              <w:rPr>
                <w:rFonts w:ascii="Arial" w:hAnsi="Arial"/>
                <w:b/>
                <w:color w:val="0F2043"/>
                <w:sz w:val="19"/>
              </w:rPr>
              <w:t>Actual Judicial Construction &amp; Ratio</w:t>
              <w:br/>
            </w:r>
          </w:p>
          <w:p>
            <w:pPr>
              <w:spacing w:before="20" w:after="40" w:line="276" w:lineRule="auto"/>
            </w:pPr>
            <w:r>
              <w:rPr>
                <w:rFonts w:ascii="Calibri" w:hAnsi="Calibri"/>
                <w:b/>
                <w:color w:val="212529"/>
                <w:sz w:val="19"/>
              </w:rPr>
              <w:t xml:space="preserve">• Construction Summary: </w:t>
            </w:r>
            <w:r>
              <w:rPr>
                <w:rFonts w:ascii="Calibri" w:hAnsi="Calibri"/>
                <w:color w:val="212529"/>
                <w:sz w:val="19"/>
              </w:rPr>
              <w:t>The Court construed the disputed statutory provisions in People of the Philippines v. Patricio Garcia to mean and apply strictly in accordance with Favorabilia sunt amplianda, odiosa restringenda, holding that Yes. What matters is how old the youth was when he committed the act. Because penal laws that help the accused must be interpreted broadly and generously, court.</w:t>
            </w:r>
          </w:p>
          <w:p>
            <w:pPr>
              <w:spacing w:before="20" w:after="40" w:line="276" w:lineRule="auto"/>
            </w:pPr>
            <w:r>
              <w:rPr>
                <w:rFonts w:ascii="Calibri" w:hAnsi="Calibri"/>
                <w:b/>
                <w:color w:val="212529"/>
                <w:sz w:val="19"/>
              </w:rPr>
              <w:t xml:space="preserve">• Principal Reasoning: </w:t>
            </w:r>
            <w:r>
              <w:rPr>
                <w:rFonts w:ascii="Calibri" w:hAnsi="Calibri"/>
                <w:color w:val="212529"/>
                <w:sz w:val="19"/>
              </w:rPr>
              <w:t>The purpose of youth laws is to reform young minds. If the law were tied to the date of judgment, a slow court schedule would punish the boy as an adult, which contradicts the whole reason the legislature passed the law. The Court ruled that beneficial laws must be stretched to protect human rehabilitation.</w:t>
            </w:r>
          </w:p>
        </w:tc>
      </w:tr>
    </w:tbl>
    <w:tbl>
      <w:tblPr>
        <w:tblW w:type="auto" w:w="0"/>
        <w:jc w:val="center"/>
        <w:tblLook w:firstColumn="1" w:firstRow="1" w:lastColumn="0" w:lastRow="0" w:noHBand="0" w:noVBand="1" w:val="04A0"/>
      </w:tblPr>
      <w:tblGrid>
        <w:gridCol w:w="9648"/>
      </w:tblGrid>
      <w:tr>
        <w:tc>
          <w:tcPr>
            <w:tcW w:type="dxa" w:w="9648"/>
            <w:shd w:fill="EEF6F0"/>
            <w:tcMar>
              <w:top w:w="100" w:type="dxa"/>
              <w:bottom w:w="100" w:type="dxa"/>
              <w:left w:w="160" w:type="dxa"/>
              <w:right w:w="160" w:type="dxa"/>
            </w:tcMar>
          </w:tcPr>
          <w:p>
            <w:pPr>
              <w:spacing w:before="20" w:after="40"/>
            </w:pPr>
            <w:r>
              <w:rPr>
                <w:rFonts w:ascii="Arial" w:hAnsi="Arial"/>
                <w:b/>
                <w:color w:val="0D6E4B"/>
                <w:sz w:val="19"/>
              </w:rPr>
              <w:t>X. STATUTORY CONSTRUCTION OR JUDICIAL LEGISLATION?</w:t>
              <w:br/>
            </w:r>
          </w:p>
          <w:p>
            <w:pPr>
              <w:spacing w:before="20" w:after="60"/>
            </w:pPr>
            <w:r>
              <w:rPr>
                <w:rFonts w:ascii="Arial" w:hAnsi="Arial"/>
                <w:b/>
                <w:color w:val="0F2043"/>
                <w:sz w:val="19"/>
              </w:rPr>
              <w:t>☑ Proper statutory construction    ☐ Judicial legislation    ☐ Debatable</w:t>
            </w:r>
          </w:p>
          <w:p>
            <w:pPr>
              <w:spacing w:before="40" w:after="40" w:line="276" w:lineRule="auto"/>
            </w:pPr>
            <w:r>
              <w:rPr>
                <w:rFonts w:ascii="Calibri" w:hAnsi="Calibri"/>
                <w:b/>
                <w:color w:val="212529"/>
                <w:sz w:val="19"/>
              </w:rPr>
              <w:t>Explanation (3–5 sentences):</w:t>
              <w:br/>
            </w:r>
            <w:r>
              <w:rPr>
                <w:rFonts w:ascii="Calibri" w:hAnsi="Calibri"/>
                <w:color w:val="212529"/>
                <w:sz w:val="19"/>
              </w:rPr>
              <w:t>The Supreme Court acted within the legitimate bounds of its constitutional power to interpret the law (jus dicere). By applying Favorabilia sunt amplianda, odiosa restringenda, the Court faithfully effectuated the legislative intent without creating new rules, modifying clear statutory text, or usurping congressional prerogative. The ruling reinforces the separation of powers and the doctrine that courts must enforce the law as enacted.</w:t>
            </w:r>
          </w:p>
        </w:tc>
      </w:tr>
    </w:tbl>
    <w:p>
      <w:pPr>
        <w:spacing w:before="80" w:after="40"/>
      </w:pPr>
    </w:p>
    <w:tbl>
      <w:tblPr>
        <w:tblW w:type="auto" w:w="0"/>
        <w:jc w:val="center"/>
        <w:tblLook w:firstColumn="1" w:firstRow="1" w:lastColumn="0" w:lastRow="0" w:noHBand="0" w:noVBand="1" w:val="04A0"/>
      </w:tblPr>
      <w:tblGrid>
        <w:gridCol w:w="9648"/>
      </w:tblGrid>
      <w:tr>
        <w:tc>
          <w:tcPr>
            <w:tcW w:type="dxa" w:w="9648"/>
            <w:shd w:fill="FBF6EE"/>
            <w:tcMar>
              <w:top w:w="100" w:type="dxa"/>
              <w:bottom w:w="100" w:type="dxa"/>
              <w:left w:w="160" w:type="dxa"/>
              <w:right w:w="160" w:type="dxa"/>
            </w:tcMar>
          </w:tcPr>
          <w:p>
            <w:pPr>
              <w:spacing w:before="20" w:after="40"/>
            </w:pPr>
            <w:r>
              <w:rPr>
                <w:rFonts w:ascii="Arial" w:hAnsi="Arial"/>
                <w:b/>
                <w:color w:val="8C3200"/>
                <w:sz w:val="19"/>
              </w:rPr>
              <w:t>XI. DOCTRINE (Statutory Construction Principle):</w:t>
              <w:br/>
            </w:r>
            <w:r>
              <w:rPr>
                <w:rFonts w:ascii="Calibri" w:hAnsi="Calibri"/>
                <w:color w:val="212529"/>
                <w:sz w:val="19"/>
              </w:rPr>
              <w:t>Liberal Construction of Beneficial Statutes: Statutory provisions that mitigate criminal penalties or provide rehabilitation must be interpreted broadly in favor of the beneficiary.</w:t>
              <w:br/>
              <w:br/>
            </w:r>
          </w:p>
          <w:p>
            <w:pPr>
              <w:spacing w:before="20" w:after="40"/>
            </w:pPr>
            <w:r>
              <w:rPr>
                <w:rFonts w:ascii="Arial" w:hAnsi="Arial"/>
                <w:b/>
                <w:color w:val="8C3200"/>
                <w:sz w:val="19"/>
              </w:rPr>
              <w:t>XII. ONE-SENTENCE TAKEAWAY:</w:t>
              <w:br/>
            </w:r>
            <w:r>
              <w:rPr>
                <w:rFonts w:ascii="Calibri" w:hAnsi="Calibri"/>
                <w:i/>
                <w:color w:val="212529"/>
                <w:sz w:val="19"/>
              </w:rPr>
              <w:t>This case is important in Statutory Construction because When a law offers mercy, pardon, or rehabilitation, judges must interpret it broadly to give the person a second chance.</w:t>
            </w:r>
          </w:p>
        </w:tc>
      </w:tr>
    </w:tbl>
    <w:p>
      <w:r>
        <w:br w:type="page"/>
      </w:r>
    </w:p>
    <w:p>
      <w:pPr>
        <w:keepNext/>
        <w:spacing w:before="320" w:after="80"/>
      </w:pPr>
      <w:r>
        <w:rPr>
          <w:rFonts w:ascii="Arial" w:hAnsi="Arial"/>
          <w:b/>
          <w:color w:val="0F2043"/>
          <w:sz w:val="26"/>
        </w:rPr>
        <w:t>33. PEOPLE OF THE PHILIPPINES V. THE HONORABLE SANDIGANBAYAN (FOURTH DIVISION) AND CEFERINO S. PAREDES, JR.</w:t>
      </w:r>
    </w:p>
    <w:p>
      <w:pPr>
        <w:spacing w:before="40" w:after="80" w:line="276" w:lineRule="auto"/>
      </w:pPr>
      <w:r>
        <w:rPr>
          <w:rFonts w:ascii="Calibri" w:hAnsi="Calibri"/>
          <w:b/>
          <w:color w:val="212529"/>
          <w:sz w:val="21"/>
        </w:rPr>
        <w:t xml:space="preserve">Citation: </w:t>
      </w:r>
      <w:r>
        <w:rPr>
          <w:rFonts w:ascii="Calibri" w:hAnsi="Calibri"/>
          <w:i/>
          <w:color w:val="212529"/>
          <w:sz w:val="21"/>
        </w:rPr>
        <w:t>G.R. Nos. 147706-07 | February 16, 2005 | 451 SCRA 413 | First Division | Ponente: J. Quisumbing</w:t>
      </w:r>
    </w:p>
    <w:p>
      <w:pPr>
        <w:keepNext/>
        <w:spacing w:before="200" w:after="40"/>
      </w:pPr>
      <w:r>
        <w:rPr>
          <w:rFonts w:ascii="Arial" w:hAnsi="Arial"/>
          <w:b/>
          <w:color w:val="781E1E"/>
          <w:sz w:val="22"/>
        </w:rPr>
        <w:t>LAYER A: ALAC DIGEST, RECITATION SCRIPT &amp; STATCON ANALYSIS</w:t>
      </w:r>
    </w:p>
    <w:p>
      <w:pPr>
        <w:keepNext/>
        <w:spacing w:before="200" w:after="40"/>
      </w:pPr>
      <w:r>
        <w:rPr>
          <w:rFonts w:ascii="Arial" w:hAnsi="Arial"/>
          <w:b/>
          <w:color w:val="781E1E"/>
          <w:sz w:val="22"/>
        </w:rPr>
        <w:t>I. PARTIES &amp; PROCEDURAL BACKGROUND</w:t>
      </w:r>
    </w:p>
    <w:p>
      <w:pPr>
        <w:spacing w:before="40" w:after="80" w:line="276" w:lineRule="auto"/>
      </w:pPr>
      <w:r>
        <w:rPr>
          <w:rFonts w:ascii="Calibri" w:hAnsi="Calibri"/>
          <w:b/>
          <w:color w:val="212529"/>
          <w:sz w:val="21"/>
        </w:rPr>
        <w:t xml:space="preserve">• Plaintiff/Petitioner: </w:t>
      </w:r>
      <w:r>
        <w:rPr>
          <w:rFonts w:ascii="Calibri" w:hAnsi="Calibri"/>
          <w:i w:val="0"/>
          <w:color w:val="212529"/>
          <w:sz w:val="21"/>
        </w:rPr>
        <w:t>People of the Philippines (Petitioner)</w:t>
      </w:r>
    </w:p>
    <w:p>
      <w:pPr>
        <w:spacing w:before="40" w:after="80" w:line="276" w:lineRule="auto"/>
      </w:pPr>
      <w:r>
        <w:rPr>
          <w:rFonts w:ascii="Calibri" w:hAnsi="Calibri"/>
          <w:b/>
          <w:color w:val="212529"/>
          <w:sz w:val="21"/>
        </w:rPr>
        <w:t xml:space="preserve">• Defendant/Respondent: </w:t>
      </w:r>
      <w:r>
        <w:rPr>
          <w:rFonts w:ascii="Calibri" w:hAnsi="Calibri"/>
          <w:i w:val="0"/>
          <w:color w:val="212529"/>
          <w:sz w:val="21"/>
        </w:rPr>
        <w:t>The Honorable Sandiganbayan (Fourth Division) and Ceferino S. Paredes, Jr. (Respondents)</w:t>
      </w:r>
    </w:p>
    <w:p>
      <w:pPr>
        <w:spacing w:before="40" w:after="80" w:line="276" w:lineRule="auto"/>
      </w:pPr>
      <w:r>
        <w:rPr>
          <w:rFonts w:ascii="Calibri" w:hAnsi="Calibri"/>
          <w:b/>
          <w:color w:val="212529"/>
          <w:sz w:val="21"/>
        </w:rPr>
        <w:t xml:space="preserve">• Originating Court: </w:t>
      </w:r>
      <w:r>
        <w:rPr>
          <w:rFonts w:ascii="Calibri" w:hAnsi="Calibri"/>
          <w:i w:val="0"/>
          <w:color w:val="212529"/>
          <w:sz w:val="21"/>
        </w:rPr>
        <w:t>Sandiganbayan (Fourth Division)</w:t>
      </w:r>
    </w:p>
    <w:p>
      <w:pPr>
        <w:spacing w:before="40" w:after="80" w:line="276" w:lineRule="auto"/>
      </w:pPr>
      <w:r>
        <w:rPr>
          <w:rFonts w:ascii="Calibri" w:hAnsi="Calibri"/>
          <w:b/>
          <w:color w:val="212529"/>
          <w:sz w:val="21"/>
        </w:rPr>
        <w:t xml:space="preserve">• Nature of the Action: </w:t>
      </w:r>
      <w:r>
        <w:rPr>
          <w:rFonts w:ascii="Calibri" w:hAnsi="Calibri"/>
          <w:i w:val="0"/>
          <w:color w:val="212529"/>
          <w:sz w:val="21"/>
        </w:rPr>
        <w:t>Petition for Certiorari under Rule 65 assailing Sandiganbayan resolution allowing a plea of guilty to a lesser offense in a prosecution under R.A. No. 3019 (Anti-Graft and Corrupt Practices Act).</w:t>
      </w:r>
    </w:p>
    <w:p>
      <w:pPr>
        <w:keepNext/>
        <w:spacing w:before="200" w:after="40"/>
      </w:pPr>
      <w:r>
        <w:rPr>
          <w:rFonts w:ascii="Arial" w:hAnsi="Arial"/>
          <w:b/>
          <w:color w:val="781E1E"/>
          <w:sz w:val="22"/>
        </w:rPr>
        <w:t>II. WHOLE FACTS</w:t>
      </w:r>
    </w:p>
    <w:p>
      <w:pPr>
        <w:spacing w:before="40" w:after="80" w:line="276" w:lineRule="auto"/>
      </w:pPr>
      <w:r>
        <w:rPr>
          <w:rFonts w:ascii="Calibri" w:hAnsi="Calibri"/>
          <w:i w:val="0"/>
          <w:color w:val="212529"/>
          <w:sz w:val="21"/>
        </w:rPr>
        <w:t>Atty. Ceferino S. Paredes, Jr., former Provincial Attorney and Governor of Agusan del Sur, was charged before the Sandiganbayan with violation of Section 3(e) of Republic Act No. 3019 (Anti-Graft and Corrupt Practices Act) for unlawfully applying for and obtaining free patents over public land. During trial, Paredes offered to plead guilty to the lesser offense of Public Land Act violations. The Special Prosecutor consented, and the Sandiganbayan accepted the plea. The Solicitor General petitioned the Supreme Court, contending that the Sandiganbayan violated the Rules of Criminal Procedure because RA 3019 does not allow plea bargaining to an offense that is not necessarily included in the offense charged.</w:t>
      </w:r>
    </w:p>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SUMMARY OF FACTS</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A former governor was criminally charged with graft under the Anti-Graft Law for grabbing public land. In court, he negotiated a deal to plead guilty to a minor land registration offense instead of graft. The Sandiganbayan accepted the deal. The People challenged this before the Supreme Court, arguing that under the Rules of Court, you can only plead guilty to a lesser offense if all the legal elements of the lesser offense are naturally included in the original charge. The Supreme Court ruled that the plea bargaining was illegal because the lesser offense was not legally included in the graft charge.</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When reciting the facts, state the core dispute in 2 sentences, then state how the case reached the Supreme Court.</w:t>
            </w:r>
          </w:p>
        </w:tc>
      </w:tr>
    </w:tbl>
    <w:p>
      <w:pPr>
        <w:keepNext/>
        <w:spacing w:before="200" w:after="40"/>
      </w:pPr>
      <w:r>
        <w:rPr>
          <w:rFonts w:ascii="Arial" w:hAnsi="Arial"/>
          <w:b/>
          <w:color w:val="781E1E"/>
          <w:sz w:val="22"/>
        </w:rPr>
        <w:t>III. THE LEGAL ISSUE</w:t>
      </w:r>
    </w:p>
    <w:p>
      <w:pPr>
        <w:spacing w:before="40" w:after="80" w:line="276" w:lineRule="auto"/>
      </w:pPr>
      <w:r>
        <w:rPr>
          <w:rFonts w:ascii="Calibri" w:hAnsi="Calibri"/>
          <w:i w:val="0"/>
          <w:color w:val="212529"/>
          <w:sz w:val="21"/>
        </w:rPr>
        <w:t>Whether or not an accused charged with violation of Section 3(e) of R.A. No. 3019 may validly plead guilty to a lesser offense under the Public Land Act that is not necessarily included in the offense charged.</w:t>
      </w:r>
    </w:p>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THE LEGAL ISSUE</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Can an accused plead guilty to a minor crime if that minor crime is not legally included inside the graft charge filed by the prosecutor?</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"Sir/Ma'am, the issue is whether plea bargaining to a lesser offense requires that the lesser crime be necessarily included in the charged offense under Rule 116, testing the rule on Construing a Statute as a Whole (Ut Res Magis Valeat Quam Pereat) and Verba Legis."</w:t>
            </w:r>
          </w:p>
        </w:tc>
      </w:tr>
    </w:tbl>
    <w:p>
      <w:pPr>
        <w:keepNext/>
        <w:spacing w:before="200" w:after="40"/>
      </w:pPr>
      <w:r>
        <w:rPr>
          <w:rFonts w:ascii="Arial" w:hAnsi="Arial"/>
          <w:b/>
          <w:color w:val="781E1E"/>
          <w:sz w:val="22"/>
        </w:rPr>
        <w:t>IV. ALAC DIGEST</w:t>
      </w:r>
    </w:p>
    <w:tbl>
      <w:tblPr>
        <w:tblW w:type="auto" w:w="0"/>
        <w:jc w:val="center"/>
        <w:tblLook w:firstColumn="1" w:firstRow="1" w:lastColumn="0" w:lastRow="0" w:noHBand="0" w:noVBand="1" w:val="04A0"/>
      </w:tblPr>
      <w:tblGrid>
        <w:gridCol w:w="9648"/>
      </w:tblGrid>
      <w:tr>
        <w:tc>
          <w:tcPr>
            <w:tcW w:type="dxa" w:w="9648"/>
            <w:shd w:fill="F4F6F9"/>
            <w:tcMar>
              <w:top w:w="120" w:type="dxa"/>
              <w:bottom w:w="120" w:type="dxa"/>
              <w:left w:w="180" w:type="dxa"/>
              <w:right w:w="180" w:type="dxa"/>
            </w:tcMar>
          </w:tcPr>
          <w:p>
            <w:pPr>
              <w:spacing w:before="40" w:after="60"/>
            </w:pPr>
            <w:r>
              <w:rPr>
                <w:rFonts w:ascii="Arial" w:hAnsi="Arial"/>
                <w:b/>
                <w:color w:val="0F2043"/>
                <w:sz w:val="21"/>
              </w:rPr>
              <w:t>[A] ANSWER</w:t>
              <w:br/>
            </w:r>
          </w:p>
          <w:p>
            <w:pPr>
              <w:spacing w:before="20" w:after="40" w:line="276" w:lineRule="auto"/>
            </w:pPr>
            <w:r>
              <w:rPr>
                <w:rFonts w:ascii="Calibri" w:hAnsi="Calibri"/>
                <w:color w:val="212529"/>
                <w:sz w:val="20"/>
              </w:rPr>
              <w:t>NO. A plea of guilty to a lesser offense is valid ONLY IF the lesser offense is NECESSARILY INCLUDED in the offense charged. The Sandiganbayan committed grave abuse of discretion by accepting a plea to an offense with entirely different statutory elements.</w:t>
            </w:r>
          </w:p>
        </w:tc>
      </w:tr>
    </w:tbl>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THE ANSWER</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No. Under procedural law, a lesser offense must be a smaller piece already contained inside the bigger crime charged. Because the Public Land Act has completely different elements from Graft, the plea bargain was totally illegal.</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"No, Sir/Ma'am. The Supreme Court held that under Section 2, Rule 116 of the Rules of Court, plea bargaining requires that the lesser offense be necessarily included in the offense charged. Interpreting the procedural rule as an integrated whole, courts have no authority to approve plea bargains to extraneous crimes."</w:t>
            </w:r>
          </w:p>
        </w:tc>
      </w:tr>
    </w:tbl>
    <w:tbl>
      <w:tblPr>
        <w:tblW w:type="auto" w:w="0"/>
        <w:jc w:val="center"/>
        <w:tblLook w:firstColumn="1" w:firstRow="1" w:lastColumn="0" w:lastRow="0" w:noHBand="0" w:noVBand="1" w:val="04A0"/>
      </w:tblPr>
      <w:tblGrid>
        <w:gridCol w:w="9648"/>
      </w:tblGrid>
      <w:tr>
        <w:tc>
          <w:tcPr>
            <w:tcW w:type="dxa" w:w="9648"/>
            <w:shd w:fill="F4F6F9"/>
            <w:tcMar>
              <w:top w:w="120" w:type="dxa"/>
              <w:bottom w:w="120" w:type="dxa"/>
              <w:left w:w="180" w:type="dxa"/>
              <w:right w:w="180" w:type="dxa"/>
            </w:tcMar>
          </w:tcPr>
          <w:p>
            <w:pPr>
              <w:spacing w:before="40" w:after="60"/>
            </w:pPr>
            <w:r>
              <w:rPr>
                <w:rFonts w:ascii="Arial" w:hAnsi="Arial"/>
                <w:b/>
                <w:color w:val="0F2043"/>
                <w:sz w:val="21"/>
              </w:rPr>
              <w:t>[L] LEGAL BASIS</w:t>
              <w:br/>
            </w:r>
          </w:p>
          <w:p>
            <w:pPr>
              <w:spacing w:before="20" w:after="40" w:line="276" w:lineRule="auto"/>
            </w:pPr>
            <w:r>
              <w:rPr>
                <w:rFonts w:ascii="Calibri" w:hAnsi="Calibri"/>
                <w:b/>
                <w:color w:val="212529"/>
                <w:sz w:val="20"/>
              </w:rPr>
              <w:t xml:space="preserve">1. Section 2, Rule 116, Revised Rules of Criminal Procedure: </w:t>
            </w:r>
            <w:r>
              <w:rPr>
                <w:rFonts w:ascii="Calibri" w:hAnsi="Calibri"/>
                <w:color w:val="212529"/>
                <w:sz w:val="20"/>
              </w:rPr>
              <w:t>Governs plea of guilty to a lesser offense necessarily included in the offense charged.</w:t>
            </w:r>
          </w:p>
          <w:p>
            <w:pPr>
              <w:spacing w:before="20" w:after="40" w:line="276" w:lineRule="auto"/>
            </w:pPr>
            <w:r>
              <w:rPr>
                <w:rFonts w:ascii="Calibri" w:hAnsi="Calibri"/>
                <w:b/>
                <w:color w:val="212529"/>
                <w:sz w:val="20"/>
              </w:rPr>
              <w:t xml:space="preserve">2. Section 3(e), Republic Act No. 3019 (Anti-Graft and Corrupt Practices Act): </w:t>
            </w:r>
            <w:r>
              <w:rPr>
                <w:rFonts w:ascii="Calibri" w:hAnsi="Calibri"/>
                <w:color w:val="212529"/>
                <w:sz w:val="20"/>
              </w:rPr>
              <w:t>Statutory elements of graft and corruption.</w:t>
            </w:r>
          </w:p>
          <w:p>
            <w:pPr>
              <w:spacing w:before="20" w:after="40" w:line="276" w:lineRule="auto"/>
            </w:pPr>
            <w:r>
              <w:rPr>
                <w:rFonts w:ascii="Calibri" w:hAnsi="Calibri"/>
                <w:b/>
                <w:color w:val="212529"/>
                <w:sz w:val="20"/>
              </w:rPr>
              <w:t xml:space="preserve">3. Ut Res Magis Valeat Quam Pereat (that the thing may rather have effect than perish): </w:t>
            </w:r>
            <w:r>
              <w:rPr>
                <w:rFonts w:ascii="Calibri" w:hAnsi="Calibri"/>
                <w:color w:val="212529"/>
                <w:sz w:val="20"/>
              </w:rPr>
              <w:t>Procedural rules on criminal pleading must be construed as a consistent, integrated whole.</w:t>
            </w:r>
          </w:p>
          <w:p>
            <w:pPr>
              <w:spacing w:before="20" w:after="40" w:line="276" w:lineRule="auto"/>
            </w:pPr>
            <w:r>
              <w:rPr>
                <w:rFonts w:ascii="Calibri" w:hAnsi="Calibri"/>
                <w:b/>
                <w:color w:val="212529"/>
                <w:sz w:val="20"/>
              </w:rPr>
              <w:t xml:space="preserve">4. Verba Legis Non Est Recedendum (from the words of the statute there should be no departure): </w:t>
            </w:r>
            <w:r>
              <w:rPr>
                <w:rFonts w:ascii="Calibri" w:hAnsi="Calibri"/>
                <w:color w:val="212529"/>
                <w:sz w:val="20"/>
              </w:rPr>
              <w:t>The requirement of 'necessarily included' is mandatory.</w:t>
            </w:r>
          </w:p>
        </w:tc>
      </w:tr>
    </w:tbl>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LEGAL BASIS</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Rule 116 Sec 2, Section 3(e) RA 3019, Ut Res Magis Valeat Quam Pereat, and Verba Legis.</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"Sir/Ma'am, the legal basis is Section 2, Rule 116 of the Rules of Court, interpreted under Ut res magis valeat quam pereat (construction to preserve the whole efficacy of the law) and Verba legis non est recedendum."</w:t>
            </w:r>
          </w:p>
        </w:tc>
      </w:tr>
    </w:tbl>
    <w:tbl>
      <w:tblPr>
        <w:tblW w:type="auto" w:w="0"/>
        <w:jc w:val="center"/>
        <w:tblLook w:firstColumn="1" w:firstRow="1" w:lastColumn="0" w:lastRow="0" w:noHBand="0" w:noVBand="1" w:val="04A0"/>
      </w:tblPr>
      <w:tblGrid>
        <w:gridCol w:w="9648"/>
      </w:tblGrid>
      <w:tr>
        <w:tc>
          <w:tcPr>
            <w:tcW w:type="dxa" w:w="9648"/>
            <w:shd w:fill="F4F6F9"/>
            <w:tcMar>
              <w:top w:w="120" w:type="dxa"/>
              <w:bottom w:w="120" w:type="dxa"/>
              <w:left w:w="180" w:type="dxa"/>
              <w:right w:w="180" w:type="dxa"/>
            </w:tcMar>
          </w:tcPr>
          <w:p>
            <w:pPr>
              <w:spacing w:before="40" w:after="60"/>
            </w:pPr>
            <w:r>
              <w:rPr>
                <w:rFonts w:ascii="Arial" w:hAnsi="Arial"/>
                <w:b/>
                <w:color w:val="0F2043"/>
                <w:sz w:val="21"/>
              </w:rPr>
              <w:t>[A] ANALYSIS / APPLICATION</w:t>
              <w:br/>
            </w:r>
          </w:p>
          <w:p>
            <w:pPr>
              <w:spacing w:before="20" w:after="40" w:line="276" w:lineRule="auto"/>
            </w:pPr>
            <w:r>
              <w:rPr>
                <w:rFonts w:ascii="Calibri" w:hAnsi="Calibri"/>
                <w:b/>
                <w:color w:val="212529"/>
                <w:sz w:val="20"/>
              </w:rPr>
              <w:t xml:space="preserve">1. Statutory Definition of Included Offenses: </w:t>
            </w:r>
            <w:r>
              <w:rPr>
                <w:rFonts w:ascii="Calibri" w:hAnsi="Calibri"/>
                <w:color w:val="212529"/>
                <w:sz w:val="20"/>
              </w:rPr>
              <w:t>An offense is necessarily included in another when some of the essential elements of the crime charged constitute the lesser offense. The Public Land violation had elements outside Section 3(e) of RA 3019.</w:t>
            </w:r>
          </w:p>
          <w:p>
            <w:pPr>
              <w:spacing w:before="20" w:after="40" w:line="276" w:lineRule="auto"/>
            </w:pPr>
            <w:r>
              <w:rPr>
                <w:rFonts w:ascii="Calibri" w:hAnsi="Calibri"/>
                <w:b/>
                <w:color w:val="212529"/>
                <w:sz w:val="20"/>
              </w:rPr>
              <w:t xml:space="preserve">2. Construction of Rule 116 as a Whole: </w:t>
            </w:r>
            <w:r>
              <w:rPr>
                <w:rFonts w:ascii="Calibri" w:hAnsi="Calibri"/>
                <w:color w:val="212529"/>
                <w:sz w:val="20"/>
              </w:rPr>
              <w:t>Plea bargaining is not an unfettered compromise; it is strictly bounded by the structural requirements of procedural due process and statutory definitions.</w:t>
            </w:r>
          </w:p>
          <w:p>
            <w:pPr>
              <w:spacing w:before="20" w:after="40" w:line="276" w:lineRule="auto"/>
            </w:pPr>
            <w:r>
              <w:rPr>
                <w:rFonts w:ascii="Calibri" w:hAnsi="Calibri"/>
                <w:b/>
                <w:color w:val="212529"/>
                <w:sz w:val="20"/>
              </w:rPr>
              <w:t xml:space="preserve">3. Nullity of Ultra Vires Plea: </w:t>
            </w:r>
            <w:r>
              <w:rPr>
                <w:rFonts w:ascii="Calibri" w:hAnsi="Calibri"/>
                <w:color w:val="212529"/>
                <w:sz w:val="20"/>
              </w:rPr>
              <w:t>The Sandiganbayan exceeded its jurisdiction by inventing an unauthorized plea bargain that subverted the anti-graft statute.</w:t>
            </w:r>
          </w:p>
        </w:tc>
      </w:tr>
    </w:tbl>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ANALYSIS / APPLICATION</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The Court explained that a lesser crime must fit inside the bigger crime like a Russian nesting doll. If the lesser crime contains foreign elements that were never alleged in the information, the court cannot accept the plea. Rules must be enforced as a coherent whole.</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"Sir/Ma'am, the Court applied statutory harmonization. Procedural rules must be construed as a whole to give effect to every part (Ut Res Magis Valeat Quam Pereat). The trial court cannot disregard the mandatory statutory requirement that the lesser offense be legally included in the charge."</w:t>
            </w:r>
          </w:p>
        </w:tc>
      </w:tr>
    </w:tbl>
    <w:tbl>
      <w:tblPr>
        <w:tblW w:type="auto" w:w="0"/>
        <w:jc w:val="center"/>
        <w:tblLook w:firstColumn="1" w:firstRow="1" w:lastColumn="0" w:lastRow="0" w:noHBand="0" w:noVBand="1" w:val="04A0"/>
      </w:tblPr>
      <w:tblGrid>
        <w:gridCol w:w="9648"/>
      </w:tblGrid>
      <w:tr>
        <w:tc>
          <w:tcPr>
            <w:tcW w:type="dxa" w:w="9648"/>
            <w:shd w:fill="F4F6F9"/>
            <w:tcMar>
              <w:top w:w="120" w:type="dxa"/>
              <w:bottom w:w="120" w:type="dxa"/>
              <w:left w:w="180" w:type="dxa"/>
              <w:right w:w="180" w:type="dxa"/>
            </w:tcMar>
          </w:tcPr>
          <w:p>
            <w:pPr>
              <w:spacing w:before="40" w:after="60"/>
            </w:pPr>
            <w:r>
              <w:rPr>
                <w:rFonts w:ascii="Arial" w:hAnsi="Arial"/>
                <w:b/>
                <w:color w:val="0F2043"/>
                <w:sz w:val="21"/>
              </w:rPr>
              <w:t>[C] CONCLUSION</w:t>
              <w:br/>
            </w:r>
          </w:p>
          <w:p>
            <w:pPr>
              <w:spacing w:before="20" w:after="40" w:line="276" w:lineRule="auto"/>
            </w:pPr>
            <w:r>
              <w:rPr>
                <w:rFonts w:ascii="Calibri" w:hAnsi="Calibri"/>
                <w:color w:val="212529"/>
                <w:sz w:val="20"/>
              </w:rPr>
              <w:t>The Supreme Court GRANTED the petition, ANNULLED the Sandiganbayan resolution approving the plea of guilty to the lesser offense, and ORDERED trial on the original graft information to proceed.</w:t>
            </w:r>
          </w:p>
        </w:tc>
      </w:tr>
    </w:tbl>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CONCLUSION</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The plea bargain was struck down and the governor was ordered to stand trial for graft.</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"The Supreme Court annulled the plea bargain and reinstated the original graft trial, holding that procedural rules on included offenses must be strictly enforced as a whole."</w:t>
            </w:r>
          </w:p>
        </w:tc>
      </w:tr>
    </w:tbl>
    <w:p>
      <w:pPr>
        <w:keepNext/>
        <w:spacing w:before="200" w:after="40"/>
      </w:pPr>
      <w:r>
        <w:rPr>
          <w:rFonts w:ascii="Arial" w:hAnsi="Arial"/>
          <w:b/>
          <w:color w:val="781E1E"/>
          <w:sz w:val="22"/>
        </w:rPr>
        <w:t>V. RELATION TO STATUTORY CONSTRUCTION</w:t>
      </w:r>
    </w:p>
    <w:p>
      <w:pPr>
        <w:spacing w:before="40" w:after="80" w:line="276" w:lineRule="auto"/>
      </w:pPr>
      <w:r>
        <w:rPr>
          <w:rFonts w:ascii="Calibri" w:hAnsi="Calibri"/>
          <w:b/>
          <w:color w:val="212529"/>
          <w:sz w:val="21"/>
        </w:rPr>
        <w:t>• Syllabus Topic Alignment:</w:t>
        <w:br/>
      </w:r>
      <w:r>
        <w:rPr>
          <w:rFonts w:ascii="Calibri" w:hAnsi="Calibri"/>
          <w:i w:val="0"/>
          <w:color w:val="212529"/>
          <w:sz w:val="21"/>
        </w:rPr>
        <w:t>• Chapter III: Basic Guidelines in the Construction and Interpretation of Laws</w:t>
        <w:br/>
        <w:t xml:space="preserve">  - B. Considerations within the Statute: Statute Construed as a Whole (Ut Res Magis Valeat Quam Pereat)</w:t>
      </w:r>
    </w:p>
    <w:tbl>
      <w:tblPr>
        <w:tblW w:type="auto" w:w="0"/>
        <w:jc w:val="center"/>
        <w:tblLook w:firstColumn="1" w:firstRow="1" w:lastColumn="0" w:lastRow="0" w:noHBand="0" w:noVBand="1" w:val="04A0"/>
      </w:tblPr>
      <w:tblGrid>
        <w:gridCol w:w="9648"/>
      </w:tblGrid>
      <w:tr>
        <w:tc>
          <w:tcPr>
            <w:tcW w:type="dxa" w:w="9648"/>
            <w:shd w:fill="FDF6EE"/>
            <w:tcMar>
              <w:top w:w="120" w:type="dxa"/>
              <w:bottom w:w="120" w:type="dxa"/>
              <w:left w:w="180" w:type="dxa"/>
              <w:right w:w="180" w:type="dxa"/>
            </w:tcMar>
          </w:tcPr>
          <w:p>
            <w:pPr>
              <w:spacing w:before="40" w:after="80"/>
            </w:pPr>
            <w:r>
              <w:rPr>
                <w:rFonts w:ascii="Arial" w:hAnsi="Arial"/>
                <w:b/>
                <w:color w:val="8C3200"/>
                <w:sz w:val="20"/>
              </w:rPr>
              <w:t>📜 GOVERNING LATIN MAXIMS WITH ENGLISH TRANSLATIONS</w:t>
              <w:br/>
            </w:r>
          </w:p>
          <w:p>
            <w:pPr>
              <w:spacing w:before="40" w:after="60" w:line="276" w:lineRule="auto"/>
            </w:pPr>
            <w:r>
              <w:rPr>
                <w:rFonts w:ascii="Calibri" w:hAnsi="Calibri"/>
                <w:b/>
                <w:color w:val="8C3200"/>
                <w:sz w:val="20"/>
              </w:rPr>
              <w:t>1. Ut res magis valeat quam pereat (that the thing may rather have effect than perish)</w:t>
              <w:br/>
            </w:r>
            <w:r>
              <w:rPr>
                <w:rFonts w:ascii="Calibri" w:hAnsi="Calibri"/>
                <w:b/>
                <w:color w:val="212529"/>
                <w:sz w:val="19"/>
              </w:rPr>
              <w:t xml:space="preserve">   • Literal English Translation: </w:t>
            </w:r>
            <w:r>
              <w:rPr>
                <w:rFonts w:ascii="Calibri" w:hAnsi="Calibri"/>
                <w:i/>
                <w:color w:val="212529"/>
                <w:sz w:val="19"/>
              </w:rPr>
              <w:t>That the thing may have effect rather than perish.</w:t>
              <w:br/>
            </w:r>
            <w:r>
              <w:rPr>
                <w:rFonts w:ascii="Calibri" w:hAnsi="Calibri"/>
                <w:b/>
                <w:color w:val="212529"/>
                <w:sz w:val="19"/>
              </w:rPr>
              <w:t xml:space="preserve">   • Plain Legal Meaning &amp; StatCon Application: </w:t>
            </w:r>
            <w:r>
              <w:rPr>
                <w:rFonts w:ascii="Calibri" w:hAnsi="Calibri"/>
                <w:color w:val="212529"/>
                <w:sz w:val="19"/>
              </w:rPr>
              <w:t>Procedural statutes and criminal rules must be construed as a harmonious whole to make every provision effective.</w:t>
            </w:r>
          </w:p>
          <w:p>
            <w:pPr>
              <w:spacing w:before="40" w:after="60" w:line="276" w:lineRule="auto"/>
            </w:pPr>
            <w:r>
              <w:rPr>
                <w:rFonts w:ascii="Calibri" w:hAnsi="Calibri"/>
                <w:b/>
                <w:color w:val="8C3200"/>
                <w:sz w:val="20"/>
              </w:rPr>
              <w:t>2. Verba legis non est recedendum (from the words of the statute there should be no departure)</w:t>
              <w:br/>
            </w:r>
            <w:r>
              <w:rPr>
                <w:rFonts w:ascii="Calibri" w:hAnsi="Calibri"/>
                <w:b/>
                <w:color w:val="212529"/>
                <w:sz w:val="19"/>
              </w:rPr>
              <w:t xml:space="preserve">   • Literal English Translation: </w:t>
            </w:r>
            <w:r>
              <w:rPr>
                <w:rFonts w:ascii="Calibri" w:hAnsi="Calibri"/>
                <w:i/>
                <w:color w:val="212529"/>
                <w:sz w:val="19"/>
              </w:rPr>
              <w:t>From the words of the statute there must be no departure.</w:t>
              <w:br/>
            </w:r>
            <w:r>
              <w:rPr>
                <w:rFonts w:ascii="Calibri" w:hAnsi="Calibri"/>
                <w:b/>
                <w:color w:val="212529"/>
                <w:sz w:val="19"/>
              </w:rPr>
              <w:t xml:space="preserve">   • Plain Legal Meaning &amp; StatCon Application: </w:t>
            </w:r>
            <w:r>
              <w:rPr>
                <w:rFonts w:ascii="Calibri" w:hAnsi="Calibri"/>
                <w:color w:val="212529"/>
                <w:sz w:val="19"/>
              </w:rPr>
              <w:t>The statutory requirement of 'necessarily included' cannot be ignored by trial courts.</w:t>
            </w:r>
          </w:p>
          <w:p>
            <w:pPr>
              <w:spacing w:before="40" w:after="60" w:line="276" w:lineRule="auto"/>
            </w:pPr>
            <w:r>
              <w:rPr>
                <w:rFonts w:ascii="Calibri" w:hAnsi="Calibri"/>
                <w:b/>
                <w:color w:val="8C3200"/>
                <w:sz w:val="20"/>
              </w:rPr>
              <w:t>3. Ex antecedentibus et consequentibus fit optima interpretatio (the best interpretation is made from what precedes and what follows)</w:t>
              <w:br/>
            </w:r>
            <w:r>
              <w:rPr>
                <w:rFonts w:ascii="Calibri" w:hAnsi="Calibri"/>
                <w:b/>
                <w:color w:val="212529"/>
                <w:sz w:val="19"/>
              </w:rPr>
              <w:t xml:space="preserve">   • Literal English Translation: </w:t>
            </w:r>
            <w:r>
              <w:rPr>
                <w:rFonts w:ascii="Calibri" w:hAnsi="Calibri"/>
                <w:i/>
                <w:color w:val="212529"/>
                <w:sz w:val="19"/>
              </w:rPr>
              <w:t>The best interpretation arises from comparing preceding and following parts.</w:t>
              <w:br/>
            </w:r>
            <w:r>
              <w:rPr>
                <w:rFonts w:ascii="Calibri" w:hAnsi="Calibri"/>
                <w:b/>
                <w:color w:val="212529"/>
                <w:sz w:val="19"/>
              </w:rPr>
              <w:t xml:space="preserve">   • Plain Legal Meaning &amp; StatCon Application: </w:t>
            </w:r>
            <w:r>
              <w:rPr>
                <w:rFonts w:ascii="Calibri" w:hAnsi="Calibri"/>
                <w:color w:val="212529"/>
                <w:sz w:val="19"/>
              </w:rPr>
              <w:t>Rules on criminal pleading must be interpreted in connection with all related procedural provisions.</w:t>
            </w:r>
          </w:p>
        </w:tc>
      </w:tr>
    </w:tbl>
    <w:tbl>
      <w:tblPr>
        <w:tblW w:type="auto" w:w="0"/>
        <w:jc w:val="center"/>
        <w:tblLook w:firstColumn="1" w:firstRow="1" w:lastColumn="0" w:lastRow="0" w:noHBand="0" w:noVBand="1" w:val="04A0"/>
      </w:tblPr>
      <w:tblGrid>
        <w:gridCol w:w="4824"/>
        <w:gridCol w:w="4824"/>
      </w:tblGrid>
      <w:tr>
        <w:tc>
          <w:tcPr>
            <w:tcW w:type="dxa" w:w="4824"/>
            <w:shd w:fill="EAEFF5"/>
            <w:tcMar>
              <w:top w:w="80" w:type="dxa"/>
              <w:bottom w:w="80" w:type="dxa"/>
              <w:left w:w="120" w:type="dxa"/>
              <w:right w:w="120" w:type="dxa"/>
            </w:tcMar>
          </w:tcPr>
          <w:p>
            <w:pPr>
              <w:spacing w:before="40" w:after="40"/>
            </w:pPr>
            <w:r>
              <w:rPr>
                <w:rFonts w:ascii="Arial" w:hAnsi="Arial"/>
                <w:b/>
                <w:color w:val="0F2043"/>
                <w:sz w:val="18"/>
              </w:rPr>
              <w:t>Syllabus Topic Alignment</w:t>
              <w:br/>
              <w:t>(StatCon_Syllabus_JPR.pdf)</w:t>
            </w:r>
          </w:p>
        </w:tc>
        <w:tc>
          <w:tcPr>
            <w:tcW w:type="dxa" w:w="4824"/>
            <w:shd w:fill="FAFAFA"/>
            <w:tcMar>
              <w:top w:w="80" w:type="dxa"/>
              <w:bottom w:w="80" w:type="dxa"/>
              <w:left w:w="120" w:type="dxa"/>
              <w:right w:w="120" w:type="dxa"/>
            </w:tcMar>
          </w:tcPr>
          <w:p>
            <w:pPr>
              <w:spacing w:before="40" w:after="40" w:line="276" w:lineRule="auto"/>
            </w:pPr>
            <w:r>
              <w:rPr>
                <w:rFonts w:ascii="Calibri" w:hAnsi="Calibri"/>
                <w:color w:val="212529"/>
                <w:sz w:val="19"/>
              </w:rPr>
              <w:t>• Chapter III: Basic Guidelines in the Construction and Interpretation of Laws</w:t>
              <w:br/>
              <w:t xml:space="preserve">  - B. Considerations within the Statute: Statute Construed as a Whole (Ut Res Magis Valeat Quam Pereat)</w:t>
            </w:r>
          </w:p>
        </w:tc>
      </w:tr>
      <w:tr>
        <w:tc>
          <w:tcPr>
            <w:tcW w:type="dxa" w:w="4824"/>
            <w:shd w:fill="EAEFF5"/>
            <w:tcMar>
              <w:top w:w="80" w:type="dxa"/>
              <w:bottom w:w="80" w:type="dxa"/>
              <w:left w:w="120" w:type="dxa"/>
              <w:right w:w="120" w:type="dxa"/>
            </w:tcMar>
          </w:tcPr>
          <w:p>
            <w:pPr>
              <w:spacing w:before="40" w:after="40"/>
            </w:pPr>
            <w:r>
              <w:rPr>
                <w:rFonts w:ascii="Arial" w:hAnsi="Arial"/>
                <w:b/>
                <w:color w:val="0F2043"/>
                <w:sz w:val="18"/>
              </w:rPr>
              <w:t>Governing Latin Maxims &amp; English</w:t>
            </w:r>
          </w:p>
        </w:tc>
        <w:tc>
          <w:tcPr>
            <w:tcW w:type="dxa" w:w="4824"/>
            <w:shd w:fill="FAFAFA"/>
            <w:tcMar>
              <w:top w:w="80" w:type="dxa"/>
              <w:bottom w:w="80" w:type="dxa"/>
              <w:left w:w="120" w:type="dxa"/>
              <w:right w:w="120" w:type="dxa"/>
            </w:tcMar>
          </w:tcPr>
          <w:p>
            <w:pPr>
              <w:spacing w:before="40" w:after="40" w:line="276" w:lineRule="auto"/>
            </w:pPr>
            <w:r>
              <w:rPr>
                <w:rFonts w:ascii="Calibri" w:hAnsi="Calibri"/>
                <w:color w:val="212529"/>
                <w:sz w:val="19"/>
              </w:rPr>
              <w:t>Primary:</w:t>
              <w:br/>
              <w:t>Ut res magis valeat quam pereat</w:t>
              <w:br/>
              <w:t>(that the thing may have effect rather than perish / procedural codes must be construed as an integrated, effective whole)</w:t>
              <w:br/>
              <w:br/>
              <w:t>Secondary:</w:t>
              <w:br/>
              <w:t>• Ex antecedentibus et consequentibus fit optima interpretatio (best interpretation from the whole context)</w:t>
              <w:br/>
              <w:t>• Verba legis non est recedendum (from statutory words no departure)</w:t>
            </w:r>
          </w:p>
        </w:tc>
      </w:tr>
      <w:tr>
        <w:tc>
          <w:tcPr>
            <w:tcW w:type="dxa" w:w="4824"/>
            <w:shd w:fill="EAEFF5"/>
            <w:tcMar>
              <w:top w:w="80" w:type="dxa"/>
              <w:bottom w:w="80" w:type="dxa"/>
              <w:left w:w="120" w:type="dxa"/>
              <w:right w:w="120" w:type="dxa"/>
            </w:tcMar>
          </w:tcPr>
          <w:p>
            <w:pPr>
              <w:spacing w:before="40" w:after="40"/>
            </w:pPr>
            <w:r>
              <w:rPr>
                <w:rFonts w:ascii="Arial" w:hAnsi="Arial"/>
                <w:b/>
                <w:color w:val="0F2043"/>
                <w:sz w:val="18"/>
              </w:rPr>
              <w:t>Case Violation in StatCon</w:t>
            </w:r>
          </w:p>
        </w:tc>
        <w:tc>
          <w:tcPr>
            <w:tcW w:type="dxa" w:w="4824"/>
            <w:shd w:fill="FAFAFA"/>
            <w:tcMar>
              <w:top w:w="80" w:type="dxa"/>
              <w:bottom w:w="80" w:type="dxa"/>
              <w:left w:w="120" w:type="dxa"/>
              <w:right w:w="120" w:type="dxa"/>
            </w:tcMar>
          </w:tcPr>
          <w:p>
            <w:pPr>
              <w:spacing w:before="40" w:after="40" w:line="276" w:lineRule="auto"/>
            </w:pPr>
            <w:r>
              <w:rPr>
                <w:rFonts w:ascii="Calibri" w:hAnsi="Calibri"/>
                <w:color w:val="212529"/>
                <w:sz w:val="19"/>
              </w:rPr>
              <w:t>The Sandiganbayan created an ad-hoc plea bargain that severed Section 2, Rule 116 from its statutory requirement of necessary inclusion.</w:t>
            </w:r>
          </w:p>
        </w:tc>
      </w:tr>
      <w:tr>
        <w:tc>
          <w:tcPr>
            <w:tcW w:type="dxa" w:w="4824"/>
            <w:shd w:fill="EAEFF5"/>
            <w:tcMar>
              <w:top w:w="80" w:type="dxa"/>
              <w:bottom w:w="80" w:type="dxa"/>
              <w:left w:w="120" w:type="dxa"/>
              <w:right w:w="120" w:type="dxa"/>
            </w:tcMar>
          </w:tcPr>
          <w:p>
            <w:pPr>
              <w:spacing w:before="40" w:after="40"/>
            </w:pPr>
            <w:r>
              <w:rPr>
                <w:rFonts w:ascii="Arial" w:hAnsi="Arial"/>
                <w:b/>
                <w:color w:val="0F2043"/>
                <w:sz w:val="18"/>
              </w:rPr>
              <w:t>Doctrinal Execution / Principle</w:t>
            </w:r>
          </w:p>
        </w:tc>
        <w:tc>
          <w:tcPr>
            <w:tcW w:type="dxa" w:w="4824"/>
            <w:shd w:fill="FAFAFA"/>
            <w:tcMar>
              <w:top w:w="80" w:type="dxa"/>
              <w:bottom w:w="80" w:type="dxa"/>
              <w:left w:w="120" w:type="dxa"/>
              <w:right w:w="120" w:type="dxa"/>
            </w:tcMar>
          </w:tcPr>
          <w:p>
            <w:pPr>
              <w:spacing w:before="40" w:after="40" w:line="276" w:lineRule="auto"/>
            </w:pPr>
            <w:r>
              <w:rPr>
                <w:rFonts w:ascii="Calibri" w:hAnsi="Calibri"/>
                <w:color w:val="212529"/>
                <w:sz w:val="19"/>
              </w:rPr>
              <w:t>Holistic Construction of Procedural Codes: Every part of a statute or procedural rule must be construed in connection with every other part to create a consistent, unbroken system of law.</w:t>
            </w:r>
          </w:p>
        </w:tc>
      </w:tr>
    </w:tbl>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RELATION TO STATUTORY CONSTRUCTION</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Rules and laws cannot be chopped up into pieces; every sentence must be read alongside the rest of the rule so it works properly.</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"Sir/Ma'am, People v. Sandiganbayan demonstrates that procedural rules on plea bargaining must be construed as an integrated whole—Ut res magis valeat quam pereat."</w:t>
            </w:r>
          </w:p>
        </w:tc>
      </w:tr>
    </w:tbl>
    <w:p>
      <w:pPr>
        <w:spacing w:before="160" w:after="80"/>
      </w:pPr>
    </w:p>
    <w:tbl>
      <w:tblPr>
        <w:tblW w:type="auto" w:w="0"/>
        <w:jc w:val="center"/>
        <w:tblLook w:firstColumn="1" w:firstRow="1" w:lastColumn="0" w:lastRow="0" w:noHBand="0" w:noVBand="1" w:val="04A0"/>
      </w:tblPr>
      <w:tblGrid>
        <w:gridCol w:w="9648"/>
      </w:tblGrid>
      <w:tr>
        <w:tc>
          <w:tcPr>
            <w:tcW w:type="dxa" w:w="9648"/>
            <w:shd w:fill="1E3A5F"/>
            <w:tcMar>
              <w:top w:w="140" w:type="dxa"/>
              <w:bottom w:w="140" w:type="dxa"/>
              <w:left w:w="200" w:type="dxa"/>
              <w:right w:w="200" w:type="dxa"/>
            </w:tcMar>
          </w:tcPr>
          <w:p>
            <w:pPr>
              <w:spacing w:before="40" w:after="40"/>
              <w:jc w:val="center"/>
            </w:pPr>
            <w:r>
              <w:rPr>
                <w:rFonts w:ascii="Arial" w:hAnsi="Arial"/>
                <w:b/>
                <w:color w:val="FFD700"/>
                <w:sz w:val="22"/>
              </w:rPr>
              <w:t>⚖ STANDARDIZED CASE DIGEST: STATUTORY CONSTRUCTION FORMAT</w:t>
              <w:br/>
            </w:r>
            <w:r>
              <w:rPr>
                <w:rFonts w:ascii="Arial" w:hAnsi="Arial"/>
                <w:i/>
                <w:color w:val="DCEBFF"/>
                <w:sz w:val="18"/>
              </w:rPr>
              <w:t>(Complete 12-Section Academic &amp; Judicial Construction Analysis)</w:t>
            </w:r>
          </w:p>
        </w:tc>
      </w:tr>
    </w:tbl>
    <w:p>
      <w:pPr>
        <w:spacing w:before="80" w:after="80"/>
      </w:pPr>
    </w:p>
    <w:tbl>
      <w:tblPr>
        <w:tblW w:type="auto" w:w="0"/>
        <w:jc w:val="center"/>
        <w:tblLook w:firstColumn="1" w:firstRow="1" w:lastColumn="0" w:lastRow="0" w:noHBand="0" w:noVBand="1" w:val="04A0"/>
      </w:tblPr>
      <w:tblGrid>
        <w:gridCol w:w="4824"/>
        <w:gridCol w:w="4824"/>
      </w:tblGrid>
      <w:tr>
        <w:tc>
          <w:tcPr>
            <w:tcW w:type="dxa" w:w="4824"/>
            <w:shd w:fill="EBF0F7"/>
            <w:tcMar>
              <w:top w:w="60" w:type="dxa"/>
              <w:bottom w:w="60" w:type="dxa"/>
              <w:left w:w="120" w:type="dxa"/>
              <w:right w:w="120" w:type="dxa"/>
            </w:tcMar>
          </w:tcPr>
          <w:p>
            <w:pPr>
              <w:spacing w:before="20" w:after="20"/>
            </w:pPr>
            <w:r>
              <w:rPr>
                <w:rFonts w:ascii="Arial" w:hAnsi="Arial"/>
                <w:b/>
                <w:color w:val="0F2043"/>
                <w:sz w:val="19"/>
              </w:rPr>
              <w:t>Case Title:</w:t>
            </w:r>
          </w:p>
        </w:tc>
        <w:tc>
          <w:tcPr>
            <w:tcW w:type="dxa" w:w="4824"/>
            <w:shd w:fill="FAFCFF"/>
            <w:tcMar>
              <w:top w:w="60" w:type="dxa"/>
              <w:bottom w:w="60" w:type="dxa"/>
              <w:left w:w="120" w:type="dxa"/>
              <w:right w:w="120" w:type="dxa"/>
            </w:tcMar>
          </w:tcPr>
          <w:p>
            <w:pPr>
              <w:spacing w:before="20" w:after="20"/>
            </w:pPr>
            <w:r>
              <w:rPr>
                <w:rFonts w:ascii="Calibri" w:hAnsi="Calibri"/>
                <w:b/>
                <w:color w:val="212529"/>
                <w:sz w:val="19"/>
              </w:rPr>
              <w:t>People of the Philippines v. The Honorable Sandiganbayan (Fourth Division) and Ceferino S. Paredes, Jr.</w:t>
            </w:r>
          </w:p>
        </w:tc>
      </w:tr>
      <w:tr>
        <w:tc>
          <w:tcPr>
            <w:tcW w:type="dxa" w:w="4824"/>
            <w:shd w:fill="EBF0F7"/>
            <w:tcMar>
              <w:top w:w="60" w:type="dxa"/>
              <w:bottom w:w="60" w:type="dxa"/>
              <w:left w:w="120" w:type="dxa"/>
              <w:right w:w="120" w:type="dxa"/>
            </w:tcMar>
          </w:tcPr>
          <w:p>
            <w:pPr>
              <w:spacing w:before="20" w:after="20"/>
            </w:pPr>
            <w:r>
              <w:rPr>
                <w:rFonts w:ascii="Arial" w:hAnsi="Arial"/>
                <w:b/>
                <w:color w:val="0F2043"/>
                <w:sz w:val="19"/>
              </w:rPr>
              <w:t>G.R. No. / Record:</w:t>
            </w:r>
          </w:p>
        </w:tc>
        <w:tc>
          <w:tcPr>
            <w:tcW w:type="dxa" w:w="4824"/>
            <w:shd w:fill="FAFCFF"/>
            <w:tcMar>
              <w:top w:w="60" w:type="dxa"/>
              <w:bottom w:w="60" w:type="dxa"/>
              <w:left w:w="120" w:type="dxa"/>
              <w:right w:w="120" w:type="dxa"/>
            </w:tcMar>
          </w:tcPr>
          <w:p>
            <w:pPr>
              <w:spacing w:before="20" w:after="20"/>
            </w:pPr>
            <w:r>
              <w:rPr>
                <w:rFonts w:ascii="Calibri" w:hAnsi="Calibri"/>
                <w:b w:val="0"/>
                <w:color w:val="212529"/>
                <w:sz w:val="19"/>
              </w:rPr>
              <w:t>G.R. Nos. 147706-07</w:t>
            </w:r>
          </w:p>
        </w:tc>
      </w:tr>
      <w:tr>
        <w:tc>
          <w:tcPr>
            <w:tcW w:type="dxa" w:w="4824"/>
            <w:shd w:fill="EBF0F7"/>
            <w:tcMar>
              <w:top w:w="60" w:type="dxa"/>
              <w:bottom w:w="60" w:type="dxa"/>
              <w:left w:w="120" w:type="dxa"/>
              <w:right w:w="120" w:type="dxa"/>
            </w:tcMar>
          </w:tcPr>
          <w:p>
            <w:pPr>
              <w:spacing w:before="20" w:after="20"/>
            </w:pPr>
            <w:r>
              <w:rPr>
                <w:rFonts w:ascii="Arial" w:hAnsi="Arial"/>
                <w:b/>
                <w:color w:val="0F2043"/>
                <w:sz w:val="19"/>
              </w:rPr>
              <w:t>Date of Promulgation:</w:t>
            </w:r>
          </w:p>
        </w:tc>
        <w:tc>
          <w:tcPr>
            <w:tcW w:type="dxa" w:w="4824"/>
            <w:shd w:fill="FAFCFF"/>
            <w:tcMar>
              <w:top w:w="60" w:type="dxa"/>
              <w:bottom w:w="60" w:type="dxa"/>
              <w:left w:w="120" w:type="dxa"/>
              <w:right w:w="120" w:type="dxa"/>
            </w:tcMar>
          </w:tcPr>
          <w:p>
            <w:pPr>
              <w:spacing w:before="20" w:after="20"/>
            </w:pPr>
            <w:r>
              <w:rPr>
                <w:rFonts w:ascii="Calibri" w:hAnsi="Calibri"/>
                <w:b w:val="0"/>
                <w:color w:val="212529"/>
                <w:sz w:val="19"/>
              </w:rPr>
              <w:t>February 16, 2005</w:t>
            </w:r>
          </w:p>
        </w:tc>
      </w:tr>
      <w:tr>
        <w:tc>
          <w:tcPr>
            <w:tcW w:type="dxa" w:w="4824"/>
            <w:shd w:fill="EBF0F7"/>
            <w:tcMar>
              <w:top w:w="60" w:type="dxa"/>
              <w:bottom w:w="60" w:type="dxa"/>
              <w:left w:w="120" w:type="dxa"/>
              <w:right w:w="120" w:type="dxa"/>
            </w:tcMar>
          </w:tcPr>
          <w:p>
            <w:pPr>
              <w:spacing w:before="20" w:after="20"/>
            </w:pPr>
            <w:r>
              <w:rPr>
                <w:rFonts w:ascii="Arial" w:hAnsi="Arial"/>
                <w:b/>
                <w:color w:val="0F2043"/>
                <w:sz w:val="19"/>
              </w:rPr>
              <w:t>Ponente / Court:</w:t>
            </w:r>
          </w:p>
        </w:tc>
        <w:tc>
          <w:tcPr>
            <w:tcW w:type="dxa" w:w="4824"/>
            <w:shd w:fill="FAFCFF"/>
            <w:tcMar>
              <w:top w:w="60" w:type="dxa"/>
              <w:bottom w:w="60" w:type="dxa"/>
              <w:left w:w="120" w:type="dxa"/>
              <w:right w:w="120" w:type="dxa"/>
            </w:tcMar>
          </w:tcPr>
          <w:p>
            <w:pPr>
              <w:spacing w:before="20" w:after="20"/>
            </w:pPr>
            <w:r>
              <w:rPr>
                <w:rFonts w:ascii="Calibri" w:hAnsi="Calibri"/>
                <w:b w:val="0"/>
                <w:color w:val="212529"/>
                <w:sz w:val="19"/>
              </w:rPr>
              <w:t>First Division</w:t>
            </w:r>
          </w:p>
        </w:tc>
      </w:tr>
    </w:tbl>
    <w:p>
      <w:pPr>
        <w:keepNext/>
        <w:spacing w:before="240" w:after="60"/>
      </w:pPr>
      <w:r>
        <w:rPr>
          <w:rFonts w:ascii="Arial" w:hAnsi="Arial"/>
          <w:b/>
          <w:color w:val="0F2043"/>
          <w:sz w:val="21"/>
        </w:rPr>
        <w:t>I. FACTS OF THE CASE</w:t>
      </w:r>
    </w:p>
    <w:tbl>
      <w:tblPr>
        <w:tblW w:type="auto" w:w="0"/>
        <w:jc w:val="center"/>
        <w:tblLook w:firstColumn="1" w:firstRow="1" w:lastColumn="0" w:lastRow="0" w:noHBand="0" w:noVBand="1" w:val="04A0"/>
      </w:tblPr>
      <w:tblGrid>
        <w:gridCol w:w="9648"/>
      </w:tblGrid>
      <w:tr>
        <w:tc>
          <w:tcPr>
            <w:tcW w:type="dxa" w:w="9648"/>
            <w:shd w:fill="F8F9FB"/>
            <w:tcMar>
              <w:top w:w="100" w:type="dxa"/>
              <w:bottom w:w="100" w:type="dxa"/>
              <w:left w:w="160" w:type="dxa"/>
              <w:right w:w="160" w:type="dxa"/>
            </w:tcMar>
          </w:tcPr>
          <w:p>
            <w:pPr>
              <w:spacing w:before="20" w:after="40"/>
            </w:pPr>
            <w:r>
              <w:rPr>
                <w:rFonts w:ascii="Arial" w:hAnsi="Arial"/>
                <w:b/>
                <w:color w:val="0F2043"/>
                <w:sz w:val="19"/>
              </w:rPr>
              <w:t>Material Facts of Controversy</w:t>
              <w:br/>
            </w:r>
          </w:p>
          <w:p>
            <w:pPr>
              <w:spacing w:before="20" w:after="40" w:line="276" w:lineRule="auto"/>
            </w:pPr>
            <w:r>
              <w:rPr>
                <w:rFonts w:ascii="Calibri" w:hAnsi="Calibri"/>
                <w:color w:val="212529"/>
                <w:sz w:val="19"/>
              </w:rPr>
              <w:t>Atty. Ceferino S. Paredes, Jr., former Provincial Attorney and Governor of Agusan del Sur, was charged before the Sandiganbayan with violation of Section 3(e) of Republic Act No. 3019 (Anti-Graft and Corrupt Practices Act) for unlawfully applying for and obtaining free patents over public land. During trial, Paredes offered to plead guilty to the lesser offense of Public Land Act violations. The Special Prosecutor consented, and the Sandiganbayan accepted the plea. The Solicitor General petitioned the Supreme Court, contending that the Sandiganbayan violated the Rules of Criminal Procedure because RA 3019 does not allow plea bargaining to an offense that is not necessarily included in the offense charged.</w:t>
            </w:r>
          </w:p>
        </w:tc>
      </w:tr>
    </w:tbl>
    <w:p>
      <w:pPr>
        <w:keepNext/>
        <w:spacing w:before="240" w:after="60"/>
      </w:pPr>
      <w:r>
        <w:rPr>
          <w:rFonts w:ascii="Arial" w:hAnsi="Arial"/>
          <w:b/>
          <w:color w:val="0F2043"/>
          <w:sz w:val="21"/>
        </w:rPr>
        <w:t>II. FACTS RELEVANT TO STATUTORY CONSTRUCTION</w:t>
      </w:r>
    </w:p>
    <w:tbl>
      <w:tblPr>
        <w:tblW w:type="auto" w:w="0"/>
        <w:jc w:val="center"/>
        <w:tblLook w:firstColumn="1" w:firstRow="1" w:lastColumn="0" w:lastRow="0" w:noHBand="0" w:noVBand="1" w:val="04A0"/>
      </w:tblPr>
      <w:tblGrid>
        <w:gridCol w:w="9648"/>
      </w:tblGrid>
      <w:tr>
        <w:tc>
          <w:tcPr>
            <w:tcW w:type="dxa" w:w="9648"/>
            <w:shd w:fill="F8F9FB"/>
            <w:tcMar>
              <w:top w:w="100" w:type="dxa"/>
              <w:bottom w:w="100" w:type="dxa"/>
              <w:left w:w="160" w:type="dxa"/>
              <w:right w:w="160" w:type="dxa"/>
            </w:tcMar>
          </w:tcPr>
          <w:p>
            <w:pPr>
              <w:spacing w:before="20" w:after="40"/>
            </w:pPr>
            <w:r>
              <w:rPr>
                <w:rFonts w:ascii="Arial" w:hAnsi="Arial"/>
                <w:b/>
                <w:color w:val="0F2043"/>
                <w:sz w:val="19"/>
              </w:rPr>
              <w:t>Facts Giving Rise to Need for Interpretation</w:t>
              <w:br/>
            </w:r>
          </w:p>
          <w:p>
            <w:pPr>
              <w:spacing w:before="20" w:after="40" w:line="276" w:lineRule="auto"/>
            </w:pPr>
            <w:r>
              <w:rPr>
                <w:rFonts w:ascii="Calibri" w:hAnsi="Calibri"/>
                <w:b/>
                <w:color w:val="212529"/>
                <w:sz w:val="19"/>
              </w:rPr>
              <w:t xml:space="preserve">• What provision of law or rule became relevant? </w:t>
            </w:r>
            <w:r>
              <w:rPr>
                <w:rFonts w:ascii="Calibri" w:hAnsi="Calibri"/>
                <w:color w:val="212529"/>
                <w:sz w:val="19"/>
              </w:rPr>
              <w:t>1. Section 2, Rule 116, Revised Rules of Criminal Procedure: Governs plea of guilty to a lesser offense necessarily included in the offense charged.</w:t>
              <w:br/>
              <w:t>2. Section 3(e), Republic Act No. 3019 (Anti-Graft and Corrupt Practices Act): Statutory elements of graft and corruption.</w:t>
            </w:r>
          </w:p>
          <w:p>
            <w:pPr>
              <w:spacing w:before="20" w:after="40" w:line="276" w:lineRule="auto"/>
            </w:pPr>
            <w:r>
              <w:rPr>
                <w:rFonts w:ascii="Calibri" w:hAnsi="Calibri"/>
                <w:b/>
                <w:color w:val="212529"/>
                <w:sz w:val="19"/>
              </w:rPr>
              <w:t xml:space="preserve">• What circumstance made interpretation necessary? </w:t>
            </w:r>
            <w:r>
              <w:rPr>
                <w:rFonts w:ascii="Calibri" w:hAnsi="Calibri"/>
                <w:color w:val="212529"/>
                <w:sz w:val="19"/>
              </w:rPr>
              <w:t>The Sandiganbayan created an ad-hoc plea bargain that severed Section 2, Rule 116 from its statutory requirement of necessary inclusion.</w:t>
            </w:r>
          </w:p>
          <w:p>
            <w:pPr>
              <w:spacing w:before="20" w:after="40" w:line="276" w:lineRule="auto"/>
            </w:pPr>
            <w:r>
              <w:rPr>
                <w:rFonts w:ascii="Calibri" w:hAnsi="Calibri"/>
                <w:b/>
                <w:color w:val="212529"/>
                <w:sz w:val="19"/>
              </w:rPr>
              <w:t xml:space="preserve">• What competing interpretations were presented? </w:t>
            </w:r>
            <w:r>
              <w:rPr>
                <w:rFonts w:ascii="Calibri" w:hAnsi="Calibri"/>
                <w:color w:val="212529"/>
                <w:sz w:val="19"/>
              </w:rPr>
              <w:t>Petitioner argued for a favorable interpretation based on statutory intent, while Respondent contended for a literal or restrictive application.</w:t>
            </w:r>
          </w:p>
        </w:tc>
      </w:tr>
    </w:tbl>
    <w:p>
      <w:pPr>
        <w:keepNext/>
        <w:spacing w:before="240" w:after="60"/>
      </w:pPr>
      <w:r>
        <w:rPr>
          <w:rFonts w:ascii="Arial" w:hAnsi="Arial"/>
          <w:b/>
          <w:color w:val="0F2043"/>
          <w:sz w:val="21"/>
        </w:rPr>
        <w:t>III. ISSUES</w:t>
      </w:r>
    </w:p>
    <w:p>
      <w:pPr>
        <w:keepNext/>
        <w:spacing w:before="120" w:after="40"/>
      </w:pPr>
      <w:r>
        <w:rPr>
          <w:rFonts w:ascii="Arial" w:hAnsi="Arial"/>
          <w:b/>
          <w:color w:val="781E1E"/>
          <w:sz w:val="20"/>
        </w:rPr>
        <w:t>A. General Legal Issues</w:t>
      </w:r>
    </w:p>
    <w:p>
      <w:pPr>
        <w:spacing w:before="40" w:after="80" w:line="276" w:lineRule="auto"/>
      </w:pPr>
      <w:r>
        <w:rPr>
          <w:rFonts w:ascii="Calibri" w:hAnsi="Calibri"/>
          <w:i w:val="0"/>
          <w:color w:val="212529"/>
          <w:sz w:val="21"/>
        </w:rPr>
        <w:t>Whether or not an accused charged with violation of Section 3(e) of R.A. No. 3019 may validly plead guilty to a lesser offense under the Public Land Act that is not necessarily included in the offense charged.</w:t>
      </w:r>
    </w:p>
    <w:p>
      <w:pPr>
        <w:keepNext/>
        <w:spacing w:before="120" w:after="40"/>
      </w:pPr>
      <w:r>
        <w:rPr>
          <w:rFonts w:ascii="Arial" w:hAnsi="Arial"/>
          <w:b/>
          <w:color w:val="781E1E"/>
          <w:sz w:val="20"/>
        </w:rPr>
        <w:t>B. Statutory-Construction Issue/s</w:t>
      </w:r>
    </w:p>
    <w:tbl>
      <w:tblPr>
        <w:tblW w:type="auto" w:w="0"/>
        <w:jc w:val="center"/>
        <w:tblLook w:firstColumn="1" w:firstRow="1" w:lastColumn="0" w:lastRow="0" w:noHBand="0" w:noVBand="1" w:val="04A0"/>
      </w:tblPr>
      <w:tblGrid>
        <w:gridCol w:w="9648"/>
      </w:tblGrid>
      <w:tr>
        <w:tc>
          <w:tcPr>
            <w:tcW w:type="dxa" w:w="9648"/>
            <w:shd w:fill="EBF3FA"/>
            <w:tcMar>
              <w:top w:w="100" w:type="dxa"/>
              <w:bottom w:w="100" w:type="dxa"/>
              <w:left w:w="160" w:type="dxa"/>
              <w:right w:w="160" w:type="dxa"/>
            </w:tcMar>
          </w:tcPr>
          <w:p>
            <w:pPr>
              <w:spacing w:before="20" w:after="40"/>
            </w:pPr>
            <w:r>
              <w:rPr>
                <w:rFonts w:ascii="Arial" w:hAnsi="Arial"/>
                <w:b/>
                <w:color w:val="0F2043"/>
                <w:sz w:val="19"/>
              </w:rPr>
              <w:t>Standardized StatCon Issue Statement</w:t>
              <w:br/>
            </w:r>
          </w:p>
          <w:p>
            <w:pPr>
              <w:spacing w:before="20" w:after="40" w:line="276" w:lineRule="auto"/>
            </w:pPr>
            <w:r>
              <w:rPr>
                <w:rFonts w:ascii="Calibri" w:hAnsi="Calibri"/>
                <w:color w:val="212529"/>
                <w:sz w:val="19"/>
              </w:rPr>
              <w:t>Whether the subject statutory act, classification, or terminology under the governing statute/rule means, includes, or applies to the factual controversy in People of the Philippines v. The Honorable Sandiganbayan (Fourth Division) and Ceferino S. Paredes, Jr., under the canon of Ut res magis valeat quam pereat.</w:t>
            </w:r>
          </w:p>
        </w:tc>
      </w:tr>
    </w:tbl>
    <w:p>
      <w:pPr>
        <w:keepNext/>
        <w:spacing w:before="240" w:after="60"/>
      </w:pPr>
      <w:r>
        <w:rPr>
          <w:rFonts w:ascii="Arial" w:hAnsi="Arial"/>
          <w:b/>
          <w:color w:val="0F2043"/>
          <w:sz w:val="21"/>
        </w:rPr>
        <w:t>IV. PROVISION/S OF LAW CONSTRUED</w:t>
      </w:r>
    </w:p>
    <w:tbl>
      <w:tblPr>
        <w:tblW w:type="auto" w:w="0"/>
        <w:jc w:val="center"/>
        <w:tblLook w:firstColumn="1" w:firstRow="1" w:lastColumn="0" w:lastRow="0" w:noHBand="0" w:noVBand="1" w:val="04A0"/>
      </w:tblPr>
      <w:tblGrid>
        <w:gridCol w:w="9648"/>
      </w:tblGrid>
      <w:tr>
        <w:tc>
          <w:tcPr>
            <w:tcW w:type="dxa" w:w="9648"/>
            <w:shd w:fill="F8F9FB"/>
            <w:tcMar>
              <w:top w:w="100" w:type="dxa"/>
              <w:bottom w:w="100" w:type="dxa"/>
              <w:left w:w="160" w:type="dxa"/>
              <w:right w:w="160" w:type="dxa"/>
            </w:tcMar>
          </w:tcPr>
          <w:p>
            <w:pPr>
              <w:spacing w:before="20" w:after="40"/>
            </w:pPr>
            <w:r>
              <w:rPr>
                <w:rFonts w:ascii="Arial" w:hAnsi="Arial"/>
                <w:b/>
                <w:color w:val="0F2043"/>
                <w:sz w:val="19"/>
              </w:rPr>
              <w:t>Statutory / Constitutional Text &amp; Problem</w:t>
              <w:br/>
            </w:r>
          </w:p>
          <w:p>
            <w:pPr>
              <w:spacing w:before="20" w:after="40" w:line="276" w:lineRule="auto"/>
            </w:pPr>
            <w:r>
              <w:rPr>
                <w:rFonts w:ascii="Calibri" w:hAnsi="Calibri"/>
                <w:b/>
                <w:color w:val="212529"/>
                <w:sz w:val="19"/>
              </w:rPr>
              <w:t xml:space="preserve">• Quoted Provision: </w:t>
            </w:r>
            <w:r>
              <w:rPr>
                <w:rFonts w:ascii="Calibri" w:hAnsi="Calibri"/>
                <w:color w:val="212529"/>
                <w:sz w:val="19"/>
              </w:rPr>
              <w:t>1. Section 2, Rule 116, Revised Rules of Criminal Procedure: Governs plea of guilty to a lesser offense necessarily included in the offense charged.</w:t>
              <w:br/>
              <w:t>2. Section 3(e), Republic Act No. 3019 (Anti-Graft and Corrupt Practices Act): Statutory elements of graft and corruption.</w:t>
            </w:r>
          </w:p>
          <w:p>
            <w:pPr>
              <w:spacing w:before="20" w:after="40" w:line="276" w:lineRule="auto"/>
            </w:pPr>
            <w:r>
              <w:rPr>
                <w:rFonts w:ascii="Calibri" w:hAnsi="Calibri"/>
                <w:b/>
                <w:color w:val="212529"/>
                <w:sz w:val="19"/>
              </w:rPr>
              <w:t xml:space="preserve">• Interpretive Problem: </w:t>
            </w:r>
            <w:r>
              <w:rPr>
                <w:rFonts w:ascii="Calibri" w:hAnsi="Calibri"/>
                <w:color w:val="212529"/>
                <w:sz w:val="19"/>
              </w:rPr>
              <w:t>Determining the precise legislative intent and boundary of the statutory terms in light of: The Sandiganbayan created an ad-hoc plea bargain that severed Section 2, Rule 116 from its statutory requirement of nece...</w:t>
            </w:r>
          </w:p>
        </w:tc>
      </w:tr>
    </w:tbl>
    <w:p>
      <w:pPr>
        <w:keepNext/>
        <w:spacing w:before="240" w:after="60"/>
      </w:pPr>
      <w:r>
        <w:rPr>
          <w:rFonts w:ascii="Arial" w:hAnsi="Arial"/>
          <w:b/>
          <w:color w:val="0F2043"/>
          <w:sz w:val="21"/>
        </w:rPr>
        <w:t>V. RULING OF THE SUPREME COURT</w:t>
      </w:r>
    </w:p>
    <w:p>
      <w:pPr>
        <w:keepNext/>
        <w:spacing w:before="120" w:after="40"/>
      </w:pPr>
      <w:r>
        <w:rPr>
          <w:rFonts w:ascii="Arial" w:hAnsi="Arial"/>
          <w:b/>
          <w:color w:val="781E1E"/>
          <w:sz w:val="20"/>
        </w:rPr>
        <w:t>A. General Ruling</w:t>
      </w:r>
    </w:p>
    <w:p>
      <w:pPr>
        <w:spacing w:before="40" w:after="80" w:line="276" w:lineRule="auto"/>
      </w:pPr>
      <w:r>
        <w:rPr>
          <w:rFonts w:ascii="Calibri" w:hAnsi="Calibri"/>
          <w:i w:val="0"/>
          <w:color w:val="212529"/>
          <w:sz w:val="21"/>
        </w:rPr>
        <w:t>The Supreme Court GRANTED the petition, ANNULLED the Sandiganbayan resolution approving the plea of guilty to the lesser offense, and ORDERED trial on the original graft information to proceed.</w:t>
      </w:r>
    </w:p>
    <w:p>
      <w:pPr>
        <w:keepNext/>
        <w:spacing w:before="120" w:after="40"/>
      </w:pPr>
      <w:r>
        <w:rPr>
          <w:rFonts w:ascii="Arial" w:hAnsi="Arial"/>
          <w:b/>
          <w:color w:val="781E1E"/>
          <w:sz w:val="20"/>
        </w:rPr>
        <w:t>B. Ruling on the Statutory-Construction Issue</w:t>
      </w:r>
    </w:p>
    <w:tbl>
      <w:tblPr>
        <w:tblW w:type="auto" w:w="0"/>
        <w:jc w:val="center"/>
        <w:tblLook w:firstColumn="1" w:firstRow="1" w:lastColumn="0" w:lastRow="0" w:noHBand="0" w:noVBand="1" w:val="04A0"/>
      </w:tblPr>
      <w:tblGrid>
        <w:gridCol w:w="9648"/>
      </w:tblGrid>
      <w:tr>
        <w:tc>
          <w:tcPr>
            <w:tcW w:type="dxa" w:w="9648"/>
            <w:shd w:fill="F4FAF5"/>
            <w:tcMar>
              <w:top w:w="100" w:type="dxa"/>
              <w:bottom w:w="100" w:type="dxa"/>
              <w:left w:w="160" w:type="dxa"/>
              <w:right w:w="160" w:type="dxa"/>
            </w:tcMar>
          </w:tcPr>
          <w:p>
            <w:pPr>
              <w:spacing w:before="20" w:after="40"/>
            </w:pPr>
            <w:r>
              <w:rPr>
                <w:rFonts w:ascii="Arial" w:hAnsi="Arial"/>
                <w:b/>
                <w:color w:val="0F2043"/>
                <w:sz w:val="19"/>
              </w:rPr>
              <w:t>Statutory Meaning Established by Court</w:t>
              <w:br/>
            </w:r>
          </w:p>
          <w:p>
            <w:pPr>
              <w:spacing w:before="20" w:after="40" w:line="276" w:lineRule="auto"/>
            </w:pPr>
            <w:r>
              <w:rPr>
                <w:rFonts w:ascii="Calibri" w:hAnsi="Calibri"/>
                <w:color w:val="212529"/>
                <w:sz w:val="19"/>
              </w:rPr>
              <w:t>NO. A plea of guilty to a lesser offense is valid ONLY IF the lesser offense is NECESSARILY INCLUDED in the offense charged. The Sandiganbayan committed grave abuse of discretion by accepting a plea to an offense with entirely different statutory elements.</w:t>
            </w:r>
          </w:p>
        </w:tc>
      </w:tr>
    </w:tbl>
    <w:p>
      <w:pPr>
        <w:keepNext/>
        <w:spacing w:before="240" w:after="60"/>
      </w:pPr>
      <w:r>
        <w:rPr>
          <w:rFonts w:ascii="Arial" w:hAnsi="Arial"/>
          <w:b/>
          <w:color w:val="0F2043"/>
          <w:sz w:val="21"/>
        </w:rPr>
        <w:t>VI. HOW THE COURT CONSTRUED THE LAW</w:t>
      </w:r>
    </w:p>
    <w:tbl>
      <w:tblPr>
        <w:tblW w:type="auto" w:w="0"/>
        <w:jc w:val="center"/>
        <w:tblLook w:firstColumn="1" w:firstRow="1" w:lastColumn="0" w:lastRow="0" w:noHBand="0" w:noVBand="1" w:val="04A0"/>
      </w:tblPr>
      <w:tblGrid>
        <w:gridCol w:w="9648"/>
      </w:tblGrid>
      <w:tr>
        <w:tc>
          <w:tcPr>
            <w:tcW w:type="dxa" w:w="9648"/>
            <w:shd w:fill="F8F9FB"/>
            <w:tcMar>
              <w:top w:w="100" w:type="dxa"/>
              <w:bottom w:w="100" w:type="dxa"/>
              <w:left w:w="160" w:type="dxa"/>
              <w:right w:w="160" w:type="dxa"/>
            </w:tcMar>
          </w:tcPr>
          <w:p>
            <w:pPr>
              <w:spacing w:before="20" w:after="40"/>
            </w:pPr>
            <w:r>
              <w:rPr>
                <w:rFonts w:ascii="Arial" w:hAnsi="Arial"/>
                <w:b/>
                <w:color w:val="0F2043"/>
                <w:sz w:val="19"/>
              </w:rPr>
              <w:t>Methodological &amp; Doctrinal Analysis</w:t>
              <w:br/>
            </w:r>
          </w:p>
          <w:p>
            <w:pPr>
              <w:spacing w:before="20" w:after="40" w:line="276" w:lineRule="auto"/>
            </w:pPr>
            <w:r>
              <w:rPr>
                <w:rFonts w:ascii="Calibri" w:hAnsi="Calibri"/>
                <w:b/>
                <w:color w:val="212529"/>
                <w:sz w:val="19"/>
              </w:rPr>
              <w:t xml:space="preserve">A. Why Was Construction Necessary? </w:t>
            </w:r>
            <w:r>
              <w:rPr>
                <w:rFonts w:ascii="Calibri" w:hAnsi="Calibri"/>
                <w:color w:val="212529"/>
                <w:sz w:val="19"/>
              </w:rPr>
              <w:t>Ambiguity in the application and scope of the statute: The Sandiganbayan created an ad-hoc plea bargain that severed Section 2, Rule 116 from its statutory requirement of necessary inclusion..</w:t>
            </w:r>
          </w:p>
          <w:p>
            <w:pPr>
              <w:spacing w:before="20" w:after="40" w:line="276" w:lineRule="auto"/>
            </w:pPr>
            <w:r>
              <w:rPr>
                <w:rFonts w:ascii="Calibri" w:hAnsi="Calibri"/>
                <w:b/>
                <w:color w:val="212529"/>
                <w:sz w:val="19"/>
              </w:rPr>
              <w:t xml:space="preserve">B. Purpose of Construction: </w:t>
            </w:r>
            <w:r>
              <w:rPr>
                <w:rFonts w:ascii="Calibri" w:hAnsi="Calibri"/>
                <w:color w:val="212529"/>
                <w:sz w:val="19"/>
              </w:rPr>
              <w:t>To ascertain and give full effect to the true intent, spirit, and purpose of the lawmaking body.</w:t>
            </w:r>
          </w:p>
          <w:p>
            <w:pPr>
              <w:spacing w:before="20" w:after="40" w:line="276" w:lineRule="auto"/>
            </w:pPr>
            <w:r>
              <w:rPr>
                <w:rFonts w:ascii="Calibri" w:hAnsi="Calibri"/>
                <w:b/>
                <w:color w:val="212529"/>
                <w:sz w:val="19"/>
              </w:rPr>
              <w:t xml:space="preserve">C. Method, Canon, or Rule Applied: </w:t>
            </w:r>
            <w:r>
              <w:rPr>
                <w:rFonts w:ascii="Calibri" w:hAnsi="Calibri"/>
                <w:color w:val="212529"/>
                <w:sz w:val="19"/>
              </w:rPr>
              <w:t>Ut res magis valeat quam pereat</w:t>
              <w:br/>
              <w:t xml:space="preserve">   - Application: Holistic Construction of Procedural Codes: Every part of a statute or procedural rule must be construed in connection with every other part to create a consistent, unbroken system of law.</w:t>
              <w:br/>
              <w:t xml:space="preserve">   - Result: No. Under procedural law, a lesser offense must be a smaller piece already contained inside the bigger crime charged. Because the Public Land Act has completely different elements from Graft, the plea bargain was totally illegal.</w:t>
            </w:r>
          </w:p>
          <w:p>
            <w:pPr>
              <w:spacing w:before="20" w:after="40" w:line="276" w:lineRule="auto"/>
            </w:pPr>
            <w:r>
              <w:rPr>
                <w:rFonts w:ascii="Calibri" w:hAnsi="Calibri"/>
                <w:b/>
                <w:color w:val="212529"/>
                <w:sz w:val="19"/>
              </w:rPr>
              <w:t xml:space="preserve">D. Other Sources Used: </w:t>
            </w:r>
            <w:r>
              <w:rPr>
                <w:rFonts w:ascii="Calibri" w:hAnsi="Calibri"/>
                <w:color w:val="212529"/>
                <w:sz w:val="19"/>
              </w:rPr>
              <w:t>Ordinary meaning of words, statute considered as a whole, legislative history, and established Supreme Court jurisprudence.</w:t>
            </w:r>
          </w:p>
        </w:tc>
      </w:tr>
    </w:tbl>
    <w:p>
      <w:pPr>
        <w:keepNext/>
        <w:spacing w:before="240" w:after="60"/>
      </w:pPr>
      <w:r>
        <w:rPr>
          <w:rFonts w:ascii="Arial" w:hAnsi="Arial"/>
          <w:b/>
          <w:color w:val="0F2043"/>
          <w:sz w:val="21"/>
        </w:rPr>
        <w:t>VII. RELEVANT STATUTORY-CONSTRUCTION CONCEPTS (A–L EVALUATION)</w:t>
      </w:r>
    </w:p>
    <w:tbl>
      <w:tblPr>
        <w:tblW w:type="auto" w:w="0"/>
        <w:jc w:val="center"/>
        <w:tblLook w:firstColumn="1" w:firstRow="1" w:lastColumn="0" w:lastRow="0" w:noHBand="0" w:noVBand="1" w:val="04A0"/>
      </w:tblPr>
      <w:tblGrid>
        <w:gridCol w:w="4824"/>
        <w:gridCol w:w="4824"/>
      </w:tblGrid>
      <w:tr>
        <w:tc>
          <w:tcPr>
            <w:tcW w:type="dxa" w:w="4824"/>
            <w:shd w:fill="EBF0F8"/>
            <w:tcMar>
              <w:top w:w="70" w:type="dxa"/>
              <w:bottom w:w="70" w:type="dxa"/>
              <w:left w:w="100" w:type="dxa"/>
              <w:right w:w="100" w:type="dxa"/>
            </w:tcMar>
          </w:tcPr>
          <w:p>
            <w:pPr>
              <w:spacing w:before="20" w:after="20"/>
            </w:pPr>
            <w:r>
              <w:rPr>
                <w:rFonts w:ascii="Arial" w:hAnsi="Arial"/>
                <w:b/>
                <w:color w:val="0F2043"/>
                <w:sz w:val="18"/>
              </w:rPr>
              <w:t>A. Situs of Statutory Construction</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Supreme Court of the Philippines, exercising its constitutional judicial power under Article VIII of the Constitution, serves as the ultimate situs and final arbiter for interpreting and construing the disputed provision.</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B. Purpose of Statutory Construction</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purpose of construction is to discover and effectuate the true legislative intent and will of the lawmaking body, preventing injustice and ensuring the statute operates harmoniously.</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C. When to Construe</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Court reaffirmed the cardinal threshold rule: Construction and interpretation are proper only where the statute is ambiguous, doubtful, or susceptible of multiple meanings. Where the law is clear, no construction is warranted.</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D. Ambiguity or Vagueness</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781E1E"/>
                <w:sz w:val="17"/>
              </w:rPr>
              <w:t xml:space="preserve"> [NOT APPLICABLE] </w:t>
            </w:r>
            <w:r>
              <w:rPr>
                <w:rFonts w:ascii="Calibri" w:hAnsi="Calibri"/>
                <w:color w:val="212529"/>
                <w:sz w:val="18"/>
              </w:rPr>
              <w:t>Not Applicable. The statutory language was clear and unambiguous; the Court declined to find ambiguity where none existed in the text.</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E. Verba Legis Non Est Recedendum</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Court adhered strictly to the literal wording of the statute, holding that from the words of a statute there should be no departure.</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F. Absoluta Sententia Expositore Non Indigent</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Court held that when the language of the law is clear and unequivocal, it requires no interpreter and leaves no room for judicial construction.</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G. Legislative Intent</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Court analyzed the true intent and policy of the lawmaking authority, ensuring that the statutory purpose is preserved and not defeated by erroneous administrative or private interpretations.</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H. Strict or Liberal Construction</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781E1E"/>
                <w:sz w:val="17"/>
              </w:rPr>
              <w:t xml:space="preserve"> [NOT APPLICABLE] </w:t>
            </w:r>
            <w:r>
              <w:rPr>
                <w:rFonts w:ascii="Calibri" w:hAnsi="Calibri"/>
                <w:color w:val="212529"/>
                <w:sz w:val="18"/>
              </w:rPr>
              <w:t>Not Applicable. The Court applied standard ordinary rules of statutory interpretation without resorting to special strict or liberal construction doctrines.</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I. Prospective or Retrospective Construction</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781E1E"/>
                <w:sz w:val="17"/>
              </w:rPr>
              <w:t xml:space="preserve"> [NOT APPLICABLE] </w:t>
            </w:r>
            <w:r>
              <w:rPr>
                <w:rFonts w:ascii="Calibri" w:hAnsi="Calibri"/>
                <w:color w:val="212529"/>
                <w:sz w:val="18"/>
              </w:rPr>
              <w:t>Not Applicable. The case involved only the contemporaneous, prospective application of the governing law.</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J. Statutory Construction vs. Judicial Legislation</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Court underscored the constitutional boundary of judicial power: Courts are empowered solely to interpret (jus dicere), not to enact or amend laws (jus dare). Supplying unwritten terms or expanding clear prohibitions constitutes prohibited judicial legislation.</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K. Legis Interpretatio Legis Vim Obtinet</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Under Article 8 of the Civil Code, the Supreme Court's authoritative interpretation of the statute forms part of the legal system of the Philippines and acquires the force of law (*legis interpretatio legis vim obtinet*).</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L. Extent and Limits of the Power to Construe</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Court respected the constitutional limits of its authority by applying the law as written and refusing to invade the legislative domain under the guise of equity or expediency.</w:t>
            </w:r>
          </w:p>
        </w:tc>
      </w:tr>
    </w:tbl>
    <w:p>
      <w:pPr>
        <w:keepNext/>
        <w:spacing w:before="240" w:after="60"/>
      </w:pPr>
      <w:r>
        <w:rPr>
          <w:rFonts w:ascii="Arial" w:hAnsi="Arial"/>
          <w:b/>
          <w:color w:val="0F2043"/>
          <w:sz w:val="21"/>
        </w:rPr>
        <w:t>VIII. OTHER CANONS OR METHODS OF CONSTRUCTION</w:t>
      </w:r>
    </w:p>
    <w:tbl>
      <w:tblPr>
        <w:tblW w:type="auto" w:w="0"/>
        <w:jc w:val="center"/>
        <w:tblLook w:firstColumn="1" w:firstRow="1" w:lastColumn="0" w:lastRow="0" w:noHBand="0" w:noVBand="1" w:val="04A0"/>
      </w:tblPr>
      <w:tblGrid>
        <w:gridCol w:w="9648"/>
      </w:tblGrid>
      <w:tr>
        <w:tc>
          <w:tcPr>
            <w:tcW w:type="dxa" w:w="9648"/>
            <w:shd w:fill="F8F9FB"/>
            <w:tcMar>
              <w:top w:w="100" w:type="dxa"/>
              <w:bottom w:w="100" w:type="dxa"/>
              <w:left w:w="160" w:type="dxa"/>
              <w:right w:w="160" w:type="dxa"/>
            </w:tcMar>
          </w:tcPr>
          <w:p>
            <w:pPr>
              <w:spacing w:before="20" w:after="40"/>
            </w:pPr>
            <w:r>
              <w:rPr>
                <w:rFonts w:ascii="Arial" w:hAnsi="Arial"/>
                <w:b/>
                <w:color w:val="0F2043"/>
                <w:sz w:val="19"/>
              </w:rPr>
              <w:t>Secondary Rules &amp; Canons Applied</w:t>
              <w:br/>
            </w:r>
          </w:p>
          <w:p>
            <w:pPr>
              <w:spacing w:before="20" w:after="40" w:line="276" w:lineRule="auto"/>
            </w:pPr>
            <w:r>
              <w:rPr>
                <w:rFonts w:ascii="Calibri" w:hAnsi="Calibri"/>
                <w:b/>
                <w:color w:val="212529"/>
                <w:sz w:val="19"/>
              </w:rPr>
              <w:t xml:space="preserve">• Canon / Maxim: </w:t>
            </w:r>
            <w:r>
              <w:rPr>
                <w:rFonts w:ascii="Calibri" w:hAnsi="Calibri"/>
                <w:color w:val="212529"/>
                <w:sz w:val="19"/>
              </w:rPr>
              <w:t>• Ex antecedentibus et consequentibus fit optima interpretatio (best interpretation from the whole context)</w:t>
              <w:br/>
              <w:t>• Verba legis non est recedendum (from statutory words no departure)</w:t>
            </w:r>
          </w:p>
          <w:p>
            <w:pPr>
              <w:spacing w:before="20" w:after="40" w:line="276" w:lineRule="auto"/>
            </w:pPr>
            <w:r>
              <w:rPr>
                <w:rFonts w:ascii="Calibri" w:hAnsi="Calibri"/>
                <w:b/>
                <w:color w:val="212529"/>
                <w:sz w:val="19"/>
              </w:rPr>
              <w:t xml:space="preserve">• How Applied: </w:t>
            </w:r>
            <w:r>
              <w:rPr>
                <w:rFonts w:ascii="Calibri" w:hAnsi="Calibri"/>
                <w:color w:val="212529"/>
                <w:sz w:val="19"/>
              </w:rPr>
              <w:t>Applied as corroborative canons to reinforce the primary rule of construction.</w:t>
            </w:r>
          </w:p>
          <w:p>
            <w:pPr>
              <w:spacing w:before="20" w:after="40" w:line="276" w:lineRule="auto"/>
            </w:pPr>
            <w:r>
              <w:rPr>
                <w:rFonts w:ascii="Calibri" w:hAnsi="Calibri"/>
                <w:b/>
                <w:color w:val="212529"/>
                <w:sz w:val="19"/>
              </w:rPr>
              <w:t xml:space="preserve">• Effect on Interpretation: </w:t>
            </w:r>
            <w:r>
              <w:rPr>
                <w:rFonts w:ascii="Calibri" w:hAnsi="Calibri"/>
                <w:color w:val="212529"/>
                <w:sz w:val="19"/>
              </w:rPr>
              <w:t>Harmonized the statute and prevented an absurd or unjust result.</w:t>
            </w:r>
          </w:p>
        </w:tc>
      </w:tr>
    </w:tbl>
    <w:p>
      <w:pPr>
        <w:keepNext/>
        <w:spacing w:before="240" w:after="60"/>
      </w:pPr>
      <w:r>
        <w:rPr>
          <w:rFonts w:ascii="Arial" w:hAnsi="Arial"/>
          <w:b/>
          <w:color w:val="0F2043"/>
          <w:sz w:val="21"/>
        </w:rPr>
        <w:t>IX. THE CONSTRUCTION MADE BY THE COURT</w:t>
      </w:r>
    </w:p>
    <w:tbl>
      <w:tblPr>
        <w:tblW w:type="auto" w:w="0"/>
        <w:jc w:val="center"/>
        <w:tblLook w:firstColumn="1" w:firstRow="1" w:lastColumn="0" w:lastRow="0" w:noHBand="0" w:noVBand="1" w:val="04A0"/>
      </w:tblPr>
      <w:tblGrid>
        <w:gridCol w:w="9648"/>
      </w:tblGrid>
      <w:tr>
        <w:tc>
          <w:tcPr>
            <w:tcW w:type="dxa" w:w="9648"/>
            <w:shd w:fill="F9F8F5"/>
            <w:tcMar>
              <w:top w:w="100" w:type="dxa"/>
              <w:bottom w:w="100" w:type="dxa"/>
              <w:left w:w="160" w:type="dxa"/>
              <w:right w:w="160" w:type="dxa"/>
            </w:tcMar>
          </w:tcPr>
          <w:p>
            <w:pPr>
              <w:spacing w:before="20" w:after="40"/>
            </w:pPr>
            <w:r>
              <w:rPr>
                <w:rFonts w:ascii="Arial" w:hAnsi="Arial"/>
                <w:b/>
                <w:color w:val="0F2043"/>
                <w:sz w:val="19"/>
              </w:rPr>
              <w:t>Actual Judicial Construction &amp; Ratio</w:t>
              <w:br/>
            </w:r>
          </w:p>
          <w:p>
            <w:pPr>
              <w:spacing w:before="20" w:after="40" w:line="276" w:lineRule="auto"/>
            </w:pPr>
            <w:r>
              <w:rPr>
                <w:rFonts w:ascii="Calibri" w:hAnsi="Calibri"/>
                <w:b/>
                <w:color w:val="212529"/>
                <w:sz w:val="19"/>
              </w:rPr>
              <w:t xml:space="preserve">• Construction Summary: </w:t>
            </w:r>
            <w:r>
              <w:rPr>
                <w:rFonts w:ascii="Calibri" w:hAnsi="Calibri"/>
                <w:color w:val="212529"/>
                <w:sz w:val="19"/>
              </w:rPr>
              <w:t>The Court construed the disputed statutory provisions in People of the Philippines v. The Honorable Sandiganbayan (Fourth Division) and Ceferino S. Paredes, Jr. to mean and apply strictly in accordance with Ut res magis valeat quam pereat, holding that No. Under procedural law, a lesser offense must be a smaller piece already contained inside the bigger crime charged. Because the Public Land Act has completely.</w:t>
            </w:r>
          </w:p>
          <w:p>
            <w:pPr>
              <w:spacing w:before="20" w:after="40" w:line="276" w:lineRule="auto"/>
            </w:pPr>
            <w:r>
              <w:rPr>
                <w:rFonts w:ascii="Calibri" w:hAnsi="Calibri"/>
                <w:b/>
                <w:color w:val="212529"/>
                <w:sz w:val="19"/>
              </w:rPr>
              <w:t xml:space="preserve">• Principal Reasoning: </w:t>
            </w:r>
            <w:r>
              <w:rPr>
                <w:rFonts w:ascii="Calibri" w:hAnsi="Calibri"/>
                <w:color w:val="212529"/>
                <w:sz w:val="19"/>
              </w:rPr>
              <w:t>The Court explained that a lesser crime must fit inside the bigger crime like a Russian nesting doll. If the lesser crime contains foreign elements that were never alleged in the information, the court cannot accept the plea. Rules must be enforced as a coherent whole.</w:t>
            </w:r>
          </w:p>
        </w:tc>
      </w:tr>
    </w:tbl>
    <w:tbl>
      <w:tblPr>
        <w:tblW w:type="auto" w:w="0"/>
        <w:jc w:val="center"/>
        <w:tblLook w:firstColumn="1" w:firstRow="1" w:lastColumn="0" w:lastRow="0" w:noHBand="0" w:noVBand="1" w:val="04A0"/>
      </w:tblPr>
      <w:tblGrid>
        <w:gridCol w:w="9648"/>
      </w:tblGrid>
      <w:tr>
        <w:tc>
          <w:tcPr>
            <w:tcW w:type="dxa" w:w="9648"/>
            <w:shd w:fill="EEF6F0"/>
            <w:tcMar>
              <w:top w:w="100" w:type="dxa"/>
              <w:bottom w:w="100" w:type="dxa"/>
              <w:left w:w="160" w:type="dxa"/>
              <w:right w:w="160" w:type="dxa"/>
            </w:tcMar>
          </w:tcPr>
          <w:p>
            <w:pPr>
              <w:spacing w:before="20" w:after="40"/>
            </w:pPr>
            <w:r>
              <w:rPr>
                <w:rFonts w:ascii="Arial" w:hAnsi="Arial"/>
                <w:b/>
                <w:color w:val="0D6E4B"/>
                <w:sz w:val="19"/>
              </w:rPr>
              <w:t>X. STATUTORY CONSTRUCTION OR JUDICIAL LEGISLATION?</w:t>
              <w:br/>
            </w:r>
          </w:p>
          <w:p>
            <w:pPr>
              <w:spacing w:before="20" w:after="60"/>
            </w:pPr>
            <w:r>
              <w:rPr>
                <w:rFonts w:ascii="Arial" w:hAnsi="Arial"/>
                <w:b/>
                <w:color w:val="0F2043"/>
                <w:sz w:val="19"/>
              </w:rPr>
              <w:t>☑ Proper statutory construction    ☐ Judicial legislation    ☐ Debatable</w:t>
            </w:r>
          </w:p>
          <w:p>
            <w:pPr>
              <w:spacing w:before="40" w:after="40" w:line="276" w:lineRule="auto"/>
            </w:pPr>
            <w:r>
              <w:rPr>
                <w:rFonts w:ascii="Calibri" w:hAnsi="Calibri"/>
                <w:b/>
                <w:color w:val="212529"/>
                <w:sz w:val="19"/>
              </w:rPr>
              <w:t>Explanation (3–5 sentences):</w:t>
              <w:br/>
            </w:r>
            <w:r>
              <w:rPr>
                <w:rFonts w:ascii="Calibri" w:hAnsi="Calibri"/>
                <w:color w:val="212529"/>
                <w:sz w:val="19"/>
              </w:rPr>
              <w:t>The Supreme Court acted within the legitimate bounds of its constitutional power to interpret the law (jus dicere). By applying Ut res magis valeat quam pereat, the Court faithfully effectuated the legislative intent without creating new rules, modifying clear statutory text, or usurping congressional prerogative. The ruling reinforces the separation of powers and the doctrine that courts must enforce the law as enacted.</w:t>
            </w:r>
          </w:p>
        </w:tc>
      </w:tr>
    </w:tbl>
    <w:p>
      <w:pPr>
        <w:spacing w:before="80" w:after="40"/>
      </w:pPr>
    </w:p>
    <w:tbl>
      <w:tblPr>
        <w:tblW w:type="auto" w:w="0"/>
        <w:jc w:val="center"/>
        <w:tblLook w:firstColumn="1" w:firstRow="1" w:lastColumn="0" w:lastRow="0" w:noHBand="0" w:noVBand="1" w:val="04A0"/>
      </w:tblPr>
      <w:tblGrid>
        <w:gridCol w:w="9648"/>
      </w:tblGrid>
      <w:tr>
        <w:tc>
          <w:tcPr>
            <w:tcW w:type="dxa" w:w="9648"/>
            <w:shd w:fill="FBF6EE"/>
            <w:tcMar>
              <w:top w:w="100" w:type="dxa"/>
              <w:bottom w:w="100" w:type="dxa"/>
              <w:left w:w="160" w:type="dxa"/>
              <w:right w:w="160" w:type="dxa"/>
            </w:tcMar>
          </w:tcPr>
          <w:p>
            <w:pPr>
              <w:spacing w:before="20" w:after="40"/>
            </w:pPr>
            <w:r>
              <w:rPr>
                <w:rFonts w:ascii="Arial" w:hAnsi="Arial"/>
                <w:b/>
                <w:color w:val="8C3200"/>
                <w:sz w:val="19"/>
              </w:rPr>
              <w:t>XI. DOCTRINE (Statutory Construction Principle):</w:t>
              <w:br/>
            </w:r>
            <w:r>
              <w:rPr>
                <w:rFonts w:ascii="Calibri" w:hAnsi="Calibri"/>
                <w:color w:val="212529"/>
                <w:sz w:val="19"/>
              </w:rPr>
              <w:t>Holistic Construction of Procedural Codes: Every part of a statute or procedural rule must be construed in connection with every other part to create a consistent, unbroken system of law.</w:t>
              <w:br/>
              <w:br/>
            </w:r>
          </w:p>
          <w:p>
            <w:pPr>
              <w:spacing w:before="20" w:after="40"/>
            </w:pPr>
            <w:r>
              <w:rPr>
                <w:rFonts w:ascii="Arial" w:hAnsi="Arial"/>
                <w:b/>
                <w:color w:val="8C3200"/>
                <w:sz w:val="19"/>
              </w:rPr>
              <w:t>XII. ONE-SENTENCE TAKEAWAY:</w:t>
              <w:br/>
            </w:r>
            <w:r>
              <w:rPr>
                <w:rFonts w:ascii="Calibri" w:hAnsi="Calibri"/>
                <w:i/>
                <w:color w:val="212529"/>
                <w:sz w:val="19"/>
              </w:rPr>
              <w:t>This case is important in Statutory Construction because Rules and laws cannot be chopped up into pieces; every sentence must be read alongside the rest of the rule so it works properly.</w:t>
            </w:r>
          </w:p>
        </w:tc>
      </w:tr>
    </w:tbl>
    <w:p>
      <w:r>
        <w:br w:type="page"/>
      </w:r>
    </w:p>
    <w:p>
      <w:pPr>
        <w:keepNext/>
        <w:spacing w:before="320" w:after="80"/>
      </w:pPr>
      <w:r>
        <w:rPr>
          <w:rFonts w:ascii="Arial" w:hAnsi="Arial"/>
          <w:b/>
          <w:color w:val="0F2043"/>
          <w:sz w:val="26"/>
        </w:rPr>
        <w:t>34. PELIZLOY REALTY CORPORATION V. THE PROVINCE OF BENGUET</w:t>
      </w:r>
    </w:p>
    <w:p>
      <w:pPr>
        <w:spacing w:before="40" w:after="80" w:line="276" w:lineRule="auto"/>
      </w:pPr>
      <w:r>
        <w:rPr>
          <w:rFonts w:ascii="Calibri" w:hAnsi="Calibri"/>
          <w:b/>
          <w:color w:val="212529"/>
          <w:sz w:val="21"/>
        </w:rPr>
        <w:t xml:space="preserve">Citation: </w:t>
      </w:r>
      <w:r>
        <w:rPr>
          <w:rFonts w:ascii="Calibri" w:hAnsi="Calibri"/>
          <w:i/>
          <w:color w:val="212529"/>
          <w:sz w:val="21"/>
        </w:rPr>
        <w:t>G.R. No. 183137 | April 10, 2013 | 695 SCRA 491 | First Division | Ponente: J. Bersamin</w:t>
      </w:r>
    </w:p>
    <w:p>
      <w:pPr>
        <w:keepNext/>
        <w:spacing w:before="200" w:after="40"/>
      </w:pPr>
      <w:r>
        <w:rPr>
          <w:rFonts w:ascii="Arial" w:hAnsi="Arial"/>
          <w:b/>
          <w:color w:val="781E1E"/>
          <w:sz w:val="22"/>
        </w:rPr>
        <w:t>LAYER A: ALAC DIGEST, RECITATION SCRIPT &amp; STATCON ANALYSIS</w:t>
      </w:r>
    </w:p>
    <w:p>
      <w:pPr>
        <w:keepNext/>
        <w:spacing w:before="200" w:after="40"/>
      </w:pPr>
      <w:r>
        <w:rPr>
          <w:rFonts w:ascii="Arial" w:hAnsi="Arial"/>
          <w:b/>
          <w:color w:val="781E1E"/>
          <w:sz w:val="22"/>
        </w:rPr>
        <w:t>I. PARTIES &amp; PROCEDURAL BACKGROUND</w:t>
      </w:r>
    </w:p>
    <w:p>
      <w:pPr>
        <w:spacing w:before="40" w:after="80" w:line="276" w:lineRule="auto"/>
      </w:pPr>
      <w:r>
        <w:rPr>
          <w:rFonts w:ascii="Calibri" w:hAnsi="Calibri"/>
          <w:b/>
          <w:color w:val="212529"/>
          <w:sz w:val="21"/>
        </w:rPr>
        <w:t xml:space="preserve">• Plaintiff/Petitioner: </w:t>
      </w:r>
      <w:r>
        <w:rPr>
          <w:rFonts w:ascii="Calibri" w:hAnsi="Calibri"/>
          <w:i w:val="0"/>
          <w:color w:val="212529"/>
          <w:sz w:val="21"/>
        </w:rPr>
        <w:t>Pelizloy Realty Corporation (Petitioner)</w:t>
      </w:r>
    </w:p>
    <w:p>
      <w:pPr>
        <w:spacing w:before="40" w:after="80" w:line="276" w:lineRule="auto"/>
      </w:pPr>
      <w:r>
        <w:rPr>
          <w:rFonts w:ascii="Calibri" w:hAnsi="Calibri"/>
          <w:b/>
          <w:color w:val="212529"/>
          <w:sz w:val="21"/>
        </w:rPr>
        <w:t xml:space="preserve">• Defendant/Respondent: </w:t>
      </w:r>
      <w:r>
        <w:rPr>
          <w:rFonts w:ascii="Calibri" w:hAnsi="Calibri"/>
          <w:i w:val="0"/>
          <w:color w:val="212529"/>
          <w:sz w:val="21"/>
        </w:rPr>
        <w:t>The Province of Benguet (Respondent)</w:t>
      </w:r>
    </w:p>
    <w:p>
      <w:pPr>
        <w:spacing w:before="40" w:after="80" w:line="276" w:lineRule="auto"/>
      </w:pPr>
      <w:r>
        <w:rPr>
          <w:rFonts w:ascii="Calibri" w:hAnsi="Calibri"/>
          <w:b/>
          <w:color w:val="212529"/>
          <w:sz w:val="21"/>
        </w:rPr>
        <w:t xml:space="preserve">• Originating Court: </w:t>
      </w:r>
      <w:r>
        <w:rPr>
          <w:rFonts w:ascii="Calibri" w:hAnsi="Calibri"/>
          <w:i w:val="0"/>
          <w:color w:val="212529"/>
          <w:sz w:val="21"/>
        </w:rPr>
        <w:t>Regional Trial Court of La Trinidad, Benguet (Branch 63)</w:t>
      </w:r>
    </w:p>
    <w:p>
      <w:pPr>
        <w:spacing w:before="40" w:after="80" w:line="276" w:lineRule="auto"/>
      </w:pPr>
      <w:r>
        <w:rPr>
          <w:rFonts w:ascii="Calibri" w:hAnsi="Calibri"/>
          <w:b/>
          <w:color w:val="212529"/>
          <w:sz w:val="21"/>
        </w:rPr>
        <w:t xml:space="preserve">• Nature of the Action: </w:t>
      </w:r>
      <w:r>
        <w:rPr>
          <w:rFonts w:ascii="Calibri" w:hAnsi="Calibri"/>
          <w:i w:val="0"/>
          <w:color w:val="212529"/>
          <w:sz w:val="21"/>
        </w:rPr>
        <w:t>Petition for Review on Certiorari under Rule 45 assailing the validity of Benguet Provincial Tax Ordinance No. 05-85 imposing amusement taxes on resorts and swimming pools.</w:t>
      </w:r>
    </w:p>
    <w:p>
      <w:pPr>
        <w:keepNext/>
        <w:spacing w:before="200" w:after="40"/>
      </w:pPr>
      <w:r>
        <w:rPr>
          <w:rFonts w:ascii="Arial" w:hAnsi="Arial"/>
          <w:b/>
          <w:color w:val="781E1E"/>
          <w:sz w:val="22"/>
        </w:rPr>
        <w:t>II. WHOLE FACTS</w:t>
      </w:r>
    </w:p>
    <w:p>
      <w:pPr>
        <w:spacing w:before="40" w:after="80" w:line="276" w:lineRule="auto"/>
      </w:pPr>
      <w:r>
        <w:rPr>
          <w:rFonts w:ascii="Calibri" w:hAnsi="Calibri"/>
          <w:i w:val="0"/>
          <w:color w:val="212529"/>
          <w:sz w:val="21"/>
        </w:rPr>
        <w:t>Pelizloy Realty Corporation owns Palm Grove Resort in Tuba, Benguet, which features swimming pools and recreational facilities. The Province of Benguet enacted Provincial Tax Ordinance No. 05-85, Section 59 of which levied a 10% amusement tax on gross receipts of resorts, swimming pools, bath houses, and other tourist establishments. Pelizloy challenged the ordinance, arguing that under Section 140 of the Local Government Code (LGC), provinces can levy amusement taxes ONLY on theaters, cinemas, concert halls, circuses, and other places of amusement where one enters primarily to VIEW a dramatic or musical exhibition, invoking Ejusdem Generis.</w:t>
      </w:r>
    </w:p>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SUMMARY OF FACTS</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The Province of Benguet passed a tax ordinance making resorts, swimming pools, and bath houses pay a 10% amusement tax. A resort owner objected, arguing that under the Local Government Code, amusement taxes can only be placed on show-business venues like movie theaters, cinemas, concert halls, and circuses. The Supreme Court ruled in favor of the resort, applying Ejusdem Generis: swimming pools and resorts are places for physical exercise and recreation, not places where you sit and watch theatrical shows.</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When reciting the facts, state the core dispute in 2 sentences, then state how the case reached the Supreme Court.</w:t>
            </w:r>
          </w:p>
        </w:tc>
      </w:tr>
    </w:tbl>
    <w:p>
      <w:pPr>
        <w:keepNext/>
        <w:spacing w:before="200" w:after="40"/>
      </w:pPr>
      <w:r>
        <w:rPr>
          <w:rFonts w:ascii="Arial" w:hAnsi="Arial"/>
          <w:b/>
          <w:color w:val="781E1E"/>
          <w:sz w:val="22"/>
        </w:rPr>
        <w:t>III. THE LEGAL ISSUE</w:t>
      </w:r>
    </w:p>
    <w:p>
      <w:pPr>
        <w:spacing w:before="40" w:after="80" w:line="276" w:lineRule="auto"/>
      </w:pPr>
      <w:r>
        <w:rPr>
          <w:rFonts w:ascii="Calibri" w:hAnsi="Calibri"/>
          <w:i w:val="0"/>
          <w:color w:val="212529"/>
          <w:sz w:val="21"/>
        </w:rPr>
        <w:t>Whether or not provinces have the statutory authority under Section 140 of the Local Government Code to impose amusement taxes on resorts, swimming pools, and bath houses.</w:t>
      </w:r>
    </w:p>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THE LEGAL ISSUE</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Can a province collect amusement tax from resorts and swimming pools when the Local Government Code only authorizes amusement tax on theaters, cinemas, and concert halls?</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"Sir/Ma'am, the issue is whether Section 140 of the Local Government Code authorizes an amusement tax on resorts and swimming pools, testing the canon of Ejusdem Generis (of the same kind) and strict construction of local taxing powers."</w:t>
            </w:r>
          </w:p>
        </w:tc>
      </w:tr>
    </w:tbl>
    <w:p>
      <w:pPr>
        <w:keepNext/>
        <w:spacing w:before="200" w:after="40"/>
      </w:pPr>
      <w:r>
        <w:rPr>
          <w:rFonts w:ascii="Arial" w:hAnsi="Arial"/>
          <w:b/>
          <w:color w:val="781E1E"/>
          <w:sz w:val="22"/>
        </w:rPr>
        <w:t>IV. ALAC DIGEST</w:t>
      </w:r>
    </w:p>
    <w:tbl>
      <w:tblPr>
        <w:tblW w:type="auto" w:w="0"/>
        <w:jc w:val="center"/>
        <w:tblLook w:firstColumn="1" w:firstRow="1" w:lastColumn="0" w:lastRow="0" w:noHBand="0" w:noVBand="1" w:val="04A0"/>
      </w:tblPr>
      <w:tblGrid>
        <w:gridCol w:w="9648"/>
      </w:tblGrid>
      <w:tr>
        <w:tc>
          <w:tcPr>
            <w:tcW w:type="dxa" w:w="9648"/>
            <w:shd w:fill="F4F6F9"/>
            <w:tcMar>
              <w:top w:w="120" w:type="dxa"/>
              <w:bottom w:w="120" w:type="dxa"/>
              <w:left w:w="180" w:type="dxa"/>
              <w:right w:w="180" w:type="dxa"/>
            </w:tcMar>
          </w:tcPr>
          <w:p>
            <w:pPr>
              <w:spacing w:before="40" w:after="60"/>
            </w:pPr>
            <w:r>
              <w:rPr>
                <w:rFonts w:ascii="Arial" w:hAnsi="Arial"/>
                <w:b/>
                <w:color w:val="0F2043"/>
                <w:sz w:val="21"/>
              </w:rPr>
              <w:t>[A] ANSWER</w:t>
              <w:br/>
            </w:r>
          </w:p>
          <w:p>
            <w:pPr>
              <w:spacing w:before="20" w:after="40" w:line="276" w:lineRule="auto"/>
            </w:pPr>
            <w:r>
              <w:rPr>
                <w:rFonts w:ascii="Calibri" w:hAnsi="Calibri"/>
                <w:color w:val="212529"/>
                <w:sz w:val="20"/>
              </w:rPr>
              <w:t>NO. Section 140 of the Local Government Code does NOT authorize provinces to tax resorts and swimming pools. Under the rule of Ejusdem Generis, the general term 'other places of amusement' is restricted to venues of the same kind as theaters, cinemas, concert halls, and circuses.</w:t>
            </w:r>
          </w:p>
        </w:tc>
      </w:tr>
    </w:tbl>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THE ANSWER</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No. Under Ejusdem Generis, when a law gives a specific list (theaters, cinemas, concert halls) followed by general words ('other places of amusement'), the general words only include things of the exact same kind—namely, places where you watch performances, not places where you swim.</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"No, Sir/Ma'am. Applying Ejusdem Generis (of the same kind), the Supreme Court held that the phrase 'other places of amusement' in Section 140 of the LGC is confined to venues for viewing theatrical or artistic performances. Resorts and swimming pools involve active physical recreation and cannot be taxed under Section 140."</w:t>
            </w:r>
          </w:p>
        </w:tc>
      </w:tr>
    </w:tbl>
    <w:tbl>
      <w:tblPr>
        <w:tblW w:type="auto" w:w="0"/>
        <w:jc w:val="center"/>
        <w:tblLook w:firstColumn="1" w:firstRow="1" w:lastColumn="0" w:lastRow="0" w:noHBand="0" w:noVBand="1" w:val="04A0"/>
      </w:tblPr>
      <w:tblGrid>
        <w:gridCol w:w="9648"/>
      </w:tblGrid>
      <w:tr>
        <w:tc>
          <w:tcPr>
            <w:tcW w:type="dxa" w:w="9648"/>
            <w:shd w:fill="F4F6F9"/>
            <w:tcMar>
              <w:top w:w="120" w:type="dxa"/>
              <w:bottom w:w="120" w:type="dxa"/>
              <w:left w:w="180" w:type="dxa"/>
              <w:right w:w="180" w:type="dxa"/>
            </w:tcMar>
          </w:tcPr>
          <w:p>
            <w:pPr>
              <w:spacing w:before="40" w:after="60"/>
            </w:pPr>
            <w:r>
              <w:rPr>
                <w:rFonts w:ascii="Arial" w:hAnsi="Arial"/>
                <w:b/>
                <w:color w:val="0F2043"/>
                <w:sz w:val="21"/>
              </w:rPr>
              <w:t>[L] LEGAL BASIS</w:t>
              <w:br/>
            </w:r>
          </w:p>
          <w:p>
            <w:pPr>
              <w:spacing w:before="20" w:after="40" w:line="276" w:lineRule="auto"/>
            </w:pPr>
            <w:r>
              <w:rPr>
                <w:rFonts w:ascii="Calibri" w:hAnsi="Calibri"/>
                <w:b/>
                <w:color w:val="212529"/>
                <w:sz w:val="20"/>
              </w:rPr>
              <w:t xml:space="preserve">1. Section 140, Republic Act No. 7160 (Local Government Code of 1991): </w:t>
            </w:r>
            <w:r>
              <w:rPr>
                <w:rFonts w:ascii="Calibri" w:hAnsi="Calibri"/>
                <w:color w:val="212529"/>
                <w:sz w:val="20"/>
              </w:rPr>
              <w:t>Authorizes provinces to levy amusement taxes on 'theaters, cinemas, concert halls, circuses, boxing stadia, and other places of amusement'.</w:t>
            </w:r>
          </w:p>
          <w:p>
            <w:pPr>
              <w:spacing w:before="20" w:after="40" w:line="276" w:lineRule="auto"/>
            </w:pPr>
            <w:r>
              <w:rPr>
                <w:rFonts w:ascii="Calibri" w:hAnsi="Calibri"/>
                <w:b/>
                <w:color w:val="212529"/>
                <w:sz w:val="20"/>
              </w:rPr>
              <w:t xml:space="preserve">2. Ejusdem Generis (of the same kind or class): </w:t>
            </w:r>
            <w:r>
              <w:rPr>
                <w:rFonts w:ascii="Calibri" w:hAnsi="Calibri"/>
                <w:color w:val="212529"/>
                <w:sz w:val="20"/>
              </w:rPr>
              <w:t>Where general words follow an enumeration of specific classes of persons or things, the general words are construed as applying only to things of the same general class.</w:t>
            </w:r>
          </w:p>
          <w:p>
            <w:pPr>
              <w:spacing w:before="20" w:after="40" w:line="276" w:lineRule="auto"/>
            </w:pPr>
            <w:r>
              <w:rPr>
                <w:rFonts w:ascii="Calibri" w:hAnsi="Calibri"/>
                <w:b/>
                <w:color w:val="212529"/>
                <w:sz w:val="20"/>
              </w:rPr>
              <w:t xml:space="preserve">3. Strict Construction of Taxing Grants: </w:t>
            </w:r>
            <w:r>
              <w:rPr>
                <w:rFonts w:ascii="Calibri" w:hAnsi="Calibri"/>
                <w:color w:val="212529"/>
                <w:sz w:val="20"/>
              </w:rPr>
              <w:t>Delegated taxing powers to local government units are strictly construed against the local government and liberally in favor of the taxpayer.</w:t>
            </w:r>
          </w:p>
        </w:tc>
      </w:tr>
    </w:tbl>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LEGAL BASIS</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Section 140 LGC, Ejusdem Generis, and strict construction of delegated taxing powers.</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"Sir/Ma'am, the legal basis is Section 140 of RA 7160 (LGC), governed by Ejusdem generis (of the same kind or nature) and strictissimi juris in local taxation."</w:t>
            </w:r>
          </w:p>
        </w:tc>
      </w:tr>
    </w:tbl>
    <w:tbl>
      <w:tblPr>
        <w:tblW w:type="auto" w:w="0"/>
        <w:jc w:val="center"/>
        <w:tblLook w:firstColumn="1" w:firstRow="1" w:lastColumn="0" w:lastRow="0" w:noHBand="0" w:noVBand="1" w:val="04A0"/>
      </w:tblPr>
      <w:tblGrid>
        <w:gridCol w:w="9648"/>
      </w:tblGrid>
      <w:tr>
        <w:tc>
          <w:tcPr>
            <w:tcW w:type="dxa" w:w="9648"/>
            <w:shd w:fill="F4F6F9"/>
            <w:tcMar>
              <w:top w:w="120" w:type="dxa"/>
              <w:bottom w:w="120" w:type="dxa"/>
              <w:left w:w="180" w:type="dxa"/>
              <w:right w:w="180" w:type="dxa"/>
            </w:tcMar>
          </w:tcPr>
          <w:p>
            <w:pPr>
              <w:spacing w:before="40" w:after="60"/>
            </w:pPr>
            <w:r>
              <w:rPr>
                <w:rFonts w:ascii="Arial" w:hAnsi="Arial"/>
                <w:b/>
                <w:color w:val="0F2043"/>
                <w:sz w:val="21"/>
              </w:rPr>
              <w:t>[A] ANALYSIS / APPLICATION</w:t>
              <w:br/>
            </w:r>
          </w:p>
          <w:p>
            <w:pPr>
              <w:spacing w:before="20" w:after="40" w:line="276" w:lineRule="auto"/>
            </w:pPr>
            <w:r>
              <w:rPr>
                <w:rFonts w:ascii="Calibri" w:hAnsi="Calibri"/>
                <w:b/>
                <w:color w:val="212529"/>
                <w:sz w:val="20"/>
              </w:rPr>
              <w:t xml:space="preserve">1. Application of Ejusdem Generis: </w:t>
            </w:r>
            <w:r>
              <w:rPr>
                <w:rFonts w:ascii="Calibri" w:hAnsi="Calibri"/>
                <w:color w:val="212529"/>
                <w:sz w:val="20"/>
              </w:rPr>
              <w:t>Section 140 explicitly enumerates theaters, cinemas, concert halls, circuses, and boxing stadia. The common, unifying characteristic is that they are venues for visual or performing entertainment.</w:t>
            </w:r>
          </w:p>
          <w:p>
            <w:pPr>
              <w:spacing w:before="20" w:after="40" w:line="276" w:lineRule="auto"/>
            </w:pPr>
            <w:r>
              <w:rPr>
                <w:rFonts w:ascii="Calibri" w:hAnsi="Calibri"/>
                <w:b/>
                <w:color w:val="212529"/>
                <w:sz w:val="20"/>
              </w:rPr>
              <w:t xml:space="preserve">2. Distinct Character of Resorts and Pools: </w:t>
            </w:r>
            <w:r>
              <w:rPr>
                <w:rFonts w:ascii="Calibri" w:hAnsi="Calibri"/>
                <w:color w:val="212529"/>
                <w:sz w:val="20"/>
              </w:rPr>
              <w:t>Resorts and swimming pools are venues for active recreation, rest, and sports, not spectator entertainment exhibitions.</w:t>
            </w:r>
          </w:p>
          <w:p>
            <w:pPr>
              <w:spacing w:before="20" w:after="40" w:line="276" w:lineRule="auto"/>
            </w:pPr>
            <w:r>
              <w:rPr>
                <w:rFonts w:ascii="Calibri" w:hAnsi="Calibri"/>
                <w:b/>
                <w:color w:val="212529"/>
                <w:sz w:val="20"/>
              </w:rPr>
              <w:t xml:space="preserve">3. Ultra Vires Local Legislation: </w:t>
            </w:r>
            <w:r>
              <w:rPr>
                <w:rFonts w:ascii="Calibri" w:hAnsi="Calibri"/>
                <w:color w:val="212529"/>
                <w:sz w:val="20"/>
              </w:rPr>
              <w:t>By including resorts and swimming pools in its tax ordinance, the Province of Benguet exceeded the statutory limits of Section 140 LGC, making that portion of the ordinance null and void.</w:t>
            </w:r>
          </w:p>
        </w:tc>
      </w:tr>
    </w:tbl>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ANALYSIS / APPLICATION</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The specific list in the law consists entirely of spectator venues where audiences sit down to watch a show. A swimming pool is a place where you put on swimwear and do exercise. Because swimming is completely different from watching a concert, Ejusdem Generis forbids the province from taxing pools under that section.</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"Sir/Ma'am, the Court applied Ejusdem Generis. The specific enumerations in Section 140 share the common feature of visual spectator entertainment. Applying Ejusdem Generis, 'other places of amusement' cannot be stretched to cover swimming pools and resorts, rendering the provincial tax ultra vires."</w:t>
            </w:r>
          </w:p>
        </w:tc>
      </w:tr>
    </w:tbl>
    <w:tbl>
      <w:tblPr>
        <w:tblW w:type="auto" w:w="0"/>
        <w:jc w:val="center"/>
        <w:tblLook w:firstColumn="1" w:firstRow="1" w:lastColumn="0" w:lastRow="0" w:noHBand="0" w:noVBand="1" w:val="04A0"/>
      </w:tblPr>
      <w:tblGrid>
        <w:gridCol w:w="9648"/>
      </w:tblGrid>
      <w:tr>
        <w:tc>
          <w:tcPr>
            <w:tcW w:type="dxa" w:w="9648"/>
            <w:shd w:fill="F4F6F9"/>
            <w:tcMar>
              <w:top w:w="120" w:type="dxa"/>
              <w:bottom w:w="120" w:type="dxa"/>
              <w:left w:w="180" w:type="dxa"/>
              <w:right w:w="180" w:type="dxa"/>
            </w:tcMar>
          </w:tcPr>
          <w:p>
            <w:pPr>
              <w:spacing w:before="40" w:after="60"/>
            </w:pPr>
            <w:r>
              <w:rPr>
                <w:rFonts w:ascii="Arial" w:hAnsi="Arial"/>
                <w:b/>
                <w:color w:val="0F2043"/>
                <w:sz w:val="21"/>
              </w:rPr>
              <w:t>[C] CONCLUSION</w:t>
              <w:br/>
            </w:r>
          </w:p>
          <w:p>
            <w:pPr>
              <w:spacing w:before="20" w:after="40" w:line="276" w:lineRule="auto"/>
            </w:pPr>
            <w:r>
              <w:rPr>
                <w:rFonts w:ascii="Calibri" w:hAnsi="Calibri"/>
                <w:color w:val="212529"/>
                <w:sz w:val="20"/>
              </w:rPr>
              <w:t>The Supreme Court GRANTED the petition, DECLARED Section 59 of Benguet Provincial Tax Ordinance No. 05-85 NULL AND VOID insofar as it levied amusement tax on resorts and swimming pools, and ORDERED the province to drop the assessments.</w:t>
            </w:r>
          </w:p>
        </w:tc>
      </w:tr>
    </w:tbl>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CONCLUSION</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The resort won; the swimming pool tax was declared illegal and cancelled.</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"The Supreme Court struck down the provincial amusement tax on resorts and pools under the doctrine of Ejusdem Generis."</w:t>
            </w:r>
          </w:p>
        </w:tc>
      </w:tr>
    </w:tbl>
    <w:p>
      <w:pPr>
        <w:keepNext/>
        <w:spacing w:before="200" w:after="40"/>
      </w:pPr>
      <w:r>
        <w:rPr>
          <w:rFonts w:ascii="Arial" w:hAnsi="Arial"/>
          <w:b/>
          <w:color w:val="781E1E"/>
          <w:sz w:val="22"/>
        </w:rPr>
        <w:t>V. RELATION TO STATUTORY CONSTRUCTION</w:t>
      </w:r>
    </w:p>
    <w:p>
      <w:pPr>
        <w:spacing w:before="40" w:after="80" w:line="276" w:lineRule="auto"/>
      </w:pPr>
      <w:r>
        <w:rPr>
          <w:rFonts w:ascii="Calibri" w:hAnsi="Calibri"/>
          <w:b/>
          <w:color w:val="212529"/>
          <w:sz w:val="21"/>
        </w:rPr>
        <w:t>• Syllabus Topic Alignment:</w:t>
        <w:br/>
      </w:r>
      <w:r>
        <w:rPr>
          <w:rFonts w:ascii="Calibri" w:hAnsi="Calibri"/>
          <w:i w:val="0"/>
          <w:color w:val="212529"/>
          <w:sz w:val="21"/>
        </w:rPr>
        <w:t>• Chapter III: Basic Guidelines in the Construction and Interpretation of Laws</w:t>
        <w:br/>
        <w:t xml:space="preserve">  - B. Considerations within the Statute: Ejusdem Generis (Of the Same Kind)</w:t>
      </w:r>
    </w:p>
    <w:tbl>
      <w:tblPr>
        <w:tblW w:type="auto" w:w="0"/>
        <w:jc w:val="center"/>
        <w:tblLook w:firstColumn="1" w:firstRow="1" w:lastColumn="0" w:lastRow="0" w:noHBand="0" w:noVBand="1" w:val="04A0"/>
      </w:tblPr>
      <w:tblGrid>
        <w:gridCol w:w="9648"/>
      </w:tblGrid>
      <w:tr>
        <w:tc>
          <w:tcPr>
            <w:tcW w:type="dxa" w:w="9648"/>
            <w:shd w:fill="FDF6EE"/>
            <w:tcMar>
              <w:top w:w="120" w:type="dxa"/>
              <w:bottom w:w="120" w:type="dxa"/>
              <w:left w:w="180" w:type="dxa"/>
              <w:right w:w="180" w:type="dxa"/>
            </w:tcMar>
          </w:tcPr>
          <w:p>
            <w:pPr>
              <w:spacing w:before="40" w:after="80"/>
            </w:pPr>
            <w:r>
              <w:rPr>
                <w:rFonts w:ascii="Arial" w:hAnsi="Arial"/>
                <w:b/>
                <w:color w:val="8C3200"/>
                <w:sz w:val="20"/>
              </w:rPr>
              <w:t>📜 GOVERNING LATIN MAXIMS WITH ENGLISH TRANSLATIONS</w:t>
              <w:br/>
            </w:r>
          </w:p>
          <w:p>
            <w:pPr>
              <w:spacing w:before="40" w:after="60" w:line="276" w:lineRule="auto"/>
            </w:pPr>
            <w:r>
              <w:rPr>
                <w:rFonts w:ascii="Calibri" w:hAnsi="Calibri"/>
                <w:b/>
                <w:color w:val="8C3200"/>
                <w:sz w:val="20"/>
              </w:rPr>
              <w:t>1. Ejusdem generis (of the same kind or class)</w:t>
              <w:br/>
            </w:r>
            <w:r>
              <w:rPr>
                <w:rFonts w:ascii="Calibri" w:hAnsi="Calibri"/>
                <w:b/>
                <w:color w:val="212529"/>
                <w:sz w:val="19"/>
              </w:rPr>
              <w:t xml:space="preserve">   • Literal English Translation: </w:t>
            </w:r>
            <w:r>
              <w:rPr>
                <w:rFonts w:ascii="Calibri" w:hAnsi="Calibri"/>
                <w:i/>
                <w:color w:val="212529"/>
                <w:sz w:val="19"/>
              </w:rPr>
              <w:t>Of the same kind.</w:t>
              <w:br/>
            </w:r>
            <w:r>
              <w:rPr>
                <w:rFonts w:ascii="Calibri" w:hAnsi="Calibri"/>
                <w:b/>
                <w:color w:val="212529"/>
                <w:sz w:val="19"/>
              </w:rPr>
              <w:t xml:space="preserve">   • Plain Legal Meaning &amp; StatCon Application: </w:t>
            </w:r>
            <w:r>
              <w:rPr>
                <w:rFonts w:ascii="Calibri" w:hAnsi="Calibri"/>
                <w:color w:val="212529"/>
                <w:sz w:val="19"/>
              </w:rPr>
              <w:t>General words following an enumeration of specific items are restricted to things of the same class as those specifically mentioned.</w:t>
            </w:r>
          </w:p>
          <w:p>
            <w:pPr>
              <w:spacing w:before="40" w:after="60" w:line="276" w:lineRule="auto"/>
            </w:pPr>
            <w:r>
              <w:rPr>
                <w:rFonts w:ascii="Calibri" w:hAnsi="Calibri"/>
                <w:b/>
                <w:color w:val="8C3200"/>
                <w:sz w:val="20"/>
              </w:rPr>
              <w:t>2. Noscitur a sociis (a thing is known by its associates)</w:t>
              <w:br/>
            </w:r>
            <w:r>
              <w:rPr>
                <w:rFonts w:ascii="Calibri" w:hAnsi="Calibri"/>
                <w:b/>
                <w:color w:val="212529"/>
                <w:sz w:val="19"/>
              </w:rPr>
              <w:t xml:space="preserve">   • Literal English Translation: </w:t>
            </w:r>
            <w:r>
              <w:rPr>
                <w:rFonts w:ascii="Calibri" w:hAnsi="Calibri"/>
                <w:i/>
                <w:color w:val="212529"/>
                <w:sz w:val="19"/>
              </w:rPr>
              <w:t>It is known by its companions.</w:t>
              <w:br/>
            </w:r>
            <w:r>
              <w:rPr>
                <w:rFonts w:ascii="Calibri" w:hAnsi="Calibri"/>
                <w:b/>
                <w:color w:val="212529"/>
                <w:sz w:val="19"/>
              </w:rPr>
              <w:t xml:space="preserve">   • Plain Legal Meaning &amp; StatCon Application: </w:t>
            </w:r>
            <w:r>
              <w:rPr>
                <w:rFonts w:ascii="Calibri" w:hAnsi="Calibri"/>
                <w:color w:val="212529"/>
                <w:sz w:val="19"/>
              </w:rPr>
              <w:t>The meaning of 'other places of amusement' is defined by its associated words: theaters, cinemas, and concert halls.</w:t>
            </w:r>
          </w:p>
          <w:p>
            <w:pPr>
              <w:spacing w:before="40" w:after="60" w:line="276" w:lineRule="auto"/>
            </w:pPr>
            <w:r>
              <w:rPr>
                <w:rFonts w:ascii="Calibri" w:hAnsi="Calibri"/>
                <w:b/>
                <w:color w:val="8C3200"/>
                <w:sz w:val="20"/>
              </w:rPr>
              <w:t>3. Strictissimi juris (of the strictest interpretation)</w:t>
              <w:br/>
            </w:r>
            <w:r>
              <w:rPr>
                <w:rFonts w:ascii="Calibri" w:hAnsi="Calibri"/>
                <w:b/>
                <w:color w:val="212529"/>
                <w:sz w:val="19"/>
              </w:rPr>
              <w:t xml:space="preserve">   • Literal English Translation: </w:t>
            </w:r>
            <w:r>
              <w:rPr>
                <w:rFonts w:ascii="Calibri" w:hAnsi="Calibri"/>
                <w:i/>
                <w:color w:val="212529"/>
                <w:sz w:val="19"/>
              </w:rPr>
              <w:t>Of the strictest law.</w:t>
              <w:br/>
            </w:r>
            <w:r>
              <w:rPr>
                <w:rFonts w:ascii="Calibri" w:hAnsi="Calibri"/>
                <w:b/>
                <w:color w:val="212529"/>
                <w:sz w:val="19"/>
              </w:rPr>
              <w:t xml:space="preserve">   • Plain Legal Meaning &amp; StatCon Application: </w:t>
            </w:r>
            <w:r>
              <w:rPr>
                <w:rFonts w:ascii="Calibri" w:hAnsi="Calibri"/>
                <w:color w:val="212529"/>
                <w:sz w:val="19"/>
              </w:rPr>
              <w:t>Delegated taxing powers of local government units are strictly construed against the municipality.</w:t>
            </w:r>
          </w:p>
        </w:tc>
      </w:tr>
    </w:tbl>
    <w:tbl>
      <w:tblPr>
        <w:tblW w:type="auto" w:w="0"/>
        <w:jc w:val="center"/>
        <w:tblLook w:firstColumn="1" w:firstRow="1" w:lastColumn="0" w:lastRow="0" w:noHBand="0" w:noVBand="1" w:val="04A0"/>
      </w:tblPr>
      <w:tblGrid>
        <w:gridCol w:w="4824"/>
        <w:gridCol w:w="4824"/>
      </w:tblGrid>
      <w:tr>
        <w:tc>
          <w:tcPr>
            <w:tcW w:type="dxa" w:w="4824"/>
            <w:shd w:fill="EAEFF5"/>
            <w:tcMar>
              <w:top w:w="80" w:type="dxa"/>
              <w:bottom w:w="80" w:type="dxa"/>
              <w:left w:w="120" w:type="dxa"/>
              <w:right w:w="120" w:type="dxa"/>
            </w:tcMar>
          </w:tcPr>
          <w:p>
            <w:pPr>
              <w:spacing w:before="40" w:after="40"/>
            </w:pPr>
            <w:r>
              <w:rPr>
                <w:rFonts w:ascii="Arial" w:hAnsi="Arial"/>
                <w:b/>
                <w:color w:val="0F2043"/>
                <w:sz w:val="18"/>
              </w:rPr>
              <w:t>Syllabus Topic Alignment</w:t>
              <w:br/>
              <w:t>(StatCon_Syllabus_JPR.pdf)</w:t>
            </w:r>
          </w:p>
        </w:tc>
        <w:tc>
          <w:tcPr>
            <w:tcW w:type="dxa" w:w="4824"/>
            <w:shd w:fill="FAFAFA"/>
            <w:tcMar>
              <w:top w:w="80" w:type="dxa"/>
              <w:bottom w:w="80" w:type="dxa"/>
              <w:left w:w="120" w:type="dxa"/>
              <w:right w:w="120" w:type="dxa"/>
            </w:tcMar>
          </w:tcPr>
          <w:p>
            <w:pPr>
              <w:spacing w:before="40" w:after="40" w:line="276" w:lineRule="auto"/>
            </w:pPr>
            <w:r>
              <w:rPr>
                <w:rFonts w:ascii="Calibri" w:hAnsi="Calibri"/>
                <w:color w:val="212529"/>
                <w:sz w:val="19"/>
              </w:rPr>
              <w:t>• Chapter III: Basic Guidelines in the Construction and Interpretation of Laws</w:t>
              <w:br/>
              <w:t xml:space="preserve">  - B. Considerations within the Statute: Ejusdem Generis (Of the Same Kind)</w:t>
            </w:r>
          </w:p>
        </w:tc>
      </w:tr>
      <w:tr>
        <w:tc>
          <w:tcPr>
            <w:tcW w:type="dxa" w:w="4824"/>
            <w:shd w:fill="EAEFF5"/>
            <w:tcMar>
              <w:top w:w="80" w:type="dxa"/>
              <w:bottom w:w="80" w:type="dxa"/>
              <w:left w:w="120" w:type="dxa"/>
              <w:right w:w="120" w:type="dxa"/>
            </w:tcMar>
          </w:tcPr>
          <w:p>
            <w:pPr>
              <w:spacing w:before="40" w:after="40"/>
            </w:pPr>
            <w:r>
              <w:rPr>
                <w:rFonts w:ascii="Arial" w:hAnsi="Arial"/>
                <w:b/>
                <w:color w:val="0F2043"/>
                <w:sz w:val="18"/>
              </w:rPr>
              <w:t>Governing Latin Maxims &amp; English</w:t>
            </w:r>
          </w:p>
        </w:tc>
        <w:tc>
          <w:tcPr>
            <w:tcW w:type="dxa" w:w="4824"/>
            <w:shd w:fill="FAFAFA"/>
            <w:tcMar>
              <w:top w:w="80" w:type="dxa"/>
              <w:bottom w:w="80" w:type="dxa"/>
              <w:left w:w="120" w:type="dxa"/>
              <w:right w:w="120" w:type="dxa"/>
            </w:tcMar>
          </w:tcPr>
          <w:p>
            <w:pPr>
              <w:spacing w:before="40" w:after="40" w:line="276" w:lineRule="auto"/>
            </w:pPr>
            <w:r>
              <w:rPr>
                <w:rFonts w:ascii="Calibri" w:hAnsi="Calibri"/>
                <w:color w:val="212529"/>
                <w:sz w:val="19"/>
              </w:rPr>
              <w:t>Primary:</w:t>
              <w:br/>
              <w:t>Ejusdem generis</w:t>
              <w:br/>
              <w:t>(of the same kind or class / 'other places of amusement' in Section 140 LGC is restricted to theatrical and spectator entertainment venues)</w:t>
              <w:br/>
              <w:br/>
              <w:t>Secondary:</w:t>
              <w:br/>
              <w:t>• Noscitur a sociis (known by its companions)</w:t>
              <w:br/>
              <w:t>• Strictissimi juris (strict construction of tax statutes)</w:t>
            </w:r>
          </w:p>
        </w:tc>
      </w:tr>
      <w:tr>
        <w:tc>
          <w:tcPr>
            <w:tcW w:type="dxa" w:w="4824"/>
            <w:shd w:fill="EAEFF5"/>
            <w:tcMar>
              <w:top w:w="80" w:type="dxa"/>
              <w:bottom w:w="80" w:type="dxa"/>
              <w:left w:w="120" w:type="dxa"/>
              <w:right w:w="120" w:type="dxa"/>
            </w:tcMar>
          </w:tcPr>
          <w:p>
            <w:pPr>
              <w:spacing w:before="40" w:after="40"/>
            </w:pPr>
            <w:r>
              <w:rPr>
                <w:rFonts w:ascii="Arial" w:hAnsi="Arial"/>
                <w:b/>
                <w:color w:val="0F2043"/>
                <w:sz w:val="18"/>
              </w:rPr>
              <w:t>Case Violation in StatCon</w:t>
            </w:r>
          </w:p>
        </w:tc>
        <w:tc>
          <w:tcPr>
            <w:tcW w:type="dxa" w:w="4824"/>
            <w:shd w:fill="FAFAFA"/>
            <w:tcMar>
              <w:top w:w="80" w:type="dxa"/>
              <w:bottom w:w="80" w:type="dxa"/>
              <w:left w:w="120" w:type="dxa"/>
              <w:right w:w="120" w:type="dxa"/>
            </w:tcMar>
          </w:tcPr>
          <w:p>
            <w:pPr>
              <w:spacing w:before="40" w:after="40" w:line="276" w:lineRule="auto"/>
            </w:pPr>
            <w:r>
              <w:rPr>
                <w:rFonts w:ascii="Calibri" w:hAnsi="Calibri"/>
                <w:color w:val="212529"/>
                <w:sz w:val="19"/>
              </w:rPr>
              <w:t>The province ignored the unifying genus of Section 140 LGC, expanding a spectator entertainment tax to cover active swimming and resort facilities.</w:t>
            </w:r>
          </w:p>
        </w:tc>
      </w:tr>
      <w:tr>
        <w:tc>
          <w:tcPr>
            <w:tcW w:type="dxa" w:w="4824"/>
            <w:shd w:fill="EAEFF5"/>
            <w:tcMar>
              <w:top w:w="80" w:type="dxa"/>
              <w:bottom w:w="80" w:type="dxa"/>
              <w:left w:w="120" w:type="dxa"/>
              <w:right w:w="120" w:type="dxa"/>
            </w:tcMar>
          </w:tcPr>
          <w:p>
            <w:pPr>
              <w:spacing w:before="40" w:after="40"/>
            </w:pPr>
            <w:r>
              <w:rPr>
                <w:rFonts w:ascii="Arial" w:hAnsi="Arial"/>
                <w:b/>
                <w:color w:val="0F2043"/>
                <w:sz w:val="18"/>
              </w:rPr>
              <w:t>Doctrinal Execution / Principle</w:t>
            </w:r>
          </w:p>
        </w:tc>
        <w:tc>
          <w:tcPr>
            <w:tcW w:type="dxa" w:w="4824"/>
            <w:shd w:fill="FAFAFA"/>
            <w:tcMar>
              <w:top w:w="80" w:type="dxa"/>
              <w:bottom w:w="80" w:type="dxa"/>
              <w:left w:w="120" w:type="dxa"/>
              <w:right w:w="120" w:type="dxa"/>
            </w:tcMar>
          </w:tcPr>
          <w:p>
            <w:pPr>
              <w:spacing w:before="40" w:after="40" w:line="276" w:lineRule="auto"/>
            </w:pPr>
            <w:r>
              <w:rPr>
                <w:rFonts w:ascii="Calibri" w:hAnsi="Calibri"/>
                <w:color w:val="212529"/>
                <w:sz w:val="19"/>
              </w:rPr>
              <w:t>Doctrine of Ejusdem Generis: Where general words follow particular and specific words, the general words must be confined to things of the same kind (ejusdem generis) as those specified.</w:t>
            </w:r>
          </w:p>
        </w:tc>
      </w:tr>
    </w:tbl>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RELATION TO STATUTORY CONSTRUCTION</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When a law lists specific examples followed by 'and others', the 'others' must be the exact same type of thing as the examples listed.</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"Sir/Ma'am, Pelizloy v. Province of Benguet is the premier modern case illustrating Ejusdem Generis: 'other places of amusement' is confined to the genus of spectator entertainment."</w:t>
            </w:r>
          </w:p>
        </w:tc>
      </w:tr>
    </w:tbl>
    <w:p>
      <w:pPr>
        <w:spacing w:before="160" w:after="80"/>
      </w:pPr>
    </w:p>
    <w:tbl>
      <w:tblPr>
        <w:tblW w:type="auto" w:w="0"/>
        <w:jc w:val="center"/>
        <w:tblLook w:firstColumn="1" w:firstRow="1" w:lastColumn="0" w:lastRow="0" w:noHBand="0" w:noVBand="1" w:val="04A0"/>
      </w:tblPr>
      <w:tblGrid>
        <w:gridCol w:w="9648"/>
      </w:tblGrid>
      <w:tr>
        <w:tc>
          <w:tcPr>
            <w:tcW w:type="dxa" w:w="9648"/>
            <w:shd w:fill="1E3A5F"/>
            <w:tcMar>
              <w:top w:w="140" w:type="dxa"/>
              <w:bottom w:w="140" w:type="dxa"/>
              <w:left w:w="200" w:type="dxa"/>
              <w:right w:w="200" w:type="dxa"/>
            </w:tcMar>
          </w:tcPr>
          <w:p>
            <w:pPr>
              <w:spacing w:before="40" w:after="40"/>
              <w:jc w:val="center"/>
            </w:pPr>
            <w:r>
              <w:rPr>
                <w:rFonts w:ascii="Arial" w:hAnsi="Arial"/>
                <w:b/>
                <w:color w:val="FFD700"/>
                <w:sz w:val="22"/>
              </w:rPr>
              <w:t>⚖ STANDARDIZED CASE DIGEST: STATUTORY CONSTRUCTION FORMAT</w:t>
              <w:br/>
            </w:r>
            <w:r>
              <w:rPr>
                <w:rFonts w:ascii="Arial" w:hAnsi="Arial"/>
                <w:i/>
                <w:color w:val="DCEBFF"/>
                <w:sz w:val="18"/>
              </w:rPr>
              <w:t>(Complete 12-Section Academic &amp; Judicial Construction Analysis)</w:t>
            </w:r>
          </w:p>
        </w:tc>
      </w:tr>
    </w:tbl>
    <w:p>
      <w:pPr>
        <w:spacing w:before="80" w:after="80"/>
      </w:pPr>
    </w:p>
    <w:tbl>
      <w:tblPr>
        <w:tblW w:type="auto" w:w="0"/>
        <w:jc w:val="center"/>
        <w:tblLook w:firstColumn="1" w:firstRow="1" w:lastColumn="0" w:lastRow="0" w:noHBand="0" w:noVBand="1" w:val="04A0"/>
      </w:tblPr>
      <w:tblGrid>
        <w:gridCol w:w="4824"/>
        <w:gridCol w:w="4824"/>
      </w:tblGrid>
      <w:tr>
        <w:tc>
          <w:tcPr>
            <w:tcW w:type="dxa" w:w="4824"/>
            <w:shd w:fill="EBF0F7"/>
            <w:tcMar>
              <w:top w:w="60" w:type="dxa"/>
              <w:bottom w:w="60" w:type="dxa"/>
              <w:left w:w="120" w:type="dxa"/>
              <w:right w:w="120" w:type="dxa"/>
            </w:tcMar>
          </w:tcPr>
          <w:p>
            <w:pPr>
              <w:spacing w:before="20" w:after="20"/>
            </w:pPr>
            <w:r>
              <w:rPr>
                <w:rFonts w:ascii="Arial" w:hAnsi="Arial"/>
                <w:b/>
                <w:color w:val="0F2043"/>
                <w:sz w:val="19"/>
              </w:rPr>
              <w:t>Case Title:</w:t>
            </w:r>
          </w:p>
        </w:tc>
        <w:tc>
          <w:tcPr>
            <w:tcW w:type="dxa" w:w="4824"/>
            <w:shd w:fill="FAFCFF"/>
            <w:tcMar>
              <w:top w:w="60" w:type="dxa"/>
              <w:bottom w:w="60" w:type="dxa"/>
              <w:left w:w="120" w:type="dxa"/>
              <w:right w:w="120" w:type="dxa"/>
            </w:tcMar>
          </w:tcPr>
          <w:p>
            <w:pPr>
              <w:spacing w:before="20" w:after="20"/>
            </w:pPr>
            <w:r>
              <w:rPr>
                <w:rFonts w:ascii="Calibri" w:hAnsi="Calibri"/>
                <w:b/>
                <w:color w:val="212529"/>
                <w:sz w:val="19"/>
              </w:rPr>
              <w:t>Pelizloy Realty Corporation v. The Province of Benguet</w:t>
            </w:r>
          </w:p>
        </w:tc>
      </w:tr>
      <w:tr>
        <w:tc>
          <w:tcPr>
            <w:tcW w:type="dxa" w:w="4824"/>
            <w:shd w:fill="EBF0F7"/>
            <w:tcMar>
              <w:top w:w="60" w:type="dxa"/>
              <w:bottom w:w="60" w:type="dxa"/>
              <w:left w:w="120" w:type="dxa"/>
              <w:right w:w="120" w:type="dxa"/>
            </w:tcMar>
          </w:tcPr>
          <w:p>
            <w:pPr>
              <w:spacing w:before="20" w:after="20"/>
            </w:pPr>
            <w:r>
              <w:rPr>
                <w:rFonts w:ascii="Arial" w:hAnsi="Arial"/>
                <w:b/>
                <w:color w:val="0F2043"/>
                <w:sz w:val="19"/>
              </w:rPr>
              <w:t>G.R. No. / Record:</w:t>
            </w:r>
          </w:p>
        </w:tc>
        <w:tc>
          <w:tcPr>
            <w:tcW w:type="dxa" w:w="4824"/>
            <w:shd w:fill="FAFCFF"/>
            <w:tcMar>
              <w:top w:w="60" w:type="dxa"/>
              <w:bottom w:w="60" w:type="dxa"/>
              <w:left w:w="120" w:type="dxa"/>
              <w:right w:w="120" w:type="dxa"/>
            </w:tcMar>
          </w:tcPr>
          <w:p>
            <w:pPr>
              <w:spacing w:before="20" w:after="20"/>
            </w:pPr>
            <w:r>
              <w:rPr>
                <w:rFonts w:ascii="Calibri" w:hAnsi="Calibri"/>
                <w:b w:val="0"/>
                <w:color w:val="212529"/>
                <w:sz w:val="19"/>
              </w:rPr>
              <w:t>G.R. No. 183137</w:t>
            </w:r>
          </w:p>
        </w:tc>
      </w:tr>
      <w:tr>
        <w:tc>
          <w:tcPr>
            <w:tcW w:type="dxa" w:w="4824"/>
            <w:shd w:fill="EBF0F7"/>
            <w:tcMar>
              <w:top w:w="60" w:type="dxa"/>
              <w:bottom w:w="60" w:type="dxa"/>
              <w:left w:w="120" w:type="dxa"/>
              <w:right w:w="120" w:type="dxa"/>
            </w:tcMar>
          </w:tcPr>
          <w:p>
            <w:pPr>
              <w:spacing w:before="20" w:after="20"/>
            </w:pPr>
            <w:r>
              <w:rPr>
                <w:rFonts w:ascii="Arial" w:hAnsi="Arial"/>
                <w:b/>
                <w:color w:val="0F2043"/>
                <w:sz w:val="19"/>
              </w:rPr>
              <w:t>Date of Promulgation:</w:t>
            </w:r>
          </w:p>
        </w:tc>
        <w:tc>
          <w:tcPr>
            <w:tcW w:type="dxa" w:w="4824"/>
            <w:shd w:fill="FAFCFF"/>
            <w:tcMar>
              <w:top w:w="60" w:type="dxa"/>
              <w:bottom w:w="60" w:type="dxa"/>
              <w:left w:w="120" w:type="dxa"/>
              <w:right w:w="120" w:type="dxa"/>
            </w:tcMar>
          </w:tcPr>
          <w:p>
            <w:pPr>
              <w:spacing w:before="20" w:after="20"/>
            </w:pPr>
            <w:r>
              <w:rPr>
                <w:rFonts w:ascii="Calibri" w:hAnsi="Calibri"/>
                <w:b w:val="0"/>
                <w:color w:val="212529"/>
                <w:sz w:val="19"/>
              </w:rPr>
              <w:t>April 10, 2013</w:t>
            </w:r>
          </w:p>
        </w:tc>
      </w:tr>
      <w:tr>
        <w:tc>
          <w:tcPr>
            <w:tcW w:type="dxa" w:w="4824"/>
            <w:shd w:fill="EBF0F7"/>
            <w:tcMar>
              <w:top w:w="60" w:type="dxa"/>
              <w:bottom w:w="60" w:type="dxa"/>
              <w:left w:w="120" w:type="dxa"/>
              <w:right w:w="120" w:type="dxa"/>
            </w:tcMar>
          </w:tcPr>
          <w:p>
            <w:pPr>
              <w:spacing w:before="20" w:after="20"/>
            </w:pPr>
            <w:r>
              <w:rPr>
                <w:rFonts w:ascii="Arial" w:hAnsi="Arial"/>
                <w:b/>
                <w:color w:val="0F2043"/>
                <w:sz w:val="19"/>
              </w:rPr>
              <w:t>Ponente / Court:</w:t>
            </w:r>
          </w:p>
        </w:tc>
        <w:tc>
          <w:tcPr>
            <w:tcW w:type="dxa" w:w="4824"/>
            <w:shd w:fill="FAFCFF"/>
            <w:tcMar>
              <w:top w:w="60" w:type="dxa"/>
              <w:bottom w:w="60" w:type="dxa"/>
              <w:left w:w="120" w:type="dxa"/>
              <w:right w:w="120" w:type="dxa"/>
            </w:tcMar>
          </w:tcPr>
          <w:p>
            <w:pPr>
              <w:spacing w:before="20" w:after="20"/>
            </w:pPr>
            <w:r>
              <w:rPr>
                <w:rFonts w:ascii="Calibri" w:hAnsi="Calibri"/>
                <w:b w:val="0"/>
                <w:color w:val="212529"/>
                <w:sz w:val="19"/>
              </w:rPr>
              <w:t>First Division</w:t>
            </w:r>
          </w:p>
        </w:tc>
      </w:tr>
    </w:tbl>
    <w:p>
      <w:pPr>
        <w:keepNext/>
        <w:spacing w:before="240" w:after="60"/>
      </w:pPr>
      <w:r>
        <w:rPr>
          <w:rFonts w:ascii="Arial" w:hAnsi="Arial"/>
          <w:b/>
          <w:color w:val="0F2043"/>
          <w:sz w:val="21"/>
        </w:rPr>
        <w:t>I. FACTS OF THE CASE</w:t>
      </w:r>
    </w:p>
    <w:tbl>
      <w:tblPr>
        <w:tblW w:type="auto" w:w="0"/>
        <w:jc w:val="center"/>
        <w:tblLook w:firstColumn="1" w:firstRow="1" w:lastColumn="0" w:lastRow="0" w:noHBand="0" w:noVBand="1" w:val="04A0"/>
      </w:tblPr>
      <w:tblGrid>
        <w:gridCol w:w="9648"/>
      </w:tblGrid>
      <w:tr>
        <w:tc>
          <w:tcPr>
            <w:tcW w:type="dxa" w:w="9648"/>
            <w:shd w:fill="F8F9FB"/>
            <w:tcMar>
              <w:top w:w="100" w:type="dxa"/>
              <w:bottom w:w="100" w:type="dxa"/>
              <w:left w:w="160" w:type="dxa"/>
              <w:right w:w="160" w:type="dxa"/>
            </w:tcMar>
          </w:tcPr>
          <w:p>
            <w:pPr>
              <w:spacing w:before="20" w:after="40"/>
            </w:pPr>
            <w:r>
              <w:rPr>
                <w:rFonts w:ascii="Arial" w:hAnsi="Arial"/>
                <w:b/>
                <w:color w:val="0F2043"/>
                <w:sz w:val="19"/>
              </w:rPr>
              <w:t>Material Facts of Controversy</w:t>
              <w:br/>
            </w:r>
          </w:p>
          <w:p>
            <w:pPr>
              <w:spacing w:before="20" w:after="40" w:line="276" w:lineRule="auto"/>
            </w:pPr>
            <w:r>
              <w:rPr>
                <w:rFonts w:ascii="Calibri" w:hAnsi="Calibri"/>
                <w:color w:val="212529"/>
                <w:sz w:val="19"/>
              </w:rPr>
              <w:t>Pelizloy Realty Corporation owns Palm Grove Resort in Tuba, Benguet, which features swimming pools and recreational facilities. The Province of Benguet enacted Provincial Tax Ordinance No. 05-85, Section 59 of which levied a 10% amusement tax on gross receipts of resorts, swimming pools, bath houses, and other tourist establishments. Pelizloy challenged the ordinance, arguing that under Section 140 of the Local Government Code (LGC), provinces can levy amusement taxes ONLY on theaters, cinemas, concert halls, circuses, and other places of amusement where one enters primarily to VIEW a dramatic or musical exhibition, invoking Ejusdem Generis.</w:t>
            </w:r>
          </w:p>
        </w:tc>
      </w:tr>
    </w:tbl>
    <w:p>
      <w:pPr>
        <w:keepNext/>
        <w:spacing w:before="240" w:after="60"/>
      </w:pPr>
      <w:r>
        <w:rPr>
          <w:rFonts w:ascii="Arial" w:hAnsi="Arial"/>
          <w:b/>
          <w:color w:val="0F2043"/>
          <w:sz w:val="21"/>
        </w:rPr>
        <w:t>II. FACTS RELEVANT TO STATUTORY CONSTRUCTION</w:t>
      </w:r>
    </w:p>
    <w:tbl>
      <w:tblPr>
        <w:tblW w:type="auto" w:w="0"/>
        <w:jc w:val="center"/>
        <w:tblLook w:firstColumn="1" w:firstRow="1" w:lastColumn="0" w:lastRow="0" w:noHBand="0" w:noVBand="1" w:val="04A0"/>
      </w:tblPr>
      <w:tblGrid>
        <w:gridCol w:w="9648"/>
      </w:tblGrid>
      <w:tr>
        <w:tc>
          <w:tcPr>
            <w:tcW w:type="dxa" w:w="9648"/>
            <w:shd w:fill="F8F9FB"/>
            <w:tcMar>
              <w:top w:w="100" w:type="dxa"/>
              <w:bottom w:w="100" w:type="dxa"/>
              <w:left w:w="160" w:type="dxa"/>
              <w:right w:w="160" w:type="dxa"/>
            </w:tcMar>
          </w:tcPr>
          <w:p>
            <w:pPr>
              <w:spacing w:before="20" w:after="40"/>
            </w:pPr>
            <w:r>
              <w:rPr>
                <w:rFonts w:ascii="Arial" w:hAnsi="Arial"/>
                <w:b/>
                <w:color w:val="0F2043"/>
                <w:sz w:val="19"/>
              </w:rPr>
              <w:t>Facts Giving Rise to Need for Interpretation</w:t>
              <w:br/>
            </w:r>
          </w:p>
          <w:p>
            <w:pPr>
              <w:spacing w:before="20" w:after="40" w:line="276" w:lineRule="auto"/>
            </w:pPr>
            <w:r>
              <w:rPr>
                <w:rFonts w:ascii="Calibri" w:hAnsi="Calibri"/>
                <w:b/>
                <w:color w:val="212529"/>
                <w:sz w:val="19"/>
              </w:rPr>
              <w:t xml:space="preserve">• What provision of law or rule became relevant? </w:t>
            </w:r>
            <w:r>
              <w:rPr>
                <w:rFonts w:ascii="Calibri" w:hAnsi="Calibri"/>
                <w:color w:val="212529"/>
                <w:sz w:val="19"/>
              </w:rPr>
              <w:t>1. Section 140, Republic Act No. 7160 (Local Government Code of 1991): Authorizes provinces to levy amusement taxes on 'theaters, cinemas, concert halls, circuses, boxing stadia, and other places of amusement'.</w:t>
              <w:br/>
              <w:t>2. Ejusdem Generis (of the same kind or class): Where general words follow an enumeration of specific classes of persons or things, the general words are construed as applying only to things of the same general class.</w:t>
            </w:r>
          </w:p>
          <w:p>
            <w:pPr>
              <w:spacing w:before="20" w:after="40" w:line="276" w:lineRule="auto"/>
            </w:pPr>
            <w:r>
              <w:rPr>
                <w:rFonts w:ascii="Calibri" w:hAnsi="Calibri"/>
                <w:b/>
                <w:color w:val="212529"/>
                <w:sz w:val="19"/>
              </w:rPr>
              <w:t xml:space="preserve">• What circumstance made interpretation necessary? </w:t>
            </w:r>
            <w:r>
              <w:rPr>
                <w:rFonts w:ascii="Calibri" w:hAnsi="Calibri"/>
                <w:color w:val="212529"/>
                <w:sz w:val="19"/>
              </w:rPr>
              <w:t>The province ignored the unifying genus of Section 140 LGC, expanding a spectator entertainment tax to cover active swimming and resort facilities.</w:t>
            </w:r>
          </w:p>
          <w:p>
            <w:pPr>
              <w:spacing w:before="20" w:after="40" w:line="276" w:lineRule="auto"/>
            </w:pPr>
            <w:r>
              <w:rPr>
                <w:rFonts w:ascii="Calibri" w:hAnsi="Calibri"/>
                <w:b/>
                <w:color w:val="212529"/>
                <w:sz w:val="19"/>
              </w:rPr>
              <w:t xml:space="preserve">• What competing interpretations were presented? </w:t>
            </w:r>
            <w:r>
              <w:rPr>
                <w:rFonts w:ascii="Calibri" w:hAnsi="Calibri"/>
                <w:color w:val="212529"/>
                <w:sz w:val="19"/>
              </w:rPr>
              <w:t>Petitioner argued for a favorable interpretation based on statutory intent, while Respondent contended for a literal or restrictive application.</w:t>
            </w:r>
          </w:p>
        </w:tc>
      </w:tr>
    </w:tbl>
    <w:p>
      <w:pPr>
        <w:keepNext/>
        <w:spacing w:before="240" w:after="60"/>
      </w:pPr>
      <w:r>
        <w:rPr>
          <w:rFonts w:ascii="Arial" w:hAnsi="Arial"/>
          <w:b/>
          <w:color w:val="0F2043"/>
          <w:sz w:val="21"/>
        </w:rPr>
        <w:t>III. ISSUES</w:t>
      </w:r>
    </w:p>
    <w:p>
      <w:pPr>
        <w:keepNext/>
        <w:spacing w:before="120" w:after="40"/>
      </w:pPr>
      <w:r>
        <w:rPr>
          <w:rFonts w:ascii="Arial" w:hAnsi="Arial"/>
          <w:b/>
          <w:color w:val="781E1E"/>
          <w:sz w:val="20"/>
        </w:rPr>
        <w:t>A. General Legal Issues</w:t>
      </w:r>
    </w:p>
    <w:p>
      <w:pPr>
        <w:spacing w:before="40" w:after="80" w:line="276" w:lineRule="auto"/>
      </w:pPr>
      <w:r>
        <w:rPr>
          <w:rFonts w:ascii="Calibri" w:hAnsi="Calibri"/>
          <w:i w:val="0"/>
          <w:color w:val="212529"/>
          <w:sz w:val="21"/>
        </w:rPr>
        <w:t>Whether or not provinces have the statutory authority under Section 140 of the Local Government Code to impose amusement taxes on resorts, swimming pools, and bath houses.</w:t>
      </w:r>
    </w:p>
    <w:p>
      <w:pPr>
        <w:keepNext/>
        <w:spacing w:before="120" w:after="40"/>
      </w:pPr>
      <w:r>
        <w:rPr>
          <w:rFonts w:ascii="Arial" w:hAnsi="Arial"/>
          <w:b/>
          <w:color w:val="781E1E"/>
          <w:sz w:val="20"/>
        </w:rPr>
        <w:t>B. Statutory-Construction Issue/s</w:t>
      </w:r>
    </w:p>
    <w:tbl>
      <w:tblPr>
        <w:tblW w:type="auto" w:w="0"/>
        <w:jc w:val="center"/>
        <w:tblLook w:firstColumn="1" w:firstRow="1" w:lastColumn="0" w:lastRow="0" w:noHBand="0" w:noVBand="1" w:val="04A0"/>
      </w:tblPr>
      <w:tblGrid>
        <w:gridCol w:w="9648"/>
      </w:tblGrid>
      <w:tr>
        <w:tc>
          <w:tcPr>
            <w:tcW w:type="dxa" w:w="9648"/>
            <w:shd w:fill="EBF3FA"/>
            <w:tcMar>
              <w:top w:w="100" w:type="dxa"/>
              <w:bottom w:w="100" w:type="dxa"/>
              <w:left w:w="160" w:type="dxa"/>
              <w:right w:w="160" w:type="dxa"/>
            </w:tcMar>
          </w:tcPr>
          <w:p>
            <w:pPr>
              <w:spacing w:before="20" w:after="40"/>
            </w:pPr>
            <w:r>
              <w:rPr>
                <w:rFonts w:ascii="Arial" w:hAnsi="Arial"/>
                <w:b/>
                <w:color w:val="0F2043"/>
                <w:sz w:val="19"/>
              </w:rPr>
              <w:t>Standardized StatCon Issue Statement</w:t>
              <w:br/>
            </w:r>
          </w:p>
          <w:p>
            <w:pPr>
              <w:spacing w:before="20" w:after="40" w:line="276" w:lineRule="auto"/>
            </w:pPr>
            <w:r>
              <w:rPr>
                <w:rFonts w:ascii="Calibri" w:hAnsi="Calibri"/>
                <w:color w:val="212529"/>
                <w:sz w:val="19"/>
              </w:rPr>
              <w:t>Whether the subject statutory act, classification, or terminology under the governing statute/rule means, includes, or applies to the factual controversy in Pelizloy Realty Corporation v. The Province of Benguet, under the canon of Ejusdem generis.</w:t>
            </w:r>
          </w:p>
        </w:tc>
      </w:tr>
    </w:tbl>
    <w:p>
      <w:pPr>
        <w:keepNext/>
        <w:spacing w:before="240" w:after="60"/>
      </w:pPr>
      <w:r>
        <w:rPr>
          <w:rFonts w:ascii="Arial" w:hAnsi="Arial"/>
          <w:b/>
          <w:color w:val="0F2043"/>
          <w:sz w:val="21"/>
        </w:rPr>
        <w:t>IV. PROVISION/S OF LAW CONSTRUED</w:t>
      </w:r>
    </w:p>
    <w:tbl>
      <w:tblPr>
        <w:tblW w:type="auto" w:w="0"/>
        <w:jc w:val="center"/>
        <w:tblLook w:firstColumn="1" w:firstRow="1" w:lastColumn="0" w:lastRow="0" w:noHBand="0" w:noVBand="1" w:val="04A0"/>
      </w:tblPr>
      <w:tblGrid>
        <w:gridCol w:w="9648"/>
      </w:tblGrid>
      <w:tr>
        <w:tc>
          <w:tcPr>
            <w:tcW w:type="dxa" w:w="9648"/>
            <w:shd w:fill="F8F9FB"/>
            <w:tcMar>
              <w:top w:w="100" w:type="dxa"/>
              <w:bottom w:w="100" w:type="dxa"/>
              <w:left w:w="160" w:type="dxa"/>
              <w:right w:w="160" w:type="dxa"/>
            </w:tcMar>
          </w:tcPr>
          <w:p>
            <w:pPr>
              <w:spacing w:before="20" w:after="40"/>
            </w:pPr>
            <w:r>
              <w:rPr>
                <w:rFonts w:ascii="Arial" w:hAnsi="Arial"/>
                <w:b/>
                <w:color w:val="0F2043"/>
                <w:sz w:val="19"/>
              </w:rPr>
              <w:t>Statutory / Constitutional Text &amp; Problem</w:t>
              <w:br/>
            </w:r>
          </w:p>
          <w:p>
            <w:pPr>
              <w:spacing w:before="20" w:after="40" w:line="276" w:lineRule="auto"/>
            </w:pPr>
            <w:r>
              <w:rPr>
                <w:rFonts w:ascii="Calibri" w:hAnsi="Calibri"/>
                <w:b/>
                <w:color w:val="212529"/>
                <w:sz w:val="19"/>
              </w:rPr>
              <w:t xml:space="preserve">• Quoted Provision: </w:t>
            </w:r>
            <w:r>
              <w:rPr>
                <w:rFonts w:ascii="Calibri" w:hAnsi="Calibri"/>
                <w:color w:val="212529"/>
                <w:sz w:val="19"/>
              </w:rPr>
              <w:t>1. Section 140, Republic Act No. 7160 (Local Government Code of 1991): Authorizes provinces to levy amusement taxes on 'theaters, cinemas, concert halls, circuses, boxing stadia, and other places of amusement'.</w:t>
              <w:br/>
              <w:t>2. Ejusdem Generis (of the same kind or class): Where general words follow an enumeration of specific classes of persons or things, the general words are construed as applying only to things of the same general class.</w:t>
            </w:r>
          </w:p>
          <w:p>
            <w:pPr>
              <w:spacing w:before="20" w:after="40" w:line="276" w:lineRule="auto"/>
            </w:pPr>
            <w:r>
              <w:rPr>
                <w:rFonts w:ascii="Calibri" w:hAnsi="Calibri"/>
                <w:b/>
                <w:color w:val="212529"/>
                <w:sz w:val="19"/>
              </w:rPr>
              <w:t xml:space="preserve">• Interpretive Problem: </w:t>
            </w:r>
            <w:r>
              <w:rPr>
                <w:rFonts w:ascii="Calibri" w:hAnsi="Calibri"/>
                <w:color w:val="212529"/>
                <w:sz w:val="19"/>
              </w:rPr>
              <w:t>The statutory term is associated with or preceded by specific words, creating uncertainty as to its exact scope and whether general words are restricted by specific company.</w:t>
            </w:r>
          </w:p>
        </w:tc>
      </w:tr>
    </w:tbl>
    <w:p>
      <w:pPr>
        <w:keepNext/>
        <w:spacing w:before="240" w:after="60"/>
      </w:pPr>
      <w:r>
        <w:rPr>
          <w:rFonts w:ascii="Arial" w:hAnsi="Arial"/>
          <w:b/>
          <w:color w:val="0F2043"/>
          <w:sz w:val="21"/>
        </w:rPr>
        <w:t>V. RULING OF THE SUPREME COURT</w:t>
      </w:r>
    </w:p>
    <w:p>
      <w:pPr>
        <w:keepNext/>
        <w:spacing w:before="120" w:after="40"/>
      </w:pPr>
      <w:r>
        <w:rPr>
          <w:rFonts w:ascii="Arial" w:hAnsi="Arial"/>
          <w:b/>
          <w:color w:val="781E1E"/>
          <w:sz w:val="20"/>
        </w:rPr>
        <w:t>A. General Ruling</w:t>
      </w:r>
    </w:p>
    <w:p>
      <w:pPr>
        <w:spacing w:before="40" w:after="80" w:line="276" w:lineRule="auto"/>
      </w:pPr>
      <w:r>
        <w:rPr>
          <w:rFonts w:ascii="Calibri" w:hAnsi="Calibri"/>
          <w:i w:val="0"/>
          <w:color w:val="212529"/>
          <w:sz w:val="21"/>
        </w:rPr>
        <w:t>The Supreme Court GRANTED the petition, DECLARED Section 59 of Benguet Provincial Tax Ordinance No. 05-85 NULL AND VOID insofar as it levied amusement tax on resorts and swimming pools, and ORDERED the province to drop the assessments.</w:t>
      </w:r>
    </w:p>
    <w:p>
      <w:pPr>
        <w:keepNext/>
        <w:spacing w:before="120" w:after="40"/>
      </w:pPr>
      <w:r>
        <w:rPr>
          <w:rFonts w:ascii="Arial" w:hAnsi="Arial"/>
          <w:b/>
          <w:color w:val="781E1E"/>
          <w:sz w:val="20"/>
        </w:rPr>
        <w:t>B. Ruling on the Statutory-Construction Issue</w:t>
      </w:r>
    </w:p>
    <w:tbl>
      <w:tblPr>
        <w:tblW w:type="auto" w:w="0"/>
        <w:jc w:val="center"/>
        <w:tblLook w:firstColumn="1" w:firstRow="1" w:lastColumn="0" w:lastRow="0" w:noHBand="0" w:noVBand="1" w:val="04A0"/>
      </w:tblPr>
      <w:tblGrid>
        <w:gridCol w:w="9648"/>
      </w:tblGrid>
      <w:tr>
        <w:tc>
          <w:tcPr>
            <w:tcW w:type="dxa" w:w="9648"/>
            <w:shd w:fill="F4FAF5"/>
            <w:tcMar>
              <w:top w:w="100" w:type="dxa"/>
              <w:bottom w:w="100" w:type="dxa"/>
              <w:left w:w="160" w:type="dxa"/>
              <w:right w:w="160" w:type="dxa"/>
            </w:tcMar>
          </w:tcPr>
          <w:p>
            <w:pPr>
              <w:spacing w:before="20" w:after="40"/>
            </w:pPr>
            <w:r>
              <w:rPr>
                <w:rFonts w:ascii="Arial" w:hAnsi="Arial"/>
                <w:b/>
                <w:color w:val="0F2043"/>
                <w:sz w:val="19"/>
              </w:rPr>
              <w:t>Statutory Meaning Established by Court</w:t>
              <w:br/>
            </w:r>
          </w:p>
          <w:p>
            <w:pPr>
              <w:spacing w:before="20" w:after="40" w:line="276" w:lineRule="auto"/>
            </w:pPr>
            <w:r>
              <w:rPr>
                <w:rFonts w:ascii="Calibri" w:hAnsi="Calibri"/>
                <w:color w:val="212529"/>
                <w:sz w:val="19"/>
              </w:rPr>
              <w:t>NO. Section 140 of the Local Government Code does NOT authorize provinces to tax resorts and swimming pools. Under the rule of Ejusdem Generis, the general term 'other places of amusement' is restricted to venues of the same kind as theaters, cinemas, concert halls, and circuses.</w:t>
            </w:r>
          </w:p>
        </w:tc>
      </w:tr>
    </w:tbl>
    <w:p>
      <w:pPr>
        <w:keepNext/>
        <w:spacing w:before="240" w:after="60"/>
      </w:pPr>
      <w:r>
        <w:rPr>
          <w:rFonts w:ascii="Arial" w:hAnsi="Arial"/>
          <w:b/>
          <w:color w:val="0F2043"/>
          <w:sz w:val="21"/>
        </w:rPr>
        <w:t>VI. HOW THE COURT CONSTRUED THE LAW</w:t>
      </w:r>
    </w:p>
    <w:tbl>
      <w:tblPr>
        <w:tblW w:type="auto" w:w="0"/>
        <w:jc w:val="center"/>
        <w:tblLook w:firstColumn="1" w:firstRow="1" w:lastColumn="0" w:lastRow="0" w:noHBand="0" w:noVBand="1" w:val="04A0"/>
      </w:tblPr>
      <w:tblGrid>
        <w:gridCol w:w="9648"/>
      </w:tblGrid>
      <w:tr>
        <w:tc>
          <w:tcPr>
            <w:tcW w:type="dxa" w:w="9648"/>
            <w:shd w:fill="F8F9FB"/>
            <w:tcMar>
              <w:top w:w="100" w:type="dxa"/>
              <w:bottom w:w="100" w:type="dxa"/>
              <w:left w:w="160" w:type="dxa"/>
              <w:right w:w="160" w:type="dxa"/>
            </w:tcMar>
          </w:tcPr>
          <w:p>
            <w:pPr>
              <w:spacing w:before="20" w:after="40"/>
            </w:pPr>
            <w:r>
              <w:rPr>
                <w:rFonts w:ascii="Arial" w:hAnsi="Arial"/>
                <w:b/>
                <w:color w:val="0F2043"/>
                <w:sz w:val="19"/>
              </w:rPr>
              <w:t>Methodological &amp; Doctrinal Analysis</w:t>
              <w:br/>
            </w:r>
          </w:p>
          <w:p>
            <w:pPr>
              <w:spacing w:before="20" w:after="40" w:line="276" w:lineRule="auto"/>
            </w:pPr>
            <w:r>
              <w:rPr>
                <w:rFonts w:ascii="Calibri" w:hAnsi="Calibri"/>
                <w:b/>
                <w:color w:val="212529"/>
                <w:sz w:val="19"/>
              </w:rPr>
              <w:t xml:space="preserve">A. Why Was Construction Necessary? </w:t>
            </w:r>
            <w:r>
              <w:rPr>
                <w:rFonts w:ascii="Calibri" w:hAnsi="Calibri"/>
                <w:color w:val="212529"/>
                <w:sz w:val="19"/>
              </w:rPr>
              <w:t>The presence of general terms alongside specific enumerations created ambiguity as to the intended scope and class of covered acts or subjects.</w:t>
            </w:r>
          </w:p>
          <w:p>
            <w:pPr>
              <w:spacing w:before="20" w:after="40" w:line="276" w:lineRule="auto"/>
            </w:pPr>
            <w:r>
              <w:rPr>
                <w:rFonts w:ascii="Calibri" w:hAnsi="Calibri"/>
                <w:b/>
                <w:color w:val="212529"/>
                <w:sz w:val="19"/>
              </w:rPr>
              <w:t xml:space="preserve">B. Purpose of Construction: </w:t>
            </w:r>
            <w:r>
              <w:rPr>
                <w:rFonts w:ascii="Calibri" w:hAnsi="Calibri"/>
                <w:color w:val="212529"/>
                <w:sz w:val="19"/>
              </w:rPr>
              <w:t>To ascertain legislative intent and give harmonious effect to associated words by restricting general terms to the class of specific words.</w:t>
            </w:r>
          </w:p>
          <w:p>
            <w:pPr>
              <w:spacing w:before="20" w:after="40" w:line="276" w:lineRule="auto"/>
            </w:pPr>
            <w:r>
              <w:rPr>
                <w:rFonts w:ascii="Calibri" w:hAnsi="Calibri"/>
                <w:b/>
                <w:color w:val="212529"/>
                <w:sz w:val="19"/>
              </w:rPr>
              <w:t xml:space="preserve">C. Method, Canon, or Rule Applied: </w:t>
            </w:r>
            <w:r>
              <w:rPr>
                <w:rFonts w:ascii="Calibri" w:hAnsi="Calibri"/>
                <w:color w:val="212529"/>
                <w:sz w:val="19"/>
              </w:rPr>
              <w:t>Ejusdem generis</w:t>
              <w:br/>
              <w:t xml:space="preserve">   - Application: Doctrine of Ejusdem Generis: Where general words follow particular and specific words, the general words must be confined to things of the same kind (ejusdem generis) as those specified.</w:t>
              <w:br/>
              <w:t xml:space="preserve">   - Result: No. Under Ejusdem Generis, when a law gives a specific list (theaters, cinemas, concert halls) followed by general words ('other places of amusement'), the general words only include things of the exact same kind—namely, places where you watch performances, not places where you swim.</w:t>
            </w:r>
          </w:p>
          <w:p>
            <w:pPr>
              <w:spacing w:before="20" w:after="40" w:line="276" w:lineRule="auto"/>
            </w:pPr>
            <w:r>
              <w:rPr>
                <w:rFonts w:ascii="Calibri" w:hAnsi="Calibri"/>
                <w:b/>
                <w:color w:val="212529"/>
                <w:sz w:val="19"/>
              </w:rPr>
              <w:t xml:space="preserve">D. Other Sources Used: </w:t>
            </w:r>
            <w:r>
              <w:rPr>
                <w:rFonts w:ascii="Calibri" w:hAnsi="Calibri"/>
                <w:color w:val="212529"/>
                <w:sz w:val="19"/>
              </w:rPr>
              <w:t>Ordinary meaning of words, statute considered as a whole, legislative history, and established Supreme Court jurisprudence.</w:t>
            </w:r>
          </w:p>
        </w:tc>
      </w:tr>
    </w:tbl>
    <w:p>
      <w:pPr>
        <w:keepNext/>
        <w:spacing w:before="240" w:after="60"/>
      </w:pPr>
      <w:r>
        <w:rPr>
          <w:rFonts w:ascii="Arial" w:hAnsi="Arial"/>
          <w:b/>
          <w:color w:val="0F2043"/>
          <w:sz w:val="21"/>
        </w:rPr>
        <w:t>VII. RELEVANT STATUTORY-CONSTRUCTION CONCEPTS (A–L EVALUATION)</w:t>
      </w:r>
    </w:p>
    <w:tbl>
      <w:tblPr>
        <w:tblW w:type="auto" w:w="0"/>
        <w:jc w:val="center"/>
        <w:tblLook w:firstColumn="1" w:firstRow="1" w:lastColumn="0" w:lastRow="0" w:noHBand="0" w:noVBand="1" w:val="04A0"/>
      </w:tblPr>
      <w:tblGrid>
        <w:gridCol w:w="4824"/>
        <w:gridCol w:w="4824"/>
      </w:tblGrid>
      <w:tr>
        <w:tc>
          <w:tcPr>
            <w:tcW w:type="dxa" w:w="4824"/>
            <w:shd w:fill="EBF0F8"/>
            <w:tcMar>
              <w:top w:w="70" w:type="dxa"/>
              <w:bottom w:w="70" w:type="dxa"/>
              <w:left w:w="100" w:type="dxa"/>
              <w:right w:w="100" w:type="dxa"/>
            </w:tcMar>
          </w:tcPr>
          <w:p>
            <w:pPr>
              <w:spacing w:before="20" w:after="20"/>
            </w:pPr>
            <w:r>
              <w:rPr>
                <w:rFonts w:ascii="Arial" w:hAnsi="Arial"/>
                <w:b/>
                <w:color w:val="0F2043"/>
                <w:sz w:val="18"/>
              </w:rPr>
              <w:t>A. Situs of Statutory Construction</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Supreme Court of the Philippines, exercising its constitutional judicial power under Article VIII of the Constitution, serves as the ultimate situs and final arbiter for interpreting and construing the disputed provision.</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B. Purpose of Statutory Construction</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purpose of construction is to discover and effectuate the true legislative intent and will of the lawmaking body, preventing injustice and ensuring the statute operates harmoniously.</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C. When to Construe</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Construction became imperative because the text contained an ambiguity, competing interpretations, or conflicting statutory provisions that required judicial determination of legislative intent.</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D. Ambiguity or Vagueness</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controversy centered on the ambiguity, silence, or conflicting scope of the statutory language, which the Court resolved by examining legislative intent and governing maxims.</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E. Verba Legis Non Est Recedendum</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781E1E"/>
                <w:sz w:val="17"/>
              </w:rPr>
              <w:t xml:space="preserve"> [NOT APPLICABLE] </w:t>
            </w:r>
            <w:r>
              <w:rPr>
                <w:rFonts w:ascii="Calibri" w:hAnsi="Calibri"/>
                <w:color w:val="212529"/>
                <w:sz w:val="18"/>
              </w:rPr>
              <w:t>Not Applicable. The Court looked beyond literal words to discover the underlying legislative spirit, context, and intent.</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F. Absoluta Sententia Expositore Non Indigent</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781E1E"/>
                <w:sz w:val="17"/>
              </w:rPr>
              <w:t xml:space="preserve"> [NOT APPLICABLE] </w:t>
            </w:r>
            <w:r>
              <w:rPr>
                <w:rFonts w:ascii="Calibri" w:hAnsi="Calibri"/>
                <w:color w:val="212529"/>
                <w:sz w:val="18"/>
              </w:rPr>
              <w:t>Not Applicable. The statutory language required expository interpretation due to textual gaps, broad phrasing, or conflicting provisions.</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G. Legislative Intent</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Court analyzed the true intent and policy of the lawmaking authority, ensuring that the statutory purpose is preserved and not defeated by erroneous administrative or private interpretations.</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H. Strict or Liberal Construction</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781E1E"/>
                <w:sz w:val="17"/>
              </w:rPr>
              <w:t xml:space="preserve"> [NOT APPLICABLE] </w:t>
            </w:r>
            <w:r>
              <w:rPr>
                <w:rFonts w:ascii="Calibri" w:hAnsi="Calibri"/>
                <w:color w:val="212529"/>
                <w:sz w:val="18"/>
              </w:rPr>
              <w:t>Not Applicable. The Court applied standard ordinary rules of statutory interpretation without resorting to special strict or liberal construction doctrines.</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I. Prospective or Retrospective Construction</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781E1E"/>
                <w:sz w:val="17"/>
              </w:rPr>
              <w:t xml:space="preserve"> [NOT APPLICABLE] </w:t>
            </w:r>
            <w:r>
              <w:rPr>
                <w:rFonts w:ascii="Calibri" w:hAnsi="Calibri"/>
                <w:color w:val="212529"/>
                <w:sz w:val="18"/>
              </w:rPr>
              <w:t>Not Applicable. The case involved only the contemporaneous, prospective application of the governing law.</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J. Statutory Construction vs. Judicial Legislation</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Court underscored the constitutional boundary of judicial power: Courts are empowered solely to interpret (jus dicere), not to enact or amend laws (jus dare). Supplying unwritten terms or expanding clear prohibitions constitutes prohibited judicial legislation.</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K. Legis Interpretatio Legis Vim Obtinet</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Under Article 8 of the Civil Code, the Supreme Court's authoritative interpretation of the statute forms part of the legal system of the Philippines and acquires the force of law (*legis interpretatio legis vim obtinet*).</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L. Extent and Limits of the Power to Construe</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Court respected the constitutional limits of its authority by applying the law as written and refusing to invade the legislative domain under the guise of equity or expediency.</w:t>
            </w:r>
          </w:p>
        </w:tc>
      </w:tr>
    </w:tbl>
    <w:p>
      <w:pPr>
        <w:keepNext/>
        <w:spacing w:before="240" w:after="60"/>
      </w:pPr>
      <w:r>
        <w:rPr>
          <w:rFonts w:ascii="Arial" w:hAnsi="Arial"/>
          <w:b/>
          <w:color w:val="0F2043"/>
          <w:sz w:val="21"/>
        </w:rPr>
        <w:t>VIII. OTHER CANONS OR METHODS OF CONSTRUCTION</w:t>
      </w:r>
    </w:p>
    <w:tbl>
      <w:tblPr>
        <w:tblW w:type="auto" w:w="0"/>
        <w:jc w:val="center"/>
        <w:tblLook w:firstColumn="1" w:firstRow="1" w:lastColumn="0" w:lastRow="0" w:noHBand="0" w:noVBand="1" w:val="04A0"/>
      </w:tblPr>
      <w:tblGrid>
        <w:gridCol w:w="9648"/>
      </w:tblGrid>
      <w:tr>
        <w:tc>
          <w:tcPr>
            <w:tcW w:type="dxa" w:w="9648"/>
            <w:shd w:fill="F8F9FB"/>
            <w:tcMar>
              <w:top w:w="100" w:type="dxa"/>
              <w:bottom w:w="100" w:type="dxa"/>
              <w:left w:w="160" w:type="dxa"/>
              <w:right w:w="160" w:type="dxa"/>
            </w:tcMar>
          </w:tcPr>
          <w:p>
            <w:pPr>
              <w:spacing w:before="20" w:after="40"/>
            </w:pPr>
            <w:r>
              <w:rPr>
                <w:rFonts w:ascii="Arial" w:hAnsi="Arial"/>
                <w:b/>
                <w:color w:val="0F2043"/>
                <w:sz w:val="19"/>
              </w:rPr>
              <w:t>Secondary Rules &amp; Canons Applied</w:t>
              <w:br/>
            </w:r>
          </w:p>
          <w:p>
            <w:pPr>
              <w:spacing w:before="20" w:after="40" w:line="276" w:lineRule="auto"/>
            </w:pPr>
            <w:r>
              <w:rPr>
                <w:rFonts w:ascii="Calibri" w:hAnsi="Calibri"/>
                <w:b/>
                <w:color w:val="212529"/>
                <w:sz w:val="19"/>
              </w:rPr>
              <w:t xml:space="preserve">• Canon / Maxim: </w:t>
            </w:r>
            <w:r>
              <w:rPr>
                <w:rFonts w:ascii="Calibri" w:hAnsi="Calibri"/>
                <w:color w:val="212529"/>
                <w:sz w:val="19"/>
              </w:rPr>
              <w:t>• Noscitur a sociis (known by its companions)</w:t>
              <w:br/>
              <w:t>• Strictissimi juris (strict construction of tax statutes)</w:t>
            </w:r>
          </w:p>
          <w:p>
            <w:pPr>
              <w:spacing w:before="20" w:after="40" w:line="276" w:lineRule="auto"/>
            </w:pPr>
            <w:r>
              <w:rPr>
                <w:rFonts w:ascii="Calibri" w:hAnsi="Calibri"/>
                <w:b/>
                <w:color w:val="212529"/>
                <w:sz w:val="19"/>
              </w:rPr>
              <w:t xml:space="preserve">• How Applied: </w:t>
            </w:r>
            <w:r>
              <w:rPr>
                <w:rFonts w:ascii="Calibri" w:hAnsi="Calibri"/>
                <w:color w:val="212529"/>
                <w:sz w:val="19"/>
              </w:rPr>
              <w:t>Applied as corroborative canons to reinforce the primary rule of construction.</w:t>
            </w:r>
          </w:p>
          <w:p>
            <w:pPr>
              <w:spacing w:before="20" w:after="40" w:line="276" w:lineRule="auto"/>
            </w:pPr>
            <w:r>
              <w:rPr>
                <w:rFonts w:ascii="Calibri" w:hAnsi="Calibri"/>
                <w:b/>
                <w:color w:val="212529"/>
                <w:sz w:val="19"/>
              </w:rPr>
              <w:t xml:space="preserve">• Effect on Interpretation: </w:t>
            </w:r>
            <w:r>
              <w:rPr>
                <w:rFonts w:ascii="Calibri" w:hAnsi="Calibri"/>
                <w:color w:val="212529"/>
                <w:sz w:val="19"/>
              </w:rPr>
              <w:t>Harmonized the statute and prevented an absurd or unjust result.</w:t>
            </w:r>
          </w:p>
        </w:tc>
      </w:tr>
    </w:tbl>
    <w:p>
      <w:pPr>
        <w:keepNext/>
        <w:spacing w:before="240" w:after="60"/>
      </w:pPr>
      <w:r>
        <w:rPr>
          <w:rFonts w:ascii="Arial" w:hAnsi="Arial"/>
          <w:b/>
          <w:color w:val="0F2043"/>
          <w:sz w:val="21"/>
        </w:rPr>
        <w:t>IX. THE CONSTRUCTION MADE BY THE COURT</w:t>
      </w:r>
    </w:p>
    <w:tbl>
      <w:tblPr>
        <w:tblW w:type="auto" w:w="0"/>
        <w:jc w:val="center"/>
        <w:tblLook w:firstColumn="1" w:firstRow="1" w:lastColumn="0" w:lastRow="0" w:noHBand="0" w:noVBand="1" w:val="04A0"/>
      </w:tblPr>
      <w:tblGrid>
        <w:gridCol w:w="9648"/>
      </w:tblGrid>
      <w:tr>
        <w:tc>
          <w:tcPr>
            <w:tcW w:type="dxa" w:w="9648"/>
            <w:shd w:fill="F9F8F5"/>
            <w:tcMar>
              <w:top w:w="100" w:type="dxa"/>
              <w:bottom w:w="100" w:type="dxa"/>
              <w:left w:w="160" w:type="dxa"/>
              <w:right w:w="160" w:type="dxa"/>
            </w:tcMar>
          </w:tcPr>
          <w:p>
            <w:pPr>
              <w:spacing w:before="20" w:after="40"/>
            </w:pPr>
            <w:r>
              <w:rPr>
                <w:rFonts w:ascii="Arial" w:hAnsi="Arial"/>
                <w:b/>
                <w:color w:val="0F2043"/>
                <w:sz w:val="19"/>
              </w:rPr>
              <w:t>Actual Judicial Construction &amp; Ratio</w:t>
              <w:br/>
            </w:r>
          </w:p>
          <w:p>
            <w:pPr>
              <w:spacing w:before="20" w:after="40" w:line="276" w:lineRule="auto"/>
            </w:pPr>
            <w:r>
              <w:rPr>
                <w:rFonts w:ascii="Calibri" w:hAnsi="Calibri"/>
                <w:b/>
                <w:color w:val="212529"/>
                <w:sz w:val="19"/>
              </w:rPr>
              <w:t xml:space="preserve">• Construction Summary: </w:t>
            </w:r>
            <w:r>
              <w:rPr>
                <w:rFonts w:ascii="Calibri" w:hAnsi="Calibri"/>
                <w:color w:val="212529"/>
                <w:sz w:val="19"/>
              </w:rPr>
              <w:t>The Court construed the disputed statutory provisions in Pelizloy Realty Corporation v. The Province of Benguet to mean and apply strictly in accordance with Ejusdem generis, holding that No. Under Ejusdem Generis, when a law gives a specific list (theaters, cinemas, concert halls) followed by general words ('other places of amusement'), the gene.</w:t>
            </w:r>
          </w:p>
          <w:p>
            <w:pPr>
              <w:spacing w:before="20" w:after="40" w:line="276" w:lineRule="auto"/>
            </w:pPr>
            <w:r>
              <w:rPr>
                <w:rFonts w:ascii="Calibri" w:hAnsi="Calibri"/>
                <w:b/>
                <w:color w:val="212529"/>
                <w:sz w:val="19"/>
              </w:rPr>
              <w:t xml:space="preserve">• Principal Reasoning: </w:t>
            </w:r>
            <w:r>
              <w:rPr>
                <w:rFonts w:ascii="Calibri" w:hAnsi="Calibri"/>
                <w:color w:val="212529"/>
                <w:sz w:val="19"/>
              </w:rPr>
              <w:t>The specific list in the law consists entirely of spectator venues where audiences sit down to watch a show. A swimming pool is a place where you put on swimwear and do exercise. Because swimming is completely different from watching a concert, Ejusdem Generis forbids the province from taxing pools under that section.</w:t>
            </w:r>
          </w:p>
        </w:tc>
      </w:tr>
    </w:tbl>
    <w:tbl>
      <w:tblPr>
        <w:tblW w:type="auto" w:w="0"/>
        <w:jc w:val="center"/>
        <w:tblLook w:firstColumn="1" w:firstRow="1" w:lastColumn="0" w:lastRow="0" w:noHBand="0" w:noVBand="1" w:val="04A0"/>
      </w:tblPr>
      <w:tblGrid>
        <w:gridCol w:w="9648"/>
      </w:tblGrid>
      <w:tr>
        <w:tc>
          <w:tcPr>
            <w:tcW w:type="dxa" w:w="9648"/>
            <w:shd w:fill="EEF6F0"/>
            <w:tcMar>
              <w:top w:w="100" w:type="dxa"/>
              <w:bottom w:w="100" w:type="dxa"/>
              <w:left w:w="160" w:type="dxa"/>
              <w:right w:w="160" w:type="dxa"/>
            </w:tcMar>
          </w:tcPr>
          <w:p>
            <w:pPr>
              <w:spacing w:before="20" w:after="40"/>
            </w:pPr>
            <w:r>
              <w:rPr>
                <w:rFonts w:ascii="Arial" w:hAnsi="Arial"/>
                <w:b/>
                <w:color w:val="0D6E4B"/>
                <w:sz w:val="19"/>
              </w:rPr>
              <w:t>X. STATUTORY CONSTRUCTION OR JUDICIAL LEGISLATION?</w:t>
              <w:br/>
            </w:r>
          </w:p>
          <w:p>
            <w:pPr>
              <w:spacing w:before="20" w:after="60"/>
            </w:pPr>
            <w:r>
              <w:rPr>
                <w:rFonts w:ascii="Arial" w:hAnsi="Arial"/>
                <w:b/>
                <w:color w:val="0F2043"/>
                <w:sz w:val="19"/>
              </w:rPr>
              <w:t>☑ Proper statutory construction    ☐ Judicial legislation    ☐ Debatable</w:t>
            </w:r>
          </w:p>
          <w:p>
            <w:pPr>
              <w:spacing w:before="40" w:after="40" w:line="276" w:lineRule="auto"/>
            </w:pPr>
            <w:r>
              <w:rPr>
                <w:rFonts w:ascii="Calibri" w:hAnsi="Calibri"/>
                <w:b/>
                <w:color w:val="212529"/>
                <w:sz w:val="19"/>
              </w:rPr>
              <w:t>Explanation (3–5 sentences):</w:t>
              <w:br/>
            </w:r>
            <w:r>
              <w:rPr>
                <w:rFonts w:ascii="Calibri" w:hAnsi="Calibri"/>
                <w:color w:val="212529"/>
                <w:sz w:val="19"/>
              </w:rPr>
              <w:t>The Supreme Court acted within the legitimate bounds of its constitutional power to interpret the law (jus dicere). By applying Ejusdem generis, the Court faithfully effectuated the legislative intent without creating new rules, modifying clear statutory text, or usurping congressional prerogative. The ruling reinforces the separation of powers and the doctrine that courts must enforce the law as enacted.</w:t>
            </w:r>
          </w:p>
        </w:tc>
      </w:tr>
    </w:tbl>
    <w:p>
      <w:pPr>
        <w:spacing w:before="80" w:after="40"/>
      </w:pPr>
    </w:p>
    <w:tbl>
      <w:tblPr>
        <w:tblW w:type="auto" w:w="0"/>
        <w:jc w:val="center"/>
        <w:tblLook w:firstColumn="1" w:firstRow="1" w:lastColumn="0" w:lastRow="0" w:noHBand="0" w:noVBand="1" w:val="04A0"/>
      </w:tblPr>
      <w:tblGrid>
        <w:gridCol w:w="9648"/>
      </w:tblGrid>
      <w:tr>
        <w:tc>
          <w:tcPr>
            <w:tcW w:type="dxa" w:w="9648"/>
            <w:shd w:fill="FBF6EE"/>
            <w:tcMar>
              <w:top w:w="100" w:type="dxa"/>
              <w:bottom w:w="100" w:type="dxa"/>
              <w:left w:w="160" w:type="dxa"/>
              <w:right w:w="160" w:type="dxa"/>
            </w:tcMar>
          </w:tcPr>
          <w:p>
            <w:pPr>
              <w:spacing w:before="20" w:after="40"/>
            </w:pPr>
            <w:r>
              <w:rPr>
                <w:rFonts w:ascii="Arial" w:hAnsi="Arial"/>
                <w:b/>
                <w:color w:val="8C3200"/>
                <w:sz w:val="19"/>
              </w:rPr>
              <w:t>XI. DOCTRINE (Statutory Construction Principle):</w:t>
              <w:br/>
            </w:r>
            <w:r>
              <w:rPr>
                <w:rFonts w:ascii="Calibri" w:hAnsi="Calibri"/>
                <w:color w:val="212529"/>
                <w:sz w:val="19"/>
              </w:rPr>
              <w:t>Doctrine of Ejusdem Generis: Where general words follow particular and specific words, the general words must be confined to things of the same kind (ejusdem generis) as those specified.</w:t>
              <w:br/>
              <w:br/>
            </w:r>
          </w:p>
          <w:p>
            <w:pPr>
              <w:spacing w:before="20" w:after="40"/>
            </w:pPr>
            <w:r>
              <w:rPr>
                <w:rFonts w:ascii="Arial" w:hAnsi="Arial"/>
                <w:b/>
                <w:color w:val="8C3200"/>
                <w:sz w:val="19"/>
              </w:rPr>
              <w:t>XII. ONE-SENTENCE TAKEAWAY:</w:t>
              <w:br/>
            </w:r>
            <w:r>
              <w:rPr>
                <w:rFonts w:ascii="Calibri" w:hAnsi="Calibri"/>
                <w:i/>
                <w:color w:val="212529"/>
                <w:sz w:val="19"/>
              </w:rPr>
              <w:t>This case is important in Statutory Construction because When a law lists specific examples followed by 'and others', the 'others' must be the exact same type of thing as the examples listed.</w:t>
            </w:r>
          </w:p>
        </w:tc>
      </w:tr>
    </w:tbl>
    <w:p>
      <w:r>
        <w:br w:type="page"/>
      </w:r>
    </w:p>
    <w:p>
      <w:pPr>
        <w:keepNext/>
        <w:spacing w:before="320" w:after="80"/>
      </w:pPr>
      <w:r>
        <w:rPr>
          <w:rFonts w:ascii="Arial" w:hAnsi="Arial"/>
          <w:b/>
          <w:color w:val="0F2043"/>
          <w:sz w:val="26"/>
        </w:rPr>
        <w:t>35. COCA-COLA BOTTLERS, PHILS., INC. (CCBPI) V. CITY OF MANILA AND LIBERTY M. GOMEZ</w:t>
      </w:r>
    </w:p>
    <w:p>
      <w:pPr>
        <w:spacing w:before="40" w:after="80" w:line="276" w:lineRule="auto"/>
      </w:pPr>
      <w:r>
        <w:rPr>
          <w:rFonts w:ascii="Calibri" w:hAnsi="Calibri"/>
          <w:b/>
          <w:color w:val="212529"/>
          <w:sz w:val="21"/>
        </w:rPr>
        <w:t xml:space="preserve">Citation: </w:t>
      </w:r>
      <w:r>
        <w:rPr>
          <w:rFonts w:ascii="Calibri" w:hAnsi="Calibri"/>
          <w:i/>
          <w:color w:val="212529"/>
          <w:sz w:val="21"/>
        </w:rPr>
        <w:t>G.R. No. 154491 | November 14, 2008 | 571 SCRA 18 | First Division | Ponente: J. Azcuna</w:t>
      </w:r>
    </w:p>
    <w:p>
      <w:pPr>
        <w:keepNext/>
        <w:spacing w:before="200" w:after="40"/>
      </w:pPr>
      <w:r>
        <w:rPr>
          <w:rFonts w:ascii="Arial" w:hAnsi="Arial"/>
          <w:b/>
          <w:color w:val="781E1E"/>
          <w:sz w:val="22"/>
        </w:rPr>
        <w:t>LAYER A: ALAC DIGEST, RECITATION SCRIPT &amp; STATCON ANALYSIS</w:t>
      </w:r>
    </w:p>
    <w:p>
      <w:pPr>
        <w:keepNext/>
        <w:spacing w:before="200" w:after="40"/>
      </w:pPr>
      <w:r>
        <w:rPr>
          <w:rFonts w:ascii="Arial" w:hAnsi="Arial"/>
          <w:b/>
          <w:color w:val="781E1E"/>
          <w:sz w:val="22"/>
        </w:rPr>
        <w:t>I. PARTIES &amp; PROCEDURAL BACKGROUND</w:t>
      </w:r>
    </w:p>
    <w:p>
      <w:pPr>
        <w:spacing w:before="40" w:after="80" w:line="276" w:lineRule="auto"/>
      </w:pPr>
      <w:r>
        <w:rPr>
          <w:rFonts w:ascii="Calibri" w:hAnsi="Calibri"/>
          <w:b/>
          <w:color w:val="212529"/>
          <w:sz w:val="21"/>
        </w:rPr>
        <w:t xml:space="preserve">• Plaintiff/Petitioner: </w:t>
      </w:r>
      <w:r>
        <w:rPr>
          <w:rFonts w:ascii="Calibri" w:hAnsi="Calibri"/>
          <w:i w:val="0"/>
          <w:color w:val="212529"/>
          <w:sz w:val="21"/>
        </w:rPr>
        <w:t>Coca-Cola Bottlers, Phils., Inc. (Petitioner)</w:t>
      </w:r>
    </w:p>
    <w:p>
      <w:pPr>
        <w:spacing w:before="40" w:after="80" w:line="276" w:lineRule="auto"/>
      </w:pPr>
      <w:r>
        <w:rPr>
          <w:rFonts w:ascii="Calibri" w:hAnsi="Calibri"/>
          <w:b/>
          <w:color w:val="212529"/>
          <w:sz w:val="21"/>
        </w:rPr>
        <w:t xml:space="preserve">• Defendant/Respondent: </w:t>
      </w:r>
      <w:r>
        <w:rPr>
          <w:rFonts w:ascii="Calibri" w:hAnsi="Calibri"/>
          <w:i w:val="0"/>
          <w:color w:val="212529"/>
          <w:sz w:val="21"/>
        </w:rPr>
        <w:t>City of Manila and Liberty M. Gomez, City Treasurer (Respondents)</w:t>
      </w:r>
    </w:p>
    <w:p>
      <w:pPr>
        <w:spacing w:before="40" w:after="80" w:line="276" w:lineRule="auto"/>
      </w:pPr>
      <w:r>
        <w:rPr>
          <w:rFonts w:ascii="Calibri" w:hAnsi="Calibri"/>
          <w:b/>
          <w:color w:val="212529"/>
          <w:sz w:val="21"/>
        </w:rPr>
        <w:t xml:space="preserve">• Originating Court: </w:t>
      </w:r>
      <w:r>
        <w:rPr>
          <w:rFonts w:ascii="Calibri" w:hAnsi="Calibri"/>
          <w:i w:val="0"/>
          <w:color w:val="212529"/>
          <w:sz w:val="21"/>
        </w:rPr>
        <w:t>Regional Trial Court of Manila (Branch 21) / Court of Appeals</w:t>
      </w:r>
    </w:p>
    <w:p>
      <w:pPr>
        <w:spacing w:before="40" w:after="80" w:line="276" w:lineRule="auto"/>
      </w:pPr>
      <w:r>
        <w:rPr>
          <w:rFonts w:ascii="Calibri" w:hAnsi="Calibri"/>
          <w:b/>
          <w:color w:val="212529"/>
          <w:sz w:val="21"/>
        </w:rPr>
        <w:t xml:space="preserve">• Nature of the Action: </w:t>
      </w:r>
      <w:r>
        <w:rPr>
          <w:rFonts w:ascii="Calibri" w:hAnsi="Calibri"/>
          <w:i w:val="0"/>
          <w:color w:val="212529"/>
          <w:sz w:val="21"/>
        </w:rPr>
        <w:t>Petition for Review on Certiorari under Rule 45 concerning double taxation and interpretation of Section 143 of the Local Government Code versus Manila Tax Ordinance No. 7794 and 7807.</w:t>
      </w:r>
    </w:p>
    <w:p>
      <w:pPr>
        <w:keepNext/>
        <w:spacing w:before="200" w:after="40"/>
      </w:pPr>
      <w:r>
        <w:rPr>
          <w:rFonts w:ascii="Arial" w:hAnsi="Arial"/>
          <w:b/>
          <w:color w:val="781E1E"/>
          <w:sz w:val="22"/>
        </w:rPr>
        <w:t>II. WHOLE FACTS</w:t>
      </w:r>
    </w:p>
    <w:p>
      <w:pPr>
        <w:spacing w:before="40" w:after="80" w:line="276" w:lineRule="auto"/>
      </w:pPr>
      <w:r>
        <w:rPr>
          <w:rFonts w:ascii="Calibri" w:hAnsi="Calibri"/>
          <w:i w:val="0"/>
          <w:color w:val="212529"/>
          <w:sz w:val="21"/>
        </w:rPr>
        <w:t>Coca-Cola Bottlers, Phils., Inc. manufactures and sells beverages in the City of Manila. The City of Manila assessed CCBPI under Section 14 of Manila Tax Ordinance No. 7794 as a 'manufacturer' of beverages, and simultaneously assessed CCBPI under Section 21 of the same ordinance as a 'distributor/dealer' of businesses subject to excise tax under the NIRC. CCBPI protested, arguing that under Section 143 of the Local Government Code, a single business enterprise cannot be subjected to double business tax on both manufacturing and distributing when the distribution is merely an incidental part of its manufacturing business.</w:t>
      </w:r>
    </w:p>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SUMMARY OF FACTS</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The City of Manila taxed Coca-Cola twice on the very same bottles of soda: first as a manufacturer, and second as a distributor. Coca-Cola protested, arguing that making soda and delivering it are part of one single manufacturing business, and the Local Government Code does not allow cities to slap double business taxes on the same revenue. The Supreme Court ruled that double taxation is prohibited where the statute does not expressly authorize it.</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When reciting the facts, state the core dispute in 2 sentences, then state how the case reached the Supreme Court.</w:t>
            </w:r>
          </w:p>
        </w:tc>
      </w:tr>
    </w:tbl>
    <w:p>
      <w:pPr>
        <w:keepNext/>
        <w:spacing w:before="200" w:after="40"/>
      </w:pPr>
      <w:r>
        <w:rPr>
          <w:rFonts w:ascii="Arial" w:hAnsi="Arial"/>
          <w:b/>
          <w:color w:val="781E1E"/>
          <w:sz w:val="22"/>
        </w:rPr>
        <w:t>III. THE LEGAL ISSUE</w:t>
      </w:r>
    </w:p>
    <w:p>
      <w:pPr>
        <w:spacing w:before="40" w:after="80" w:line="276" w:lineRule="auto"/>
      </w:pPr>
      <w:r>
        <w:rPr>
          <w:rFonts w:ascii="Calibri" w:hAnsi="Calibri"/>
          <w:i w:val="0"/>
          <w:color w:val="212529"/>
          <w:sz w:val="21"/>
        </w:rPr>
        <w:t>Whether or not the City of Manila can tax a beverage company simultaneously as a manufacturer and as a distributor on the same sales receipts under the Local Government Code.</w:t>
      </w:r>
    </w:p>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THE LEGAL ISSUE</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Can a city government charge a company double business taxes on the same soft drinks by taxing them once as a maker and again as a seller?</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"Sir/Ma'am, the issue is whether the Local Government Code permits double taxation on the same business activity, testing the Presumption Against Double Taxation (In Dubio Contra Duplicem Taxationem) and strict construction of municipal taxing statutes."</w:t>
            </w:r>
          </w:p>
        </w:tc>
      </w:tr>
    </w:tbl>
    <w:p>
      <w:pPr>
        <w:keepNext/>
        <w:spacing w:before="200" w:after="40"/>
      </w:pPr>
      <w:r>
        <w:rPr>
          <w:rFonts w:ascii="Arial" w:hAnsi="Arial"/>
          <w:b/>
          <w:color w:val="781E1E"/>
          <w:sz w:val="22"/>
        </w:rPr>
        <w:t>IV. ALAC DIGEST</w:t>
      </w:r>
    </w:p>
    <w:tbl>
      <w:tblPr>
        <w:tblW w:type="auto" w:w="0"/>
        <w:jc w:val="center"/>
        <w:tblLook w:firstColumn="1" w:firstRow="1" w:lastColumn="0" w:lastRow="0" w:noHBand="0" w:noVBand="1" w:val="04A0"/>
      </w:tblPr>
      <w:tblGrid>
        <w:gridCol w:w="9648"/>
      </w:tblGrid>
      <w:tr>
        <w:tc>
          <w:tcPr>
            <w:tcW w:type="dxa" w:w="9648"/>
            <w:shd w:fill="F4F6F9"/>
            <w:tcMar>
              <w:top w:w="120" w:type="dxa"/>
              <w:bottom w:w="120" w:type="dxa"/>
              <w:left w:w="180" w:type="dxa"/>
              <w:right w:w="180" w:type="dxa"/>
            </w:tcMar>
          </w:tcPr>
          <w:p>
            <w:pPr>
              <w:spacing w:before="40" w:after="60"/>
            </w:pPr>
            <w:r>
              <w:rPr>
                <w:rFonts w:ascii="Arial" w:hAnsi="Arial"/>
                <w:b/>
                <w:color w:val="0F2043"/>
                <w:sz w:val="21"/>
              </w:rPr>
              <w:t>[A] ANSWER</w:t>
              <w:br/>
            </w:r>
          </w:p>
          <w:p>
            <w:pPr>
              <w:spacing w:before="20" w:after="40" w:line="276" w:lineRule="auto"/>
            </w:pPr>
            <w:r>
              <w:rPr>
                <w:rFonts w:ascii="Calibri" w:hAnsi="Calibri"/>
                <w:color w:val="212529"/>
                <w:sz w:val="20"/>
              </w:rPr>
              <w:t>NO. The City of Manila CANNOT subject CCBPI to double taxation. In statutory construction, there is a strong presumption against double taxation unless the statute expressly and unmistakably authorizes it.</w:t>
            </w:r>
          </w:p>
        </w:tc>
      </w:tr>
    </w:tbl>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THE ANSWER</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No. Double taxation is heavily frowned upon by law. When a company manufactures soft drinks, selling them is part of manufacturing. A city cannot slice one business into two just to collect double tax.</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"No, Sir/Ma'am. The Supreme Court held that under the Presumption Against Double Taxation, tax statutes are construed strictly against the taxing power. Since Section 143 of the LGC treats manufacturing and distributing as separate categories, a manufacturer selling its own products cannot be taxed twice on both."</w:t>
            </w:r>
          </w:p>
        </w:tc>
      </w:tr>
    </w:tbl>
    <w:tbl>
      <w:tblPr>
        <w:tblW w:type="auto" w:w="0"/>
        <w:jc w:val="center"/>
        <w:tblLook w:firstColumn="1" w:firstRow="1" w:lastColumn="0" w:lastRow="0" w:noHBand="0" w:noVBand="1" w:val="04A0"/>
      </w:tblPr>
      <w:tblGrid>
        <w:gridCol w:w="9648"/>
      </w:tblGrid>
      <w:tr>
        <w:tc>
          <w:tcPr>
            <w:tcW w:type="dxa" w:w="9648"/>
            <w:shd w:fill="F4F6F9"/>
            <w:tcMar>
              <w:top w:w="120" w:type="dxa"/>
              <w:bottom w:w="120" w:type="dxa"/>
              <w:left w:w="180" w:type="dxa"/>
              <w:right w:w="180" w:type="dxa"/>
            </w:tcMar>
          </w:tcPr>
          <w:p>
            <w:pPr>
              <w:spacing w:before="40" w:after="60"/>
            </w:pPr>
            <w:r>
              <w:rPr>
                <w:rFonts w:ascii="Arial" w:hAnsi="Arial"/>
                <w:b/>
                <w:color w:val="0F2043"/>
                <w:sz w:val="21"/>
              </w:rPr>
              <w:t>[L] LEGAL BASIS</w:t>
              <w:br/>
            </w:r>
          </w:p>
          <w:p>
            <w:pPr>
              <w:spacing w:before="20" w:after="40" w:line="276" w:lineRule="auto"/>
            </w:pPr>
            <w:r>
              <w:rPr>
                <w:rFonts w:ascii="Calibri" w:hAnsi="Calibri"/>
                <w:b/>
                <w:color w:val="212529"/>
                <w:sz w:val="20"/>
              </w:rPr>
              <w:t xml:space="preserve">1. Section 143, Republic Act No. 7160 (Local Government Code): </w:t>
            </w:r>
            <w:r>
              <w:rPr>
                <w:rFonts w:ascii="Calibri" w:hAnsi="Calibri"/>
                <w:color w:val="212529"/>
                <w:sz w:val="20"/>
              </w:rPr>
              <w:t>Governs local business taxes on manufacturers and wholesalers/distributors.</w:t>
            </w:r>
          </w:p>
          <w:p>
            <w:pPr>
              <w:spacing w:before="20" w:after="40" w:line="276" w:lineRule="auto"/>
            </w:pPr>
            <w:r>
              <w:rPr>
                <w:rFonts w:ascii="Calibri" w:hAnsi="Calibri"/>
                <w:b/>
                <w:color w:val="212529"/>
                <w:sz w:val="20"/>
              </w:rPr>
              <w:t xml:space="preserve">2. Presumption Against Double Taxation (In Dubio Contra Duplicem Taxationem): </w:t>
            </w:r>
            <w:r>
              <w:rPr>
                <w:rFonts w:ascii="Calibri" w:hAnsi="Calibri"/>
                <w:color w:val="212529"/>
                <w:sz w:val="20"/>
              </w:rPr>
              <w:t>Doubts are resolved against the imposition of multiple taxes on the same subject matter for the same purpose.</w:t>
            </w:r>
          </w:p>
          <w:p>
            <w:pPr>
              <w:spacing w:before="20" w:after="40" w:line="276" w:lineRule="auto"/>
            </w:pPr>
            <w:r>
              <w:rPr>
                <w:rFonts w:ascii="Calibri" w:hAnsi="Calibri"/>
                <w:b/>
                <w:color w:val="212529"/>
                <w:sz w:val="20"/>
              </w:rPr>
              <w:t xml:space="preserve">3. Strictissimi Juris (of the strictest interpretation) in Local Taxation: </w:t>
            </w:r>
            <w:r>
              <w:rPr>
                <w:rFonts w:ascii="Calibri" w:hAnsi="Calibri"/>
                <w:color w:val="212529"/>
                <w:sz w:val="20"/>
              </w:rPr>
              <w:t>Municipal corporations have no inherent power of taxation; delegated authority must be exercised strictly within legislative limits.</w:t>
            </w:r>
          </w:p>
        </w:tc>
      </w:tr>
    </w:tbl>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LEGAL BASIS</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Section 143 LGC, Presumption Against Double Taxation, and Strictissimi Juris in taxation.</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"Sir/Ma'am, the legal basis is Section 143 of RA 7160, governed by the Presumption Against Double Taxation and Strictissimi Juris (strict construction against the taxing authority)."</w:t>
            </w:r>
          </w:p>
        </w:tc>
      </w:tr>
    </w:tbl>
    <w:tbl>
      <w:tblPr>
        <w:tblW w:type="auto" w:w="0"/>
        <w:jc w:val="center"/>
        <w:tblLook w:firstColumn="1" w:firstRow="1" w:lastColumn="0" w:lastRow="0" w:noHBand="0" w:noVBand="1" w:val="04A0"/>
      </w:tblPr>
      <w:tblGrid>
        <w:gridCol w:w="9648"/>
      </w:tblGrid>
      <w:tr>
        <w:tc>
          <w:tcPr>
            <w:tcW w:type="dxa" w:w="9648"/>
            <w:shd w:fill="F4F6F9"/>
            <w:tcMar>
              <w:top w:w="120" w:type="dxa"/>
              <w:bottom w:w="120" w:type="dxa"/>
              <w:left w:w="180" w:type="dxa"/>
              <w:right w:w="180" w:type="dxa"/>
            </w:tcMar>
          </w:tcPr>
          <w:p>
            <w:pPr>
              <w:spacing w:before="40" w:after="60"/>
            </w:pPr>
            <w:r>
              <w:rPr>
                <w:rFonts w:ascii="Arial" w:hAnsi="Arial"/>
                <w:b/>
                <w:color w:val="0F2043"/>
                <w:sz w:val="21"/>
              </w:rPr>
              <w:t>[A] ANALYSIS / APPLICATION</w:t>
              <w:br/>
            </w:r>
          </w:p>
          <w:p>
            <w:pPr>
              <w:spacing w:before="20" w:after="40" w:line="276" w:lineRule="auto"/>
            </w:pPr>
            <w:r>
              <w:rPr>
                <w:rFonts w:ascii="Calibri" w:hAnsi="Calibri"/>
                <w:b/>
                <w:color w:val="212529"/>
                <w:sz w:val="20"/>
              </w:rPr>
              <w:t xml:space="preserve">1. Presumption Against Double Taxation: </w:t>
            </w:r>
            <w:r>
              <w:rPr>
                <w:rFonts w:ascii="Calibri" w:hAnsi="Calibri"/>
                <w:color w:val="212529"/>
                <w:sz w:val="20"/>
              </w:rPr>
              <w:t>Double taxation is obnoxious and condemned in our legal system. It is never presumed, and a statute will not be construed as imposing double taxation unless the legislative intent is expressed in clear and categorical terms.</w:t>
            </w:r>
          </w:p>
          <w:p>
            <w:pPr>
              <w:spacing w:before="20" w:after="40" w:line="276" w:lineRule="auto"/>
            </w:pPr>
            <w:r>
              <w:rPr>
                <w:rFonts w:ascii="Calibri" w:hAnsi="Calibri"/>
                <w:b/>
                <w:color w:val="212529"/>
                <w:sz w:val="20"/>
              </w:rPr>
              <w:t xml:space="preserve">2. Incidental Nature of Distribution: </w:t>
            </w:r>
            <w:r>
              <w:rPr>
                <w:rFonts w:ascii="Calibri" w:hAnsi="Calibri"/>
                <w:color w:val="212529"/>
                <w:sz w:val="20"/>
              </w:rPr>
              <w:t>A manufacturer necessarily sells and distributes what it produces. To tax it as both manufacturer and distributor on the exact same gross sales creates prohibited double taxation.</w:t>
            </w:r>
          </w:p>
          <w:p>
            <w:pPr>
              <w:spacing w:before="20" w:after="40" w:line="276" w:lineRule="auto"/>
            </w:pPr>
            <w:r>
              <w:rPr>
                <w:rFonts w:ascii="Calibri" w:hAnsi="Calibri"/>
                <w:b/>
                <w:color w:val="212529"/>
                <w:sz w:val="20"/>
              </w:rPr>
              <w:t xml:space="preserve">3. Strict Interpretation Against Municipal Power: </w:t>
            </w:r>
            <w:r>
              <w:rPr>
                <w:rFonts w:ascii="Calibri" w:hAnsi="Calibri"/>
                <w:color w:val="212529"/>
                <w:sz w:val="20"/>
              </w:rPr>
              <w:t>Any ambiguity in municipal tax ordinances must be resolved strictly against the city and liberally in favor of the taxpayer.</w:t>
            </w:r>
          </w:p>
        </w:tc>
      </w:tr>
    </w:tbl>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ANALYSIS / APPLICATION</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Selling is part of making goods—you can't be a manufacturer without selling your products. If the city taxes you for making the soda, it cannot tax you again for handing the soda to stores. The Court held that unless Congress says 'tax them twice', the presumption against double taxation blocks the second tax.</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"Sir/Ma'am, the Court applied the presumption against double taxation. Statutes granting local taxing powers are strictly construed. The Court held that manufacturing includes distribution, and subjecting both to separate local taxes on the same gross receipts constitutes invalid double taxation."</w:t>
            </w:r>
          </w:p>
        </w:tc>
      </w:tr>
    </w:tbl>
    <w:tbl>
      <w:tblPr>
        <w:tblW w:type="auto" w:w="0"/>
        <w:jc w:val="center"/>
        <w:tblLook w:firstColumn="1" w:firstRow="1" w:lastColumn="0" w:lastRow="0" w:noHBand="0" w:noVBand="1" w:val="04A0"/>
      </w:tblPr>
      <w:tblGrid>
        <w:gridCol w:w="9648"/>
      </w:tblGrid>
      <w:tr>
        <w:tc>
          <w:tcPr>
            <w:tcW w:type="dxa" w:w="9648"/>
            <w:shd w:fill="F4F6F9"/>
            <w:tcMar>
              <w:top w:w="120" w:type="dxa"/>
              <w:bottom w:w="120" w:type="dxa"/>
              <w:left w:w="180" w:type="dxa"/>
              <w:right w:w="180" w:type="dxa"/>
            </w:tcMar>
          </w:tcPr>
          <w:p>
            <w:pPr>
              <w:spacing w:before="40" w:after="60"/>
            </w:pPr>
            <w:r>
              <w:rPr>
                <w:rFonts w:ascii="Arial" w:hAnsi="Arial"/>
                <w:b/>
                <w:color w:val="0F2043"/>
                <w:sz w:val="21"/>
              </w:rPr>
              <w:t>[C] CONCLUSION</w:t>
              <w:br/>
            </w:r>
          </w:p>
          <w:p>
            <w:pPr>
              <w:spacing w:before="20" w:after="40" w:line="276" w:lineRule="auto"/>
            </w:pPr>
            <w:r>
              <w:rPr>
                <w:rFonts w:ascii="Calibri" w:hAnsi="Calibri"/>
                <w:color w:val="212529"/>
                <w:sz w:val="20"/>
              </w:rPr>
              <w:t>The Supreme Court GRANTED the petition, REVERSED the Court of Appeals, and DECLARED the second tax assessment under Section 21 NULL AND VOID.</w:t>
            </w:r>
          </w:p>
        </w:tc>
      </w:tr>
    </w:tbl>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CONCLUSION</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Coca-Cola won and the second duplicate tax assessment was struck down.</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"The Supreme Court cancelled the double assessment, reaffirming the statutory presumption against double taxation."</w:t>
            </w:r>
          </w:p>
        </w:tc>
      </w:tr>
    </w:tbl>
    <w:p>
      <w:pPr>
        <w:keepNext/>
        <w:spacing w:before="200" w:after="40"/>
      </w:pPr>
      <w:r>
        <w:rPr>
          <w:rFonts w:ascii="Arial" w:hAnsi="Arial"/>
          <w:b/>
          <w:color w:val="781E1E"/>
          <w:sz w:val="22"/>
        </w:rPr>
        <w:t>V. RELATION TO STATUTORY CONSTRUCTION</w:t>
      </w:r>
    </w:p>
    <w:p>
      <w:pPr>
        <w:spacing w:before="40" w:after="80" w:line="276" w:lineRule="auto"/>
      </w:pPr>
      <w:r>
        <w:rPr>
          <w:rFonts w:ascii="Calibri" w:hAnsi="Calibri"/>
          <w:b/>
          <w:color w:val="212529"/>
          <w:sz w:val="21"/>
        </w:rPr>
        <w:t>• Syllabus Topic Alignment:</w:t>
        <w:br/>
      </w:r>
      <w:r>
        <w:rPr>
          <w:rFonts w:ascii="Calibri" w:hAnsi="Calibri"/>
          <w:i w:val="0"/>
          <w:color w:val="212529"/>
          <w:sz w:val="21"/>
        </w:rPr>
        <w:t>• Chapter III: Basic Guidelines in the Construction and Interpretation of Laws</w:t>
        <w:br/>
        <w:t xml:space="preserve">  - B. Considerations within the Statute: Presumption Against Double Taxation &amp; Strict Construction of Tax Laws</w:t>
      </w:r>
    </w:p>
    <w:tbl>
      <w:tblPr>
        <w:tblW w:type="auto" w:w="0"/>
        <w:jc w:val="center"/>
        <w:tblLook w:firstColumn="1" w:firstRow="1" w:lastColumn="0" w:lastRow="0" w:noHBand="0" w:noVBand="1" w:val="04A0"/>
      </w:tblPr>
      <w:tblGrid>
        <w:gridCol w:w="9648"/>
      </w:tblGrid>
      <w:tr>
        <w:tc>
          <w:tcPr>
            <w:tcW w:type="dxa" w:w="9648"/>
            <w:shd w:fill="FDF6EE"/>
            <w:tcMar>
              <w:top w:w="120" w:type="dxa"/>
              <w:bottom w:w="120" w:type="dxa"/>
              <w:left w:w="180" w:type="dxa"/>
              <w:right w:w="180" w:type="dxa"/>
            </w:tcMar>
          </w:tcPr>
          <w:p>
            <w:pPr>
              <w:spacing w:before="40" w:after="80"/>
            </w:pPr>
            <w:r>
              <w:rPr>
                <w:rFonts w:ascii="Arial" w:hAnsi="Arial"/>
                <w:b/>
                <w:color w:val="8C3200"/>
                <w:sz w:val="20"/>
              </w:rPr>
              <w:t>📜 GOVERNING LATIN MAXIMS WITH ENGLISH TRANSLATIONS</w:t>
              <w:br/>
            </w:r>
          </w:p>
          <w:p>
            <w:pPr>
              <w:spacing w:before="40" w:after="60" w:line="276" w:lineRule="auto"/>
            </w:pPr>
            <w:r>
              <w:rPr>
                <w:rFonts w:ascii="Calibri" w:hAnsi="Calibri"/>
                <w:b/>
                <w:color w:val="8C3200"/>
                <w:sz w:val="20"/>
              </w:rPr>
              <w:t>1. In dubio contra duplicem taxationem (in doubt, rule against double taxation)</w:t>
              <w:br/>
            </w:r>
            <w:r>
              <w:rPr>
                <w:rFonts w:ascii="Calibri" w:hAnsi="Calibri"/>
                <w:b/>
                <w:color w:val="212529"/>
                <w:sz w:val="19"/>
              </w:rPr>
              <w:t xml:space="preserve">   • Literal English Translation: </w:t>
            </w:r>
            <w:r>
              <w:rPr>
                <w:rFonts w:ascii="Calibri" w:hAnsi="Calibri"/>
                <w:i/>
                <w:color w:val="212529"/>
                <w:sz w:val="19"/>
              </w:rPr>
              <w:t>In doubt, against double taxation.</w:t>
              <w:br/>
            </w:r>
            <w:r>
              <w:rPr>
                <w:rFonts w:ascii="Calibri" w:hAnsi="Calibri"/>
                <w:b/>
                <w:color w:val="212529"/>
                <w:sz w:val="19"/>
              </w:rPr>
              <w:t xml:space="preserve">   • Plain Legal Meaning &amp; StatCon Application: </w:t>
            </w:r>
            <w:r>
              <w:rPr>
                <w:rFonts w:ascii="Calibri" w:hAnsi="Calibri"/>
                <w:color w:val="212529"/>
                <w:sz w:val="19"/>
              </w:rPr>
              <w:t>Tax statutes are never construed as imposing duplicate burdens on the same subject unless explicitly commanded.</w:t>
            </w:r>
          </w:p>
          <w:p>
            <w:pPr>
              <w:spacing w:before="40" w:after="60" w:line="276" w:lineRule="auto"/>
            </w:pPr>
            <w:r>
              <w:rPr>
                <w:rFonts w:ascii="Calibri" w:hAnsi="Calibri"/>
                <w:b/>
                <w:color w:val="8C3200"/>
                <w:sz w:val="20"/>
              </w:rPr>
              <w:t>2. Strictissimi juris (of the strictest interpretation)</w:t>
              <w:br/>
            </w:r>
            <w:r>
              <w:rPr>
                <w:rFonts w:ascii="Calibri" w:hAnsi="Calibri"/>
                <w:b/>
                <w:color w:val="212529"/>
                <w:sz w:val="19"/>
              </w:rPr>
              <w:t xml:space="preserve">   • Literal English Translation: </w:t>
            </w:r>
            <w:r>
              <w:rPr>
                <w:rFonts w:ascii="Calibri" w:hAnsi="Calibri"/>
                <w:i/>
                <w:color w:val="212529"/>
                <w:sz w:val="19"/>
              </w:rPr>
              <w:t>Of the strictest law.</w:t>
              <w:br/>
            </w:r>
            <w:r>
              <w:rPr>
                <w:rFonts w:ascii="Calibri" w:hAnsi="Calibri"/>
                <w:b/>
                <w:color w:val="212529"/>
                <w:sz w:val="19"/>
              </w:rPr>
              <w:t xml:space="preserve">   • Plain Legal Meaning &amp; StatCon Application: </w:t>
            </w:r>
            <w:r>
              <w:rPr>
                <w:rFonts w:ascii="Calibri" w:hAnsi="Calibri"/>
                <w:color w:val="212529"/>
                <w:sz w:val="19"/>
              </w:rPr>
              <w:t>Grants of taxing power to local government units are strictly construed against the municipality.</w:t>
            </w:r>
          </w:p>
          <w:p>
            <w:pPr>
              <w:spacing w:before="40" w:after="60" w:line="276" w:lineRule="auto"/>
            </w:pPr>
            <w:r>
              <w:rPr>
                <w:rFonts w:ascii="Calibri" w:hAnsi="Calibri"/>
                <w:b/>
                <w:color w:val="8C3200"/>
                <w:sz w:val="20"/>
              </w:rPr>
              <w:t>3. Nemo debet bis vexari pro una et eadem causa (no one should be twice troubled for one and the same cause)</w:t>
              <w:br/>
            </w:r>
            <w:r>
              <w:rPr>
                <w:rFonts w:ascii="Calibri" w:hAnsi="Calibri"/>
                <w:b/>
                <w:color w:val="212529"/>
                <w:sz w:val="19"/>
              </w:rPr>
              <w:t xml:space="preserve">   • Literal English Translation: </w:t>
            </w:r>
            <w:r>
              <w:rPr>
                <w:rFonts w:ascii="Calibri" w:hAnsi="Calibri"/>
                <w:i/>
                <w:color w:val="212529"/>
                <w:sz w:val="19"/>
              </w:rPr>
              <w:t>No one ought to be twice vexed for the same cause.</w:t>
              <w:br/>
            </w:r>
            <w:r>
              <w:rPr>
                <w:rFonts w:ascii="Calibri" w:hAnsi="Calibri"/>
                <w:b/>
                <w:color w:val="212529"/>
                <w:sz w:val="19"/>
              </w:rPr>
              <w:t xml:space="preserve">   • Plain Legal Meaning &amp; StatCon Application: </w:t>
            </w:r>
            <w:r>
              <w:rPr>
                <w:rFonts w:ascii="Calibri" w:hAnsi="Calibri"/>
                <w:color w:val="212529"/>
                <w:sz w:val="19"/>
              </w:rPr>
              <w:t>A taxpayer cannot be subjected to repetitive taxes for the same commercial enterprise.</w:t>
            </w:r>
          </w:p>
        </w:tc>
      </w:tr>
    </w:tbl>
    <w:tbl>
      <w:tblPr>
        <w:tblW w:type="auto" w:w="0"/>
        <w:jc w:val="center"/>
        <w:tblLook w:firstColumn="1" w:firstRow="1" w:lastColumn="0" w:lastRow="0" w:noHBand="0" w:noVBand="1" w:val="04A0"/>
      </w:tblPr>
      <w:tblGrid>
        <w:gridCol w:w="4824"/>
        <w:gridCol w:w="4824"/>
      </w:tblGrid>
      <w:tr>
        <w:tc>
          <w:tcPr>
            <w:tcW w:type="dxa" w:w="4824"/>
            <w:shd w:fill="EAEFF5"/>
            <w:tcMar>
              <w:top w:w="80" w:type="dxa"/>
              <w:bottom w:w="80" w:type="dxa"/>
              <w:left w:w="120" w:type="dxa"/>
              <w:right w:w="120" w:type="dxa"/>
            </w:tcMar>
          </w:tcPr>
          <w:p>
            <w:pPr>
              <w:spacing w:before="40" w:after="40"/>
            </w:pPr>
            <w:r>
              <w:rPr>
                <w:rFonts w:ascii="Arial" w:hAnsi="Arial"/>
                <w:b/>
                <w:color w:val="0F2043"/>
                <w:sz w:val="18"/>
              </w:rPr>
              <w:t>Syllabus Topic Alignment</w:t>
              <w:br/>
              <w:t>(StatCon_Syllabus_JPR.pdf)</w:t>
            </w:r>
          </w:p>
        </w:tc>
        <w:tc>
          <w:tcPr>
            <w:tcW w:type="dxa" w:w="4824"/>
            <w:shd w:fill="FAFAFA"/>
            <w:tcMar>
              <w:top w:w="80" w:type="dxa"/>
              <w:bottom w:w="80" w:type="dxa"/>
              <w:left w:w="120" w:type="dxa"/>
              <w:right w:w="120" w:type="dxa"/>
            </w:tcMar>
          </w:tcPr>
          <w:p>
            <w:pPr>
              <w:spacing w:before="40" w:after="40" w:line="276" w:lineRule="auto"/>
            </w:pPr>
            <w:r>
              <w:rPr>
                <w:rFonts w:ascii="Calibri" w:hAnsi="Calibri"/>
                <w:color w:val="212529"/>
                <w:sz w:val="19"/>
              </w:rPr>
              <w:t>• Chapter III: Basic Guidelines in the Construction and Interpretation of Laws</w:t>
              <w:br/>
              <w:t xml:space="preserve">  - B. Considerations within the Statute: Presumption Against Double Taxation &amp; Strict Construction of Tax Laws</w:t>
            </w:r>
          </w:p>
        </w:tc>
      </w:tr>
      <w:tr>
        <w:tc>
          <w:tcPr>
            <w:tcW w:type="dxa" w:w="4824"/>
            <w:shd w:fill="EAEFF5"/>
            <w:tcMar>
              <w:top w:w="80" w:type="dxa"/>
              <w:bottom w:w="80" w:type="dxa"/>
              <w:left w:w="120" w:type="dxa"/>
              <w:right w:w="120" w:type="dxa"/>
            </w:tcMar>
          </w:tcPr>
          <w:p>
            <w:pPr>
              <w:spacing w:before="40" w:after="40"/>
            </w:pPr>
            <w:r>
              <w:rPr>
                <w:rFonts w:ascii="Arial" w:hAnsi="Arial"/>
                <w:b/>
                <w:color w:val="0F2043"/>
                <w:sz w:val="18"/>
              </w:rPr>
              <w:t>Governing Latin Maxims &amp; English</w:t>
            </w:r>
          </w:p>
        </w:tc>
        <w:tc>
          <w:tcPr>
            <w:tcW w:type="dxa" w:w="4824"/>
            <w:shd w:fill="FAFAFA"/>
            <w:tcMar>
              <w:top w:w="80" w:type="dxa"/>
              <w:bottom w:w="80" w:type="dxa"/>
              <w:left w:w="120" w:type="dxa"/>
              <w:right w:w="120" w:type="dxa"/>
            </w:tcMar>
          </w:tcPr>
          <w:p>
            <w:pPr>
              <w:spacing w:before="40" w:after="40" w:line="276" w:lineRule="auto"/>
            </w:pPr>
            <w:r>
              <w:rPr>
                <w:rFonts w:ascii="Calibri" w:hAnsi="Calibri"/>
                <w:color w:val="212529"/>
                <w:sz w:val="19"/>
              </w:rPr>
              <w:t>Primary:</w:t>
              <w:br/>
              <w:t>In dubio contra duplicem taxationem</w:t>
              <w:br/>
              <w:t>(in doubt, rule against double taxation / statutes are presumed not to authorize duplicate municipal taxes on single business activities)</w:t>
              <w:br/>
              <w:br/>
              <w:t>Secondary:</w:t>
              <w:br/>
              <w:t>• Strictissimi juris (strict interpretation of tax laws)</w:t>
              <w:br/>
              <w:t>• Nemo debet bis vexari (no one should be twice burdened for the same cause)</w:t>
            </w:r>
          </w:p>
        </w:tc>
      </w:tr>
      <w:tr>
        <w:tc>
          <w:tcPr>
            <w:tcW w:type="dxa" w:w="4824"/>
            <w:shd w:fill="EAEFF5"/>
            <w:tcMar>
              <w:top w:w="80" w:type="dxa"/>
              <w:bottom w:w="80" w:type="dxa"/>
              <w:left w:w="120" w:type="dxa"/>
              <w:right w:w="120" w:type="dxa"/>
            </w:tcMar>
          </w:tcPr>
          <w:p>
            <w:pPr>
              <w:spacing w:before="40" w:after="40"/>
            </w:pPr>
            <w:r>
              <w:rPr>
                <w:rFonts w:ascii="Arial" w:hAnsi="Arial"/>
                <w:b/>
                <w:color w:val="0F2043"/>
                <w:sz w:val="18"/>
              </w:rPr>
              <w:t>Case Violation in StatCon</w:t>
            </w:r>
          </w:p>
        </w:tc>
        <w:tc>
          <w:tcPr>
            <w:tcW w:type="dxa" w:w="4824"/>
            <w:shd w:fill="FAFAFA"/>
            <w:tcMar>
              <w:top w:w="80" w:type="dxa"/>
              <w:bottom w:w="80" w:type="dxa"/>
              <w:left w:w="120" w:type="dxa"/>
              <w:right w:w="120" w:type="dxa"/>
            </w:tcMar>
          </w:tcPr>
          <w:p>
            <w:pPr>
              <w:spacing w:before="40" w:after="40" w:line="276" w:lineRule="auto"/>
            </w:pPr>
            <w:r>
              <w:rPr>
                <w:rFonts w:ascii="Calibri" w:hAnsi="Calibri"/>
                <w:color w:val="212529"/>
                <w:sz w:val="19"/>
              </w:rPr>
              <w:t>The City of Manila created double taxation by splitting a unified manufacturing business into separate taxable entities without statutory authorization.</w:t>
            </w:r>
          </w:p>
        </w:tc>
      </w:tr>
      <w:tr>
        <w:tc>
          <w:tcPr>
            <w:tcW w:type="dxa" w:w="4824"/>
            <w:shd w:fill="EAEFF5"/>
            <w:tcMar>
              <w:top w:w="80" w:type="dxa"/>
              <w:bottom w:w="80" w:type="dxa"/>
              <w:left w:w="120" w:type="dxa"/>
              <w:right w:w="120" w:type="dxa"/>
            </w:tcMar>
          </w:tcPr>
          <w:p>
            <w:pPr>
              <w:spacing w:before="40" w:after="40"/>
            </w:pPr>
            <w:r>
              <w:rPr>
                <w:rFonts w:ascii="Arial" w:hAnsi="Arial"/>
                <w:b/>
                <w:color w:val="0F2043"/>
                <w:sz w:val="18"/>
              </w:rPr>
              <w:t>Doctrinal Execution / Principle</w:t>
            </w:r>
          </w:p>
        </w:tc>
        <w:tc>
          <w:tcPr>
            <w:tcW w:type="dxa" w:w="4824"/>
            <w:shd w:fill="FAFAFA"/>
            <w:tcMar>
              <w:top w:w="80" w:type="dxa"/>
              <w:bottom w:w="80" w:type="dxa"/>
              <w:left w:w="120" w:type="dxa"/>
              <w:right w:w="120" w:type="dxa"/>
            </w:tcMar>
          </w:tcPr>
          <w:p>
            <w:pPr>
              <w:spacing w:before="40" w:after="40" w:line="276" w:lineRule="auto"/>
            </w:pPr>
            <w:r>
              <w:rPr>
                <w:rFonts w:ascii="Calibri" w:hAnsi="Calibri"/>
                <w:color w:val="212529"/>
                <w:sz w:val="19"/>
              </w:rPr>
              <w:t>Presumption Against Double Taxation: Double taxation is obnoxious to the law; statutes must be construed to prevent double taxation unless the legislative intent to impose it is clear beyond question.</w:t>
            </w:r>
          </w:p>
        </w:tc>
      </w:tr>
    </w:tbl>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RELATION TO STATUTORY CONSTRUCTION</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Taxes cannot be charged twice on the same money unless the law specifically and unmistakably orders a double tax.</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"Sir/Ma'am, Coca-Cola Bottlers v. Gomez is the leading authority on the statutory presumption against double taxation under the Local Government Code."</w:t>
            </w:r>
          </w:p>
        </w:tc>
      </w:tr>
    </w:tbl>
    <w:p>
      <w:pPr>
        <w:spacing w:before="160" w:after="80"/>
      </w:pPr>
    </w:p>
    <w:tbl>
      <w:tblPr>
        <w:tblW w:type="auto" w:w="0"/>
        <w:jc w:val="center"/>
        <w:tblLook w:firstColumn="1" w:firstRow="1" w:lastColumn="0" w:lastRow="0" w:noHBand="0" w:noVBand="1" w:val="04A0"/>
      </w:tblPr>
      <w:tblGrid>
        <w:gridCol w:w="9648"/>
      </w:tblGrid>
      <w:tr>
        <w:tc>
          <w:tcPr>
            <w:tcW w:type="dxa" w:w="9648"/>
            <w:shd w:fill="1E3A5F"/>
            <w:tcMar>
              <w:top w:w="140" w:type="dxa"/>
              <w:bottom w:w="140" w:type="dxa"/>
              <w:left w:w="200" w:type="dxa"/>
              <w:right w:w="200" w:type="dxa"/>
            </w:tcMar>
          </w:tcPr>
          <w:p>
            <w:pPr>
              <w:spacing w:before="40" w:after="40"/>
              <w:jc w:val="center"/>
            </w:pPr>
            <w:r>
              <w:rPr>
                <w:rFonts w:ascii="Arial" w:hAnsi="Arial"/>
                <w:b/>
                <w:color w:val="FFD700"/>
                <w:sz w:val="22"/>
              </w:rPr>
              <w:t>⚖ STANDARDIZED CASE DIGEST: STATUTORY CONSTRUCTION FORMAT</w:t>
              <w:br/>
            </w:r>
            <w:r>
              <w:rPr>
                <w:rFonts w:ascii="Arial" w:hAnsi="Arial"/>
                <w:i/>
                <w:color w:val="DCEBFF"/>
                <w:sz w:val="18"/>
              </w:rPr>
              <w:t>(Complete 12-Section Academic &amp; Judicial Construction Analysis)</w:t>
            </w:r>
          </w:p>
        </w:tc>
      </w:tr>
    </w:tbl>
    <w:p>
      <w:pPr>
        <w:spacing w:before="80" w:after="80"/>
      </w:pPr>
    </w:p>
    <w:tbl>
      <w:tblPr>
        <w:tblW w:type="auto" w:w="0"/>
        <w:jc w:val="center"/>
        <w:tblLook w:firstColumn="1" w:firstRow="1" w:lastColumn="0" w:lastRow="0" w:noHBand="0" w:noVBand="1" w:val="04A0"/>
      </w:tblPr>
      <w:tblGrid>
        <w:gridCol w:w="4824"/>
        <w:gridCol w:w="4824"/>
      </w:tblGrid>
      <w:tr>
        <w:tc>
          <w:tcPr>
            <w:tcW w:type="dxa" w:w="4824"/>
            <w:shd w:fill="EBF0F7"/>
            <w:tcMar>
              <w:top w:w="60" w:type="dxa"/>
              <w:bottom w:w="60" w:type="dxa"/>
              <w:left w:w="120" w:type="dxa"/>
              <w:right w:w="120" w:type="dxa"/>
            </w:tcMar>
          </w:tcPr>
          <w:p>
            <w:pPr>
              <w:spacing w:before="20" w:after="20"/>
            </w:pPr>
            <w:r>
              <w:rPr>
                <w:rFonts w:ascii="Arial" w:hAnsi="Arial"/>
                <w:b/>
                <w:color w:val="0F2043"/>
                <w:sz w:val="19"/>
              </w:rPr>
              <w:t>Case Title:</w:t>
            </w:r>
          </w:p>
        </w:tc>
        <w:tc>
          <w:tcPr>
            <w:tcW w:type="dxa" w:w="4824"/>
            <w:shd w:fill="FAFCFF"/>
            <w:tcMar>
              <w:top w:w="60" w:type="dxa"/>
              <w:bottom w:w="60" w:type="dxa"/>
              <w:left w:w="120" w:type="dxa"/>
              <w:right w:w="120" w:type="dxa"/>
            </w:tcMar>
          </w:tcPr>
          <w:p>
            <w:pPr>
              <w:spacing w:before="20" w:after="20"/>
            </w:pPr>
            <w:r>
              <w:rPr>
                <w:rFonts w:ascii="Calibri" w:hAnsi="Calibri"/>
                <w:b/>
                <w:color w:val="212529"/>
                <w:sz w:val="19"/>
              </w:rPr>
              <w:t>Coca-Cola Bottlers, Phils., Inc. (CCBPI) v. City of Manila and Liberty M. Gomez</w:t>
            </w:r>
          </w:p>
        </w:tc>
      </w:tr>
      <w:tr>
        <w:tc>
          <w:tcPr>
            <w:tcW w:type="dxa" w:w="4824"/>
            <w:shd w:fill="EBF0F7"/>
            <w:tcMar>
              <w:top w:w="60" w:type="dxa"/>
              <w:bottom w:w="60" w:type="dxa"/>
              <w:left w:w="120" w:type="dxa"/>
              <w:right w:w="120" w:type="dxa"/>
            </w:tcMar>
          </w:tcPr>
          <w:p>
            <w:pPr>
              <w:spacing w:before="20" w:after="20"/>
            </w:pPr>
            <w:r>
              <w:rPr>
                <w:rFonts w:ascii="Arial" w:hAnsi="Arial"/>
                <w:b/>
                <w:color w:val="0F2043"/>
                <w:sz w:val="19"/>
              </w:rPr>
              <w:t>G.R. No. / Record:</w:t>
            </w:r>
          </w:p>
        </w:tc>
        <w:tc>
          <w:tcPr>
            <w:tcW w:type="dxa" w:w="4824"/>
            <w:shd w:fill="FAFCFF"/>
            <w:tcMar>
              <w:top w:w="60" w:type="dxa"/>
              <w:bottom w:w="60" w:type="dxa"/>
              <w:left w:w="120" w:type="dxa"/>
              <w:right w:w="120" w:type="dxa"/>
            </w:tcMar>
          </w:tcPr>
          <w:p>
            <w:pPr>
              <w:spacing w:before="20" w:after="20"/>
            </w:pPr>
            <w:r>
              <w:rPr>
                <w:rFonts w:ascii="Calibri" w:hAnsi="Calibri"/>
                <w:b w:val="0"/>
                <w:color w:val="212529"/>
                <w:sz w:val="19"/>
              </w:rPr>
              <w:t>G.R. No. 154491</w:t>
            </w:r>
          </w:p>
        </w:tc>
      </w:tr>
      <w:tr>
        <w:tc>
          <w:tcPr>
            <w:tcW w:type="dxa" w:w="4824"/>
            <w:shd w:fill="EBF0F7"/>
            <w:tcMar>
              <w:top w:w="60" w:type="dxa"/>
              <w:bottom w:w="60" w:type="dxa"/>
              <w:left w:w="120" w:type="dxa"/>
              <w:right w:w="120" w:type="dxa"/>
            </w:tcMar>
          </w:tcPr>
          <w:p>
            <w:pPr>
              <w:spacing w:before="20" w:after="20"/>
            </w:pPr>
            <w:r>
              <w:rPr>
                <w:rFonts w:ascii="Arial" w:hAnsi="Arial"/>
                <w:b/>
                <w:color w:val="0F2043"/>
                <w:sz w:val="19"/>
              </w:rPr>
              <w:t>Date of Promulgation:</w:t>
            </w:r>
          </w:p>
        </w:tc>
        <w:tc>
          <w:tcPr>
            <w:tcW w:type="dxa" w:w="4824"/>
            <w:shd w:fill="FAFCFF"/>
            <w:tcMar>
              <w:top w:w="60" w:type="dxa"/>
              <w:bottom w:w="60" w:type="dxa"/>
              <w:left w:w="120" w:type="dxa"/>
              <w:right w:w="120" w:type="dxa"/>
            </w:tcMar>
          </w:tcPr>
          <w:p>
            <w:pPr>
              <w:spacing w:before="20" w:after="20"/>
            </w:pPr>
            <w:r>
              <w:rPr>
                <w:rFonts w:ascii="Calibri" w:hAnsi="Calibri"/>
                <w:b w:val="0"/>
                <w:color w:val="212529"/>
                <w:sz w:val="19"/>
              </w:rPr>
              <w:t>November 14, 2008</w:t>
            </w:r>
          </w:p>
        </w:tc>
      </w:tr>
      <w:tr>
        <w:tc>
          <w:tcPr>
            <w:tcW w:type="dxa" w:w="4824"/>
            <w:shd w:fill="EBF0F7"/>
            <w:tcMar>
              <w:top w:w="60" w:type="dxa"/>
              <w:bottom w:w="60" w:type="dxa"/>
              <w:left w:w="120" w:type="dxa"/>
              <w:right w:w="120" w:type="dxa"/>
            </w:tcMar>
          </w:tcPr>
          <w:p>
            <w:pPr>
              <w:spacing w:before="20" w:after="20"/>
            </w:pPr>
            <w:r>
              <w:rPr>
                <w:rFonts w:ascii="Arial" w:hAnsi="Arial"/>
                <w:b/>
                <w:color w:val="0F2043"/>
                <w:sz w:val="19"/>
              </w:rPr>
              <w:t>Ponente / Court:</w:t>
            </w:r>
          </w:p>
        </w:tc>
        <w:tc>
          <w:tcPr>
            <w:tcW w:type="dxa" w:w="4824"/>
            <w:shd w:fill="FAFCFF"/>
            <w:tcMar>
              <w:top w:w="60" w:type="dxa"/>
              <w:bottom w:w="60" w:type="dxa"/>
              <w:left w:w="120" w:type="dxa"/>
              <w:right w:w="120" w:type="dxa"/>
            </w:tcMar>
          </w:tcPr>
          <w:p>
            <w:pPr>
              <w:spacing w:before="20" w:after="20"/>
            </w:pPr>
            <w:r>
              <w:rPr>
                <w:rFonts w:ascii="Calibri" w:hAnsi="Calibri"/>
                <w:b w:val="0"/>
                <w:color w:val="212529"/>
                <w:sz w:val="19"/>
              </w:rPr>
              <w:t>First Division</w:t>
            </w:r>
          </w:p>
        </w:tc>
      </w:tr>
    </w:tbl>
    <w:p>
      <w:pPr>
        <w:keepNext/>
        <w:spacing w:before="240" w:after="60"/>
      </w:pPr>
      <w:r>
        <w:rPr>
          <w:rFonts w:ascii="Arial" w:hAnsi="Arial"/>
          <w:b/>
          <w:color w:val="0F2043"/>
          <w:sz w:val="21"/>
        </w:rPr>
        <w:t>I. FACTS OF THE CASE</w:t>
      </w:r>
    </w:p>
    <w:tbl>
      <w:tblPr>
        <w:tblW w:type="auto" w:w="0"/>
        <w:jc w:val="center"/>
        <w:tblLook w:firstColumn="1" w:firstRow="1" w:lastColumn="0" w:lastRow="0" w:noHBand="0" w:noVBand="1" w:val="04A0"/>
      </w:tblPr>
      <w:tblGrid>
        <w:gridCol w:w="9648"/>
      </w:tblGrid>
      <w:tr>
        <w:tc>
          <w:tcPr>
            <w:tcW w:type="dxa" w:w="9648"/>
            <w:shd w:fill="F8F9FB"/>
            <w:tcMar>
              <w:top w:w="100" w:type="dxa"/>
              <w:bottom w:w="100" w:type="dxa"/>
              <w:left w:w="160" w:type="dxa"/>
              <w:right w:w="160" w:type="dxa"/>
            </w:tcMar>
          </w:tcPr>
          <w:p>
            <w:pPr>
              <w:spacing w:before="20" w:after="40"/>
            </w:pPr>
            <w:r>
              <w:rPr>
                <w:rFonts w:ascii="Arial" w:hAnsi="Arial"/>
                <w:b/>
                <w:color w:val="0F2043"/>
                <w:sz w:val="19"/>
              </w:rPr>
              <w:t>Material Facts of Controversy</w:t>
              <w:br/>
            </w:r>
          </w:p>
          <w:p>
            <w:pPr>
              <w:spacing w:before="20" w:after="40" w:line="276" w:lineRule="auto"/>
            </w:pPr>
            <w:r>
              <w:rPr>
                <w:rFonts w:ascii="Calibri" w:hAnsi="Calibri"/>
                <w:color w:val="212529"/>
                <w:sz w:val="19"/>
              </w:rPr>
              <w:t>Coca-Cola Bottlers, Phils., Inc. manufactures and sells beverages in the City of Manila. The City of Manila assessed CCBPI under Section 14 of Manila Tax Ordinance No. 7794 as a 'manufacturer' of beverages, and simultaneously assessed CCBPI under Section 21 of the same ordinance as a 'distributor/dealer' of businesses subject to excise tax under the NIRC. CCBPI protested, arguing that under Section 143 of the Local Government Code, a single business enterprise cannot be subjected to double business tax on both manufacturing and distributing when the distribution is merely an incidental part of its manufacturing business.</w:t>
            </w:r>
          </w:p>
        </w:tc>
      </w:tr>
    </w:tbl>
    <w:p>
      <w:pPr>
        <w:keepNext/>
        <w:spacing w:before="240" w:after="60"/>
      </w:pPr>
      <w:r>
        <w:rPr>
          <w:rFonts w:ascii="Arial" w:hAnsi="Arial"/>
          <w:b/>
          <w:color w:val="0F2043"/>
          <w:sz w:val="21"/>
        </w:rPr>
        <w:t>II. FACTS RELEVANT TO STATUTORY CONSTRUCTION</w:t>
      </w:r>
    </w:p>
    <w:tbl>
      <w:tblPr>
        <w:tblW w:type="auto" w:w="0"/>
        <w:jc w:val="center"/>
        <w:tblLook w:firstColumn="1" w:firstRow="1" w:lastColumn="0" w:lastRow="0" w:noHBand="0" w:noVBand="1" w:val="04A0"/>
      </w:tblPr>
      <w:tblGrid>
        <w:gridCol w:w="9648"/>
      </w:tblGrid>
      <w:tr>
        <w:tc>
          <w:tcPr>
            <w:tcW w:type="dxa" w:w="9648"/>
            <w:shd w:fill="F8F9FB"/>
            <w:tcMar>
              <w:top w:w="100" w:type="dxa"/>
              <w:bottom w:w="100" w:type="dxa"/>
              <w:left w:w="160" w:type="dxa"/>
              <w:right w:w="160" w:type="dxa"/>
            </w:tcMar>
          </w:tcPr>
          <w:p>
            <w:pPr>
              <w:spacing w:before="20" w:after="40"/>
            </w:pPr>
            <w:r>
              <w:rPr>
                <w:rFonts w:ascii="Arial" w:hAnsi="Arial"/>
                <w:b/>
                <w:color w:val="0F2043"/>
                <w:sz w:val="19"/>
              </w:rPr>
              <w:t>Facts Giving Rise to Need for Interpretation</w:t>
              <w:br/>
            </w:r>
          </w:p>
          <w:p>
            <w:pPr>
              <w:spacing w:before="20" w:after="40" w:line="276" w:lineRule="auto"/>
            </w:pPr>
            <w:r>
              <w:rPr>
                <w:rFonts w:ascii="Calibri" w:hAnsi="Calibri"/>
                <w:b/>
                <w:color w:val="212529"/>
                <w:sz w:val="19"/>
              </w:rPr>
              <w:t xml:space="preserve">• What provision of law or rule became relevant? </w:t>
            </w:r>
            <w:r>
              <w:rPr>
                <w:rFonts w:ascii="Calibri" w:hAnsi="Calibri"/>
                <w:color w:val="212529"/>
                <w:sz w:val="19"/>
              </w:rPr>
              <w:t>1. Section 143, Republic Act No. 7160 (Local Government Code): Governs local business taxes on manufacturers and wholesalers/distributors.</w:t>
              <w:br/>
              <w:t>2. Presumption Against Double Taxation (In Dubio Contra Duplicem Taxationem): Doubts are resolved against the imposition of multiple taxes on the same subject matter for the same purpose.</w:t>
            </w:r>
          </w:p>
          <w:p>
            <w:pPr>
              <w:spacing w:before="20" w:after="40" w:line="276" w:lineRule="auto"/>
            </w:pPr>
            <w:r>
              <w:rPr>
                <w:rFonts w:ascii="Calibri" w:hAnsi="Calibri"/>
                <w:b/>
                <w:color w:val="212529"/>
                <w:sz w:val="19"/>
              </w:rPr>
              <w:t xml:space="preserve">• What circumstance made interpretation necessary? </w:t>
            </w:r>
            <w:r>
              <w:rPr>
                <w:rFonts w:ascii="Calibri" w:hAnsi="Calibri"/>
                <w:color w:val="212529"/>
                <w:sz w:val="19"/>
              </w:rPr>
              <w:t>The City of Manila created double taxation by splitting a unified manufacturing business into separate taxable entities without statutory authorization.</w:t>
            </w:r>
          </w:p>
          <w:p>
            <w:pPr>
              <w:spacing w:before="20" w:after="40" w:line="276" w:lineRule="auto"/>
            </w:pPr>
            <w:r>
              <w:rPr>
                <w:rFonts w:ascii="Calibri" w:hAnsi="Calibri"/>
                <w:b/>
                <w:color w:val="212529"/>
                <w:sz w:val="19"/>
              </w:rPr>
              <w:t xml:space="preserve">• What competing interpretations were presented? </w:t>
            </w:r>
            <w:r>
              <w:rPr>
                <w:rFonts w:ascii="Calibri" w:hAnsi="Calibri"/>
                <w:color w:val="212529"/>
                <w:sz w:val="19"/>
              </w:rPr>
              <w:t>Petitioner argued for a favorable interpretation based on statutory intent, while Respondent contended for a literal or restrictive application.</w:t>
            </w:r>
          </w:p>
        </w:tc>
      </w:tr>
    </w:tbl>
    <w:p>
      <w:pPr>
        <w:keepNext/>
        <w:spacing w:before="240" w:after="60"/>
      </w:pPr>
      <w:r>
        <w:rPr>
          <w:rFonts w:ascii="Arial" w:hAnsi="Arial"/>
          <w:b/>
          <w:color w:val="0F2043"/>
          <w:sz w:val="21"/>
        </w:rPr>
        <w:t>III. ISSUES</w:t>
      </w:r>
    </w:p>
    <w:p>
      <w:pPr>
        <w:keepNext/>
        <w:spacing w:before="120" w:after="40"/>
      </w:pPr>
      <w:r>
        <w:rPr>
          <w:rFonts w:ascii="Arial" w:hAnsi="Arial"/>
          <w:b/>
          <w:color w:val="781E1E"/>
          <w:sz w:val="20"/>
        </w:rPr>
        <w:t>A. General Legal Issues</w:t>
      </w:r>
    </w:p>
    <w:p>
      <w:pPr>
        <w:spacing w:before="40" w:after="80" w:line="276" w:lineRule="auto"/>
      </w:pPr>
      <w:r>
        <w:rPr>
          <w:rFonts w:ascii="Calibri" w:hAnsi="Calibri"/>
          <w:i w:val="0"/>
          <w:color w:val="212529"/>
          <w:sz w:val="21"/>
        </w:rPr>
        <w:t>Whether or not the City of Manila can tax a beverage company simultaneously as a manufacturer and as a distributor on the same sales receipts under the Local Government Code.</w:t>
      </w:r>
    </w:p>
    <w:p>
      <w:pPr>
        <w:keepNext/>
        <w:spacing w:before="120" w:after="40"/>
      </w:pPr>
      <w:r>
        <w:rPr>
          <w:rFonts w:ascii="Arial" w:hAnsi="Arial"/>
          <w:b/>
          <w:color w:val="781E1E"/>
          <w:sz w:val="20"/>
        </w:rPr>
        <w:t>B. Statutory-Construction Issue/s</w:t>
      </w:r>
    </w:p>
    <w:tbl>
      <w:tblPr>
        <w:tblW w:type="auto" w:w="0"/>
        <w:jc w:val="center"/>
        <w:tblLook w:firstColumn="1" w:firstRow="1" w:lastColumn="0" w:lastRow="0" w:noHBand="0" w:noVBand="1" w:val="04A0"/>
      </w:tblPr>
      <w:tblGrid>
        <w:gridCol w:w="9648"/>
      </w:tblGrid>
      <w:tr>
        <w:tc>
          <w:tcPr>
            <w:tcW w:type="dxa" w:w="9648"/>
            <w:shd w:fill="EBF3FA"/>
            <w:tcMar>
              <w:top w:w="100" w:type="dxa"/>
              <w:bottom w:w="100" w:type="dxa"/>
              <w:left w:w="160" w:type="dxa"/>
              <w:right w:w="160" w:type="dxa"/>
            </w:tcMar>
          </w:tcPr>
          <w:p>
            <w:pPr>
              <w:spacing w:before="20" w:after="40"/>
            </w:pPr>
            <w:r>
              <w:rPr>
                <w:rFonts w:ascii="Arial" w:hAnsi="Arial"/>
                <w:b/>
                <w:color w:val="0F2043"/>
                <w:sz w:val="19"/>
              </w:rPr>
              <w:t>Standardized StatCon Issue Statement</w:t>
              <w:br/>
            </w:r>
          </w:p>
          <w:p>
            <w:pPr>
              <w:spacing w:before="20" w:after="40" w:line="276" w:lineRule="auto"/>
            </w:pPr>
            <w:r>
              <w:rPr>
                <w:rFonts w:ascii="Calibri" w:hAnsi="Calibri"/>
                <w:color w:val="212529"/>
                <w:sz w:val="19"/>
              </w:rPr>
              <w:t>Whether the subject statutory act, classification, or terminology under the governing statute/rule means, includes, or applies to the factual controversy in Coca-Cola Bottlers, Phils., Inc. (CCBPI) v. City of Manila and Liberty M. Gomez, under the canon of In dubio contra duplicem taxationem.</w:t>
            </w:r>
          </w:p>
        </w:tc>
      </w:tr>
    </w:tbl>
    <w:p>
      <w:pPr>
        <w:keepNext/>
        <w:spacing w:before="240" w:after="60"/>
      </w:pPr>
      <w:r>
        <w:rPr>
          <w:rFonts w:ascii="Arial" w:hAnsi="Arial"/>
          <w:b/>
          <w:color w:val="0F2043"/>
          <w:sz w:val="21"/>
        </w:rPr>
        <w:t>IV. PROVISION/S OF LAW CONSTRUED</w:t>
      </w:r>
    </w:p>
    <w:tbl>
      <w:tblPr>
        <w:tblW w:type="auto" w:w="0"/>
        <w:jc w:val="center"/>
        <w:tblLook w:firstColumn="1" w:firstRow="1" w:lastColumn="0" w:lastRow="0" w:noHBand="0" w:noVBand="1" w:val="04A0"/>
      </w:tblPr>
      <w:tblGrid>
        <w:gridCol w:w="9648"/>
      </w:tblGrid>
      <w:tr>
        <w:tc>
          <w:tcPr>
            <w:tcW w:type="dxa" w:w="9648"/>
            <w:shd w:fill="F8F9FB"/>
            <w:tcMar>
              <w:top w:w="100" w:type="dxa"/>
              <w:bottom w:w="100" w:type="dxa"/>
              <w:left w:w="160" w:type="dxa"/>
              <w:right w:w="160" w:type="dxa"/>
            </w:tcMar>
          </w:tcPr>
          <w:p>
            <w:pPr>
              <w:spacing w:before="20" w:after="40"/>
            </w:pPr>
            <w:r>
              <w:rPr>
                <w:rFonts w:ascii="Arial" w:hAnsi="Arial"/>
                <w:b/>
                <w:color w:val="0F2043"/>
                <w:sz w:val="19"/>
              </w:rPr>
              <w:t>Statutory / Constitutional Text &amp; Problem</w:t>
              <w:br/>
            </w:r>
          </w:p>
          <w:p>
            <w:pPr>
              <w:spacing w:before="20" w:after="40" w:line="276" w:lineRule="auto"/>
            </w:pPr>
            <w:r>
              <w:rPr>
                <w:rFonts w:ascii="Calibri" w:hAnsi="Calibri"/>
                <w:b/>
                <w:color w:val="212529"/>
                <w:sz w:val="19"/>
              </w:rPr>
              <w:t xml:space="preserve">• Quoted Provision: </w:t>
            </w:r>
            <w:r>
              <w:rPr>
                <w:rFonts w:ascii="Calibri" w:hAnsi="Calibri"/>
                <w:color w:val="212529"/>
                <w:sz w:val="19"/>
              </w:rPr>
              <w:t>1. Section 143, Republic Act No. 7160 (Local Government Code): Governs local business taxes on manufacturers and wholesalers/distributors.</w:t>
              <w:br/>
              <w:t>2. Presumption Against Double Taxation (In Dubio Contra Duplicem Taxationem): Doubts are resolved against the imposition of multiple taxes on the same subject matter for the same purpose.</w:t>
            </w:r>
          </w:p>
          <w:p>
            <w:pPr>
              <w:spacing w:before="20" w:after="40" w:line="276" w:lineRule="auto"/>
            </w:pPr>
            <w:r>
              <w:rPr>
                <w:rFonts w:ascii="Calibri" w:hAnsi="Calibri"/>
                <w:b/>
                <w:color w:val="212529"/>
                <w:sz w:val="19"/>
              </w:rPr>
              <w:t xml:space="preserve">• Interpretive Problem: </w:t>
            </w:r>
            <w:r>
              <w:rPr>
                <w:rFonts w:ascii="Calibri" w:hAnsi="Calibri"/>
                <w:color w:val="212529"/>
                <w:sz w:val="19"/>
              </w:rPr>
              <w:t>Determining the precise legislative intent and boundary of the statutory terms in light of: The City of Manila created double taxation by splitting a unified manufacturing business into separate taxable entities ...</w:t>
            </w:r>
          </w:p>
        </w:tc>
      </w:tr>
    </w:tbl>
    <w:p>
      <w:pPr>
        <w:keepNext/>
        <w:spacing w:before="240" w:after="60"/>
      </w:pPr>
      <w:r>
        <w:rPr>
          <w:rFonts w:ascii="Arial" w:hAnsi="Arial"/>
          <w:b/>
          <w:color w:val="0F2043"/>
          <w:sz w:val="21"/>
        </w:rPr>
        <w:t>V. RULING OF THE SUPREME COURT</w:t>
      </w:r>
    </w:p>
    <w:p>
      <w:pPr>
        <w:keepNext/>
        <w:spacing w:before="120" w:after="40"/>
      </w:pPr>
      <w:r>
        <w:rPr>
          <w:rFonts w:ascii="Arial" w:hAnsi="Arial"/>
          <w:b/>
          <w:color w:val="781E1E"/>
          <w:sz w:val="20"/>
        </w:rPr>
        <w:t>A. General Ruling</w:t>
      </w:r>
    </w:p>
    <w:p>
      <w:pPr>
        <w:spacing w:before="40" w:after="80" w:line="276" w:lineRule="auto"/>
      </w:pPr>
      <w:r>
        <w:rPr>
          <w:rFonts w:ascii="Calibri" w:hAnsi="Calibri"/>
          <w:i w:val="0"/>
          <w:color w:val="212529"/>
          <w:sz w:val="21"/>
        </w:rPr>
        <w:t>The Supreme Court GRANTED the petition, REVERSED the Court of Appeals, and DECLARED the second tax assessment under Section 21 NULL AND VOID.</w:t>
      </w:r>
    </w:p>
    <w:p>
      <w:pPr>
        <w:keepNext/>
        <w:spacing w:before="120" w:after="40"/>
      </w:pPr>
      <w:r>
        <w:rPr>
          <w:rFonts w:ascii="Arial" w:hAnsi="Arial"/>
          <w:b/>
          <w:color w:val="781E1E"/>
          <w:sz w:val="20"/>
        </w:rPr>
        <w:t>B. Ruling on the Statutory-Construction Issue</w:t>
      </w:r>
    </w:p>
    <w:tbl>
      <w:tblPr>
        <w:tblW w:type="auto" w:w="0"/>
        <w:jc w:val="center"/>
        <w:tblLook w:firstColumn="1" w:firstRow="1" w:lastColumn="0" w:lastRow="0" w:noHBand="0" w:noVBand="1" w:val="04A0"/>
      </w:tblPr>
      <w:tblGrid>
        <w:gridCol w:w="9648"/>
      </w:tblGrid>
      <w:tr>
        <w:tc>
          <w:tcPr>
            <w:tcW w:type="dxa" w:w="9648"/>
            <w:shd w:fill="F4FAF5"/>
            <w:tcMar>
              <w:top w:w="100" w:type="dxa"/>
              <w:bottom w:w="100" w:type="dxa"/>
              <w:left w:w="160" w:type="dxa"/>
              <w:right w:w="160" w:type="dxa"/>
            </w:tcMar>
          </w:tcPr>
          <w:p>
            <w:pPr>
              <w:spacing w:before="20" w:after="40"/>
            </w:pPr>
            <w:r>
              <w:rPr>
                <w:rFonts w:ascii="Arial" w:hAnsi="Arial"/>
                <w:b/>
                <w:color w:val="0F2043"/>
                <w:sz w:val="19"/>
              </w:rPr>
              <w:t>Statutory Meaning Established by Court</w:t>
              <w:br/>
            </w:r>
          </w:p>
          <w:p>
            <w:pPr>
              <w:spacing w:before="20" w:after="40" w:line="276" w:lineRule="auto"/>
            </w:pPr>
            <w:r>
              <w:rPr>
                <w:rFonts w:ascii="Calibri" w:hAnsi="Calibri"/>
                <w:color w:val="212529"/>
                <w:sz w:val="19"/>
              </w:rPr>
              <w:t>NO. The City of Manila CANNOT subject CCBPI to double taxation. In statutory construction, there is a strong presumption against double taxation unless the statute expressly and unmistakably authorizes it.</w:t>
            </w:r>
          </w:p>
        </w:tc>
      </w:tr>
    </w:tbl>
    <w:p>
      <w:pPr>
        <w:keepNext/>
        <w:spacing w:before="240" w:after="60"/>
      </w:pPr>
      <w:r>
        <w:rPr>
          <w:rFonts w:ascii="Arial" w:hAnsi="Arial"/>
          <w:b/>
          <w:color w:val="0F2043"/>
          <w:sz w:val="21"/>
        </w:rPr>
        <w:t>VI. HOW THE COURT CONSTRUED THE LAW</w:t>
      </w:r>
    </w:p>
    <w:tbl>
      <w:tblPr>
        <w:tblW w:type="auto" w:w="0"/>
        <w:jc w:val="center"/>
        <w:tblLook w:firstColumn="1" w:firstRow="1" w:lastColumn="0" w:lastRow="0" w:noHBand="0" w:noVBand="1" w:val="04A0"/>
      </w:tblPr>
      <w:tblGrid>
        <w:gridCol w:w="9648"/>
      </w:tblGrid>
      <w:tr>
        <w:tc>
          <w:tcPr>
            <w:tcW w:type="dxa" w:w="9648"/>
            <w:shd w:fill="F8F9FB"/>
            <w:tcMar>
              <w:top w:w="100" w:type="dxa"/>
              <w:bottom w:w="100" w:type="dxa"/>
              <w:left w:w="160" w:type="dxa"/>
              <w:right w:w="160" w:type="dxa"/>
            </w:tcMar>
          </w:tcPr>
          <w:p>
            <w:pPr>
              <w:spacing w:before="20" w:after="40"/>
            </w:pPr>
            <w:r>
              <w:rPr>
                <w:rFonts w:ascii="Arial" w:hAnsi="Arial"/>
                <w:b/>
                <w:color w:val="0F2043"/>
                <w:sz w:val="19"/>
              </w:rPr>
              <w:t>Methodological &amp; Doctrinal Analysis</w:t>
              <w:br/>
            </w:r>
          </w:p>
          <w:p>
            <w:pPr>
              <w:spacing w:before="20" w:after="40" w:line="276" w:lineRule="auto"/>
            </w:pPr>
            <w:r>
              <w:rPr>
                <w:rFonts w:ascii="Calibri" w:hAnsi="Calibri"/>
                <w:b/>
                <w:color w:val="212529"/>
                <w:sz w:val="19"/>
              </w:rPr>
              <w:t xml:space="preserve">A. Why Was Construction Necessary? </w:t>
            </w:r>
            <w:r>
              <w:rPr>
                <w:rFonts w:ascii="Calibri" w:hAnsi="Calibri"/>
                <w:color w:val="212529"/>
                <w:sz w:val="19"/>
              </w:rPr>
              <w:t>Ambiguity in the application and scope of the statute: The City of Manila created double taxation by splitting a unified manufacturing business into separate taxable entities without statutory au.</w:t>
            </w:r>
          </w:p>
          <w:p>
            <w:pPr>
              <w:spacing w:before="20" w:after="40" w:line="276" w:lineRule="auto"/>
            </w:pPr>
            <w:r>
              <w:rPr>
                <w:rFonts w:ascii="Calibri" w:hAnsi="Calibri"/>
                <w:b/>
                <w:color w:val="212529"/>
                <w:sz w:val="19"/>
              </w:rPr>
              <w:t xml:space="preserve">B. Purpose of Construction: </w:t>
            </w:r>
            <w:r>
              <w:rPr>
                <w:rFonts w:ascii="Calibri" w:hAnsi="Calibri"/>
                <w:color w:val="212529"/>
                <w:sz w:val="19"/>
              </w:rPr>
              <w:t>To ascertain and give full effect to the true intent, spirit, and purpose of the lawmaking body.</w:t>
            </w:r>
          </w:p>
          <w:p>
            <w:pPr>
              <w:spacing w:before="20" w:after="40" w:line="276" w:lineRule="auto"/>
            </w:pPr>
            <w:r>
              <w:rPr>
                <w:rFonts w:ascii="Calibri" w:hAnsi="Calibri"/>
                <w:b/>
                <w:color w:val="212529"/>
                <w:sz w:val="19"/>
              </w:rPr>
              <w:t xml:space="preserve">C. Method, Canon, or Rule Applied: </w:t>
            </w:r>
            <w:r>
              <w:rPr>
                <w:rFonts w:ascii="Calibri" w:hAnsi="Calibri"/>
                <w:color w:val="212529"/>
                <w:sz w:val="19"/>
              </w:rPr>
              <w:t>In dubio contra duplicem taxationem</w:t>
              <w:br/>
              <w:t xml:space="preserve">   - Application: Presumption Against Double Taxation: Double taxation is obnoxious to the law; statutes must be construed to prevent double taxation unless the legislative intent to impose it is clear beyond question.</w:t>
              <w:br/>
              <w:t xml:space="preserve">   - Result: No. Double taxation is heavily frowned upon by law. When a company manufactures soft drinks, selling them is part of manufacturing. A city cannot slice one business into two just to collect double tax.</w:t>
            </w:r>
          </w:p>
          <w:p>
            <w:pPr>
              <w:spacing w:before="20" w:after="40" w:line="276" w:lineRule="auto"/>
            </w:pPr>
            <w:r>
              <w:rPr>
                <w:rFonts w:ascii="Calibri" w:hAnsi="Calibri"/>
                <w:b/>
                <w:color w:val="212529"/>
                <w:sz w:val="19"/>
              </w:rPr>
              <w:t xml:space="preserve">D. Other Sources Used: </w:t>
            </w:r>
            <w:r>
              <w:rPr>
                <w:rFonts w:ascii="Calibri" w:hAnsi="Calibri"/>
                <w:color w:val="212529"/>
                <w:sz w:val="19"/>
              </w:rPr>
              <w:t>Ordinary meaning of words, statute considered as a whole, legislative history, and established Supreme Court jurisprudence.</w:t>
            </w:r>
          </w:p>
        </w:tc>
      </w:tr>
    </w:tbl>
    <w:p>
      <w:pPr>
        <w:keepNext/>
        <w:spacing w:before="240" w:after="60"/>
      </w:pPr>
      <w:r>
        <w:rPr>
          <w:rFonts w:ascii="Arial" w:hAnsi="Arial"/>
          <w:b/>
          <w:color w:val="0F2043"/>
          <w:sz w:val="21"/>
        </w:rPr>
        <w:t>VII. RELEVANT STATUTORY-CONSTRUCTION CONCEPTS (A–L EVALUATION)</w:t>
      </w:r>
    </w:p>
    <w:tbl>
      <w:tblPr>
        <w:tblW w:type="auto" w:w="0"/>
        <w:jc w:val="center"/>
        <w:tblLook w:firstColumn="1" w:firstRow="1" w:lastColumn="0" w:lastRow="0" w:noHBand="0" w:noVBand="1" w:val="04A0"/>
      </w:tblPr>
      <w:tblGrid>
        <w:gridCol w:w="4824"/>
        <w:gridCol w:w="4824"/>
      </w:tblGrid>
      <w:tr>
        <w:tc>
          <w:tcPr>
            <w:tcW w:type="dxa" w:w="4824"/>
            <w:shd w:fill="EBF0F8"/>
            <w:tcMar>
              <w:top w:w="70" w:type="dxa"/>
              <w:bottom w:w="70" w:type="dxa"/>
              <w:left w:w="100" w:type="dxa"/>
              <w:right w:w="100" w:type="dxa"/>
            </w:tcMar>
          </w:tcPr>
          <w:p>
            <w:pPr>
              <w:spacing w:before="20" w:after="20"/>
            </w:pPr>
            <w:r>
              <w:rPr>
                <w:rFonts w:ascii="Arial" w:hAnsi="Arial"/>
                <w:b/>
                <w:color w:val="0F2043"/>
                <w:sz w:val="18"/>
              </w:rPr>
              <w:t>A. Situs of Statutory Construction</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Supreme Court of the Philippines, exercising its constitutional judicial power under Article VIII of the Constitution, serves as the ultimate situs and final arbiter for interpreting and construing the disputed provision.</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B. Purpose of Statutory Construction</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purpose of construction is to discover and effectuate the true legislative intent and will of the lawmaking body, preventing injustice and ensuring the statute operates harmoniously.</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C. When to Construe</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Construction became imperative because the text contained an ambiguity, competing interpretations, or conflicting statutory provisions that required judicial determination of legislative intent.</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D. Ambiguity or Vagueness</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controversy centered on the ambiguity, silence, or conflicting scope of the statutory language, which the Court resolved by examining legislative intent and governing maxims.</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E. Verba Legis Non Est Recedendum</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781E1E"/>
                <w:sz w:val="17"/>
              </w:rPr>
              <w:t xml:space="preserve"> [NOT APPLICABLE] </w:t>
            </w:r>
            <w:r>
              <w:rPr>
                <w:rFonts w:ascii="Calibri" w:hAnsi="Calibri"/>
                <w:color w:val="212529"/>
                <w:sz w:val="18"/>
              </w:rPr>
              <w:t>Not Applicable. The Court looked beyond literal words to discover the underlying legislative spirit, context, and intent.</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F. Absoluta Sententia Expositore Non Indigent</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781E1E"/>
                <w:sz w:val="17"/>
              </w:rPr>
              <w:t xml:space="preserve"> [NOT APPLICABLE] </w:t>
            </w:r>
            <w:r>
              <w:rPr>
                <w:rFonts w:ascii="Calibri" w:hAnsi="Calibri"/>
                <w:color w:val="212529"/>
                <w:sz w:val="18"/>
              </w:rPr>
              <w:t>Not Applicable. The statutory language required expository interpretation due to textual gaps, broad phrasing, or conflicting provisions.</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G. Legislative Intent</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Court analyzed the true intent and policy of the lawmaking authority, ensuring that the statutory purpose is preserved and not defeated by erroneous administrative or private interpretations.</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H. Strict or Liberal Construction</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Court applied the recognized standard of construction tailored to the nature of the statute (e.g., penal and tax statutes are strictly construed against the State, whereas social legislation and remedial rules are liberally construed).</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I. Prospective or Retrospective Construction</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781E1E"/>
                <w:sz w:val="17"/>
              </w:rPr>
              <w:t xml:space="preserve"> [NOT APPLICABLE] </w:t>
            </w:r>
            <w:r>
              <w:rPr>
                <w:rFonts w:ascii="Calibri" w:hAnsi="Calibri"/>
                <w:color w:val="212529"/>
                <w:sz w:val="18"/>
              </w:rPr>
              <w:t>Not Applicable. The case involved only the contemporaneous, prospective application of the governing law.</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J. Statutory Construction vs. Judicial Legislation</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Court underscored the constitutional boundary of judicial power: Courts are empowered solely to interpret (jus dicere), not to enact or amend laws (jus dare). Supplying unwritten terms or expanding clear prohibitions constitutes prohibited judicial legislation.</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K. Legis Interpretatio Legis Vim Obtinet</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Under Article 8 of the Civil Code, the Supreme Court's authoritative interpretation of the statute forms part of the legal system of the Philippines and acquires the force of law (*legis interpretatio legis vim obtinet*).</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L. Extent and Limits of the Power to Construe</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Court respected the constitutional limits of its authority by applying the law as written and refusing to invade the legislative domain under the guise of equity or expediency.</w:t>
            </w:r>
          </w:p>
        </w:tc>
      </w:tr>
    </w:tbl>
    <w:p>
      <w:pPr>
        <w:keepNext/>
        <w:spacing w:before="240" w:after="60"/>
      </w:pPr>
      <w:r>
        <w:rPr>
          <w:rFonts w:ascii="Arial" w:hAnsi="Arial"/>
          <w:b/>
          <w:color w:val="0F2043"/>
          <w:sz w:val="21"/>
        </w:rPr>
        <w:t>VIII. OTHER CANONS OR METHODS OF CONSTRUCTION</w:t>
      </w:r>
    </w:p>
    <w:tbl>
      <w:tblPr>
        <w:tblW w:type="auto" w:w="0"/>
        <w:jc w:val="center"/>
        <w:tblLook w:firstColumn="1" w:firstRow="1" w:lastColumn="0" w:lastRow="0" w:noHBand="0" w:noVBand="1" w:val="04A0"/>
      </w:tblPr>
      <w:tblGrid>
        <w:gridCol w:w="9648"/>
      </w:tblGrid>
      <w:tr>
        <w:tc>
          <w:tcPr>
            <w:tcW w:type="dxa" w:w="9648"/>
            <w:shd w:fill="F8F9FB"/>
            <w:tcMar>
              <w:top w:w="100" w:type="dxa"/>
              <w:bottom w:w="100" w:type="dxa"/>
              <w:left w:w="160" w:type="dxa"/>
              <w:right w:w="160" w:type="dxa"/>
            </w:tcMar>
          </w:tcPr>
          <w:p>
            <w:pPr>
              <w:spacing w:before="20" w:after="40"/>
            </w:pPr>
            <w:r>
              <w:rPr>
                <w:rFonts w:ascii="Arial" w:hAnsi="Arial"/>
                <w:b/>
                <w:color w:val="0F2043"/>
                <w:sz w:val="19"/>
              </w:rPr>
              <w:t>Secondary Rules &amp; Canons Applied</w:t>
              <w:br/>
            </w:r>
          </w:p>
          <w:p>
            <w:pPr>
              <w:spacing w:before="20" w:after="40" w:line="276" w:lineRule="auto"/>
            </w:pPr>
            <w:r>
              <w:rPr>
                <w:rFonts w:ascii="Calibri" w:hAnsi="Calibri"/>
                <w:b/>
                <w:color w:val="212529"/>
                <w:sz w:val="19"/>
              </w:rPr>
              <w:t xml:space="preserve">• Canon / Maxim: </w:t>
            </w:r>
            <w:r>
              <w:rPr>
                <w:rFonts w:ascii="Calibri" w:hAnsi="Calibri"/>
                <w:color w:val="212529"/>
                <w:sz w:val="19"/>
              </w:rPr>
              <w:t>• Strictissimi juris (strict interpretation of tax laws)</w:t>
              <w:br/>
              <w:t>• Nemo debet bis vexari (no one should be twice burdened for the same cause)</w:t>
            </w:r>
          </w:p>
          <w:p>
            <w:pPr>
              <w:spacing w:before="20" w:after="40" w:line="276" w:lineRule="auto"/>
            </w:pPr>
            <w:r>
              <w:rPr>
                <w:rFonts w:ascii="Calibri" w:hAnsi="Calibri"/>
                <w:b/>
                <w:color w:val="212529"/>
                <w:sz w:val="19"/>
              </w:rPr>
              <w:t xml:space="preserve">• How Applied: </w:t>
            </w:r>
            <w:r>
              <w:rPr>
                <w:rFonts w:ascii="Calibri" w:hAnsi="Calibri"/>
                <w:color w:val="212529"/>
                <w:sz w:val="19"/>
              </w:rPr>
              <w:t>Applied as corroborative canons to reinforce the primary rule of construction.</w:t>
            </w:r>
          </w:p>
          <w:p>
            <w:pPr>
              <w:spacing w:before="20" w:after="40" w:line="276" w:lineRule="auto"/>
            </w:pPr>
            <w:r>
              <w:rPr>
                <w:rFonts w:ascii="Calibri" w:hAnsi="Calibri"/>
                <w:b/>
                <w:color w:val="212529"/>
                <w:sz w:val="19"/>
              </w:rPr>
              <w:t xml:space="preserve">• Effect on Interpretation: </w:t>
            </w:r>
            <w:r>
              <w:rPr>
                <w:rFonts w:ascii="Calibri" w:hAnsi="Calibri"/>
                <w:color w:val="212529"/>
                <w:sz w:val="19"/>
              </w:rPr>
              <w:t>Harmonized the statute and prevented an absurd or unjust result.</w:t>
            </w:r>
          </w:p>
        </w:tc>
      </w:tr>
    </w:tbl>
    <w:p>
      <w:pPr>
        <w:keepNext/>
        <w:spacing w:before="240" w:after="60"/>
      </w:pPr>
      <w:r>
        <w:rPr>
          <w:rFonts w:ascii="Arial" w:hAnsi="Arial"/>
          <w:b/>
          <w:color w:val="0F2043"/>
          <w:sz w:val="21"/>
        </w:rPr>
        <w:t>IX. THE CONSTRUCTION MADE BY THE COURT</w:t>
      </w:r>
    </w:p>
    <w:tbl>
      <w:tblPr>
        <w:tblW w:type="auto" w:w="0"/>
        <w:jc w:val="center"/>
        <w:tblLook w:firstColumn="1" w:firstRow="1" w:lastColumn="0" w:lastRow="0" w:noHBand="0" w:noVBand="1" w:val="04A0"/>
      </w:tblPr>
      <w:tblGrid>
        <w:gridCol w:w="9648"/>
      </w:tblGrid>
      <w:tr>
        <w:tc>
          <w:tcPr>
            <w:tcW w:type="dxa" w:w="9648"/>
            <w:shd w:fill="F9F8F5"/>
            <w:tcMar>
              <w:top w:w="100" w:type="dxa"/>
              <w:bottom w:w="100" w:type="dxa"/>
              <w:left w:w="160" w:type="dxa"/>
              <w:right w:w="160" w:type="dxa"/>
            </w:tcMar>
          </w:tcPr>
          <w:p>
            <w:pPr>
              <w:spacing w:before="20" w:after="40"/>
            </w:pPr>
            <w:r>
              <w:rPr>
                <w:rFonts w:ascii="Arial" w:hAnsi="Arial"/>
                <w:b/>
                <w:color w:val="0F2043"/>
                <w:sz w:val="19"/>
              </w:rPr>
              <w:t>Actual Judicial Construction &amp; Ratio</w:t>
              <w:br/>
            </w:r>
          </w:p>
          <w:p>
            <w:pPr>
              <w:spacing w:before="20" w:after="40" w:line="276" w:lineRule="auto"/>
            </w:pPr>
            <w:r>
              <w:rPr>
                <w:rFonts w:ascii="Calibri" w:hAnsi="Calibri"/>
                <w:b/>
                <w:color w:val="212529"/>
                <w:sz w:val="19"/>
              </w:rPr>
              <w:t xml:space="preserve">• Construction Summary: </w:t>
            </w:r>
            <w:r>
              <w:rPr>
                <w:rFonts w:ascii="Calibri" w:hAnsi="Calibri"/>
                <w:color w:val="212529"/>
                <w:sz w:val="19"/>
              </w:rPr>
              <w:t>The Court construed the disputed statutory provisions in Coca-Cola Bottlers, Phils., Inc. (CCBPI) v. City of Manila and Liberty M. Gomez to mean and apply strictly in accordance with In dubio contra duplicem taxationem, holding that No. Double taxation is heavily frowned upon by law. When a company manufactures soft drinks, selling them is part of manufacturing. A city cannot slice one busi.</w:t>
            </w:r>
          </w:p>
          <w:p>
            <w:pPr>
              <w:spacing w:before="20" w:after="40" w:line="276" w:lineRule="auto"/>
            </w:pPr>
            <w:r>
              <w:rPr>
                <w:rFonts w:ascii="Calibri" w:hAnsi="Calibri"/>
                <w:b/>
                <w:color w:val="212529"/>
                <w:sz w:val="19"/>
              </w:rPr>
              <w:t xml:space="preserve">• Principal Reasoning: </w:t>
            </w:r>
            <w:r>
              <w:rPr>
                <w:rFonts w:ascii="Calibri" w:hAnsi="Calibri"/>
                <w:color w:val="212529"/>
                <w:sz w:val="19"/>
              </w:rPr>
              <w:t>Selling is part of making goods—you can't be a manufacturer without selling your products. If the city taxes you for making the soda, it cannot tax you again for handing the soda to stores. The Court held that unless Congress says 'tax them twice', the presumption against double taxation blocks the second tax.</w:t>
            </w:r>
          </w:p>
        </w:tc>
      </w:tr>
    </w:tbl>
    <w:tbl>
      <w:tblPr>
        <w:tblW w:type="auto" w:w="0"/>
        <w:jc w:val="center"/>
        <w:tblLook w:firstColumn="1" w:firstRow="1" w:lastColumn="0" w:lastRow="0" w:noHBand="0" w:noVBand="1" w:val="04A0"/>
      </w:tblPr>
      <w:tblGrid>
        <w:gridCol w:w="9648"/>
      </w:tblGrid>
      <w:tr>
        <w:tc>
          <w:tcPr>
            <w:tcW w:type="dxa" w:w="9648"/>
            <w:shd w:fill="EEF6F0"/>
            <w:tcMar>
              <w:top w:w="100" w:type="dxa"/>
              <w:bottom w:w="100" w:type="dxa"/>
              <w:left w:w="160" w:type="dxa"/>
              <w:right w:w="160" w:type="dxa"/>
            </w:tcMar>
          </w:tcPr>
          <w:p>
            <w:pPr>
              <w:spacing w:before="20" w:after="40"/>
            </w:pPr>
            <w:r>
              <w:rPr>
                <w:rFonts w:ascii="Arial" w:hAnsi="Arial"/>
                <w:b/>
                <w:color w:val="0D6E4B"/>
                <w:sz w:val="19"/>
              </w:rPr>
              <w:t>X. STATUTORY CONSTRUCTION OR JUDICIAL LEGISLATION?</w:t>
              <w:br/>
            </w:r>
          </w:p>
          <w:p>
            <w:pPr>
              <w:spacing w:before="20" w:after="60"/>
            </w:pPr>
            <w:r>
              <w:rPr>
                <w:rFonts w:ascii="Arial" w:hAnsi="Arial"/>
                <w:b/>
                <w:color w:val="0F2043"/>
                <w:sz w:val="19"/>
              </w:rPr>
              <w:t>☑ Proper statutory construction    ☐ Judicial legislation    ☐ Debatable</w:t>
            </w:r>
          </w:p>
          <w:p>
            <w:pPr>
              <w:spacing w:before="40" w:after="40" w:line="276" w:lineRule="auto"/>
            </w:pPr>
            <w:r>
              <w:rPr>
                <w:rFonts w:ascii="Calibri" w:hAnsi="Calibri"/>
                <w:b/>
                <w:color w:val="212529"/>
                <w:sz w:val="19"/>
              </w:rPr>
              <w:t>Explanation (3–5 sentences):</w:t>
              <w:br/>
            </w:r>
            <w:r>
              <w:rPr>
                <w:rFonts w:ascii="Calibri" w:hAnsi="Calibri"/>
                <w:color w:val="212529"/>
                <w:sz w:val="19"/>
              </w:rPr>
              <w:t>The Supreme Court acted within the legitimate bounds of its constitutional power to interpret the law (jus dicere). By applying In dubio contra duplicem taxationem, the Court faithfully effectuated the legislative intent without creating new rules, modifying clear statutory text, or usurping congressional prerogative. The ruling reinforces the separation of powers and the doctrine that courts must enforce the law as enacted.</w:t>
            </w:r>
          </w:p>
        </w:tc>
      </w:tr>
    </w:tbl>
    <w:p>
      <w:pPr>
        <w:spacing w:before="80" w:after="40"/>
      </w:pPr>
    </w:p>
    <w:tbl>
      <w:tblPr>
        <w:tblW w:type="auto" w:w="0"/>
        <w:jc w:val="center"/>
        <w:tblLook w:firstColumn="1" w:firstRow="1" w:lastColumn="0" w:lastRow="0" w:noHBand="0" w:noVBand="1" w:val="04A0"/>
      </w:tblPr>
      <w:tblGrid>
        <w:gridCol w:w="9648"/>
      </w:tblGrid>
      <w:tr>
        <w:tc>
          <w:tcPr>
            <w:tcW w:type="dxa" w:w="9648"/>
            <w:shd w:fill="FBF6EE"/>
            <w:tcMar>
              <w:top w:w="100" w:type="dxa"/>
              <w:bottom w:w="100" w:type="dxa"/>
              <w:left w:w="160" w:type="dxa"/>
              <w:right w:w="160" w:type="dxa"/>
            </w:tcMar>
          </w:tcPr>
          <w:p>
            <w:pPr>
              <w:spacing w:before="20" w:after="40"/>
            </w:pPr>
            <w:r>
              <w:rPr>
                <w:rFonts w:ascii="Arial" w:hAnsi="Arial"/>
                <w:b/>
                <w:color w:val="8C3200"/>
                <w:sz w:val="19"/>
              </w:rPr>
              <w:t>XI. DOCTRINE (Statutory Construction Principle):</w:t>
              <w:br/>
            </w:r>
            <w:r>
              <w:rPr>
                <w:rFonts w:ascii="Calibri" w:hAnsi="Calibri"/>
                <w:color w:val="212529"/>
                <w:sz w:val="19"/>
              </w:rPr>
              <w:t>Presumption Against Double Taxation: Double taxation is obnoxious to the law; statutes must be construed to prevent double taxation unless the legislative intent to impose it is clear beyond question.</w:t>
              <w:br/>
              <w:br/>
            </w:r>
          </w:p>
          <w:p>
            <w:pPr>
              <w:spacing w:before="20" w:after="40"/>
            </w:pPr>
            <w:r>
              <w:rPr>
                <w:rFonts w:ascii="Arial" w:hAnsi="Arial"/>
                <w:b/>
                <w:color w:val="8C3200"/>
                <w:sz w:val="19"/>
              </w:rPr>
              <w:t>XII. ONE-SENTENCE TAKEAWAY:</w:t>
              <w:br/>
            </w:r>
            <w:r>
              <w:rPr>
                <w:rFonts w:ascii="Calibri" w:hAnsi="Calibri"/>
                <w:i/>
                <w:color w:val="212529"/>
                <w:sz w:val="19"/>
              </w:rPr>
              <w:t>This case is important in Statutory Construction because Taxes cannot be charged twice on the same money unless the law specifically and unmistakably orders a double tax.</w:t>
            </w:r>
          </w:p>
        </w:tc>
      </w:tr>
    </w:tbl>
    <w:p>
      <w:r>
        <w:br w:type="page"/>
      </w:r>
    </w:p>
    <w:p>
      <w:pPr>
        <w:keepNext/>
        <w:spacing w:before="320" w:after="80"/>
      </w:pPr>
      <w:r>
        <w:rPr>
          <w:rFonts w:ascii="Arial" w:hAnsi="Arial"/>
          <w:b/>
          <w:color w:val="0F2043"/>
          <w:sz w:val="26"/>
        </w:rPr>
        <w:t>36. JOSE G. ATIENZA, JR. V. JOSE L. VILLAROSA</w:t>
      </w:r>
    </w:p>
    <w:p>
      <w:pPr>
        <w:spacing w:before="40" w:after="80" w:line="276" w:lineRule="auto"/>
      </w:pPr>
      <w:r>
        <w:rPr>
          <w:rFonts w:ascii="Calibri" w:hAnsi="Calibri"/>
          <w:b/>
          <w:color w:val="212529"/>
          <w:sz w:val="21"/>
        </w:rPr>
        <w:t xml:space="preserve">Citation: </w:t>
      </w:r>
      <w:r>
        <w:rPr>
          <w:rFonts w:ascii="Calibri" w:hAnsi="Calibri"/>
          <w:i/>
          <w:color w:val="212529"/>
          <w:sz w:val="21"/>
        </w:rPr>
        <w:t>G.R. No. 161081 | May 10, 2005 | 458 SCRA 385 | En Banc | Ponente: J. Callejo, Sr.</w:t>
      </w:r>
    </w:p>
    <w:p>
      <w:pPr>
        <w:keepNext/>
        <w:spacing w:before="200" w:after="40"/>
      </w:pPr>
      <w:r>
        <w:rPr>
          <w:rFonts w:ascii="Arial" w:hAnsi="Arial"/>
          <w:b/>
          <w:color w:val="781E1E"/>
          <w:sz w:val="22"/>
        </w:rPr>
        <w:t>LAYER A: ALAC DIGEST, RECITATION SCRIPT &amp; STATCON ANALYSIS</w:t>
      </w:r>
    </w:p>
    <w:p>
      <w:pPr>
        <w:keepNext/>
        <w:spacing w:before="200" w:after="40"/>
      </w:pPr>
      <w:r>
        <w:rPr>
          <w:rFonts w:ascii="Arial" w:hAnsi="Arial"/>
          <w:b/>
          <w:color w:val="781E1E"/>
          <w:sz w:val="22"/>
        </w:rPr>
        <w:t>I. PARTIES &amp; PROCEDURAL BACKGROUND</w:t>
      </w:r>
    </w:p>
    <w:p>
      <w:pPr>
        <w:spacing w:before="40" w:after="80" w:line="276" w:lineRule="auto"/>
      </w:pPr>
      <w:r>
        <w:rPr>
          <w:rFonts w:ascii="Calibri" w:hAnsi="Calibri"/>
          <w:b/>
          <w:color w:val="212529"/>
          <w:sz w:val="21"/>
        </w:rPr>
        <w:t xml:space="preserve">• Plaintiff/Petitioner: </w:t>
      </w:r>
      <w:r>
        <w:rPr>
          <w:rFonts w:ascii="Calibri" w:hAnsi="Calibri"/>
          <w:i w:val="0"/>
          <w:color w:val="212529"/>
          <w:sz w:val="21"/>
        </w:rPr>
        <w:t>Jose G. Atienza, Jr. (Petitioner)</w:t>
      </w:r>
    </w:p>
    <w:p>
      <w:pPr>
        <w:spacing w:before="40" w:after="80" w:line="276" w:lineRule="auto"/>
      </w:pPr>
      <w:r>
        <w:rPr>
          <w:rFonts w:ascii="Calibri" w:hAnsi="Calibri"/>
          <w:b/>
          <w:color w:val="212529"/>
          <w:sz w:val="21"/>
        </w:rPr>
        <w:t xml:space="preserve">• Defendant/Respondent: </w:t>
      </w:r>
      <w:r>
        <w:rPr>
          <w:rFonts w:ascii="Calibri" w:hAnsi="Calibri"/>
          <w:i w:val="0"/>
          <w:color w:val="212529"/>
          <w:sz w:val="21"/>
        </w:rPr>
        <w:t>Jose L. Villarosa (Respondent)</w:t>
      </w:r>
    </w:p>
    <w:p>
      <w:pPr>
        <w:spacing w:before="40" w:after="80" w:line="276" w:lineRule="auto"/>
      </w:pPr>
      <w:r>
        <w:rPr>
          <w:rFonts w:ascii="Calibri" w:hAnsi="Calibri"/>
          <w:b/>
          <w:color w:val="212529"/>
          <w:sz w:val="21"/>
        </w:rPr>
        <w:t xml:space="preserve">• Originating Court: </w:t>
      </w:r>
      <w:r>
        <w:rPr>
          <w:rFonts w:ascii="Calibri" w:hAnsi="Calibri"/>
          <w:i w:val="0"/>
          <w:color w:val="212529"/>
          <w:sz w:val="21"/>
        </w:rPr>
        <w:t>Regional Trial Court of Occidental Mindoro / Supreme Court En Banc</w:t>
      </w:r>
    </w:p>
    <w:p>
      <w:pPr>
        <w:spacing w:before="40" w:after="80" w:line="276" w:lineRule="auto"/>
      </w:pPr>
      <w:r>
        <w:rPr>
          <w:rFonts w:ascii="Calibri" w:hAnsi="Calibri"/>
          <w:b/>
          <w:color w:val="212529"/>
          <w:sz w:val="21"/>
        </w:rPr>
        <w:t xml:space="preserve">• Nature of the Action: </w:t>
      </w:r>
      <w:r>
        <w:rPr>
          <w:rFonts w:ascii="Calibri" w:hAnsi="Calibri"/>
          <w:i w:val="0"/>
          <w:color w:val="212529"/>
          <w:sz w:val="21"/>
        </w:rPr>
        <w:t>Petition for Review on Certiorari under Rule 45 concerning the statutory allocation of administrative and appointing powers between the Provincial Governor and the Vice-Governor under Republic Act No. 7160 (Local Government Code).</w:t>
      </w:r>
    </w:p>
    <w:p>
      <w:pPr>
        <w:keepNext/>
        <w:spacing w:before="200" w:after="40"/>
      </w:pPr>
      <w:r>
        <w:rPr>
          <w:rFonts w:ascii="Arial" w:hAnsi="Arial"/>
          <w:b/>
          <w:color w:val="781E1E"/>
          <w:sz w:val="22"/>
        </w:rPr>
        <w:t>II. WHOLE FACTS</w:t>
      </w:r>
    </w:p>
    <w:p>
      <w:pPr>
        <w:spacing w:before="40" w:after="80" w:line="276" w:lineRule="auto"/>
      </w:pPr>
      <w:r>
        <w:rPr>
          <w:rFonts w:ascii="Calibri" w:hAnsi="Calibri"/>
          <w:i w:val="0"/>
          <w:color w:val="212529"/>
          <w:sz w:val="21"/>
        </w:rPr>
        <w:t>A bitter political conflict erupted in Occidental Mindoro between Governor Jose Villarosa and Vice-Governor Jose Atienza, Jr. over who had the authority to appoint personnel of the Sangguniang Panlalawigan and sign purchase orders and disbursement vouchers for legislative branch expenses. Governor Villarosa insisted that Section 465 of the Local Government Code gives the Provincial Governor supreme administrative authority over all provincial employees and finances. Vice-Governor Atienza countered that Section 466 explicitly designates the Vice-Governor as the presiding officer of the Sangguniang Panlalawigan with the exclusive power to appoint all legislative officials and approve vouchers payable from legislative funds.</w:t>
      </w:r>
    </w:p>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SUMMARY OF FACTS</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The Governor and Vice-Governor of Occidental Mindoro fought over who had the right to hire employees and sign checks for the provincial legislative board (Sangguniang Panlalawigan). The Governor claimed he runs the entire province, while the Vice-Governor claimed the law gives him control over the legislative board. The Supreme Court harmonized all sections of the Local Government Code, ruling that the Vice-Governor has sole power to hire legislative staff and sign legislative expenses, while the Governor controls the executive branch.</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When reciting the facts, state the core dispute in 2 sentences, then state how the case reached the Supreme Court.</w:t>
            </w:r>
          </w:p>
        </w:tc>
      </w:tr>
    </w:tbl>
    <w:p>
      <w:pPr>
        <w:keepNext/>
        <w:spacing w:before="200" w:after="40"/>
      </w:pPr>
      <w:r>
        <w:rPr>
          <w:rFonts w:ascii="Arial" w:hAnsi="Arial"/>
          <w:b/>
          <w:color w:val="781E1E"/>
          <w:sz w:val="22"/>
        </w:rPr>
        <w:t>III. THE LEGAL ISSUE</w:t>
      </w:r>
    </w:p>
    <w:p>
      <w:pPr>
        <w:spacing w:before="40" w:after="80" w:line="276" w:lineRule="auto"/>
      </w:pPr>
      <w:r>
        <w:rPr>
          <w:rFonts w:ascii="Calibri" w:hAnsi="Calibri"/>
          <w:i w:val="0"/>
          <w:color w:val="212529"/>
          <w:sz w:val="21"/>
        </w:rPr>
        <w:t>Whether or not the Vice-Governor, as presiding officer of the Sangguniang Panlalawigan, has the statutory authority to appoint personnel of the legislative council and approve disbursement vouchers for legislative operations, to the exclusion of the Provincial Governor.</w:t>
      </w:r>
    </w:p>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THE LEGAL ISSUE</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Does the Vice-Governor or the Governor have the legal power to hire staff and sign checks for the provincial legislative board?</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"Sir/Ma'am, the issue is whether the appointing and spending powers over the Sangguniang Panlalawigan belong to the Vice-Governor or the Governor under RA 7160, testing the canon of Construing a Statute as a Whole (Ut Res Magis Valeat Quam Pereat / Ex Antecedentibus Et Consequentibus)."</w:t>
            </w:r>
          </w:p>
        </w:tc>
      </w:tr>
    </w:tbl>
    <w:p>
      <w:pPr>
        <w:keepNext/>
        <w:spacing w:before="200" w:after="40"/>
      </w:pPr>
      <w:r>
        <w:rPr>
          <w:rFonts w:ascii="Arial" w:hAnsi="Arial"/>
          <w:b/>
          <w:color w:val="781E1E"/>
          <w:sz w:val="22"/>
        </w:rPr>
        <w:t>IV. ALAC DIGEST</w:t>
      </w:r>
    </w:p>
    <w:tbl>
      <w:tblPr>
        <w:tblW w:type="auto" w:w="0"/>
        <w:jc w:val="center"/>
        <w:tblLook w:firstColumn="1" w:firstRow="1" w:lastColumn="0" w:lastRow="0" w:noHBand="0" w:noVBand="1" w:val="04A0"/>
      </w:tblPr>
      <w:tblGrid>
        <w:gridCol w:w="9648"/>
      </w:tblGrid>
      <w:tr>
        <w:tc>
          <w:tcPr>
            <w:tcW w:type="dxa" w:w="9648"/>
            <w:shd w:fill="F4F6F9"/>
            <w:tcMar>
              <w:top w:w="120" w:type="dxa"/>
              <w:bottom w:w="120" w:type="dxa"/>
              <w:left w:w="180" w:type="dxa"/>
              <w:right w:w="180" w:type="dxa"/>
            </w:tcMar>
          </w:tcPr>
          <w:p>
            <w:pPr>
              <w:spacing w:before="40" w:after="60"/>
            </w:pPr>
            <w:r>
              <w:rPr>
                <w:rFonts w:ascii="Arial" w:hAnsi="Arial"/>
                <w:b/>
                <w:color w:val="0F2043"/>
                <w:sz w:val="21"/>
              </w:rPr>
              <w:t>[A] ANSWER</w:t>
              <w:br/>
            </w:r>
          </w:p>
          <w:p>
            <w:pPr>
              <w:spacing w:before="20" w:after="40" w:line="276" w:lineRule="auto"/>
            </w:pPr>
            <w:r>
              <w:rPr>
                <w:rFonts w:ascii="Calibri" w:hAnsi="Calibri"/>
                <w:color w:val="212529"/>
                <w:sz w:val="20"/>
              </w:rPr>
              <w:t>The VICE-GOVERNOR has the exclusive authority to appoint all officials and employees of the Sangguniang Panlalawigan and to sign purchase orders and vouchers payable from legislative appropriations. The Local Government Code must be construed as a whole to harmonize executive and legislative powers.</w:t>
            </w:r>
          </w:p>
        </w:tc>
      </w:tr>
    </w:tbl>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THE ANSWER</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The Vice-Governor. When you read the whole Local Government Code together, it is clear that the Governor heads the Executive branch and the Vice-Governor heads the Legislative branch. The Governor cannot meddle in legislative hiring and checks.</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"Sir/Ma'am, the Supreme Court held that under Ut res magis valeat quam pereat (that the thing may have effect rather than perish) and construing the Local Government Code as an integrated whole, Section 466 gives the Vice-Governor exclusive authority over legislative staff and vouchers, while the Governor's powers under Section 465 are confined to executive personnel."</w:t>
            </w:r>
          </w:p>
        </w:tc>
      </w:tr>
    </w:tbl>
    <w:tbl>
      <w:tblPr>
        <w:tblW w:type="auto" w:w="0"/>
        <w:jc w:val="center"/>
        <w:tblLook w:firstColumn="1" w:firstRow="1" w:lastColumn="0" w:lastRow="0" w:noHBand="0" w:noVBand="1" w:val="04A0"/>
      </w:tblPr>
      <w:tblGrid>
        <w:gridCol w:w="9648"/>
      </w:tblGrid>
      <w:tr>
        <w:tc>
          <w:tcPr>
            <w:tcW w:type="dxa" w:w="9648"/>
            <w:shd w:fill="F4F6F9"/>
            <w:tcMar>
              <w:top w:w="120" w:type="dxa"/>
              <w:bottom w:w="120" w:type="dxa"/>
              <w:left w:w="180" w:type="dxa"/>
              <w:right w:w="180" w:type="dxa"/>
            </w:tcMar>
          </w:tcPr>
          <w:p>
            <w:pPr>
              <w:spacing w:before="40" w:after="60"/>
            </w:pPr>
            <w:r>
              <w:rPr>
                <w:rFonts w:ascii="Arial" w:hAnsi="Arial"/>
                <w:b/>
                <w:color w:val="0F2043"/>
                <w:sz w:val="21"/>
              </w:rPr>
              <w:t>[L] LEGAL BASIS</w:t>
              <w:br/>
            </w:r>
          </w:p>
          <w:p>
            <w:pPr>
              <w:spacing w:before="20" w:after="40" w:line="276" w:lineRule="auto"/>
            </w:pPr>
            <w:r>
              <w:rPr>
                <w:rFonts w:ascii="Calibri" w:hAnsi="Calibri"/>
                <w:b/>
                <w:color w:val="212529"/>
                <w:sz w:val="20"/>
              </w:rPr>
              <w:t xml:space="preserve">1. Sections 465, 466, and 468, Republic Act No. 7160 (Local Government Code of 1991): </w:t>
            </w:r>
            <w:r>
              <w:rPr>
                <w:rFonts w:ascii="Calibri" w:hAnsi="Calibri"/>
                <w:color w:val="212529"/>
                <w:sz w:val="20"/>
              </w:rPr>
              <w:t>Allocation of powers between the Provincial Governor (executive) and Vice-Governor (presiding officer of the sanggunian).</w:t>
            </w:r>
          </w:p>
          <w:p>
            <w:pPr>
              <w:spacing w:before="20" w:after="40" w:line="276" w:lineRule="auto"/>
            </w:pPr>
            <w:r>
              <w:rPr>
                <w:rFonts w:ascii="Calibri" w:hAnsi="Calibri"/>
                <w:b/>
                <w:color w:val="212529"/>
                <w:sz w:val="20"/>
              </w:rPr>
              <w:t xml:space="preserve">2. Ut Res Magis Valeat Quam Pereat (that the thing may rather have effect than perish): </w:t>
            </w:r>
            <w:r>
              <w:rPr>
                <w:rFonts w:ascii="Calibri" w:hAnsi="Calibri"/>
                <w:color w:val="212529"/>
                <w:sz w:val="20"/>
              </w:rPr>
              <w:t>All provisions of the Local Government Code must be harmonized so that each section operates with full vitality.</w:t>
            </w:r>
          </w:p>
          <w:p>
            <w:pPr>
              <w:spacing w:before="20" w:after="40" w:line="276" w:lineRule="auto"/>
            </w:pPr>
            <w:r>
              <w:rPr>
                <w:rFonts w:ascii="Calibri" w:hAnsi="Calibri"/>
                <w:b/>
                <w:color w:val="212529"/>
                <w:sz w:val="20"/>
              </w:rPr>
              <w:t xml:space="preserve">3. Ex Antecedentibus Et Consequentibus Fit Optima Interpretatio (the best interpretation is made from the context): </w:t>
            </w:r>
            <w:r>
              <w:rPr>
                <w:rFonts w:ascii="Calibri" w:hAnsi="Calibri"/>
                <w:color w:val="212529"/>
                <w:sz w:val="20"/>
              </w:rPr>
              <w:t>Statutory clauses must be interpreted in connection with preceding and succeeding clauses.</w:t>
            </w:r>
          </w:p>
        </w:tc>
      </w:tr>
    </w:tbl>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LEGAL BASIS</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Sections 465 &amp; 466 RA 7160, Ut Res Magis Valeat Quam Pereat, and Ex Antecedentibus Et Consequentibus.</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"Sir/Ma'am, the legal basis is Sections 465 and 466 of RA 7160, construed under Ut res magis valeat quam pereat (that the statute may have effect rather than perish) and Ex antecedentibus et consequentibus fit optima interpretatio."</w:t>
            </w:r>
          </w:p>
        </w:tc>
      </w:tr>
    </w:tbl>
    <w:tbl>
      <w:tblPr>
        <w:tblW w:type="auto" w:w="0"/>
        <w:jc w:val="center"/>
        <w:tblLook w:firstColumn="1" w:firstRow="1" w:lastColumn="0" w:lastRow="0" w:noHBand="0" w:noVBand="1" w:val="04A0"/>
      </w:tblPr>
      <w:tblGrid>
        <w:gridCol w:w="9648"/>
      </w:tblGrid>
      <w:tr>
        <w:tc>
          <w:tcPr>
            <w:tcW w:type="dxa" w:w="9648"/>
            <w:shd w:fill="F4F6F9"/>
            <w:tcMar>
              <w:top w:w="120" w:type="dxa"/>
              <w:bottom w:w="120" w:type="dxa"/>
              <w:left w:w="180" w:type="dxa"/>
              <w:right w:w="180" w:type="dxa"/>
            </w:tcMar>
          </w:tcPr>
          <w:p>
            <w:pPr>
              <w:spacing w:before="40" w:after="60"/>
            </w:pPr>
            <w:r>
              <w:rPr>
                <w:rFonts w:ascii="Arial" w:hAnsi="Arial"/>
                <w:b/>
                <w:color w:val="0F2043"/>
                <w:sz w:val="21"/>
              </w:rPr>
              <w:t>[A] ANALYSIS / APPLICATION</w:t>
              <w:br/>
            </w:r>
          </w:p>
          <w:p>
            <w:pPr>
              <w:spacing w:before="20" w:after="40" w:line="276" w:lineRule="auto"/>
            </w:pPr>
            <w:r>
              <w:rPr>
                <w:rFonts w:ascii="Calibri" w:hAnsi="Calibri"/>
                <w:b/>
                <w:color w:val="212529"/>
                <w:sz w:val="20"/>
              </w:rPr>
              <w:t xml:space="preserve">1. Construction as an Integrated Whole: </w:t>
            </w:r>
            <w:r>
              <w:rPr>
                <w:rFonts w:ascii="Calibri" w:hAnsi="Calibri"/>
                <w:color w:val="212529"/>
                <w:sz w:val="20"/>
              </w:rPr>
              <w:t>A statute must be read in its entirety. Section 465 cannot be read in isolation to swallow up Section 466; both sections must be harmonized to reflect the separation of executive and legislative powers at the local government level.</w:t>
            </w:r>
          </w:p>
          <w:p>
            <w:pPr>
              <w:spacing w:before="20" w:after="40" w:line="276" w:lineRule="auto"/>
            </w:pPr>
            <w:r>
              <w:rPr>
                <w:rFonts w:ascii="Calibri" w:hAnsi="Calibri"/>
                <w:b/>
                <w:color w:val="212529"/>
                <w:sz w:val="20"/>
              </w:rPr>
              <w:t xml:space="preserve">2. Presiding Officer's Inherent Administrative Prerogative: </w:t>
            </w:r>
            <w:r>
              <w:rPr>
                <w:rFonts w:ascii="Calibri" w:hAnsi="Calibri"/>
                <w:color w:val="212529"/>
                <w:sz w:val="20"/>
              </w:rPr>
              <w:t>The Vice-Governor is the head of the legislative body. Giving the Governor power over legislative personnel would destroy legislative independence and subvert local checks and balances.</w:t>
            </w:r>
          </w:p>
          <w:p>
            <w:pPr>
              <w:spacing w:before="20" w:after="40" w:line="276" w:lineRule="auto"/>
            </w:pPr>
            <w:r>
              <w:rPr>
                <w:rFonts w:ascii="Calibri" w:hAnsi="Calibri"/>
                <w:b/>
                <w:color w:val="212529"/>
                <w:sz w:val="20"/>
              </w:rPr>
              <w:t xml:space="preserve">3. Specific vs. General Allocation: </w:t>
            </w:r>
            <w:r>
              <w:rPr>
                <w:rFonts w:ascii="Calibri" w:hAnsi="Calibri"/>
                <w:color w:val="212529"/>
                <w:sz w:val="20"/>
              </w:rPr>
              <w:t>Section 466 specifically assigns legislative appointments and sanggunian voucher approvals to the Vice-Governor, acting as an exception to the Governor's general executive authority under Section 465.</w:t>
            </w:r>
          </w:p>
        </w:tc>
      </w:tr>
    </w:tbl>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ANALYSIS / APPLICATION</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You cannot read one section of a law and ignore the rest. If the Governor controlled the legislative employees, the legislative council would lose its independence. By reading the whole statute together, the Court gave full meaning to both the Governor's executive role and the Vice-Governor's legislative role.</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"Sir/Ma'am, the Court harmonized the entire Local Government Code. Under Ut Res Magis Valeat Quam Pereat, the statute maintains local separation of powers: the Governor administers executive offices, while the Vice-Governor exercises exclusive appointing and fiscal authority over the Sangguniang Panlalawigan."</w:t>
            </w:r>
          </w:p>
        </w:tc>
      </w:tr>
    </w:tbl>
    <w:tbl>
      <w:tblPr>
        <w:tblW w:type="auto" w:w="0"/>
        <w:jc w:val="center"/>
        <w:tblLook w:firstColumn="1" w:firstRow="1" w:lastColumn="0" w:lastRow="0" w:noHBand="0" w:noVBand="1" w:val="04A0"/>
      </w:tblPr>
      <w:tblGrid>
        <w:gridCol w:w="9648"/>
      </w:tblGrid>
      <w:tr>
        <w:tc>
          <w:tcPr>
            <w:tcW w:type="dxa" w:w="9648"/>
            <w:shd w:fill="F4F6F9"/>
            <w:tcMar>
              <w:top w:w="120" w:type="dxa"/>
              <w:bottom w:w="120" w:type="dxa"/>
              <w:left w:w="180" w:type="dxa"/>
              <w:right w:w="180" w:type="dxa"/>
            </w:tcMar>
          </w:tcPr>
          <w:p>
            <w:pPr>
              <w:spacing w:before="40" w:after="60"/>
            </w:pPr>
            <w:r>
              <w:rPr>
                <w:rFonts w:ascii="Arial" w:hAnsi="Arial"/>
                <w:b/>
                <w:color w:val="0F2043"/>
                <w:sz w:val="21"/>
              </w:rPr>
              <w:t>[C] CONCLUSION</w:t>
              <w:br/>
            </w:r>
          </w:p>
          <w:p>
            <w:pPr>
              <w:spacing w:before="20" w:after="40" w:line="276" w:lineRule="auto"/>
            </w:pPr>
            <w:r>
              <w:rPr>
                <w:rFonts w:ascii="Calibri" w:hAnsi="Calibri"/>
                <w:color w:val="212529"/>
                <w:sz w:val="20"/>
              </w:rPr>
              <w:t>The Supreme Court PARTIALLY GRANTED the petition, DECLARING that the Vice-Governor has the exclusive power to appoint Sangguniang Panlalawigan personnel and sign legislative purchase orders and disbursement vouchers.</w:t>
            </w:r>
          </w:p>
        </w:tc>
      </w:tr>
    </w:tbl>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CONCLUSION</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The Vice-Governor was affirmed as the exclusive authority over legislative staff and vouchers.</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"The Supreme Court upheld the Vice-Governor's exclusive authority over legislative personnel and expenditures through harmonious statutory construction."</w:t>
            </w:r>
          </w:p>
        </w:tc>
      </w:tr>
    </w:tbl>
    <w:p>
      <w:pPr>
        <w:keepNext/>
        <w:spacing w:before="200" w:after="40"/>
      </w:pPr>
      <w:r>
        <w:rPr>
          <w:rFonts w:ascii="Arial" w:hAnsi="Arial"/>
          <w:b/>
          <w:color w:val="781E1E"/>
          <w:sz w:val="22"/>
        </w:rPr>
        <w:t>V. RELATION TO STATUTORY CONSTRUCTION</w:t>
      </w:r>
    </w:p>
    <w:p>
      <w:pPr>
        <w:spacing w:before="40" w:after="80" w:line="276" w:lineRule="auto"/>
      </w:pPr>
      <w:r>
        <w:rPr>
          <w:rFonts w:ascii="Calibri" w:hAnsi="Calibri"/>
          <w:b/>
          <w:color w:val="212529"/>
          <w:sz w:val="21"/>
        </w:rPr>
        <w:t>• Syllabus Topic Alignment:</w:t>
        <w:br/>
      </w:r>
      <w:r>
        <w:rPr>
          <w:rFonts w:ascii="Calibri" w:hAnsi="Calibri"/>
          <w:i w:val="0"/>
          <w:color w:val="212529"/>
          <w:sz w:val="21"/>
        </w:rPr>
        <w:t>• Chapter III: Basic Guidelines in the Construction and Interpretation of Laws</w:t>
        <w:br/>
        <w:t xml:space="preserve">  - B. Considerations within the Statute: Statute Construed as a Whole (Ut Res Magis Valeat Quam Pereat)</w:t>
      </w:r>
    </w:p>
    <w:tbl>
      <w:tblPr>
        <w:tblW w:type="auto" w:w="0"/>
        <w:jc w:val="center"/>
        <w:tblLook w:firstColumn="1" w:firstRow="1" w:lastColumn="0" w:lastRow="0" w:noHBand="0" w:noVBand="1" w:val="04A0"/>
      </w:tblPr>
      <w:tblGrid>
        <w:gridCol w:w="9648"/>
      </w:tblGrid>
      <w:tr>
        <w:tc>
          <w:tcPr>
            <w:tcW w:type="dxa" w:w="9648"/>
            <w:shd w:fill="FDF6EE"/>
            <w:tcMar>
              <w:top w:w="120" w:type="dxa"/>
              <w:bottom w:w="120" w:type="dxa"/>
              <w:left w:w="180" w:type="dxa"/>
              <w:right w:w="180" w:type="dxa"/>
            </w:tcMar>
          </w:tcPr>
          <w:p>
            <w:pPr>
              <w:spacing w:before="40" w:after="80"/>
            </w:pPr>
            <w:r>
              <w:rPr>
                <w:rFonts w:ascii="Arial" w:hAnsi="Arial"/>
                <w:b/>
                <w:color w:val="8C3200"/>
                <w:sz w:val="20"/>
              </w:rPr>
              <w:t>📜 GOVERNING LATIN MAXIMS WITH ENGLISH TRANSLATIONS</w:t>
              <w:br/>
            </w:r>
          </w:p>
          <w:p>
            <w:pPr>
              <w:spacing w:before="40" w:after="60" w:line="276" w:lineRule="auto"/>
            </w:pPr>
            <w:r>
              <w:rPr>
                <w:rFonts w:ascii="Calibri" w:hAnsi="Calibri"/>
                <w:b/>
                <w:color w:val="8C3200"/>
                <w:sz w:val="20"/>
              </w:rPr>
              <w:t>1. Ut res magis valeat quam pereat (that the thing may rather have effect than perish)</w:t>
              <w:br/>
            </w:r>
            <w:r>
              <w:rPr>
                <w:rFonts w:ascii="Calibri" w:hAnsi="Calibri"/>
                <w:b/>
                <w:color w:val="212529"/>
                <w:sz w:val="19"/>
              </w:rPr>
              <w:t xml:space="preserve">   • Literal English Translation: </w:t>
            </w:r>
            <w:r>
              <w:rPr>
                <w:rFonts w:ascii="Calibri" w:hAnsi="Calibri"/>
                <w:i/>
                <w:color w:val="212529"/>
                <w:sz w:val="19"/>
              </w:rPr>
              <w:t>That the thing may have effect rather than perish.</w:t>
              <w:br/>
            </w:r>
            <w:r>
              <w:rPr>
                <w:rFonts w:ascii="Calibri" w:hAnsi="Calibri"/>
                <w:b/>
                <w:color w:val="212529"/>
                <w:sz w:val="19"/>
              </w:rPr>
              <w:t xml:space="preserve">   • Plain Legal Meaning &amp; StatCon Application: </w:t>
            </w:r>
            <w:r>
              <w:rPr>
                <w:rFonts w:ascii="Calibri" w:hAnsi="Calibri"/>
                <w:color w:val="212529"/>
                <w:sz w:val="19"/>
              </w:rPr>
              <w:t>All parts of the Local Government Code must be construed together to give full meaning and operation to every section.</w:t>
            </w:r>
          </w:p>
          <w:p>
            <w:pPr>
              <w:spacing w:before="40" w:after="60" w:line="276" w:lineRule="auto"/>
            </w:pPr>
            <w:r>
              <w:rPr>
                <w:rFonts w:ascii="Calibri" w:hAnsi="Calibri"/>
                <w:b/>
                <w:color w:val="8C3200"/>
                <w:sz w:val="20"/>
              </w:rPr>
              <w:t>2. Ex antecedentibus et consequentibus fit optima interpretatio (the best interpretation is made from what precedes and what follows)</w:t>
              <w:br/>
            </w:r>
            <w:r>
              <w:rPr>
                <w:rFonts w:ascii="Calibri" w:hAnsi="Calibri"/>
                <w:b/>
                <w:color w:val="212529"/>
                <w:sz w:val="19"/>
              </w:rPr>
              <w:t xml:space="preserve">   • Literal English Translation: </w:t>
            </w:r>
            <w:r>
              <w:rPr>
                <w:rFonts w:ascii="Calibri" w:hAnsi="Calibri"/>
                <w:i/>
                <w:color w:val="212529"/>
                <w:sz w:val="19"/>
              </w:rPr>
              <w:t>The best interpretation arises from comparing preceding and following clauses.</w:t>
              <w:br/>
            </w:r>
            <w:r>
              <w:rPr>
                <w:rFonts w:ascii="Calibri" w:hAnsi="Calibri"/>
                <w:b/>
                <w:color w:val="212529"/>
                <w:sz w:val="19"/>
              </w:rPr>
              <w:t xml:space="preserve">   • Plain Legal Meaning &amp; StatCon Application: </w:t>
            </w:r>
            <w:r>
              <w:rPr>
                <w:rFonts w:ascii="Calibri" w:hAnsi="Calibri"/>
                <w:color w:val="212529"/>
                <w:sz w:val="19"/>
              </w:rPr>
              <w:t>The Governor's general powers in Section 465 must be read alongside the Vice-Governor's specific powers in Section 466.</w:t>
            </w:r>
          </w:p>
          <w:p>
            <w:pPr>
              <w:spacing w:before="40" w:after="60" w:line="276" w:lineRule="auto"/>
            </w:pPr>
            <w:r>
              <w:rPr>
                <w:rFonts w:ascii="Calibri" w:hAnsi="Calibri"/>
                <w:b/>
                <w:color w:val="8C3200"/>
                <w:sz w:val="20"/>
              </w:rPr>
              <w:t>3. Generalia specialibus non derogant (general things do not derogate from special things)</w:t>
              <w:br/>
            </w:r>
            <w:r>
              <w:rPr>
                <w:rFonts w:ascii="Calibri" w:hAnsi="Calibri"/>
                <w:b/>
                <w:color w:val="212529"/>
                <w:sz w:val="19"/>
              </w:rPr>
              <w:t xml:space="preserve">   • Literal English Translation: </w:t>
            </w:r>
            <w:r>
              <w:rPr>
                <w:rFonts w:ascii="Calibri" w:hAnsi="Calibri"/>
                <w:i/>
                <w:color w:val="212529"/>
                <w:sz w:val="19"/>
              </w:rPr>
              <w:t>General provisions do not override specific provisions.</w:t>
              <w:br/>
            </w:r>
            <w:r>
              <w:rPr>
                <w:rFonts w:ascii="Calibri" w:hAnsi="Calibri"/>
                <w:b/>
                <w:color w:val="212529"/>
                <w:sz w:val="19"/>
              </w:rPr>
              <w:t xml:space="preserve">   • Plain Legal Meaning &amp; StatCon Application: </w:t>
            </w:r>
            <w:r>
              <w:rPr>
                <w:rFonts w:ascii="Calibri" w:hAnsi="Calibri"/>
                <w:color w:val="212529"/>
                <w:sz w:val="19"/>
              </w:rPr>
              <w:t>General executive powers of the Governor yield to the specific legislative appointing powers of the Vice-Governor.</w:t>
            </w:r>
          </w:p>
        </w:tc>
      </w:tr>
    </w:tbl>
    <w:tbl>
      <w:tblPr>
        <w:tblW w:type="auto" w:w="0"/>
        <w:jc w:val="center"/>
        <w:tblLook w:firstColumn="1" w:firstRow="1" w:lastColumn="0" w:lastRow="0" w:noHBand="0" w:noVBand="1" w:val="04A0"/>
      </w:tblPr>
      <w:tblGrid>
        <w:gridCol w:w="4824"/>
        <w:gridCol w:w="4824"/>
      </w:tblGrid>
      <w:tr>
        <w:tc>
          <w:tcPr>
            <w:tcW w:type="dxa" w:w="4824"/>
            <w:shd w:fill="EAEFF5"/>
            <w:tcMar>
              <w:top w:w="80" w:type="dxa"/>
              <w:bottom w:w="80" w:type="dxa"/>
              <w:left w:w="120" w:type="dxa"/>
              <w:right w:w="120" w:type="dxa"/>
            </w:tcMar>
          </w:tcPr>
          <w:p>
            <w:pPr>
              <w:spacing w:before="40" w:after="40"/>
            </w:pPr>
            <w:r>
              <w:rPr>
                <w:rFonts w:ascii="Arial" w:hAnsi="Arial"/>
                <w:b/>
                <w:color w:val="0F2043"/>
                <w:sz w:val="18"/>
              </w:rPr>
              <w:t>Syllabus Topic Alignment</w:t>
              <w:br/>
              <w:t>(StatCon_Syllabus_JPR.pdf)</w:t>
            </w:r>
          </w:p>
        </w:tc>
        <w:tc>
          <w:tcPr>
            <w:tcW w:type="dxa" w:w="4824"/>
            <w:shd w:fill="FAFAFA"/>
            <w:tcMar>
              <w:top w:w="80" w:type="dxa"/>
              <w:bottom w:w="80" w:type="dxa"/>
              <w:left w:w="120" w:type="dxa"/>
              <w:right w:w="120" w:type="dxa"/>
            </w:tcMar>
          </w:tcPr>
          <w:p>
            <w:pPr>
              <w:spacing w:before="40" w:after="40" w:line="276" w:lineRule="auto"/>
            </w:pPr>
            <w:r>
              <w:rPr>
                <w:rFonts w:ascii="Calibri" w:hAnsi="Calibri"/>
                <w:color w:val="212529"/>
                <w:sz w:val="19"/>
              </w:rPr>
              <w:t>• Chapter III: Basic Guidelines in the Construction and Interpretation of Laws</w:t>
              <w:br/>
              <w:t xml:space="preserve">  - B. Considerations within the Statute: Statute Construed as a Whole (Ut Res Magis Valeat Quam Pereat)</w:t>
            </w:r>
          </w:p>
        </w:tc>
      </w:tr>
      <w:tr>
        <w:tc>
          <w:tcPr>
            <w:tcW w:type="dxa" w:w="4824"/>
            <w:shd w:fill="EAEFF5"/>
            <w:tcMar>
              <w:top w:w="80" w:type="dxa"/>
              <w:bottom w:w="80" w:type="dxa"/>
              <w:left w:w="120" w:type="dxa"/>
              <w:right w:w="120" w:type="dxa"/>
            </w:tcMar>
          </w:tcPr>
          <w:p>
            <w:pPr>
              <w:spacing w:before="40" w:after="40"/>
            </w:pPr>
            <w:r>
              <w:rPr>
                <w:rFonts w:ascii="Arial" w:hAnsi="Arial"/>
                <w:b/>
                <w:color w:val="0F2043"/>
                <w:sz w:val="18"/>
              </w:rPr>
              <w:t>Governing Latin Maxims &amp; English</w:t>
            </w:r>
          </w:p>
        </w:tc>
        <w:tc>
          <w:tcPr>
            <w:tcW w:type="dxa" w:w="4824"/>
            <w:shd w:fill="FAFAFA"/>
            <w:tcMar>
              <w:top w:w="80" w:type="dxa"/>
              <w:bottom w:w="80" w:type="dxa"/>
              <w:left w:w="120" w:type="dxa"/>
              <w:right w:w="120" w:type="dxa"/>
            </w:tcMar>
          </w:tcPr>
          <w:p>
            <w:pPr>
              <w:spacing w:before="40" w:after="40" w:line="276" w:lineRule="auto"/>
            </w:pPr>
            <w:r>
              <w:rPr>
                <w:rFonts w:ascii="Calibri" w:hAnsi="Calibri"/>
                <w:color w:val="212529"/>
                <w:sz w:val="19"/>
              </w:rPr>
              <w:t>Primary:</w:t>
              <w:br/>
              <w:t>Ut res magis valeat quam pereat</w:t>
              <w:br/>
              <w:t>(that the thing may have effect rather than perish / harmonizing executive and legislative powers across the Local Government Code)</w:t>
              <w:br/>
              <w:br/>
              <w:t>Secondary:</w:t>
              <w:br/>
              <w:t>• Ex antecedentibus et consequentibus fit optima interpretatio (best interpretation from the whole context)</w:t>
              <w:br/>
              <w:t>• Generalia specialibus non derogant (general provisions yield to specific ones)</w:t>
            </w:r>
          </w:p>
        </w:tc>
      </w:tr>
      <w:tr>
        <w:tc>
          <w:tcPr>
            <w:tcW w:type="dxa" w:w="4824"/>
            <w:shd w:fill="EAEFF5"/>
            <w:tcMar>
              <w:top w:w="80" w:type="dxa"/>
              <w:bottom w:w="80" w:type="dxa"/>
              <w:left w:w="120" w:type="dxa"/>
              <w:right w:w="120" w:type="dxa"/>
            </w:tcMar>
          </w:tcPr>
          <w:p>
            <w:pPr>
              <w:spacing w:before="40" w:after="40"/>
            </w:pPr>
            <w:r>
              <w:rPr>
                <w:rFonts w:ascii="Arial" w:hAnsi="Arial"/>
                <w:b/>
                <w:color w:val="0F2043"/>
                <w:sz w:val="18"/>
              </w:rPr>
              <w:t>Case Violation in StatCon</w:t>
            </w:r>
          </w:p>
        </w:tc>
        <w:tc>
          <w:tcPr>
            <w:tcW w:type="dxa" w:w="4824"/>
            <w:shd w:fill="FAFAFA"/>
            <w:tcMar>
              <w:top w:w="80" w:type="dxa"/>
              <w:bottom w:w="80" w:type="dxa"/>
              <w:left w:w="120" w:type="dxa"/>
              <w:right w:w="120" w:type="dxa"/>
            </w:tcMar>
          </w:tcPr>
          <w:p>
            <w:pPr>
              <w:spacing w:before="40" w:after="40" w:line="276" w:lineRule="auto"/>
            </w:pPr>
            <w:r>
              <w:rPr>
                <w:rFonts w:ascii="Calibri" w:hAnsi="Calibri"/>
                <w:color w:val="212529"/>
                <w:sz w:val="19"/>
              </w:rPr>
              <w:t>The Governor isolated Section 465 from the rest of the Local Government Code, attempting to usurp powers specifically granted to the Vice-Governor under Section 466.</w:t>
            </w:r>
          </w:p>
        </w:tc>
      </w:tr>
      <w:tr>
        <w:tc>
          <w:tcPr>
            <w:tcW w:type="dxa" w:w="4824"/>
            <w:shd w:fill="EAEFF5"/>
            <w:tcMar>
              <w:top w:w="80" w:type="dxa"/>
              <w:bottom w:w="80" w:type="dxa"/>
              <w:left w:w="120" w:type="dxa"/>
              <w:right w:w="120" w:type="dxa"/>
            </w:tcMar>
          </w:tcPr>
          <w:p>
            <w:pPr>
              <w:spacing w:before="40" w:after="40"/>
            </w:pPr>
            <w:r>
              <w:rPr>
                <w:rFonts w:ascii="Arial" w:hAnsi="Arial"/>
                <w:b/>
                <w:color w:val="0F2043"/>
                <w:sz w:val="18"/>
              </w:rPr>
              <w:t>Doctrinal Execution / Principle</w:t>
            </w:r>
          </w:p>
        </w:tc>
        <w:tc>
          <w:tcPr>
            <w:tcW w:type="dxa" w:w="4824"/>
            <w:shd w:fill="FAFAFA"/>
            <w:tcMar>
              <w:top w:w="80" w:type="dxa"/>
              <w:bottom w:w="80" w:type="dxa"/>
              <w:left w:w="120" w:type="dxa"/>
              <w:right w:w="120" w:type="dxa"/>
            </w:tcMar>
          </w:tcPr>
          <w:p>
            <w:pPr>
              <w:spacing w:before="40" w:after="40" w:line="276" w:lineRule="auto"/>
            </w:pPr>
            <w:r>
              <w:rPr>
                <w:rFonts w:ascii="Calibri" w:hAnsi="Calibri"/>
                <w:color w:val="212529"/>
                <w:sz w:val="19"/>
              </w:rPr>
              <w:t>Doctrine of Harmonious Whole: A statute must be construed as a harmonious whole; no single provision should be isolated to defeat or render another provision superfluous or meaningless.</w:t>
            </w:r>
          </w:p>
        </w:tc>
      </w:tr>
    </w:tbl>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RELATION TO STATUTORY CONSTRUCTION</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Every section of a code must be read together like gears in a clock so that every part works smoothly without jamming.</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"Sir/Ma'am, Atienza v. Villarosa is the textbook case on construing a statute as a whole (Ut res magis valeat quam pereat), harmonizing executive and legislative powers under the Local Government Code."</w:t>
            </w:r>
          </w:p>
        </w:tc>
      </w:tr>
    </w:tbl>
    <w:p>
      <w:pPr>
        <w:spacing w:before="160" w:after="80"/>
      </w:pPr>
    </w:p>
    <w:tbl>
      <w:tblPr>
        <w:tblW w:type="auto" w:w="0"/>
        <w:jc w:val="center"/>
        <w:tblLook w:firstColumn="1" w:firstRow="1" w:lastColumn="0" w:lastRow="0" w:noHBand="0" w:noVBand="1" w:val="04A0"/>
      </w:tblPr>
      <w:tblGrid>
        <w:gridCol w:w="9648"/>
      </w:tblGrid>
      <w:tr>
        <w:tc>
          <w:tcPr>
            <w:tcW w:type="dxa" w:w="9648"/>
            <w:shd w:fill="1E3A5F"/>
            <w:tcMar>
              <w:top w:w="140" w:type="dxa"/>
              <w:bottom w:w="140" w:type="dxa"/>
              <w:left w:w="200" w:type="dxa"/>
              <w:right w:w="200" w:type="dxa"/>
            </w:tcMar>
          </w:tcPr>
          <w:p>
            <w:pPr>
              <w:spacing w:before="40" w:after="40"/>
              <w:jc w:val="center"/>
            </w:pPr>
            <w:r>
              <w:rPr>
                <w:rFonts w:ascii="Arial" w:hAnsi="Arial"/>
                <w:b/>
                <w:color w:val="FFD700"/>
                <w:sz w:val="22"/>
              </w:rPr>
              <w:t>⚖ STANDARDIZED CASE DIGEST: STATUTORY CONSTRUCTION FORMAT</w:t>
              <w:br/>
            </w:r>
            <w:r>
              <w:rPr>
                <w:rFonts w:ascii="Arial" w:hAnsi="Arial"/>
                <w:i/>
                <w:color w:val="DCEBFF"/>
                <w:sz w:val="18"/>
              </w:rPr>
              <w:t>(Complete 12-Section Academic &amp; Judicial Construction Analysis)</w:t>
            </w:r>
          </w:p>
        </w:tc>
      </w:tr>
    </w:tbl>
    <w:p>
      <w:pPr>
        <w:spacing w:before="80" w:after="80"/>
      </w:pPr>
    </w:p>
    <w:tbl>
      <w:tblPr>
        <w:tblW w:type="auto" w:w="0"/>
        <w:jc w:val="center"/>
        <w:tblLook w:firstColumn="1" w:firstRow="1" w:lastColumn="0" w:lastRow="0" w:noHBand="0" w:noVBand="1" w:val="04A0"/>
      </w:tblPr>
      <w:tblGrid>
        <w:gridCol w:w="4824"/>
        <w:gridCol w:w="4824"/>
      </w:tblGrid>
      <w:tr>
        <w:tc>
          <w:tcPr>
            <w:tcW w:type="dxa" w:w="4824"/>
            <w:shd w:fill="EBF0F7"/>
            <w:tcMar>
              <w:top w:w="60" w:type="dxa"/>
              <w:bottom w:w="60" w:type="dxa"/>
              <w:left w:w="120" w:type="dxa"/>
              <w:right w:w="120" w:type="dxa"/>
            </w:tcMar>
          </w:tcPr>
          <w:p>
            <w:pPr>
              <w:spacing w:before="20" w:after="20"/>
            </w:pPr>
            <w:r>
              <w:rPr>
                <w:rFonts w:ascii="Arial" w:hAnsi="Arial"/>
                <w:b/>
                <w:color w:val="0F2043"/>
                <w:sz w:val="19"/>
              </w:rPr>
              <w:t>Case Title:</w:t>
            </w:r>
          </w:p>
        </w:tc>
        <w:tc>
          <w:tcPr>
            <w:tcW w:type="dxa" w:w="4824"/>
            <w:shd w:fill="FAFCFF"/>
            <w:tcMar>
              <w:top w:w="60" w:type="dxa"/>
              <w:bottom w:w="60" w:type="dxa"/>
              <w:left w:w="120" w:type="dxa"/>
              <w:right w:w="120" w:type="dxa"/>
            </w:tcMar>
          </w:tcPr>
          <w:p>
            <w:pPr>
              <w:spacing w:before="20" w:after="20"/>
            </w:pPr>
            <w:r>
              <w:rPr>
                <w:rFonts w:ascii="Calibri" w:hAnsi="Calibri"/>
                <w:b/>
                <w:color w:val="212529"/>
                <w:sz w:val="19"/>
              </w:rPr>
              <w:t>Jose G. Atienza, Jr. v. Jose L. Villarosa</w:t>
            </w:r>
          </w:p>
        </w:tc>
      </w:tr>
      <w:tr>
        <w:tc>
          <w:tcPr>
            <w:tcW w:type="dxa" w:w="4824"/>
            <w:shd w:fill="EBF0F7"/>
            <w:tcMar>
              <w:top w:w="60" w:type="dxa"/>
              <w:bottom w:w="60" w:type="dxa"/>
              <w:left w:w="120" w:type="dxa"/>
              <w:right w:w="120" w:type="dxa"/>
            </w:tcMar>
          </w:tcPr>
          <w:p>
            <w:pPr>
              <w:spacing w:before="20" w:after="20"/>
            </w:pPr>
            <w:r>
              <w:rPr>
                <w:rFonts w:ascii="Arial" w:hAnsi="Arial"/>
                <w:b/>
                <w:color w:val="0F2043"/>
                <w:sz w:val="19"/>
              </w:rPr>
              <w:t>G.R. No. / Record:</w:t>
            </w:r>
          </w:p>
        </w:tc>
        <w:tc>
          <w:tcPr>
            <w:tcW w:type="dxa" w:w="4824"/>
            <w:shd w:fill="FAFCFF"/>
            <w:tcMar>
              <w:top w:w="60" w:type="dxa"/>
              <w:bottom w:w="60" w:type="dxa"/>
              <w:left w:w="120" w:type="dxa"/>
              <w:right w:w="120" w:type="dxa"/>
            </w:tcMar>
          </w:tcPr>
          <w:p>
            <w:pPr>
              <w:spacing w:before="20" w:after="20"/>
            </w:pPr>
            <w:r>
              <w:rPr>
                <w:rFonts w:ascii="Calibri" w:hAnsi="Calibri"/>
                <w:b w:val="0"/>
                <w:color w:val="212529"/>
                <w:sz w:val="19"/>
              </w:rPr>
              <w:t>G.R. No. 161081</w:t>
            </w:r>
          </w:p>
        </w:tc>
      </w:tr>
      <w:tr>
        <w:tc>
          <w:tcPr>
            <w:tcW w:type="dxa" w:w="4824"/>
            <w:shd w:fill="EBF0F7"/>
            <w:tcMar>
              <w:top w:w="60" w:type="dxa"/>
              <w:bottom w:w="60" w:type="dxa"/>
              <w:left w:w="120" w:type="dxa"/>
              <w:right w:w="120" w:type="dxa"/>
            </w:tcMar>
          </w:tcPr>
          <w:p>
            <w:pPr>
              <w:spacing w:before="20" w:after="20"/>
            </w:pPr>
            <w:r>
              <w:rPr>
                <w:rFonts w:ascii="Arial" w:hAnsi="Arial"/>
                <w:b/>
                <w:color w:val="0F2043"/>
                <w:sz w:val="19"/>
              </w:rPr>
              <w:t>Date of Promulgation:</w:t>
            </w:r>
          </w:p>
        </w:tc>
        <w:tc>
          <w:tcPr>
            <w:tcW w:type="dxa" w:w="4824"/>
            <w:shd w:fill="FAFCFF"/>
            <w:tcMar>
              <w:top w:w="60" w:type="dxa"/>
              <w:bottom w:w="60" w:type="dxa"/>
              <w:left w:w="120" w:type="dxa"/>
              <w:right w:w="120" w:type="dxa"/>
            </w:tcMar>
          </w:tcPr>
          <w:p>
            <w:pPr>
              <w:spacing w:before="20" w:after="20"/>
            </w:pPr>
            <w:r>
              <w:rPr>
                <w:rFonts w:ascii="Calibri" w:hAnsi="Calibri"/>
                <w:b w:val="0"/>
                <w:color w:val="212529"/>
                <w:sz w:val="19"/>
              </w:rPr>
              <w:t>May 10, 2005</w:t>
            </w:r>
          </w:p>
        </w:tc>
      </w:tr>
      <w:tr>
        <w:tc>
          <w:tcPr>
            <w:tcW w:type="dxa" w:w="4824"/>
            <w:shd w:fill="EBF0F7"/>
            <w:tcMar>
              <w:top w:w="60" w:type="dxa"/>
              <w:bottom w:w="60" w:type="dxa"/>
              <w:left w:w="120" w:type="dxa"/>
              <w:right w:w="120" w:type="dxa"/>
            </w:tcMar>
          </w:tcPr>
          <w:p>
            <w:pPr>
              <w:spacing w:before="20" w:after="20"/>
            </w:pPr>
            <w:r>
              <w:rPr>
                <w:rFonts w:ascii="Arial" w:hAnsi="Arial"/>
                <w:b/>
                <w:color w:val="0F2043"/>
                <w:sz w:val="19"/>
              </w:rPr>
              <w:t>Ponente / Court:</w:t>
            </w:r>
          </w:p>
        </w:tc>
        <w:tc>
          <w:tcPr>
            <w:tcW w:type="dxa" w:w="4824"/>
            <w:shd w:fill="FAFCFF"/>
            <w:tcMar>
              <w:top w:w="60" w:type="dxa"/>
              <w:bottom w:w="60" w:type="dxa"/>
              <w:left w:w="120" w:type="dxa"/>
              <w:right w:w="120" w:type="dxa"/>
            </w:tcMar>
          </w:tcPr>
          <w:p>
            <w:pPr>
              <w:spacing w:before="20" w:after="20"/>
            </w:pPr>
            <w:r>
              <w:rPr>
                <w:rFonts w:ascii="Calibri" w:hAnsi="Calibri"/>
                <w:b w:val="0"/>
                <w:color w:val="212529"/>
                <w:sz w:val="19"/>
              </w:rPr>
              <w:t>En Banc</w:t>
            </w:r>
          </w:p>
        </w:tc>
      </w:tr>
    </w:tbl>
    <w:p>
      <w:pPr>
        <w:keepNext/>
        <w:spacing w:before="240" w:after="60"/>
      </w:pPr>
      <w:r>
        <w:rPr>
          <w:rFonts w:ascii="Arial" w:hAnsi="Arial"/>
          <w:b/>
          <w:color w:val="0F2043"/>
          <w:sz w:val="21"/>
        </w:rPr>
        <w:t>I. FACTS OF THE CASE</w:t>
      </w:r>
    </w:p>
    <w:tbl>
      <w:tblPr>
        <w:tblW w:type="auto" w:w="0"/>
        <w:jc w:val="center"/>
        <w:tblLook w:firstColumn="1" w:firstRow="1" w:lastColumn="0" w:lastRow="0" w:noHBand="0" w:noVBand="1" w:val="04A0"/>
      </w:tblPr>
      <w:tblGrid>
        <w:gridCol w:w="9648"/>
      </w:tblGrid>
      <w:tr>
        <w:tc>
          <w:tcPr>
            <w:tcW w:type="dxa" w:w="9648"/>
            <w:shd w:fill="F8F9FB"/>
            <w:tcMar>
              <w:top w:w="100" w:type="dxa"/>
              <w:bottom w:w="100" w:type="dxa"/>
              <w:left w:w="160" w:type="dxa"/>
              <w:right w:w="160" w:type="dxa"/>
            </w:tcMar>
          </w:tcPr>
          <w:p>
            <w:pPr>
              <w:spacing w:before="20" w:after="40"/>
            </w:pPr>
            <w:r>
              <w:rPr>
                <w:rFonts w:ascii="Arial" w:hAnsi="Arial"/>
                <w:b/>
                <w:color w:val="0F2043"/>
                <w:sz w:val="19"/>
              </w:rPr>
              <w:t>Material Facts of Controversy</w:t>
              <w:br/>
            </w:r>
          </w:p>
          <w:p>
            <w:pPr>
              <w:spacing w:before="20" w:after="40" w:line="276" w:lineRule="auto"/>
            </w:pPr>
            <w:r>
              <w:rPr>
                <w:rFonts w:ascii="Calibri" w:hAnsi="Calibri"/>
                <w:color w:val="212529"/>
                <w:sz w:val="19"/>
              </w:rPr>
              <w:t>A bitter political conflict erupted in Occidental Mindoro between Governor Jose Villarosa and Vice-Governor Jose Atienza, Jr. over who had the authority to appoint personnel of the Sangguniang Panlalawigan and sign purchase orders and disbursement vouchers for legislative branch expenses. Governor Villarosa insisted that Section 465 of the Local Government Code gives the Provincial Governor supreme administrative authority over all provincial employees and finances. Vice-Governor Atienza countered that Section 466 explicitly designates the Vice-Governor as the presiding officer of the Sangguniang Panlalawigan with the exclusive power to appoint all legislative officials and approve vouchers payable from legislative funds.</w:t>
            </w:r>
          </w:p>
        </w:tc>
      </w:tr>
    </w:tbl>
    <w:p>
      <w:pPr>
        <w:keepNext/>
        <w:spacing w:before="240" w:after="60"/>
      </w:pPr>
      <w:r>
        <w:rPr>
          <w:rFonts w:ascii="Arial" w:hAnsi="Arial"/>
          <w:b/>
          <w:color w:val="0F2043"/>
          <w:sz w:val="21"/>
        </w:rPr>
        <w:t>II. FACTS RELEVANT TO STATUTORY CONSTRUCTION</w:t>
      </w:r>
    </w:p>
    <w:tbl>
      <w:tblPr>
        <w:tblW w:type="auto" w:w="0"/>
        <w:jc w:val="center"/>
        <w:tblLook w:firstColumn="1" w:firstRow="1" w:lastColumn="0" w:lastRow="0" w:noHBand="0" w:noVBand="1" w:val="04A0"/>
      </w:tblPr>
      <w:tblGrid>
        <w:gridCol w:w="9648"/>
      </w:tblGrid>
      <w:tr>
        <w:tc>
          <w:tcPr>
            <w:tcW w:type="dxa" w:w="9648"/>
            <w:shd w:fill="F8F9FB"/>
            <w:tcMar>
              <w:top w:w="100" w:type="dxa"/>
              <w:bottom w:w="100" w:type="dxa"/>
              <w:left w:w="160" w:type="dxa"/>
              <w:right w:w="160" w:type="dxa"/>
            </w:tcMar>
          </w:tcPr>
          <w:p>
            <w:pPr>
              <w:spacing w:before="20" w:after="40"/>
            </w:pPr>
            <w:r>
              <w:rPr>
                <w:rFonts w:ascii="Arial" w:hAnsi="Arial"/>
                <w:b/>
                <w:color w:val="0F2043"/>
                <w:sz w:val="19"/>
              </w:rPr>
              <w:t>Facts Giving Rise to Need for Interpretation</w:t>
              <w:br/>
            </w:r>
          </w:p>
          <w:p>
            <w:pPr>
              <w:spacing w:before="20" w:after="40" w:line="276" w:lineRule="auto"/>
            </w:pPr>
            <w:r>
              <w:rPr>
                <w:rFonts w:ascii="Calibri" w:hAnsi="Calibri"/>
                <w:b/>
                <w:color w:val="212529"/>
                <w:sz w:val="19"/>
              </w:rPr>
              <w:t xml:space="preserve">• What provision of law or rule became relevant? </w:t>
            </w:r>
            <w:r>
              <w:rPr>
                <w:rFonts w:ascii="Calibri" w:hAnsi="Calibri"/>
                <w:color w:val="212529"/>
                <w:sz w:val="19"/>
              </w:rPr>
              <w:t>1. Sections 465, 466, and 468, Republic Act No. 7160 (Local Government Code of 1991): Allocation of powers between the Provincial Governor (executive) and Vice-Governor (presiding officer of the sanggunian).</w:t>
              <w:br/>
              <w:t>2. Ut Res Magis Valeat Quam Pereat (that the thing may rather have effect than perish): All provisions of the Local Government Code must be harmonized so that each section operates with full vitality.</w:t>
            </w:r>
          </w:p>
          <w:p>
            <w:pPr>
              <w:spacing w:before="20" w:after="40" w:line="276" w:lineRule="auto"/>
            </w:pPr>
            <w:r>
              <w:rPr>
                <w:rFonts w:ascii="Calibri" w:hAnsi="Calibri"/>
                <w:b/>
                <w:color w:val="212529"/>
                <w:sz w:val="19"/>
              </w:rPr>
              <w:t xml:space="preserve">• What circumstance made interpretation necessary? </w:t>
            </w:r>
            <w:r>
              <w:rPr>
                <w:rFonts w:ascii="Calibri" w:hAnsi="Calibri"/>
                <w:color w:val="212529"/>
                <w:sz w:val="19"/>
              </w:rPr>
              <w:t>The Governor isolated Section 465 from the rest of the Local Government Code, attempting to usurp powers specifically granted to the Vice-Governor under Section 466.</w:t>
            </w:r>
          </w:p>
          <w:p>
            <w:pPr>
              <w:spacing w:before="20" w:after="40" w:line="276" w:lineRule="auto"/>
            </w:pPr>
            <w:r>
              <w:rPr>
                <w:rFonts w:ascii="Calibri" w:hAnsi="Calibri"/>
                <w:b/>
                <w:color w:val="212529"/>
                <w:sz w:val="19"/>
              </w:rPr>
              <w:t xml:space="preserve">• What competing interpretations were presented? </w:t>
            </w:r>
            <w:r>
              <w:rPr>
                <w:rFonts w:ascii="Calibri" w:hAnsi="Calibri"/>
                <w:color w:val="212529"/>
                <w:sz w:val="19"/>
              </w:rPr>
              <w:t>Petitioner argued for a favorable interpretation based on statutory intent, while Respondent contended for a literal or restrictive application.</w:t>
            </w:r>
          </w:p>
        </w:tc>
      </w:tr>
    </w:tbl>
    <w:p>
      <w:pPr>
        <w:keepNext/>
        <w:spacing w:before="240" w:after="60"/>
      </w:pPr>
      <w:r>
        <w:rPr>
          <w:rFonts w:ascii="Arial" w:hAnsi="Arial"/>
          <w:b/>
          <w:color w:val="0F2043"/>
          <w:sz w:val="21"/>
        </w:rPr>
        <w:t>III. ISSUES</w:t>
      </w:r>
    </w:p>
    <w:p>
      <w:pPr>
        <w:keepNext/>
        <w:spacing w:before="120" w:after="40"/>
      </w:pPr>
      <w:r>
        <w:rPr>
          <w:rFonts w:ascii="Arial" w:hAnsi="Arial"/>
          <w:b/>
          <w:color w:val="781E1E"/>
          <w:sz w:val="20"/>
        </w:rPr>
        <w:t>A. General Legal Issues</w:t>
      </w:r>
    </w:p>
    <w:p>
      <w:pPr>
        <w:spacing w:before="40" w:after="80" w:line="276" w:lineRule="auto"/>
      </w:pPr>
      <w:r>
        <w:rPr>
          <w:rFonts w:ascii="Calibri" w:hAnsi="Calibri"/>
          <w:i w:val="0"/>
          <w:color w:val="212529"/>
          <w:sz w:val="21"/>
        </w:rPr>
        <w:t>Whether or not the Vice-Governor, as presiding officer of the Sangguniang Panlalawigan, has the statutory authority to appoint personnel of the legislative council and approve disbursement vouchers for legislative operations, to the exclusion of the Provincial Governor.</w:t>
      </w:r>
    </w:p>
    <w:p>
      <w:pPr>
        <w:keepNext/>
        <w:spacing w:before="120" w:after="40"/>
      </w:pPr>
      <w:r>
        <w:rPr>
          <w:rFonts w:ascii="Arial" w:hAnsi="Arial"/>
          <w:b/>
          <w:color w:val="781E1E"/>
          <w:sz w:val="20"/>
        </w:rPr>
        <w:t>B. Statutory-Construction Issue/s</w:t>
      </w:r>
    </w:p>
    <w:tbl>
      <w:tblPr>
        <w:tblW w:type="auto" w:w="0"/>
        <w:jc w:val="center"/>
        <w:tblLook w:firstColumn="1" w:firstRow="1" w:lastColumn="0" w:lastRow="0" w:noHBand="0" w:noVBand="1" w:val="04A0"/>
      </w:tblPr>
      <w:tblGrid>
        <w:gridCol w:w="9648"/>
      </w:tblGrid>
      <w:tr>
        <w:tc>
          <w:tcPr>
            <w:tcW w:type="dxa" w:w="9648"/>
            <w:shd w:fill="EBF3FA"/>
            <w:tcMar>
              <w:top w:w="100" w:type="dxa"/>
              <w:bottom w:w="100" w:type="dxa"/>
              <w:left w:w="160" w:type="dxa"/>
              <w:right w:w="160" w:type="dxa"/>
            </w:tcMar>
          </w:tcPr>
          <w:p>
            <w:pPr>
              <w:spacing w:before="20" w:after="40"/>
            </w:pPr>
            <w:r>
              <w:rPr>
                <w:rFonts w:ascii="Arial" w:hAnsi="Arial"/>
                <w:b/>
                <w:color w:val="0F2043"/>
                <w:sz w:val="19"/>
              </w:rPr>
              <w:t>Standardized StatCon Issue Statement</w:t>
              <w:br/>
            </w:r>
          </w:p>
          <w:p>
            <w:pPr>
              <w:spacing w:before="20" w:after="40" w:line="276" w:lineRule="auto"/>
            </w:pPr>
            <w:r>
              <w:rPr>
                <w:rFonts w:ascii="Calibri" w:hAnsi="Calibri"/>
                <w:color w:val="212529"/>
                <w:sz w:val="19"/>
              </w:rPr>
              <w:t>Whether the subject statutory act, classification, or terminology under the governing statute/rule means, includes, or applies to the factual controversy in Jose G. Atienza, Jr. v. Jose L. Villarosa, under the canon of Ut res magis valeat quam pereat.</w:t>
            </w:r>
          </w:p>
        </w:tc>
      </w:tr>
    </w:tbl>
    <w:p>
      <w:pPr>
        <w:keepNext/>
        <w:spacing w:before="240" w:after="60"/>
      </w:pPr>
      <w:r>
        <w:rPr>
          <w:rFonts w:ascii="Arial" w:hAnsi="Arial"/>
          <w:b/>
          <w:color w:val="0F2043"/>
          <w:sz w:val="21"/>
        </w:rPr>
        <w:t>IV. PROVISION/S OF LAW CONSTRUED</w:t>
      </w:r>
    </w:p>
    <w:tbl>
      <w:tblPr>
        <w:tblW w:type="auto" w:w="0"/>
        <w:jc w:val="center"/>
        <w:tblLook w:firstColumn="1" w:firstRow="1" w:lastColumn="0" w:lastRow="0" w:noHBand="0" w:noVBand="1" w:val="04A0"/>
      </w:tblPr>
      <w:tblGrid>
        <w:gridCol w:w="9648"/>
      </w:tblGrid>
      <w:tr>
        <w:tc>
          <w:tcPr>
            <w:tcW w:type="dxa" w:w="9648"/>
            <w:shd w:fill="F8F9FB"/>
            <w:tcMar>
              <w:top w:w="100" w:type="dxa"/>
              <w:bottom w:w="100" w:type="dxa"/>
              <w:left w:w="160" w:type="dxa"/>
              <w:right w:w="160" w:type="dxa"/>
            </w:tcMar>
          </w:tcPr>
          <w:p>
            <w:pPr>
              <w:spacing w:before="20" w:after="40"/>
            </w:pPr>
            <w:r>
              <w:rPr>
                <w:rFonts w:ascii="Arial" w:hAnsi="Arial"/>
                <w:b/>
                <w:color w:val="0F2043"/>
                <w:sz w:val="19"/>
              </w:rPr>
              <w:t>Statutory / Constitutional Text &amp; Problem</w:t>
              <w:br/>
            </w:r>
          </w:p>
          <w:p>
            <w:pPr>
              <w:spacing w:before="20" w:after="40" w:line="276" w:lineRule="auto"/>
            </w:pPr>
            <w:r>
              <w:rPr>
                <w:rFonts w:ascii="Calibri" w:hAnsi="Calibri"/>
                <w:b/>
                <w:color w:val="212529"/>
                <w:sz w:val="19"/>
              </w:rPr>
              <w:t xml:space="preserve">• Quoted Provision: </w:t>
            </w:r>
            <w:r>
              <w:rPr>
                <w:rFonts w:ascii="Calibri" w:hAnsi="Calibri"/>
                <w:color w:val="212529"/>
                <w:sz w:val="19"/>
              </w:rPr>
              <w:t>1. Sections 465, 466, and 468, Republic Act No. 7160 (Local Government Code of 1991): Allocation of powers between the Provincial Governor (executive) and Vice-Governor (presiding officer of the sanggunian).</w:t>
              <w:br/>
              <w:t>2. Ut Res Magis Valeat Quam Pereat (that the thing may rather have effect than perish): All provisions of the Local Government Code must be harmonized so that each section operates with full vitality.</w:t>
            </w:r>
          </w:p>
          <w:p>
            <w:pPr>
              <w:spacing w:before="20" w:after="40" w:line="276" w:lineRule="auto"/>
            </w:pPr>
            <w:r>
              <w:rPr>
                <w:rFonts w:ascii="Calibri" w:hAnsi="Calibri"/>
                <w:b/>
                <w:color w:val="212529"/>
                <w:sz w:val="19"/>
              </w:rPr>
              <w:t xml:space="preserve">• Interpretive Problem: </w:t>
            </w:r>
            <w:r>
              <w:rPr>
                <w:rFonts w:ascii="Calibri" w:hAnsi="Calibri"/>
                <w:color w:val="212529"/>
                <w:sz w:val="19"/>
              </w:rPr>
              <w:t>Determining the precise legislative intent and boundary of the statutory terms in light of: The Governor isolated Section 465 from the rest of the Local Government Code, attempting to usurp powers specifically gr...</w:t>
            </w:r>
          </w:p>
        </w:tc>
      </w:tr>
    </w:tbl>
    <w:p>
      <w:pPr>
        <w:keepNext/>
        <w:spacing w:before="240" w:after="60"/>
      </w:pPr>
      <w:r>
        <w:rPr>
          <w:rFonts w:ascii="Arial" w:hAnsi="Arial"/>
          <w:b/>
          <w:color w:val="0F2043"/>
          <w:sz w:val="21"/>
        </w:rPr>
        <w:t>V. RULING OF THE SUPREME COURT</w:t>
      </w:r>
    </w:p>
    <w:p>
      <w:pPr>
        <w:keepNext/>
        <w:spacing w:before="120" w:after="40"/>
      </w:pPr>
      <w:r>
        <w:rPr>
          <w:rFonts w:ascii="Arial" w:hAnsi="Arial"/>
          <w:b/>
          <w:color w:val="781E1E"/>
          <w:sz w:val="20"/>
        </w:rPr>
        <w:t>A. General Ruling</w:t>
      </w:r>
    </w:p>
    <w:p>
      <w:pPr>
        <w:spacing w:before="40" w:after="80" w:line="276" w:lineRule="auto"/>
      </w:pPr>
      <w:r>
        <w:rPr>
          <w:rFonts w:ascii="Calibri" w:hAnsi="Calibri"/>
          <w:i w:val="0"/>
          <w:color w:val="212529"/>
          <w:sz w:val="21"/>
        </w:rPr>
        <w:t>The Supreme Court PARTIALLY GRANTED the petition, DECLARING that the Vice-Governor has the exclusive power to appoint Sangguniang Panlalawigan personnel and sign legislative purchase orders and disbursement vouchers.</w:t>
      </w:r>
    </w:p>
    <w:p>
      <w:pPr>
        <w:keepNext/>
        <w:spacing w:before="120" w:after="40"/>
      </w:pPr>
      <w:r>
        <w:rPr>
          <w:rFonts w:ascii="Arial" w:hAnsi="Arial"/>
          <w:b/>
          <w:color w:val="781E1E"/>
          <w:sz w:val="20"/>
        </w:rPr>
        <w:t>B. Ruling on the Statutory-Construction Issue</w:t>
      </w:r>
    </w:p>
    <w:tbl>
      <w:tblPr>
        <w:tblW w:type="auto" w:w="0"/>
        <w:jc w:val="center"/>
        <w:tblLook w:firstColumn="1" w:firstRow="1" w:lastColumn="0" w:lastRow="0" w:noHBand="0" w:noVBand="1" w:val="04A0"/>
      </w:tblPr>
      <w:tblGrid>
        <w:gridCol w:w="9648"/>
      </w:tblGrid>
      <w:tr>
        <w:tc>
          <w:tcPr>
            <w:tcW w:type="dxa" w:w="9648"/>
            <w:shd w:fill="F4FAF5"/>
            <w:tcMar>
              <w:top w:w="100" w:type="dxa"/>
              <w:bottom w:w="100" w:type="dxa"/>
              <w:left w:w="160" w:type="dxa"/>
              <w:right w:w="160" w:type="dxa"/>
            </w:tcMar>
          </w:tcPr>
          <w:p>
            <w:pPr>
              <w:spacing w:before="20" w:after="40"/>
            </w:pPr>
            <w:r>
              <w:rPr>
                <w:rFonts w:ascii="Arial" w:hAnsi="Arial"/>
                <w:b/>
                <w:color w:val="0F2043"/>
                <w:sz w:val="19"/>
              </w:rPr>
              <w:t>Statutory Meaning Established by Court</w:t>
              <w:br/>
            </w:r>
          </w:p>
          <w:p>
            <w:pPr>
              <w:spacing w:before="20" w:after="40" w:line="276" w:lineRule="auto"/>
            </w:pPr>
            <w:r>
              <w:rPr>
                <w:rFonts w:ascii="Calibri" w:hAnsi="Calibri"/>
                <w:color w:val="212529"/>
                <w:sz w:val="19"/>
              </w:rPr>
              <w:t>The VICE-GOVERNOR has the exclusive authority to appoint all officials and employees of the Sangguniang Panlalawigan and to sign purchase orders and vouchers payable from legislative appropriations. The Local Government Code must be construed as a whole to harmonize executive and legislative powers.</w:t>
            </w:r>
          </w:p>
        </w:tc>
      </w:tr>
    </w:tbl>
    <w:p>
      <w:pPr>
        <w:keepNext/>
        <w:spacing w:before="240" w:after="60"/>
      </w:pPr>
      <w:r>
        <w:rPr>
          <w:rFonts w:ascii="Arial" w:hAnsi="Arial"/>
          <w:b/>
          <w:color w:val="0F2043"/>
          <w:sz w:val="21"/>
        </w:rPr>
        <w:t>VI. HOW THE COURT CONSTRUED THE LAW</w:t>
      </w:r>
    </w:p>
    <w:tbl>
      <w:tblPr>
        <w:tblW w:type="auto" w:w="0"/>
        <w:jc w:val="center"/>
        <w:tblLook w:firstColumn="1" w:firstRow="1" w:lastColumn="0" w:lastRow="0" w:noHBand="0" w:noVBand="1" w:val="04A0"/>
      </w:tblPr>
      <w:tblGrid>
        <w:gridCol w:w="9648"/>
      </w:tblGrid>
      <w:tr>
        <w:tc>
          <w:tcPr>
            <w:tcW w:type="dxa" w:w="9648"/>
            <w:shd w:fill="F8F9FB"/>
            <w:tcMar>
              <w:top w:w="100" w:type="dxa"/>
              <w:bottom w:w="100" w:type="dxa"/>
              <w:left w:w="160" w:type="dxa"/>
              <w:right w:w="160" w:type="dxa"/>
            </w:tcMar>
          </w:tcPr>
          <w:p>
            <w:pPr>
              <w:spacing w:before="20" w:after="40"/>
            </w:pPr>
            <w:r>
              <w:rPr>
                <w:rFonts w:ascii="Arial" w:hAnsi="Arial"/>
                <w:b/>
                <w:color w:val="0F2043"/>
                <w:sz w:val="19"/>
              </w:rPr>
              <w:t>Methodological &amp; Doctrinal Analysis</w:t>
              <w:br/>
            </w:r>
          </w:p>
          <w:p>
            <w:pPr>
              <w:spacing w:before="20" w:after="40" w:line="276" w:lineRule="auto"/>
            </w:pPr>
            <w:r>
              <w:rPr>
                <w:rFonts w:ascii="Calibri" w:hAnsi="Calibri"/>
                <w:b/>
                <w:color w:val="212529"/>
                <w:sz w:val="19"/>
              </w:rPr>
              <w:t xml:space="preserve">A. Why Was Construction Necessary? </w:t>
            </w:r>
            <w:r>
              <w:rPr>
                <w:rFonts w:ascii="Calibri" w:hAnsi="Calibri"/>
                <w:color w:val="212529"/>
                <w:sz w:val="19"/>
              </w:rPr>
              <w:t>Ambiguity in the application and scope of the statute: The Governor isolated Section 465 from the rest of the Local Government Code, attempting to usurp powers specifically granted to the Vice-Go.</w:t>
            </w:r>
          </w:p>
          <w:p>
            <w:pPr>
              <w:spacing w:before="20" w:after="40" w:line="276" w:lineRule="auto"/>
            </w:pPr>
            <w:r>
              <w:rPr>
                <w:rFonts w:ascii="Calibri" w:hAnsi="Calibri"/>
                <w:b/>
                <w:color w:val="212529"/>
                <w:sz w:val="19"/>
              </w:rPr>
              <w:t xml:space="preserve">B. Purpose of Construction: </w:t>
            </w:r>
            <w:r>
              <w:rPr>
                <w:rFonts w:ascii="Calibri" w:hAnsi="Calibri"/>
                <w:color w:val="212529"/>
                <w:sz w:val="19"/>
              </w:rPr>
              <w:t>To ascertain and give full effect to the true intent, spirit, and purpose of the lawmaking body.</w:t>
            </w:r>
          </w:p>
          <w:p>
            <w:pPr>
              <w:spacing w:before="20" w:after="40" w:line="276" w:lineRule="auto"/>
            </w:pPr>
            <w:r>
              <w:rPr>
                <w:rFonts w:ascii="Calibri" w:hAnsi="Calibri"/>
                <w:b/>
                <w:color w:val="212529"/>
                <w:sz w:val="19"/>
              </w:rPr>
              <w:t xml:space="preserve">C. Method, Canon, or Rule Applied: </w:t>
            </w:r>
            <w:r>
              <w:rPr>
                <w:rFonts w:ascii="Calibri" w:hAnsi="Calibri"/>
                <w:color w:val="212529"/>
                <w:sz w:val="19"/>
              </w:rPr>
              <w:t>Ut res magis valeat quam pereat</w:t>
              <w:br/>
              <w:t xml:space="preserve">   - Application: Doctrine of Harmonious Whole: A statute must be construed as a harmonious whole; no single provision should be isolated to defeat or render another provision superfluous or meaningless.</w:t>
              <w:br/>
              <w:t xml:space="preserve">   - Result: The Vice-Governor. When you read the whole Local Government Code together, it is clear that the Governor heads the Executive branch and the Vice-Governor heads the Legislative branch. The Governor cannot meddle in legislative hiring and checks.</w:t>
            </w:r>
          </w:p>
          <w:p>
            <w:pPr>
              <w:spacing w:before="20" w:after="40" w:line="276" w:lineRule="auto"/>
            </w:pPr>
            <w:r>
              <w:rPr>
                <w:rFonts w:ascii="Calibri" w:hAnsi="Calibri"/>
                <w:b/>
                <w:color w:val="212529"/>
                <w:sz w:val="19"/>
              </w:rPr>
              <w:t xml:space="preserve">D. Other Sources Used: </w:t>
            </w:r>
            <w:r>
              <w:rPr>
                <w:rFonts w:ascii="Calibri" w:hAnsi="Calibri"/>
                <w:color w:val="212529"/>
                <w:sz w:val="19"/>
              </w:rPr>
              <w:t>Ordinary meaning of words, statute considered as a whole, legislative history, and established Supreme Court jurisprudence.</w:t>
            </w:r>
          </w:p>
        </w:tc>
      </w:tr>
    </w:tbl>
    <w:p>
      <w:pPr>
        <w:keepNext/>
        <w:spacing w:before="240" w:after="60"/>
      </w:pPr>
      <w:r>
        <w:rPr>
          <w:rFonts w:ascii="Arial" w:hAnsi="Arial"/>
          <w:b/>
          <w:color w:val="0F2043"/>
          <w:sz w:val="21"/>
        </w:rPr>
        <w:t>VII. RELEVANT STATUTORY-CONSTRUCTION CONCEPTS (A–L EVALUATION)</w:t>
      </w:r>
    </w:p>
    <w:tbl>
      <w:tblPr>
        <w:tblW w:type="auto" w:w="0"/>
        <w:jc w:val="center"/>
        <w:tblLook w:firstColumn="1" w:firstRow="1" w:lastColumn="0" w:lastRow="0" w:noHBand="0" w:noVBand="1" w:val="04A0"/>
      </w:tblPr>
      <w:tblGrid>
        <w:gridCol w:w="4824"/>
        <w:gridCol w:w="4824"/>
      </w:tblGrid>
      <w:tr>
        <w:tc>
          <w:tcPr>
            <w:tcW w:type="dxa" w:w="4824"/>
            <w:shd w:fill="EBF0F8"/>
            <w:tcMar>
              <w:top w:w="70" w:type="dxa"/>
              <w:bottom w:w="70" w:type="dxa"/>
              <w:left w:w="100" w:type="dxa"/>
              <w:right w:w="100" w:type="dxa"/>
            </w:tcMar>
          </w:tcPr>
          <w:p>
            <w:pPr>
              <w:spacing w:before="20" w:after="20"/>
            </w:pPr>
            <w:r>
              <w:rPr>
                <w:rFonts w:ascii="Arial" w:hAnsi="Arial"/>
                <w:b/>
                <w:color w:val="0F2043"/>
                <w:sz w:val="18"/>
              </w:rPr>
              <w:t>A. Situs of Statutory Construction</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Supreme Court of the Philippines, exercising its constitutional judicial power under Article VIII of the Constitution, serves as the ultimate situs and final arbiter for interpreting and construing the disputed provision.</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B. Purpose of Statutory Construction</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purpose of construction is to discover and effectuate the true legislative intent and will of the lawmaking body, preventing injustice and ensuring the statute operates harmoniously.</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C. When to Construe</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Construction became imperative because the text contained an ambiguity, competing interpretations, or conflicting statutory provisions that required judicial determination of legislative intent.</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D. Ambiguity or Vagueness</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controversy centered on the ambiguity, silence, or conflicting scope of the statutory language, which the Court resolved by examining legislative intent and governing maxims.</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E. Verba Legis Non Est Recedendum</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781E1E"/>
                <w:sz w:val="17"/>
              </w:rPr>
              <w:t xml:space="preserve"> [NOT APPLICABLE] </w:t>
            </w:r>
            <w:r>
              <w:rPr>
                <w:rFonts w:ascii="Calibri" w:hAnsi="Calibri"/>
                <w:color w:val="212529"/>
                <w:sz w:val="18"/>
              </w:rPr>
              <w:t>Not Applicable. The Court looked beyond literal words to discover the underlying legislative spirit, context, and intent.</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F. Absoluta Sententia Expositore Non Indigent</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781E1E"/>
                <w:sz w:val="17"/>
              </w:rPr>
              <w:t xml:space="preserve"> [NOT APPLICABLE] </w:t>
            </w:r>
            <w:r>
              <w:rPr>
                <w:rFonts w:ascii="Calibri" w:hAnsi="Calibri"/>
                <w:color w:val="212529"/>
                <w:sz w:val="18"/>
              </w:rPr>
              <w:t>Not Applicable. The statutory language required expository interpretation due to textual gaps, broad phrasing, or conflicting provisions.</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G. Legislative Intent</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Court analyzed the true intent and policy of the lawmaking authority, ensuring that the statutory purpose is preserved and not defeated by erroneous administrative or private interpretations.</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H. Strict or Liberal Construction</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781E1E"/>
                <w:sz w:val="17"/>
              </w:rPr>
              <w:t xml:space="preserve"> [NOT APPLICABLE] </w:t>
            </w:r>
            <w:r>
              <w:rPr>
                <w:rFonts w:ascii="Calibri" w:hAnsi="Calibri"/>
                <w:color w:val="212529"/>
                <w:sz w:val="18"/>
              </w:rPr>
              <w:t>Not Applicable. The Court applied standard ordinary rules of statutory interpretation without resorting to special strict or liberal construction doctrines.</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I. Prospective or Retrospective Construction</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781E1E"/>
                <w:sz w:val="17"/>
              </w:rPr>
              <w:t xml:space="preserve"> [NOT APPLICABLE] </w:t>
            </w:r>
            <w:r>
              <w:rPr>
                <w:rFonts w:ascii="Calibri" w:hAnsi="Calibri"/>
                <w:color w:val="212529"/>
                <w:sz w:val="18"/>
              </w:rPr>
              <w:t>Not Applicable. The case involved only the contemporaneous, prospective application of the governing law.</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J. Statutory Construction vs. Judicial Legislation</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Court underscored the constitutional boundary of judicial power: Courts are empowered solely to interpret (jus dicere), not to enact or amend laws (jus dare). Supplying unwritten terms or expanding clear prohibitions constitutes prohibited judicial legislation.</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K. Legis Interpretatio Legis Vim Obtinet</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Under Article 8 of the Civil Code, the Supreme Court's authoritative interpretation of the statute forms part of the legal system of the Philippines and acquires the force of law (*legis interpretatio legis vim obtinet*).</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L. Extent and Limits of the Power to Construe</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Court respected the constitutional limits of its authority by applying the law as written and refusing to invade the legislative domain under the guise of equity or expediency.</w:t>
            </w:r>
          </w:p>
        </w:tc>
      </w:tr>
    </w:tbl>
    <w:p>
      <w:pPr>
        <w:keepNext/>
        <w:spacing w:before="240" w:after="60"/>
      </w:pPr>
      <w:r>
        <w:rPr>
          <w:rFonts w:ascii="Arial" w:hAnsi="Arial"/>
          <w:b/>
          <w:color w:val="0F2043"/>
          <w:sz w:val="21"/>
        </w:rPr>
        <w:t>VIII. OTHER CANONS OR METHODS OF CONSTRUCTION</w:t>
      </w:r>
    </w:p>
    <w:tbl>
      <w:tblPr>
        <w:tblW w:type="auto" w:w="0"/>
        <w:jc w:val="center"/>
        <w:tblLook w:firstColumn="1" w:firstRow="1" w:lastColumn="0" w:lastRow="0" w:noHBand="0" w:noVBand="1" w:val="04A0"/>
      </w:tblPr>
      <w:tblGrid>
        <w:gridCol w:w="9648"/>
      </w:tblGrid>
      <w:tr>
        <w:tc>
          <w:tcPr>
            <w:tcW w:type="dxa" w:w="9648"/>
            <w:shd w:fill="F8F9FB"/>
            <w:tcMar>
              <w:top w:w="100" w:type="dxa"/>
              <w:bottom w:w="100" w:type="dxa"/>
              <w:left w:w="160" w:type="dxa"/>
              <w:right w:w="160" w:type="dxa"/>
            </w:tcMar>
          </w:tcPr>
          <w:p>
            <w:pPr>
              <w:spacing w:before="20" w:after="40"/>
            </w:pPr>
            <w:r>
              <w:rPr>
                <w:rFonts w:ascii="Arial" w:hAnsi="Arial"/>
                <w:b/>
                <w:color w:val="0F2043"/>
                <w:sz w:val="19"/>
              </w:rPr>
              <w:t>Secondary Rules &amp; Canons Applied</w:t>
              <w:br/>
            </w:r>
          </w:p>
          <w:p>
            <w:pPr>
              <w:spacing w:before="20" w:after="40" w:line="276" w:lineRule="auto"/>
            </w:pPr>
            <w:r>
              <w:rPr>
                <w:rFonts w:ascii="Calibri" w:hAnsi="Calibri"/>
                <w:b/>
                <w:color w:val="212529"/>
                <w:sz w:val="19"/>
              </w:rPr>
              <w:t xml:space="preserve">• Canon / Maxim: </w:t>
            </w:r>
            <w:r>
              <w:rPr>
                <w:rFonts w:ascii="Calibri" w:hAnsi="Calibri"/>
                <w:color w:val="212529"/>
                <w:sz w:val="19"/>
              </w:rPr>
              <w:t>• Ex antecedentibus et consequentibus fit optima interpretatio (best interpretation from the whole context)</w:t>
              <w:br/>
              <w:t>• Generalia specialibus non derogant (general provisions yield to specific ones)</w:t>
            </w:r>
          </w:p>
          <w:p>
            <w:pPr>
              <w:spacing w:before="20" w:after="40" w:line="276" w:lineRule="auto"/>
            </w:pPr>
            <w:r>
              <w:rPr>
                <w:rFonts w:ascii="Calibri" w:hAnsi="Calibri"/>
                <w:b/>
                <w:color w:val="212529"/>
                <w:sz w:val="19"/>
              </w:rPr>
              <w:t xml:space="preserve">• How Applied: </w:t>
            </w:r>
            <w:r>
              <w:rPr>
                <w:rFonts w:ascii="Calibri" w:hAnsi="Calibri"/>
                <w:color w:val="212529"/>
                <w:sz w:val="19"/>
              </w:rPr>
              <w:t>Applied as corroborative canons to reinforce the primary rule of construction.</w:t>
            </w:r>
          </w:p>
          <w:p>
            <w:pPr>
              <w:spacing w:before="20" w:after="40" w:line="276" w:lineRule="auto"/>
            </w:pPr>
            <w:r>
              <w:rPr>
                <w:rFonts w:ascii="Calibri" w:hAnsi="Calibri"/>
                <w:b/>
                <w:color w:val="212529"/>
                <w:sz w:val="19"/>
              </w:rPr>
              <w:t xml:space="preserve">• Effect on Interpretation: </w:t>
            </w:r>
            <w:r>
              <w:rPr>
                <w:rFonts w:ascii="Calibri" w:hAnsi="Calibri"/>
                <w:color w:val="212529"/>
                <w:sz w:val="19"/>
              </w:rPr>
              <w:t>Harmonized the statute and prevented an absurd or unjust result.</w:t>
            </w:r>
          </w:p>
        </w:tc>
      </w:tr>
    </w:tbl>
    <w:p>
      <w:pPr>
        <w:keepNext/>
        <w:spacing w:before="240" w:after="60"/>
      </w:pPr>
      <w:r>
        <w:rPr>
          <w:rFonts w:ascii="Arial" w:hAnsi="Arial"/>
          <w:b/>
          <w:color w:val="0F2043"/>
          <w:sz w:val="21"/>
        </w:rPr>
        <w:t>IX. THE CONSTRUCTION MADE BY THE COURT</w:t>
      </w:r>
    </w:p>
    <w:tbl>
      <w:tblPr>
        <w:tblW w:type="auto" w:w="0"/>
        <w:jc w:val="center"/>
        <w:tblLook w:firstColumn="1" w:firstRow="1" w:lastColumn="0" w:lastRow="0" w:noHBand="0" w:noVBand="1" w:val="04A0"/>
      </w:tblPr>
      <w:tblGrid>
        <w:gridCol w:w="9648"/>
      </w:tblGrid>
      <w:tr>
        <w:tc>
          <w:tcPr>
            <w:tcW w:type="dxa" w:w="9648"/>
            <w:shd w:fill="F9F8F5"/>
            <w:tcMar>
              <w:top w:w="100" w:type="dxa"/>
              <w:bottom w:w="100" w:type="dxa"/>
              <w:left w:w="160" w:type="dxa"/>
              <w:right w:w="160" w:type="dxa"/>
            </w:tcMar>
          </w:tcPr>
          <w:p>
            <w:pPr>
              <w:spacing w:before="20" w:after="40"/>
            </w:pPr>
            <w:r>
              <w:rPr>
                <w:rFonts w:ascii="Arial" w:hAnsi="Arial"/>
                <w:b/>
                <w:color w:val="0F2043"/>
                <w:sz w:val="19"/>
              </w:rPr>
              <w:t>Actual Judicial Construction &amp; Ratio</w:t>
              <w:br/>
            </w:r>
          </w:p>
          <w:p>
            <w:pPr>
              <w:spacing w:before="20" w:after="40" w:line="276" w:lineRule="auto"/>
            </w:pPr>
            <w:r>
              <w:rPr>
                <w:rFonts w:ascii="Calibri" w:hAnsi="Calibri"/>
                <w:b/>
                <w:color w:val="212529"/>
                <w:sz w:val="19"/>
              </w:rPr>
              <w:t xml:space="preserve">• Construction Summary: </w:t>
            </w:r>
            <w:r>
              <w:rPr>
                <w:rFonts w:ascii="Calibri" w:hAnsi="Calibri"/>
                <w:color w:val="212529"/>
                <w:sz w:val="19"/>
              </w:rPr>
              <w:t>The Court construed the disputed statutory provisions in Jose G. Atienza, Jr. v. Jose L. Villarosa to mean and apply strictly in accordance with Ut res magis valeat quam pereat, holding that The Vice-Governor. When you read the whole Local Government Code together, it is clear that the Governor heads the Executive branch and the Vice-Governor heads .</w:t>
            </w:r>
          </w:p>
          <w:p>
            <w:pPr>
              <w:spacing w:before="20" w:after="40" w:line="276" w:lineRule="auto"/>
            </w:pPr>
            <w:r>
              <w:rPr>
                <w:rFonts w:ascii="Calibri" w:hAnsi="Calibri"/>
                <w:b/>
                <w:color w:val="212529"/>
                <w:sz w:val="19"/>
              </w:rPr>
              <w:t xml:space="preserve">• Principal Reasoning: </w:t>
            </w:r>
            <w:r>
              <w:rPr>
                <w:rFonts w:ascii="Calibri" w:hAnsi="Calibri"/>
                <w:color w:val="212529"/>
                <w:sz w:val="19"/>
              </w:rPr>
              <w:t>You cannot read one section of a law and ignore the rest. If the Governor controlled the legislative employees, the legislative council would lose its independence. By reading the whole statute together, the Court gave full meaning to both the Governor's executive role and the Vice-Governor's legislative role.</w:t>
            </w:r>
          </w:p>
        </w:tc>
      </w:tr>
    </w:tbl>
    <w:tbl>
      <w:tblPr>
        <w:tblW w:type="auto" w:w="0"/>
        <w:jc w:val="center"/>
        <w:tblLook w:firstColumn="1" w:firstRow="1" w:lastColumn="0" w:lastRow="0" w:noHBand="0" w:noVBand="1" w:val="04A0"/>
      </w:tblPr>
      <w:tblGrid>
        <w:gridCol w:w="9648"/>
      </w:tblGrid>
      <w:tr>
        <w:tc>
          <w:tcPr>
            <w:tcW w:type="dxa" w:w="9648"/>
            <w:shd w:fill="EEF6F0"/>
            <w:tcMar>
              <w:top w:w="100" w:type="dxa"/>
              <w:bottom w:w="100" w:type="dxa"/>
              <w:left w:w="160" w:type="dxa"/>
              <w:right w:w="160" w:type="dxa"/>
            </w:tcMar>
          </w:tcPr>
          <w:p>
            <w:pPr>
              <w:spacing w:before="20" w:after="40"/>
            </w:pPr>
            <w:r>
              <w:rPr>
                <w:rFonts w:ascii="Arial" w:hAnsi="Arial"/>
                <w:b/>
                <w:color w:val="0D6E4B"/>
                <w:sz w:val="19"/>
              </w:rPr>
              <w:t>X. STATUTORY CONSTRUCTION OR JUDICIAL LEGISLATION?</w:t>
              <w:br/>
            </w:r>
          </w:p>
          <w:p>
            <w:pPr>
              <w:spacing w:before="20" w:after="60"/>
            </w:pPr>
            <w:r>
              <w:rPr>
                <w:rFonts w:ascii="Arial" w:hAnsi="Arial"/>
                <w:b/>
                <w:color w:val="0F2043"/>
                <w:sz w:val="19"/>
              </w:rPr>
              <w:t>☑ Proper statutory construction    ☐ Judicial legislation    ☐ Debatable</w:t>
            </w:r>
          </w:p>
          <w:p>
            <w:pPr>
              <w:spacing w:before="40" w:after="40" w:line="276" w:lineRule="auto"/>
            </w:pPr>
            <w:r>
              <w:rPr>
                <w:rFonts w:ascii="Calibri" w:hAnsi="Calibri"/>
                <w:b/>
                <w:color w:val="212529"/>
                <w:sz w:val="19"/>
              </w:rPr>
              <w:t>Explanation (3–5 sentences):</w:t>
              <w:br/>
            </w:r>
            <w:r>
              <w:rPr>
                <w:rFonts w:ascii="Calibri" w:hAnsi="Calibri"/>
                <w:color w:val="212529"/>
                <w:sz w:val="19"/>
              </w:rPr>
              <w:t>The Supreme Court acted within the legitimate bounds of its constitutional power to interpret the law (jus dicere). By applying Ut res magis valeat quam pereat, the Court faithfully effectuated the legislative intent without creating new rules, modifying clear statutory text, or usurping congressional prerogative. The ruling reinforces the separation of powers and the doctrine that courts must enforce the law as enacted.</w:t>
            </w:r>
          </w:p>
        </w:tc>
      </w:tr>
    </w:tbl>
    <w:p>
      <w:pPr>
        <w:spacing w:before="80" w:after="40"/>
      </w:pPr>
    </w:p>
    <w:tbl>
      <w:tblPr>
        <w:tblW w:type="auto" w:w="0"/>
        <w:jc w:val="center"/>
        <w:tblLook w:firstColumn="1" w:firstRow="1" w:lastColumn="0" w:lastRow="0" w:noHBand="0" w:noVBand="1" w:val="04A0"/>
      </w:tblPr>
      <w:tblGrid>
        <w:gridCol w:w="9648"/>
      </w:tblGrid>
      <w:tr>
        <w:tc>
          <w:tcPr>
            <w:tcW w:type="dxa" w:w="9648"/>
            <w:shd w:fill="FBF6EE"/>
            <w:tcMar>
              <w:top w:w="100" w:type="dxa"/>
              <w:bottom w:w="100" w:type="dxa"/>
              <w:left w:w="160" w:type="dxa"/>
              <w:right w:w="160" w:type="dxa"/>
            </w:tcMar>
          </w:tcPr>
          <w:p>
            <w:pPr>
              <w:spacing w:before="20" w:after="40"/>
            </w:pPr>
            <w:r>
              <w:rPr>
                <w:rFonts w:ascii="Arial" w:hAnsi="Arial"/>
                <w:b/>
                <w:color w:val="8C3200"/>
                <w:sz w:val="19"/>
              </w:rPr>
              <w:t>XI. DOCTRINE (Statutory Construction Principle):</w:t>
              <w:br/>
            </w:r>
            <w:r>
              <w:rPr>
                <w:rFonts w:ascii="Calibri" w:hAnsi="Calibri"/>
                <w:color w:val="212529"/>
                <w:sz w:val="19"/>
              </w:rPr>
              <w:t>Doctrine of Harmonious Whole: A statute must be construed as a harmonious whole; no single provision should be isolated to defeat or render another provision superfluous or meaningless.</w:t>
              <w:br/>
              <w:br/>
            </w:r>
          </w:p>
          <w:p>
            <w:pPr>
              <w:spacing w:before="20" w:after="40"/>
            </w:pPr>
            <w:r>
              <w:rPr>
                <w:rFonts w:ascii="Arial" w:hAnsi="Arial"/>
                <w:b/>
                <w:color w:val="8C3200"/>
                <w:sz w:val="19"/>
              </w:rPr>
              <w:t>XII. ONE-SENTENCE TAKEAWAY:</w:t>
              <w:br/>
            </w:r>
            <w:r>
              <w:rPr>
                <w:rFonts w:ascii="Calibri" w:hAnsi="Calibri"/>
                <w:i/>
                <w:color w:val="212529"/>
                <w:sz w:val="19"/>
              </w:rPr>
              <w:t>This case is important in Statutory Construction because Every section of a code must be read together like gears in a clock so that every part works smoothly without jamming.</w:t>
            </w:r>
          </w:p>
        </w:tc>
      </w:tr>
    </w:tbl>
    <w:p>
      <w:r>
        <w:br w:type="page"/>
      </w:r>
    </w:p>
    <w:p>
      <w:pPr>
        <w:keepNext/>
        <w:spacing w:before="320" w:after="80"/>
      </w:pPr>
      <w:r>
        <w:rPr>
          <w:rFonts w:ascii="Arial" w:hAnsi="Arial"/>
          <w:b/>
          <w:color w:val="0F2043"/>
          <w:sz w:val="26"/>
        </w:rPr>
        <w:t>37. COMMISSION ON HUMAN RIGHTS EMPLOYEES' ASSOCIATION (CHREA) V. COMMISSION ON HUMAN RIGHTS</w:t>
      </w:r>
    </w:p>
    <w:p>
      <w:pPr>
        <w:spacing w:before="40" w:after="80" w:line="276" w:lineRule="auto"/>
      </w:pPr>
      <w:r>
        <w:rPr>
          <w:rFonts w:ascii="Calibri" w:hAnsi="Calibri"/>
          <w:b/>
          <w:color w:val="212529"/>
          <w:sz w:val="21"/>
        </w:rPr>
        <w:t xml:space="preserve">Citation: </w:t>
      </w:r>
      <w:r>
        <w:rPr>
          <w:rFonts w:ascii="Calibri" w:hAnsi="Calibri"/>
          <w:i/>
          <w:color w:val="212529"/>
          <w:sz w:val="21"/>
        </w:rPr>
        <w:t>G.R. No. 155336 | November 25, 2004 | 444 SCRA 300 | First Division | Ponente: J. Ynares-Santiago</w:t>
      </w:r>
    </w:p>
    <w:p>
      <w:pPr>
        <w:keepNext/>
        <w:spacing w:before="200" w:after="40"/>
      </w:pPr>
      <w:r>
        <w:rPr>
          <w:rFonts w:ascii="Arial" w:hAnsi="Arial"/>
          <w:b/>
          <w:color w:val="781E1E"/>
          <w:sz w:val="22"/>
        </w:rPr>
        <w:t>LAYER A: ALAC DIGEST, RECITATION SCRIPT &amp; STATCON ANALYSIS</w:t>
      </w:r>
    </w:p>
    <w:p>
      <w:pPr>
        <w:keepNext/>
        <w:spacing w:before="200" w:after="40"/>
      </w:pPr>
      <w:r>
        <w:rPr>
          <w:rFonts w:ascii="Arial" w:hAnsi="Arial"/>
          <w:b/>
          <w:color w:val="781E1E"/>
          <w:sz w:val="22"/>
        </w:rPr>
        <w:t>I. PARTIES &amp; PROCEDURAL BACKGROUND</w:t>
      </w:r>
    </w:p>
    <w:p>
      <w:pPr>
        <w:spacing w:before="40" w:after="80" w:line="276" w:lineRule="auto"/>
      </w:pPr>
      <w:r>
        <w:rPr>
          <w:rFonts w:ascii="Calibri" w:hAnsi="Calibri"/>
          <w:b/>
          <w:color w:val="212529"/>
          <w:sz w:val="21"/>
        </w:rPr>
        <w:t xml:space="preserve">• Plaintiff/Petitioner: </w:t>
      </w:r>
      <w:r>
        <w:rPr>
          <w:rFonts w:ascii="Calibri" w:hAnsi="Calibri"/>
          <w:i w:val="0"/>
          <w:color w:val="212529"/>
          <w:sz w:val="21"/>
        </w:rPr>
        <w:t>Commission on Human Rights Employees' Association (CHREA) (Petitioner)</w:t>
      </w:r>
    </w:p>
    <w:p>
      <w:pPr>
        <w:spacing w:before="40" w:after="80" w:line="276" w:lineRule="auto"/>
      </w:pPr>
      <w:r>
        <w:rPr>
          <w:rFonts w:ascii="Calibri" w:hAnsi="Calibri"/>
          <w:b/>
          <w:color w:val="212529"/>
          <w:sz w:val="21"/>
        </w:rPr>
        <w:t xml:space="preserve">• Defendant/Respondent: </w:t>
      </w:r>
      <w:r>
        <w:rPr>
          <w:rFonts w:ascii="Calibri" w:hAnsi="Calibri"/>
          <w:i w:val="0"/>
          <w:color w:val="212529"/>
          <w:sz w:val="21"/>
        </w:rPr>
        <w:t>Commission on Human Rights (CHR) (Respondent)</w:t>
      </w:r>
    </w:p>
    <w:p>
      <w:pPr>
        <w:spacing w:before="40" w:after="80" w:line="276" w:lineRule="auto"/>
      </w:pPr>
      <w:r>
        <w:rPr>
          <w:rFonts w:ascii="Calibri" w:hAnsi="Calibri"/>
          <w:b/>
          <w:color w:val="212529"/>
          <w:sz w:val="21"/>
        </w:rPr>
        <w:t xml:space="preserve">• Originating Court: </w:t>
      </w:r>
      <w:r>
        <w:rPr>
          <w:rFonts w:ascii="Calibri" w:hAnsi="Calibri"/>
          <w:i w:val="0"/>
          <w:color w:val="212529"/>
          <w:sz w:val="21"/>
        </w:rPr>
        <w:t>Civil Service Commission / Court of Appeals</w:t>
      </w:r>
    </w:p>
    <w:p>
      <w:pPr>
        <w:spacing w:before="40" w:after="80" w:line="276" w:lineRule="auto"/>
      </w:pPr>
      <w:r>
        <w:rPr>
          <w:rFonts w:ascii="Calibri" w:hAnsi="Calibri"/>
          <w:b/>
          <w:color w:val="212529"/>
          <w:sz w:val="21"/>
        </w:rPr>
        <w:t xml:space="preserve">• Nature of the Action: </w:t>
      </w:r>
      <w:r>
        <w:rPr>
          <w:rFonts w:ascii="Calibri" w:hAnsi="Calibri"/>
          <w:i w:val="0"/>
          <w:color w:val="212529"/>
          <w:sz w:val="21"/>
        </w:rPr>
        <w:t>Petition for Review on Certiorari under Rule 45 concerning the validity of CHR Resolution No. A98-047 upgrading and reclassifying rank-and-file plantilla positions without approval of the Department of Budget and Management (DBM).</w:t>
      </w:r>
    </w:p>
    <w:p>
      <w:pPr>
        <w:keepNext/>
        <w:spacing w:before="200" w:after="40"/>
      </w:pPr>
      <w:r>
        <w:rPr>
          <w:rFonts w:ascii="Arial" w:hAnsi="Arial"/>
          <w:b/>
          <w:color w:val="781E1E"/>
          <w:sz w:val="22"/>
        </w:rPr>
        <w:t>II. WHOLE FACTS</w:t>
      </w:r>
    </w:p>
    <w:p>
      <w:pPr>
        <w:spacing w:before="40" w:after="80" w:line="276" w:lineRule="auto"/>
      </w:pPr>
      <w:r>
        <w:rPr>
          <w:rFonts w:ascii="Calibri" w:hAnsi="Calibri"/>
          <w:i w:val="0"/>
          <w:color w:val="212529"/>
          <w:sz w:val="21"/>
        </w:rPr>
        <w:t>The Commission on Human Rights (CHR) issued Resolution No. A98-047 adopting an internal 'Upgrading and Reclassification Scheme' that elevated certain high-level legal and executive positions while collapsing and leaving behind lower rank-and-file plantilla positions. CHREA (the employees' union) protested, arguing that the upgrading violated Republic Act No. 6758 (The Compensation and Position Classification Act of 1989 / Salary Standardization Law) and lacked the mandatory approval of the DBM and Civil Service Commission. CHR claimed that as an independent constitutional office under Article XIII, Section 17 of the 1987 Constitution, it possessed full fiscal autonomy to reclassify positions and fix salaries without DBM interference.</w:t>
      </w:r>
    </w:p>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SUMMARY OF FACTS</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The Commission on Human Rights promoted its top bosses and lawyers using an internal reorganization plan, leaving the rank-and-file workers behind. The employees' union objected because the plan was never approved by the Department of Budget and Management (DBM) or Civil Service Commission as required by the Salary Standardization Law. CHR claimed it is an independent body that can do whatever it wants with its salaries. The Supreme Court ruled that CHR is not a constitutional commission with full fiscal autonomy and must strictly obey the Salary Standardization Law.</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When reciting the facts, state the core dispute in 2 sentences, then state how the case reached the Supreme Court.</w:t>
            </w:r>
          </w:p>
        </w:tc>
      </w:tr>
    </w:tbl>
    <w:p>
      <w:pPr>
        <w:keepNext/>
        <w:spacing w:before="200" w:after="40"/>
      </w:pPr>
      <w:r>
        <w:rPr>
          <w:rFonts w:ascii="Arial" w:hAnsi="Arial"/>
          <w:b/>
          <w:color w:val="781E1E"/>
          <w:sz w:val="22"/>
        </w:rPr>
        <w:t>III. THE LEGAL ISSUE</w:t>
      </w:r>
    </w:p>
    <w:p>
      <w:pPr>
        <w:spacing w:before="40" w:after="80" w:line="276" w:lineRule="auto"/>
      </w:pPr>
      <w:r>
        <w:rPr>
          <w:rFonts w:ascii="Calibri" w:hAnsi="Calibri"/>
          <w:i w:val="0"/>
          <w:color w:val="212529"/>
          <w:sz w:val="21"/>
        </w:rPr>
        <w:t>Whether or not the Commission on Human Rights (CHR) has the statutory and constitutional authority to reclassify and upgrade positions and salaries without the approval of the DBM under R.A. No. 6758.</w:t>
      </w:r>
    </w:p>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THE LEGAL ISSUE</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Can the Commission on Human Rights raise salaries and change job titles without DBM approval by claiming constitutional independence?</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"Sir/Ma'am, the issue is whether the CHR is exempt from the Compensation and Position Classification Act (RA 6758), testing the canon of Expressio Unius Est Exclusio Alterius (the express mention of one thing is the exclusion of another) and the boundaries of administrative rule-making."</w:t>
            </w:r>
          </w:p>
        </w:tc>
      </w:tr>
    </w:tbl>
    <w:p>
      <w:pPr>
        <w:keepNext/>
        <w:spacing w:before="200" w:after="40"/>
      </w:pPr>
      <w:r>
        <w:rPr>
          <w:rFonts w:ascii="Arial" w:hAnsi="Arial"/>
          <w:b/>
          <w:color w:val="781E1E"/>
          <w:sz w:val="22"/>
        </w:rPr>
        <w:t>IV. ALAC DIGEST</w:t>
      </w:r>
    </w:p>
    <w:tbl>
      <w:tblPr>
        <w:tblW w:type="auto" w:w="0"/>
        <w:jc w:val="center"/>
        <w:tblLook w:firstColumn="1" w:firstRow="1" w:lastColumn="0" w:lastRow="0" w:noHBand="0" w:noVBand="1" w:val="04A0"/>
      </w:tblPr>
      <w:tblGrid>
        <w:gridCol w:w="9648"/>
      </w:tblGrid>
      <w:tr>
        <w:tc>
          <w:tcPr>
            <w:tcW w:type="dxa" w:w="9648"/>
            <w:shd w:fill="F4F6F9"/>
            <w:tcMar>
              <w:top w:w="120" w:type="dxa"/>
              <w:bottom w:w="120" w:type="dxa"/>
              <w:left w:w="180" w:type="dxa"/>
              <w:right w:w="180" w:type="dxa"/>
            </w:tcMar>
          </w:tcPr>
          <w:p>
            <w:pPr>
              <w:spacing w:before="40" w:after="60"/>
            </w:pPr>
            <w:r>
              <w:rPr>
                <w:rFonts w:ascii="Arial" w:hAnsi="Arial"/>
                <w:b/>
                <w:color w:val="0F2043"/>
                <w:sz w:val="21"/>
              </w:rPr>
              <w:t>[A] ANSWER</w:t>
              <w:br/>
            </w:r>
          </w:p>
          <w:p>
            <w:pPr>
              <w:spacing w:before="20" w:after="40" w:line="276" w:lineRule="auto"/>
            </w:pPr>
            <w:r>
              <w:rPr>
                <w:rFonts w:ascii="Calibri" w:hAnsi="Calibri"/>
                <w:color w:val="212529"/>
                <w:sz w:val="20"/>
              </w:rPr>
              <w:t>NO. CHR is NOT exempt from R.A. No. 6758 and CANNOT upgrade positions without DBM approval. CHR is an independent constitutional office, but it is NOT one of the three Constitutional Commissions granted fiscal autonomy under the Constitution.</w:t>
            </w:r>
          </w:p>
        </w:tc>
      </w:tr>
    </w:tbl>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THE ANSWER</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No. The Constitution grants fiscal autonomy only to the CSC, COMELEC, and COA. Because CHR is not on that list, Expressio Unius excludes it. CHR must follow the Salary Standardization Law and get DBM approval.</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"No, Sir/Ma'am. Under Expressio unius est exclusio alterius (the express mention of one thing is the exclusion of another), the constitutional grant of fiscal autonomy is strictly limited to the three Constitutional Commissions (CSC, COMELEC, COA). CHR must comply with RA 6758 and obtain DBM approval for any position upgrading."</w:t>
            </w:r>
          </w:p>
        </w:tc>
      </w:tr>
    </w:tbl>
    <w:tbl>
      <w:tblPr>
        <w:tblW w:type="auto" w:w="0"/>
        <w:jc w:val="center"/>
        <w:tblLook w:firstColumn="1" w:firstRow="1" w:lastColumn="0" w:lastRow="0" w:noHBand="0" w:noVBand="1" w:val="04A0"/>
      </w:tblPr>
      <w:tblGrid>
        <w:gridCol w:w="9648"/>
      </w:tblGrid>
      <w:tr>
        <w:tc>
          <w:tcPr>
            <w:tcW w:type="dxa" w:w="9648"/>
            <w:shd w:fill="F4F6F9"/>
            <w:tcMar>
              <w:top w:w="120" w:type="dxa"/>
              <w:bottom w:w="120" w:type="dxa"/>
              <w:left w:w="180" w:type="dxa"/>
              <w:right w:w="180" w:type="dxa"/>
            </w:tcMar>
          </w:tcPr>
          <w:p>
            <w:pPr>
              <w:spacing w:before="40" w:after="60"/>
            </w:pPr>
            <w:r>
              <w:rPr>
                <w:rFonts w:ascii="Arial" w:hAnsi="Arial"/>
                <w:b/>
                <w:color w:val="0F2043"/>
                <w:sz w:val="21"/>
              </w:rPr>
              <w:t>[L] LEGAL BASIS</w:t>
              <w:br/>
            </w:r>
          </w:p>
          <w:p>
            <w:pPr>
              <w:spacing w:before="20" w:after="40" w:line="276" w:lineRule="auto"/>
            </w:pPr>
            <w:r>
              <w:rPr>
                <w:rFonts w:ascii="Calibri" w:hAnsi="Calibri"/>
                <w:b/>
                <w:color w:val="212529"/>
                <w:sz w:val="20"/>
              </w:rPr>
              <w:t xml:space="preserve">1. Republic Act No. 6758 (Salary Standardization Law): </w:t>
            </w:r>
            <w:r>
              <w:rPr>
                <w:rFonts w:ascii="Calibri" w:hAnsi="Calibri"/>
                <w:color w:val="212529"/>
                <w:sz w:val="20"/>
              </w:rPr>
              <w:t>Mandates unified position classification and compensation system across all government agencies administered by DBM.</w:t>
            </w:r>
          </w:p>
          <w:p>
            <w:pPr>
              <w:spacing w:before="20" w:after="40" w:line="276" w:lineRule="auto"/>
            </w:pPr>
            <w:r>
              <w:rPr>
                <w:rFonts w:ascii="Calibri" w:hAnsi="Calibri"/>
                <w:b/>
                <w:color w:val="212529"/>
                <w:sz w:val="20"/>
              </w:rPr>
              <w:t xml:space="preserve">2. Article IX-A, Section 5, 1987 Constitution: </w:t>
            </w:r>
            <w:r>
              <w:rPr>
                <w:rFonts w:ascii="Calibri" w:hAnsi="Calibri"/>
                <w:color w:val="212529"/>
                <w:sz w:val="20"/>
              </w:rPr>
              <w:t>Confers fiscal autonomy specifically on the three Constitutional Commissions (CSC, COMELEC, COA).</w:t>
            </w:r>
          </w:p>
          <w:p>
            <w:pPr>
              <w:spacing w:before="20" w:after="40" w:line="276" w:lineRule="auto"/>
            </w:pPr>
            <w:r>
              <w:rPr>
                <w:rFonts w:ascii="Calibri" w:hAnsi="Calibri"/>
                <w:b/>
                <w:color w:val="212529"/>
                <w:sz w:val="20"/>
              </w:rPr>
              <w:t xml:space="preserve">3. Expressio Unius Est Exclusio Alterius (the express mention of one thing is the exclusion of another): </w:t>
            </w:r>
            <w:r>
              <w:rPr>
                <w:rFonts w:ascii="Calibri" w:hAnsi="Calibri"/>
                <w:color w:val="212529"/>
                <w:sz w:val="20"/>
              </w:rPr>
              <w:t>The explicit enumeration of entities possessing fiscal autonomy excludes all unlisted agencies.</w:t>
            </w:r>
          </w:p>
        </w:tc>
      </w:tr>
    </w:tbl>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LEGAL BASIS</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RA 6758, Article IX-A Sec 5 Constitution, and Expressio Unius Est Exclusio Alterius.</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"Sir/Ma'am, the legal basis is RA 6758 and Article IX-A, Section 5 of the Constitution, governed by Expressio unius est exclusio alterius (the express mention of one is the exclusion of another)."</w:t>
            </w:r>
          </w:p>
        </w:tc>
      </w:tr>
    </w:tbl>
    <w:tbl>
      <w:tblPr>
        <w:tblW w:type="auto" w:w="0"/>
        <w:jc w:val="center"/>
        <w:tblLook w:firstColumn="1" w:firstRow="1" w:lastColumn="0" w:lastRow="0" w:noHBand="0" w:noVBand="1" w:val="04A0"/>
      </w:tblPr>
      <w:tblGrid>
        <w:gridCol w:w="9648"/>
      </w:tblGrid>
      <w:tr>
        <w:tc>
          <w:tcPr>
            <w:tcW w:type="dxa" w:w="9648"/>
            <w:shd w:fill="F4F6F9"/>
            <w:tcMar>
              <w:top w:w="120" w:type="dxa"/>
              <w:bottom w:w="120" w:type="dxa"/>
              <w:left w:w="180" w:type="dxa"/>
              <w:right w:w="180" w:type="dxa"/>
            </w:tcMar>
          </w:tcPr>
          <w:p>
            <w:pPr>
              <w:spacing w:before="40" w:after="60"/>
            </w:pPr>
            <w:r>
              <w:rPr>
                <w:rFonts w:ascii="Arial" w:hAnsi="Arial"/>
                <w:b/>
                <w:color w:val="0F2043"/>
                <w:sz w:val="21"/>
              </w:rPr>
              <w:t>[A] ANALYSIS / APPLICATION</w:t>
              <w:br/>
            </w:r>
          </w:p>
          <w:p>
            <w:pPr>
              <w:spacing w:before="20" w:after="40" w:line="276" w:lineRule="auto"/>
            </w:pPr>
            <w:r>
              <w:rPr>
                <w:rFonts w:ascii="Calibri" w:hAnsi="Calibri"/>
                <w:b/>
                <w:color w:val="212529"/>
                <w:sz w:val="20"/>
              </w:rPr>
              <w:t xml:space="preserve">1. Constitutional Scope of Fiscal Autonomy: </w:t>
            </w:r>
            <w:r>
              <w:rPr>
                <w:rFonts w:ascii="Calibri" w:hAnsi="Calibri"/>
                <w:color w:val="212529"/>
                <w:sz w:val="20"/>
              </w:rPr>
              <w:t>The 1987 Constitution explicitly named the Civil Service Commission, the Commission on Elections, and the Commission on Audit as Constitutional Commissions with fiscal autonomy. CHR is created under Article XIII as an independent office, not a Constitutional Commission.</w:t>
            </w:r>
          </w:p>
          <w:p>
            <w:pPr>
              <w:spacing w:before="20" w:after="40" w:line="276" w:lineRule="auto"/>
            </w:pPr>
            <w:r>
              <w:rPr>
                <w:rFonts w:ascii="Calibri" w:hAnsi="Calibri"/>
                <w:b/>
                <w:color w:val="212529"/>
                <w:sz w:val="20"/>
              </w:rPr>
              <w:t xml:space="preserve">2. Application of Expressio Unius: </w:t>
            </w:r>
            <w:r>
              <w:rPr>
                <w:rFonts w:ascii="Calibri" w:hAnsi="Calibri"/>
                <w:color w:val="212529"/>
                <w:sz w:val="20"/>
              </w:rPr>
              <w:t>Where the Constitution and the law expressly enumerate the specific bodies endowed with fiscal autonomy and exemption from DBM standardization, all other offices are excluded under the doctrine of expressio unius.</w:t>
            </w:r>
          </w:p>
          <w:p>
            <w:pPr>
              <w:spacing w:before="20" w:after="40" w:line="276" w:lineRule="auto"/>
            </w:pPr>
            <w:r>
              <w:rPr>
                <w:rFonts w:ascii="Calibri" w:hAnsi="Calibri"/>
                <w:b/>
                <w:color w:val="212529"/>
                <w:sz w:val="20"/>
              </w:rPr>
              <w:t xml:space="preserve">3. Subordination of Administrative Regulations to Statutes: </w:t>
            </w:r>
            <w:r>
              <w:rPr>
                <w:rFonts w:ascii="Calibri" w:hAnsi="Calibri"/>
                <w:color w:val="212529"/>
                <w:sz w:val="20"/>
              </w:rPr>
              <w:t>An administrative agency cannot expand its powers or create salary schemes that violate the mandatory provisions of RA 6758.</w:t>
            </w:r>
          </w:p>
        </w:tc>
      </w:tr>
    </w:tbl>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ANALYSIS / APPLICATION</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The Constitution specifically lists the three commissions that have financial independence: Civil Service, Elections, and Audit. CHR is not on that list. Under Expressio Unius, when the law makes a specific list, what is left off the list is excluded. Therefore, CHR must obey the salary law.</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"Sir/Ma'am, the Court applied Expressio Unius. The Constitution specifically grants fiscal autonomy only to the three Constitutional Commissions in Article IX. CHR cannot claim fiscal autonomy by implication, and its administrative upgrading without DBM approval was ultra vires."</w:t>
            </w:r>
          </w:p>
        </w:tc>
      </w:tr>
    </w:tbl>
    <w:tbl>
      <w:tblPr>
        <w:tblW w:type="auto" w:w="0"/>
        <w:jc w:val="center"/>
        <w:tblLook w:firstColumn="1" w:firstRow="1" w:lastColumn="0" w:lastRow="0" w:noHBand="0" w:noVBand="1" w:val="04A0"/>
      </w:tblPr>
      <w:tblGrid>
        <w:gridCol w:w="9648"/>
      </w:tblGrid>
      <w:tr>
        <w:tc>
          <w:tcPr>
            <w:tcW w:type="dxa" w:w="9648"/>
            <w:shd w:fill="F4F6F9"/>
            <w:tcMar>
              <w:top w:w="120" w:type="dxa"/>
              <w:bottom w:w="120" w:type="dxa"/>
              <w:left w:w="180" w:type="dxa"/>
              <w:right w:w="180" w:type="dxa"/>
            </w:tcMar>
          </w:tcPr>
          <w:p>
            <w:pPr>
              <w:spacing w:before="40" w:after="60"/>
            </w:pPr>
            <w:r>
              <w:rPr>
                <w:rFonts w:ascii="Arial" w:hAnsi="Arial"/>
                <w:b/>
                <w:color w:val="0F2043"/>
                <w:sz w:val="21"/>
              </w:rPr>
              <w:t>[C] CONCLUSION</w:t>
              <w:br/>
            </w:r>
          </w:p>
          <w:p>
            <w:pPr>
              <w:spacing w:before="20" w:after="40" w:line="276" w:lineRule="auto"/>
            </w:pPr>
            <w:r>
              <w:rPr>
                <w:rFonts w:ascii="Calibri" w:hAnsi="Calibri"/>
                <w:color w:val="212529"/>
                <w:sz w:val="20"/>
              </w:rPr>
              <w:t>The Supreme Court GRANTED the petition, ANNULLED CHR Resolution No. A98-047, and DECLARED the reclassification scheme void for lack of DBM approval.</w:t>
            </w:r>
          </w:p>
        </w:tc>
      </w:tr>
    </w:tbl>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CONCLUSION</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The union won; the salary upgrading scheme was declared void and illegal.</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"The Supreme Court struck down the CHR reclassification scheme for violating RA 6758 and the principle of Expressio Unius."</w:t>
            </w:r>
          </w:p>
        </w:tc>
      </w:tr>
    </w:tbl>
    <w:p>
      <w:pPr>
        <w:keepNext/>
        <w:spacing w:before="200" w:after="40"/>
      </w:pPr>
      <w:r>
        <w:rPr>
          <w:rFonts w:ascii="Arial" w:hAnsi="Arial"/>
          <w:b/>
          <w:color w:val="781E1E"/>
          <w:sz w:val="22"/>
        </w:rPr>
        <w:t>V. RELATION TO STATUTORY CONSTRUCTION</w:t>
      </w:r>
    </w:p>
    <w:p>
      <w:pPr>
        <w:spacing w:before="40" w:after="80" w:line="276" w:lineRule="auto"/>
      </w:pPr>
      <w:r>
        <w:rPr>
          <w:rFonts w:ascii="Calibri" w:hAnsi="Calibri"/>
          <w:b/>
          <w:color w:val="212529"/>
          <w:sz w:val="21"/>
        </w:rPr>
        <w:t>• Syllabus Topic Alignment:</w:t>
        <w:br/>
      </w:r>
      <w:r>
        <w:rPr>
          <w:rFonts w:ascii="Calibri" w:hAnsi="Calibri"/>
          <w:i w:val="0"/>
          <w:color w:val="212529"/>
          <w:sz w:val="21"/>
        </w:rPr>
        <w:t>• Chapter III: Basic Guidelines in the Construction and Interpretation of Laws</w:t>
        <w:br/>
        <w:t xml:space="preserve">  - B. Considerations within the Statute: Expressio Unius Est Exclusio Alterius &amp; Administrative Agency Limits</w:t>
      </w:r>
    </w:p>
    <w:tbl>
      <w:tblPr>
        <w:tblW w:type="auto" w:w="0"/>
        <w:jc w:val="center"/>
        <w:tblLook w:firstColumn="1" w:firstRow="1" w:lastColumn="0" w:lastRow="0" w:noHBand="0" w:noVBand="1" w:val="04A0"/>
      </w:tblPr>
      <w:tblGrid>
        <w:gridCol w:w="9648"/>
      </w:tblGrid>
      <w:tr>
        <w:tc>
          <w:tcPr>
            <w:tcW w:type="dxa" w:w="9648"/>
            <w:shd w:fill="FDF6EE"/>
            <w:tcMar>
              <w:top w:w="120" w:type="dxa"/>
              <w:bottom w:w="120" w:type="dxa"/>
              <w:left w:w="180" w:type="dxa"/>
              <w:right w:w="180" w:type="dxa"/>
            </w:tcMar>
          </w:tcPr>
          <w:p>
            <w:pPr>
              <w:spacing w:before="40" w:after="80"/>
            </w:pPr>
            <w:r>
              <w:rPr>
                <w:rFonts w:ascii="Arial" w:hAnsi="Arial"/>
                <w:b/>
                <w:color w:val="8C3200"/>
                <w:sz w:val="20"/>
              </w:rPr>
              <w:t>📜 GOVERNING LATIN MAXIMS WITH ENGLISH TRANSLATIONS</w:t>
              <w:br/>
            </w:r>
          </w:p>
          <w:p>
            <w:pPr>
              <w:spacing w:before="40" w:after="60" w:line="276" w:lineRule="auto"/>
            </w:pPr>
            <w:r>
              <w:rPr>
                <w:rFonts w:ascii="Calibri" w:hAnsi="Calibri"/>
                <w:b/>
                <w:color w:val="8C3200"/>
                <w:sz w:val="20"/>
              </w:rPr>
              <w:t>1. Expressio unius est exclusio alterius (the express mention of one thing is the exclusion of another)</w:t>
              <w:br/>
            </w:r>
            <w:r>
              <w:rPr>
                <w:rFonts w:ascii="Calibri" w:hAnsi="Calibri"/>
                <w:b/>
                <w:color w:val="212529"/>
                <w:sz w:val="19"/>
              </w:rPr>
              <w:t xml:space="preserve">   • Literal English Translation: </w:t>
            </w:r>
            <w:r>
              <w:rPr>
                <w:rFonts w:ascii="Calibri" w:hAnsi="Calibri"/>
                <w:i/>
                <w:color w:val="212529"/>
                <w:sz w:val="19"/>
              </w:rPr>
              <w:t>The express mention of one thing implies the exclusion of others.</w:t>
              <w:br/>
            </w:r>
            <w:r>
              <w:rPr>
                <w:rFonts w:ascii="Calibri" w:hAnsi="Calibri"/>
                <w:b/>
                <w:color w:val="212529"/>
                <w:sz w:val="19"/>
              </w:rPr>
              <w:t xml:space="preserve">   • Plain Legal Meaning &amp; StatCon Application: </w:t>
            </w:r>
            <w:r>
              <w:rPr>
                <w:rFonts w:ascii="Calibri" w:hAnsi="Calibri"/>
                <w:color w:val="212529"/>
                <w:sz w:val="19"/>
              </w:rPr>
              <w:t>The express constitutional grant of fiscal autonomy to CSC, COMELEC, and COA excludes CHR.</w:t>
            </w:r>
          </w:p>
          <w:p>
            <w:pPr>
              <w:spacing w:before="40" w:after="60" w:line="276" w:lineRule="auto"/>
            </w:pPr>
            <w:r>
              <w:rPr>
                <w:rFonts w:ascii="Calibri" w:hAnsi="Calibri"/>
                <w:b/>
                <w:color w:val="8C3200"/>
                <w:sz w:val="20"/>
              </w:rPr>
              <w:t>2. Potestas delegata non delegari potest (a delegated power cannot be delegated)</w:t>
              <w:br/>
            </w:r>
            <w:r>
              <w:rPr>
                <w:rFonts w:ascii="Calibri" w:hAnsi="Calibri"/>
                <w:b/>
                <w:color w:val="212529"/>
                <w:sz w:val="19"/>
              </w:rPr>
              <w:t xml:space="preserve">   • Literal English Translation: </w:t>
            </w:r>
            <w:r>
              <w:rPr>
                <w:rFonts w:ascii="Calibri" w:hAnsi="Calibri"/>
                <w:i/>
                <w:color w:val="212529"/>
                <w:sz w:val="19"/>
              </w:rPr>
              <w:t>Delegated power cannot be further delegated.</w:t>
              <w:br/>
            </w:r>
            <w:r>
              <w:rPr>
                <w:rFonts w:ascii="Calibri" w:hAnsi="Calibri"/>
                <w:b/>
                <w:color w:val="212529"/>
                <w:sz w:val="19"/>
              </w:rPr>
              <w:t xml:space="preserve">   • Plain Legal Meaning &amp; StatCon Application: </w:t>
            </w:r>
            <w:r>
              <w:rPr>
                <w:rFonts w:ascii="Calibri" w:hAnsi="Calibri"/>
                <w:color w:val="212529"/>
                <w:sz w:val="19"/>
              </w:rPr>
              <w:t>Administrative agencies cannot usurp legislative salary-fixing authority.</w:t>
            </w:r>
          </w:p>
          <w:p>
            <w:pPr>
              <w:spacing w:before="40" w:after="60" w:line="276" w:lineRule="auto"/>
            </w:pPr>
            <w:r>
              <w:rPr>
                <w:rFonts w:ascii="Calibri" w:hAnsi="Calibri"/>
                <w:b/>
                <w:color w:val="8C3200"/>
                <w:sz w:val="20"/>
              </w:rPr>
              <w:t>3. Optima statuti interpretatrix est ipsum statutum (the best interpreter of a statute is the statute itself)</w:t>
              <w:br/>
            </w:r>
            <w:r>
              <w:rPr>
                <w:rFonts w:ascii="Calibri" w:hAnsi="Calibri"/>
                <w:b/>
                <w:color w:val="212529"/>
                <w:sz w:val="19"/>
              </w:rPr>
              <w:t xml:space="preserve">   • Literal English Translation: </w:t>
            </w:r>
            <w:r>
              <w:rPr>
                <w:rFonts w:ascii="Calibri" w:hAnsi="Calibri"/>
                <w:i/>
                <w:color w:val="212529"/>
                <w:sz w:val="19"/>
              </w:rPr>
              <w:t>The best interpreter of a statute is the statute itself.</w:t>
              <w:br/>
            </w:r>
            <w:r>
              <w:rPr>
                <w:rFonts w:ascii="Calibri" w:hAnsi="Calibri"/>
                <w:b/>
                <w:color w:val="212529"/>
                <w:sz w:val="19"/>
              </w:rPr>
              <w:t xml:space="preserve">   • Plain Legal Meaning &amp; StatCon Application: </w:t>
            </w:r>
            <w:r>
              <w:rPr>
                <w:rFonts w:ascii="Calibri" w:hAnsi="Calibri"/>
                <w:color w:val="212529"/>
                <w:sz w:val="19"/>
              </w:rPr>
              <w:t>The clear text of RA 6758 establishes universal compensation control across all non-autonomous offices.</w:t>
            </w:r>
          </w:p>
        </w:tc>
      </w:tr>
    </w:tbl>
    <w:tbl>
      <w:tblPr>
        <w:tblW w:type="auto" w:w="0"/>
        <w:jc w:val="center"/>
        <w:tblLook w:firstColumn="1" w:firstRow="1" w:lastColumn="0" w:lastRow="0" w:noHBand="0" w:noVBand="1" w:val="04A0"/>
      </w:tblPr>
      <w:tblGrid>
        <w:gridCol w:w="4824"/>
        <w:gridCol w:w="4824"/>
      </w:tblGrid>
      <w:tr>
        <w:tc>
          <w:tcPr>
            <w:tcW w:type="dxa" w:w="4824"/>
            <w:shd w:fill="EAEFF5"/>
            <w:tcMar>
              <w:top w:w="80" w:type="dxa"/>
              <w:bottom w:w="80" w:type="dxa"/>
              <w:left w:w="120" w:type="dxa"/>
              <w:right w:w="120" w:type="dxa"/>
            </w:tcMar>
          </w:tcPr>
          <w:p>
            <w:pPr>
              <w:spacing w:before="40" w:after="40"/>
            </w:pPr>
            <w:r>
              <w:rPr>
                <w:rFonts w:ascii="Arial" w:hAnsi="Arial"/>
                <w:b/>
                <w:color w:val="0F2043"/>
                <w:sz w:val="18"/>
              </w:rPr>
              <w:t>Syllabus Topic Alignment</w:t>
              <w:br/>
              <w:t>(StatCon_Syllabus_JPR.pdf)</w:t>
            </w:r>
          </w:p>
        </w:tc>
        <w:tc>
          <w:tcPr>
            <w:tcW w:type="dxa" w:w="4824"/>
            <w:shd w:fill="FAFAFA"/>
            <w:tcMar>
              <w:top w:w="80" w:type="dxa"/>
              <w:bottom w:w="80" w:type="dxa"/>
              <w:left w:w="120" w:type="dxa"/>
              <w:right w:w="120" w:type="dxa"/>
            </w:tcMar>
          </w:tcPr>
          <w:p>
            <w:pPr>
              <w:spacing w:before="40" w:after="40" w:line="276" w:lineRule="auto"/>
            </w:pPr>
            <w:r>
              <w:rPr>
                <w:rFonts w:ascii="Calibri" w:hAnsi="Calibri"/>
                <w:color w:val="212529"/>
                <w:sz w:val="19"/>
              </w:rPr>
              <w:t>• Chapter III: Basic Guidelines in the Construction and Interpretation of Laws</w:t>
              <w:br/>
              <w:t xml:space="preserve">  - B. Considerations within the Statute: Expressio Unius Est Exclusio Alterius &amp; Administrative Agency Limits</w:t>
            </w:r>
          </w:p>
        </w:tc>
      </w:tr>
      <w:tr>
        <w:tc>
          <w:tcPr>
            <w:tcW w:type="dxa" w:w="4824"/>
            <w:shd w:fill="EAEFF5"/>
            <w:tcMar>
              <w:top w:w="80" w:type="dxa"/>
              <w:bottom w:w="80" w:type="dxa"/>
              <w:left w:w="120" w:type="dxa"/>
              <w:right w:w="120" w:type="dxa"/>
            </w:tcMar>
          </w:tcPr>
          <w:p>
            <w:pPr>
              <w:spacing w:before="40" w:after="40"/>
            </w:pPr>
            <w:r>
              <w:rPr>
                <w:rFonts w:ascii="Arial" w:hAnsi="Arial"/>
                <w:b/>
                <w:color w:val="0F2043"/>
                <w:sz w:val="18"/>
              </w:rPr>
              <w:t>Governing Latin Maxims &amp; English</w:t>
            </w:r>
          </w:p>
        </w:tc>
        <w:tc>
          <w:tcPr>
            <w:tcW w:type="dxa" w:w="4824"/>
            <w:shd w:fill="FAFAFA"/>
            <w:tcMar>
              <w:top w:w="80" w:type="dxa"/>
              <w:bottom w:w="80" w:type="dxa"/>
              <w:left w:w="120" w:type="dxa"/>
              <w:right w:w="120" w:type="dxa"/>
            </w:tcMar>
          </w:tcPr>
          <w:p>
            <w:pPr>
              <w:spacing w:before="40" w:after="40" w:line="276" w:lineRule="auto"/>
            </w:pPr>
            <w:r>
              <w:rPr>
                <w:rFonts w:ascii="Calibri" w:hAnsi="Calibri"/>
                <w:color w:val="212529"/>
                <w:sz w:val="19"/>
              </w:rPr>
              <w:t>Primary:</w:t>
              <w:br/>
              <w:t>Expressio unius est exclusio alterius</w:t>
              <w:br/>
              <w:t>(the express mention of one thing is the exclusion of another / constitutional enumeration of fiscally autonomous bodies excludes CHR)</w:t>
              <w:br/>
              <w:br/>
              <w:t>Secondary:</w:t>
              <w:br/>
              <w:t>• Optima statuti interpretatrix est ipsum statutum (the statute itself is its best interpreter)</w:t>
              <w:br/>
              <w:t>• Potestas delegata non delegari potest (delegated power limits)</w:t>
            </w:r>
          </w:p>
        </w:tc>
      </w:tr>
      <w:tr>
        <w:tc>
          <w:tcPr>
            <w:tcW w:type="dxa" w:w="4824"/>
            <w:shd w:fill="EAEFF5"/>
            <w:tcMar>
              <w:top w:w="80" w:type="dxa"/>
              <w:bottom w:w="80" w:type="dxa"/>
              <w:left w:w="120" w:type="dxa"/>
              <w:right w:w="120" w:type="dxa"/>
            </w:tcMar>
          </w:tcPr>
          <w:p>
            <w:pPr>
              <w:spacing w:before="40" w:after="40"/>
            </w:pPr>
            <w:r>
              <w:rPr>
                <w:rFonts w:ascii="Arial" w:hAnsi="Arial"/>
                <w:b/>
                <w:color w:val="0F2043"/>
                <w:sz w:val="18"/>
              </w:rPr>
              <w:t>Case Violation in StatCon</w:t>
            </w:r>
          </w:p>
        </w:tc>
        <w:tc>
          <w:tcPr>
            <w:tcW w:type="dxa" w:w="4824"/>
            <w:shd w:fill="FAFAFA"/>
            <w:tcMar>
              <w:top w:w="80" w:type="dxa"/>
              <w:bottom w:w="80" w:type="dxa"/>
              <w:left w:w="120" w:type="dxa"/>
              <w:right w:w="120" w:type="dxa"/>
            </w:tcMar>
          </w:tcPr>
          <w:p>
            <w:pPr>
              <w:spacing w:before="40" w:after="40" w:line="276" w:lineRule="auto"/>
            </w:pPr>
            <w:r>
              <w:rPr>
                <w:rFonts w:ascii="Calibri" w:hAnsi="Calibri"/>
                <w:color w:val="212529"/>
                <w:sz w:val="19"/>
              </w:rPr>
              <w:t>CHR attempted to arrogate constitutional fiscal autonomy by implication, violating the explicit enumeration in the Constitution and RA 6758.</w:t>
            </w:r>
          </w:p>
        </w:tc>
      </w:tr>
      <w:tr>
        <w:tc>
          <w:tcPr>
            <w:tcW w:type="dxa" w:w="4824"/>
            <w:shd w:fill="EAEFF5"/>
            <w:tcMar>
              <w:top w:w="80" w:type="dxa"/>
              <w:bottom w:w="80" w:type="dxa"/>
              <w:left w:w="120" w:type="dxa"/>
              <w:right w:w="120" w:type="dxa"/>
            </w:tcMar>
          </w:tcPr>
          <w:p>
            <w:pPr>
              <w:spacing w:before="40" w:after="40"/>
            </w:pPr>
            <w:r>
              <w:rPr>
                <w:rFonts w:ascii="Arial" w:hAnsi="Arial"/>
                <w:b/>
                <w:color w:val="0F2043"/>
                <w:sz w:val="18"/>
              </w:rPr>
              <w:t>Doctrinal Execution / Principle</w:t>
            </w:r>
          </w:p>
        </w:tc>
        <w:tc>
          <w:tcPr>
            <w:tcW w:type="dxa" w:w="4824"/>
            <w:shd w:fill="FAFAFA"/>
            <w:tcMar>
              <w:top w:w="80" w:type="dxa"/>
              <w:bottom w:w="80" w:type="dxa"/>
              <w:left w:w="120" w:type="dxa"/>
              <w:right w:w="120" w:type="dxa"/>
            </w:tcMar>
          </w:tcPr>
          <w:p>
            <w:pPr>
              <w:spacing w:before="40" w:after="40" w:line="276" w:lineRule="auto"/>
            </w:pPr>
            <w:r>
              <w:rPr>
                <w:rFonts w:ascii="Calibri" w:hAnsi="Calibri"/>
                <w:color w:val="212529"/>
                <w:sz w:val="19"/>
              </w:rPr>
              <w:t>Doctrine of Expressio Unius: When the Constitution or a statute expressly enumerates the subjects to which a privilege applies, it is an unmistakable indication that all unmentioned subjects are excluded.</w:t>
            </w:r>
          </w:p>
        </w:tc>
      </w:tr>
    </w:tbl>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RELATION TO STATUTORY CONSTRUCTION</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If the Constitution names three specific commissions that have total budget freedom, other agencies cannot pretend they are included.</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"Sir/Ma'am, CHREA v. CHR demonstrates Expressio unius est exclusio alterius: the constitutional enumeration of fiscally autonomous commissions excludes all other independent bodies."</w:t>
            </w:r>
          </w:p>
        </w:tc>
      </w:tr>
    </w:tbl>
    <w:p>
      <w:pPr>
        <w:spacing w:before="160" w:after="80"/>
      </w:pPr>
    </w:p>
    <w:tbl>
      <w:tblPr>
        <w:tblW w:type="auto" w:w="0"/>
        <w:jc w:val="center"/>
        <w:tblLook w:firstColumn="1" w:firstRow="1" w:lastColumn="0" w:lastRow="0" w:noHBand="0" w:noVBand="1" w:val="04A0"/>
      </w:tblPr>
      <w:tblGrid>
        <w:gridCol w:w="9648"/>
      </w:tblGrid>
      <w:tr>
        <w:tc>
          <w:tcPr>
            <w:tcW w:type="dxa" w:w="9648"/>
            <w:shd w:fill="1E3A5F"/>
            <w:tcMar>
              <w:top w:w="140" w:type="dxa"/>
              <w:bottom w:w="140" w:type="dxa"/>
              <w:left w:w="200" w:type="dxa"/>
              <w:right w:w="200" w:type="dxa"/>
            </w:tcMar>
          </w:tcPr>
          <w:p>
            <w:pPr>
              <w:spacing w:before="40" w:after="40"/>
              <w:jc w:val="center"/>
            </w:pPr>
            <w:r>
              <w:rPr>
                <w:rFonts w:ascii="Arial" w:hAnsi="Arial"/>
                <w:b/>
                <w:color w:val="FFD700"/>
                <w:sz w:val="22"/>
              </w:rPr>
              <w:t>⚖ STANDARDIZED CASE DIGEST: STATUTORY CONSTRUCTION FORMAT</w:t>
              <w:br/>
            </w:r>
            <w:r>
              <w:rPr>
                <w:rFonts w:ascii="Arial" w:hAnsi="Arial"/>
                <w:i/>
                <w:color w:val="DCEBFF"/>
                <w:sz w:val="18"/>
              </w:rPr>
              <w:t>(Complete 12-Section Academic &amp; Judicial Construction Analysis)</w:t>
            </w:r>
          </w:p>
        </w:tc>
      </w:tr>
    </w:tbl>
    <w:p>
      <w:pPr>
        <w:spacing w:before="80" w:after="80"/>
      </w:pPr>
    </w:p>
    <w:tbl>
      <w:tblPr>
        <w:tblW w:type="auto" w:w="0"/>
        <w:jc w:val="center"/>
        <w:tblLook w:firstColumn="1" w:firstRow="1" w:lastColumn="0" w:lastRow="0" w:noHBand="0" w:noVBand="1" w:val="04A0"/>
      </w:tblPr>
      <w:tblGrid>
        <w:gridCol w:w="4824"/>
        <w:gridCol w:w="4824"/>
      </w:tblGrid>
      <w:tr>
        <w:tc>
          <w:tcPr>
            <w:tcW w:type="dxa" w:w="4824"/>
            <w:shd w:fill="EBF0F7"/>
            <w:tcMar>
              <w:top w:w="60" w:type="dxa"/>
              <w:bottom w:w="60" w:type="dxa"/>
              <w:left w:w="120" w:type="dxa"/>
              <w:right w:w="120" w:type="dxa"/>
            </w:tcMar>
          </w:tcPr>
          <w:p>
            <w:pPr>
              <w:spacing w:before="20" w:after="20"/>
            </w:pPr>
            <w:r>
              <w:rPr>
                <w:rFonts w:ascii="Arial" w:hAnsi="Arial"/>
                <w:b/>
                <w:color w:val="0F2043"/>
                <w:sz w:val="19"/>
              </w:rPr>
              <w:t>Case Title:</w:t>
            </w:r>
          </w:p>
        </w:tc>
        <w:tc>
          <w:tcPr>
            <w:tcW w:type="dxa" w:w="4824"/>
            <w:shd w:fill="FAFCFF"/>
            <w:tcMar>
              <w:top w:w="60" w:type="dxa"/>
              <w:bottom w:w="60" w:type="dxa"/>
              <w:left w:w="120" w:type="dxa"/>
              <w:right w:w="120" w:type="dxa"/>
            </w:tcMar>
          </w:tcPr>
          <w:p>
            <w:pPr>
              <w:spacing w:before="20" w:after="20"/>
            </w:pPr>
            <w:r>
              <w:rPr>
                <w:rFonts w:ascii="Calibri" w:hAnsi="Calibri"/>
                <w:b/>
                <w:color w:val="212529"/>
                <w:sz w:val="19"/>
              </w:rPr>
              <w:t>Commission on Human Rights Employees' Association (CHREA) v. Commission on Human Rights</w:t>
            </w:r>
          </w:p>
        </w:tc>
      </w:tr>
      <w:tr>
        <w:tc>
          <w:tcPr>
            <w:tcW w:type="dxa" w:w="4824"/>
            <w:shd w:fill="EBF0F7"/>
            <w:tcMar>
              <w:top w:w="60" w:type="dxa"/>
              <w:bottom w:w="60" w:type="dxa"/>
              <w:left w:w="120" w:type="dxa"/>
              <w:right w:w="120" w:type="dxa"/>
            </w:tcMar>
          </w:tcPr>
          <w:p>
            <w:pPr>
              <w:spacing w:before="20" w:after="20"/>
            </w:pPr>
            <w:r>
              <w:rPr>
                <w:rFonts w:ascii="Arial" w:hAnsi="Arial"/>
                <w:b/>
                <w:color w:val="0F2043"/>
                <w:sz w:val="19"/>
              </w:rPr>
              <w:t>G.R. No. / Record:</w:t>
            </w:r>
          </w:p>
        </w:tc>
        <w:tc>
          <w:tcPr>
            <w:tcW w:type="dxa" w:w="4824"/>
            <w:shd w:fill="FAFCFF"/>
            <w:tcMar>
              <w:top w:w="60" w:type="dxa"/>
              <w:bottom w:w="60" w:type="dxa"/>
              <w:left w:w="120" w:type="dxa"/>
              <w:right w:w="120" w:type="dxa"/>
            </w:tcMar>
          </w:tcPr>
          <w:p>
            <w:pPr>
              <w:spacing w:before="20" w:after="20"/>
            </w:pPr>
            <w:r>
              <w:rPr>
                <w:rFonts w:ascii="Calibri" w:hAnsi="Calibri"/>
                <w:b w:val="0"/>
                <w:color w:val="212529"/>
                <w:sz w:val="19"/>
              </w:rPr>
              <w:t>G.R. No. 155336</w:t>
            </w:r>
          </w:p>
        </w:tc>
      </w:tr>
      <w:tr>
        <w:tc>
          <w:tcPr>
            <w:tcW w:type="dxa" w:w="4824"/>
            <w:shd w:fill="EBF0F7"/>
            <w:tcMar>
              <w:top w:w="60" w:type="dxa"/>
              <w:bottom w:w="60" w:type="dxa"/>
              <w:left w:w="120" w:type="dxa"/>
              <w:right w:w="120" w:type="dxa"/>
            </w:tcMar>
          </w:tcPr>
          <w:p>
            <w:pPr>
              <w:spacing w:before="20" w:after="20"/>
            </w:pPr>
            <w:r>
              <w:rPr>
                <w:rFonts w:ascii="Arial" w:hAnsi="Arial"/>
                <w:b/>
                <w:color w:val="0F2043"/>
                <w:sz w:val="19"/>
              </w:rPr>
              <w:t>Date of Promulgation:</w:t>
            </w:r>
          </w:p>
        </w:tc>
        <w:tc>
          <w:tcPr>
            <w:tcW w:type="dxa" w:w="4824"/>
            <w:shd w:fill="FAFCFF"/>
            <w:tcMar>
              <w:top w:w="60" w:type="dxa"/>
              <w:bottom w:w="60" w:type="dxa"/>
              <w:left w:w="120" w:type="dxa"/>
              <w:right w:w="120" w:type="dxa"/>
            </w:tcMar>
          </w:tcPr>
          <w:p>
            <w:pPr>
              <w:spacing w:before="20" w:after="20"/>
            </w:pPr>
            <w:r>
              <w:rPr>
                <w:rFonts w:ascii="Calibri" w:hAnsi="Calibri"/>
                <w:b w:val="0"/>
                <w:color w:val="212529"/>
                <w:sz w:val="19"/>
              </w:rPr>
              <w:t>November 25, 2004</w:t>
            </w:r>
          </w:p>
        </w:tc>
      </w:tr>
      <w:tr>
        <w:tc>
          <w:tcPr>
            <w:tcW w:type="dxa" w:w="4824"/>
            <w:shd w:fill="EBF0F7"/>
            <w:tcMar>
              <w:top w:w="60" w:type="dxa"/>
              <w:bottom w:w="60" w:type="dxa"/>
              <w:left w:w="120" w:type="dxa"/>
              <w:right w:w="120" w:type="dxa"/>
            </w:tcMar>
          </w:tcPr>
          <w:p>
            <w:pPr>
              <w:spacing w:before="20" w:after="20"/>
            </w:pPr>
            <w:r>
              <w:rPr>
                <w:rFonts w:ascii="Arial" w:hAnsi="Arial"/>
                <w:b/>
                <w:color w:val="0F2043"/>
                <w:sz w:val="19"/>
              </w:rPr>
              <w:t>Ponente / Court:</w:t>
            </w:r>
          </w:p>
        </w:tc>
        <w:tc>
          <w:tcPr>
            <w:tcW w:type="dxa" w:w="4824"/>
            <w:shd w:fill="FAFCFF"/>
            <w:tcMar>
              <w:top w:w="60" w:type="dxa"/>
              <w:bottom w:w="60" w:type="dxa"/>
              <w:left w:w="120" w:type="dxa"/>
              <w:right w:w="120" w:type="dxa"/>
            </w:tcMar>
          </w:tcPr>
          <w:p>
            <w:pPr>
              <w:spacing w:before="20" w:after="20"/>
            </w:pPr>
            <w:r>
              <w:rPr>
                <w:rFonts w:ascii="Calibri" w:hAnsi="Calibri"/>
                <w:b w:val="0"/>
                <w:color w:val="212529"/>
                <w:sz w:val="19"/>
              </w:rPr>
              <w:t>First Division</w:t>
            </w:r>
          </w:p>
        </w:tc>
      </w:tr>
    </w:tbl>
    <w:p>
      <w:pPr>
        <w:keepNext/>
        <w:spacing w:before="240" w:after="60"/>
      </w:pPr>
      <w:r>
        <w:rPr>
          <w:rFonts w:ascii="Arial" w:hAnsi="Arial"/>
          <w:b/>
          <w:color w:val="0F2043"/>
          <w:sz w:val="21"/>
        </w:rPr>
        <w:t>I. FACTS OF THE CASE</w:t>
      </w:r>
    </w:p>
    <w:tbl>
      <w:tblPr>
        <w:tblW w:type="auto" w:w="0"/>
        <w:jc w:val="center"/>
        <w:tblLook w:firstColumn="1" w:firstRow="1" w:lastColumn="0" w:lastRow="0" w:noHBand="0" w:noVBand="1" w:val="04A0"/>
      </w:tblPr>
      <w:tblGrid>
        <w:gridCol w:w="9648"/>
      </w:tblGrid>
      <w:tr>
        <w:tc>
          <w:tcPr>
            <w:tcW w:type="dxa" w:w="9648"/>
            <w:shd w:fill="F8F9FB"/>
            <w:tcMar>
              <w:top w:w="100" w:type="dxa"/>
              <w:bottom w:w="100" w:type="dxa"/>
              <w:left w:w="160" w:type="dxa"/>
              <w:right w:w="160" w:type="dxa"/>
            </w:tcMar>
          </w:tcPr>
          <w:p>
            <w:pPr>
              <w:spacing w:before="20" w:after="40"/>
            </w:pPr>
            <w:r>
              <w:rPr>
                <w:rFonts w:ascii="Arial" w:hAnsi="Arial"/>
                <w:b/>
                <w:color w:val="0F2043"/>
                <w:sz w:val="19"/>
              </w:rPr>
              <w:t>Material Facts of Controversy</w:t>
              <w:br/>
            </w:r>
          </w:p>
          <w:p>
            <w:pPr>
              <w:spacing w:before="20" w:after="40" w:line="276" w:lineRule="auto"/>
            </w:pPr>
            <w:r>
              <w:rPr>
                <w:rFonts w:ascii="Calibri" w:hAnsi="Calibri"/>
                <w:color w:val="212529"/>
                <w:sz w:val="19"/>
              </w:rPr>
              <w:t>The Commission on Human Rights (CHR) issued Resolution No. A98-047 adopting an internal 'Upgrading and Reclassification Scheme' that elevated certain high-level legal and executive positions while collapsing and leaving behind lower rank-and-file plantilla positions. CHREA (the employees' union) protested, arguing that the upgrading violated Republic Act No. 6758 (The Compensation and Position Classification Act of 1989 / Salary Standardization Law) and lacked the mandatory approval of the DBM and Civil Service Commission. CHR claimed that as an independent constitutional office under Article XIII, Section 17 of the 1987 Constitution, it possessed full fiscal autonomy to reclassify positions and fix salaries without DBM interference.</w:t>
            </w:r>
          </w:p>
        </w:tc>
      </w:tr>
    </w:tbl>
    <w:p>
      <w:pPr>
        <w:keepNext/>
        <w:spacing w:before="240" w:after="60"/>
      </w:pPr>
      <w:r>
        <w:rPr>
          <w:rFonts w:ascii="Arial" w:hAnsi="Arial"/>
          <w:b/>
          <w:color w:val="0F2043"/>
          <w:sz w:val="21"/>
        </w:rPr>
        <w:t>II. FACTS RELEVANT TO STATUTORY CONSTRUCTION</w:t>
      </w:r>
    </w:p>
    <w:tbl>
      <w:tblPr>
        <w:tblW w:type="auto" w:w="0"/>
        <w:jc w:val="center"/>
        <w:tblLook w:firstColumn="1" w:firstRow="1" w:lastColumn="0" w:lastRow="0" w:noHBand="0" w:noVBand="1" w:val="04A0"/>
      </w:tblPr>
      <w:tblGrid>
        <w:gridCol w:w="9648"/>
      </w:tblGrid>
      <w:tr>
        <w:tc>
          <w:tcPr>
            <w:tcW w:type="dxa" w:w="9648"/>
            <w:shd w:fill="F8F9FB"/>
            <w:tcMar>
              <w:top w:w="100" w:type="dxa"/>
              <w:bottom w:w="100" w:type="dxa"/>
              <w:left w:w="160" w:type="dxa"/>
              <w:right w:w="160" w:type="dxa"/>
            </w:tcMar>
          </w:tcPr>
          <w:p>
            <w:pPr>
              <w:spacing w:before="20" w:after="40"/>
            </w:pPr>
            <w:r>
              <w:rPr>
                <w:rFonts w:ascii="Arial" w:hAnsi="Arial"/>
                <w:b/>
                <w:color w:val="0F2043"/>
                <w:sz w:val="19"/>
              </w:rPr>
              <w:t>Facts Giving Rise to Need for Interpretation</w:t>
              <w:br/>
            </w:r>
          </w:p>
          <w:p>
            <w:pPr>
              <w:spacing w:before="20" w:after="40" w:line="276" w:lineRule="auto"/>
            </w:pPr>
            <w:r>
              <w:rPr>
                <w:rFonts w:ascii="Calibri" w:hAnsi="Calibri"/>
                <w:b/>
                <w:color w:val="212529"/>
                <w:sz w:val="19"/>
              </w:rPr>
              <w:t xml:space="preserve">• What provision of law or rule became relevant? </w:t>
            </w:r>
            <w:r>
              <w:rPr>
                <w:rFonts w:ascii="Calibri" w:hAnsi="Calibri"/>
                <w:color w:val="212529"/>
                <w:sz w:val="19"/>
              </w:rPr>
              <w:t>1. Republic Act No. 6758 (Salary Standardization Law): Mandates unified position classification and compensation system across all government agencies administered by DBM.</w:t>
              <w:br/>
              <w:t>2. Article IX-A, Section 5, 1987 Constitution: Confers fiscal autonomy specifically on the three Constitutional Commissions (CSC, COMELEC, COA).</w:t>
            </w:r>
          </w:p>
          <w:p>
            <w:pPr>
              <w:spacing w:before="20" w:after="40" w:line="276" w:lineRule="auto"/>
            </w:pPr>
            <w:r>
              <w:rPr>
                <w:rFonts w:ascii="Calibri" w:hAnsi="Calibri"/>
                <w:b/>
                <w:color w:val="212529"/>
                <w:sz w:val="19"/>
              </w:rPr>
              <w:t xml:space="preserve">• What circumstance made interpretation necessary? </w:t>
            </w:r>
            <w:r>
              <w:rPr>
                <w:rFonts w:ascii="Calibri" w:hAnsi="Calibri"/>
                <w:color w:val="212529"/>
                <w:sz w:val="19"/>
              </w:rPr>
              <w:t>CHR attempted to arrogate constitutional fiscal autonomy by implication, violating the explicit enumeration in the Constitution and RA 6758.</w:t>
            </w:r>
          </w:p>
          <w:p>
            <w:pPr>
              <w:spacing w:before="20" w:after="40" w:line="276" w:lineRule="auto"/>
            </w:pPr>
            <w:r>
              <w:rPr>
                <w:rFonts w:ascii="Calibri" w:hAnsi="Calibri"/>
                <w:b/>
                <w:color w:val="212529"/>
                <w:sz w:val="19"/>
              </w:rPr>
              <w:t xml:space="preserve">• What competing interpretations were presented? </w:t>
            </w:r>
            <w:r>
              <w:rPr>
                <w:rFonts w:ascii="Calibri" w:hAnsi="Calibri"/>
                <w:color w:val="212529"/>
                <w:sz w:val="19"/>
              </w:rPr>
              <w:t>Petitioner argued for a favorable interpretation based on statutory intent, while Respondent contended for a literal or restrictive application.</w:t>
            </w:r>
          </w:p>
        </w:tc>
      </w:tr>
    </w:tbl>
    <w:p>
      <w:pPr>
        <w:keepNext/>
        <w:spacing w:before="240" w:after="60"/>
      </w:pPr>
      <w:r>
        <w:rPr>
          <w:rFonts w:ascii="Arial" w:hAnsi="Arial"/>
          <w:b/>
          <w:color w:val="0F2043"/>
          <w:sz w:val="21"/>
        </w:rPr>
        <w:t>III. ISSUES</w:t>
      </w:r>
    </w:p>
    <w:p>
      <w:pPr>
        <w:keepNext/>
        <w:spacing w:before="120" w:after="40"/>
      </w:pPr>
      <w:r>
        <w:rPr>
          <w:rFonts w:ascii="Arial" w:hAnsi="Arial"/>
          <w:b/>
          <w:color w:val="781E1E"/>
          <w:sz w:val="20"/>
        </w:rPr>
        <w:t>A. General Legal Issues</w:t>
      </w:r>
    </w:p>
    <w:p>
      <w:pPr>
        <w:spacing w:before="40" w:after="80" w:line="276" w:lineRule="auto"/>
      </w:pPr>
      <w:r>
        <w:rPr>
          <w:rFonts w:ascii="Calibri" w:hAnsi="Calibri"/>
          <w:i w:val="0"/>
          <w:color w:val="212529"/>
          <w:sz w:val="21"/>
        </w:rPr>
        <w:t>Whether or not the Commission on Human Rights (CHR) has the statutory and constitutional authority to reclassify and upgrade positions and salaries without the approval of the DBM under R.A. No. 6758.</w:t>
      </w:r>
    </w:p>
    <w:p>
      <w:pPr>
        <w:keepNext/>
        <w:spacing w:before="120" w:after="40"/>
      </w:pPr>
      <w:r>
        <w:rPr>
          <w:rFonts w:ascii="Arial" w:hAnsi="Arial"/>
          <w:b/>
          <w:color w:val="781E1E"/>
          <w:sz w:val="20"/>
        </w:rPr>
        <w:t>B. Statutory-Construction Issue/s</w:t>
      </w:r>
    </w:p>
    <w:tbl>
      <w:tblPr>
        <w:tblW w:type="auto" w:w="0"/>
        <w:jc w:val="center"/>
        <w:tblLook w:firstColumn="1" w:firstRow="1" w:lastColumn="0" w:lastRow="0" w:noHBand="0" w:noVBand="1" w:val="04A0"/>
      </w:tblPr>
      <w:tblGrid>
        <w:gridCol w:w="9648"/>
      </w:tblGrid>
      <w:tr>
        <w:tc>
          <w:tcPr>
            <w:tcW w:type="dxa" w:w="9648"/>
            <w:shd w:fill="EBF3FA"/>
            <w:tcMar>
              <w:top w:w="100" w:type="dxa"/>
              <w:bottom w:w="100" w:type="dxa"/>
              <w:left w:w="160" w:type="dxa"/>
              <w:right w:w="160" w:type="dxa"/>
            </w:tcMar>
          </w:tcPr>
          <w:p>
            <w:pPr>
              <w:spacing w:before="20" w:after="40"/>
            </w:pPr>
            <w:r>
              <w:rPr>
                <w:rFonts w:ascii="Arial" w:hAnsi="Arial"/>
                <w:b/>
                <w:color w:val="0F2043"/>
                <w:sz w:val="19"/>
              </w:rPr>
              <w:t>Standardized StatCon Issue Statement</w:t>
              <w:br/>
            </w:r>
          </w:p>
          <w:p>
            <w:pPr>
              <w:spacing w:before="20" w:after="40" w:line="276" w:lineRule="auto"/>
            </w:pPr>
            <w:r>
              <w:rPr>
                <w:rFonts w:ascii="Calibri" w:hAnsi="Calibri"/>
                <w:color w:val="212529"/>
                <w:sz w:val="19"/>
              </w:rPr>
              <w:t>Whether the subject statutory act, classification, or terminology under the governing statute/rule means, includes, or applies to the factual controversy in Commission on Human Rights Employees' Association (CHREA) v. Commission on Human Rights, under the canon of Expressio unius est exclusio alterius.</w:t>
            </w:r>
          </w:p>
        </w:tc>
      </w:tr>
    </w:tbl>
    <w:p>
      <w:pPr>
        <w:keepNext/>
        <w:spacing w:before="240" w:after="60"/>
      </w:pPr>
      <w:r>
        <w:rPr>
          <w:rFonts w:ascii="Arial" w:hAnsi="Arial"/>
          <w:b/>
          <w:color w:val="0F2043"/>
          <w:sz w:val="21"/>
        </w:rPr>
        <w:t>IV. PROVISION/S OF LAW CONSTRUED</w:t>
      </w:r>
    </w:p>
    <w:tbl>
      <w:tblPr>
        <w:tblW w:type="auto" w:w="0"/>
        <w:jc w:val="center"/>
        <w:tblLook w:firstColumn="1" w:firstRow="1" w:lastColumn="0" w:lastRow="0" w:noHBand="0" w:noVBand="1" w:val="04A0"/>
      </w:tblPr>
      <w:tblGrid>
        <w:gridCol w:w="9648"/>
      </w:tblGrid>
      <w:tr>
        <w:tc>
          <w:tcPr>
            <w:tcW w:type="dxa" w:w="9648"/>
            <w:shd w:fill="F8F9FB"/>
            <w:tcMar>
              <w:top w:w="100" w:type="dxa"/>
              <w:bottom w:w="100" w:type="dxa"/>
              <w:left w:w="160" w:type="dxa"/>
              <w:right w:w="160" w:type="dxa"/>
            </w:tcMar>
          </w:tcPr>
          <w:p>
            <w:pPr>
              <w:spacing w:before="20" w:after="40"/>
            </w:pPr>
            <w:r>
              <w:rPr>
                <w:rFonts w:ascii="Arial" w:hAnsi="Arial"/>
                <w:b/>
                <w:color w:val="0F2043"/>
                <w:sz w:val="19"/>
              </w:rPr>
              <w:t>Statutory / Constitutional Text &amp; Problem</w:t>
              <w:br/>
            </w:r>
          </w:p>
          <w:p>
            <w:pPr>
              <w:spacing w:before="20" w:after="40" w:line="276" w:lineRule="auto"/>
            </w:pPr>
            <w:r>
              <w:rPr>
                <w:rFonts w:ascii="Calibri" w:hAnsi="Calibri"/>
                <w:b/>
                <w:color w:val="212529"/>
                <w:sz w:val="19"/>
              </w:rPr>
              <w:t xml:space="preserve">• Quoted Provision: </w:t>
            </w:r>
            <w:r>
              <w:rPr>
                <w:rFonts w:ascii="Calibri" w:hAnsi="Calibri"/>
                <w:color w:val="212529"/>
                <w:sz w:val="19"/>
              </w:rPr>
              <w:t>1. Republic Act No. 6758 (Salary Standardization Law): Mandates unified position classification and compensation system across all government agencies administered by DBM.</w:t>
              <w:br/>
              <w:t>2. Article IX-A, Section 5, 1987 Constitution: Confers fiscal autonomy specifically on the three Constitutional Commissions (CSC, COMELEC, COA).</w:t>
            </w:r>
          </w:p>
          <w:p>
            <w:pPr>
              <w:spacing w:before="20" w:after="40" w:line="276" w:lineRule="auto"/>
            </w:pPr>
            <w:r>
              <w:rPr>
                <w:rFonts w:ascii="Calibri" w:hAnsi="Calibri"/>
                <w:b/>
                <w:color w:val="212529"/>
                <w:sz w:val="19"/>
              </w:rPr>
              <w:t xml:space="preserve">• Interpretive Problem: </w:t>
            </w:r>
            <w:r>
              <w:rPr>
                <w:rFonts w:ascii="Calibri" w:hAnsi="Calibri"/>
                <w:color w:val="212529"/>
                <w:sz w:val="19"/>
              </w:rPr>
              <w:t>The statute explicitly enumerates specific items or exceptions, raising whether non-enumerated items are excluded by necessary implication.</w:t>
            </w:r>
          </w:p>
        </w:tc>
      </w:tr>
    </w:tbl>
    <w:p>
      <w:pPr>
        <w:keepNext/>
        <w:spacing w:before="240" w:after="60"/>
      </w:pPr>
      <w:r>
        <w:rPr>
          <w:rFonts w:ascii="Arial" w:hAnsi="Arial"/>
          <w:b/>
          <w:color w:val="0F2043"/>
          <w:sz w:val="21"/>
        </w:rPr>
        <w:t>V. RULING OF THE SUPREME COURT</w:t>
      </w:r>
    </w:p>
    <w:p>
      <w:pPr>
        <w:keepNext/>
        <w:spacing w:before="120" w:after="40"/>
      </w:pPr>
      <w:r>
        <w:rPr>
          <w:rFonts w:ascii="Arial" w:hAnsi="Arial"/>
          <w:b/>
          <w:color w:val="781E1E"/>
          <w:sz w:val="20"/>
        </w:rPr>
        <w:t>A. General Ruling</w:t>
      </w:r>
    </w:p>
    <w:p>
      <w:pPr>
        <w:spacing w:before="40" w:after="80" w:line="276" w:lineRule="auto"/>
      </w:pPr>
      <w:r>
        <w:rPr>
          <w:rFonts w:ascii="Calibri" w:hAnsi="Calibri"/>
          <w:i w:val="0"/>
          <w:color w:val="212529"/>
          <w:sz w:val="21"/>
        </w:rPr>
        <w:t>The Supreme Court GRANTED the petition, ANNULLED CHR Resolution No. A98-047, and DECLARED the reclassification scheme void for lack of DBM approval.</w:t>
      </w:r>
    </w:p>
    <w:p>
      <w:pPr>
        <w:keepNext/>
        <w:spacing w:before="120" w:after="40"/>
      </w:pPr>
      <w:r>
        <w:rPr>
          <w:rFonts w:ascii="Arial" w:hAnsi="Arial"/>
          <w:b/>
          <w:color w:val="781E1E"/>
          <w:sz w:val="20"/>
        </w:rPr>
        <w:t>B. Ruling on the Statutory-Construction Issue</w:t>
      </w:r>
    </w:p>
    <w:tbl>
      <w:tblPr>
        <w:tblW w:type="auto" w:w="0"/>
        <w:jc w:val="center"/>
        <w:tblLook w:firstColumn="1" w:firstRow="1" w:lastColumn="0" w:lastRow="0" w:noHBand="0" w:noVBand="1" w:val="04A0"/>
      </w:tblPr>
      <w:tblGrid>
        <w:gridCol w:w="9648"/>
      </w:tblGrid>
      <w:tr>
        <w:tc>
          <w:tcPr>
            <w:tcW w:type="dxa" w:w="9648"/>
            <w:shd w:fill="F4FAF5"/>
            <w:tcMar>
              <w:top w:w="100" w:type="dxa"/>
              <w:bottom w:w="100" w:type="dxa"/>
              <w:left w:w="160" w:type="dxa"/>
              <w:right w:w="160" w:type="dxa"/>
            </w:tcMar>
          </w:tcPr>
          <w:p>
            <w:pPr>
              <w:spacing w:before="20" w:after="40"/>
            </w:pPr>
            <w:r>
              <w:rPr>
                <w:rFonts w:ascii="Arial" w:hAnsi="Arial"/>
                <w:b/>
                <w:color w:val="0F2043"/>
                <w:sz w:val="19"/>
              </w:rPr>
              <w:t>Statutory Meaning Established by Court</w:t>
              <w:br/>
            </w:r>
          </w:p>
          <w:p>
            <w:pPr>
              <w:spacing w:before="20" w:after="40" w:line="276" w:lineRule="auto"/>
            </w:pPr>
            <w:r>
              <w:rPr>
                <w:rFonts w:ascii="Calibri" w:hAnsi="Calibri"/>
                <w:color w:val="212529"/>
                <w:sz w:val="19"/>
              </w:rPr>
              <w:t>NO. CHR is NOT exempt from R.A. No. 6758 and CANNOT upgrade positions without DBM approval. CHR is an independent constitutional office, but it is NOT one of the three Constitutional Commissions granted fiscal autonomy under the Constitution.</w:t>
            </w:r>
          </w:p>
        </w:tc>
      </w:tr>
    </w:tbl>
    <w:p>
      <w:pPr>
        <w:keepNext/>
        <w:spacing w:before="240" w:after="60"/>
      </w:pPr>
      <w:r>
        <w:rPr>
          <w:rFonts w:ascii="Arial" w:hAnsi="Arial"/>
          <w:b/>
          <w:color w:val="0F2043"/>
          <w:sz w:val="21"/>
        </w:rPr>
        <w:t>VI. HOW THE COURT CONSTRUED THE LAW</w:t>
      </w:r>
    </w:p>
    <w:tbl>
      <w:tblPr>
        <w:tblW w:type="auto" w:w="0"/>
        <w:jc w:val="center"/>
        <w:tblLook w:firstColumn="1" w:firstRow="1" w:lastColumn="0" w:lastRow="0" w:noHBand="0" w:noVBand="1" w:val="04A0"/>
      </w:tblPr>
      <w:tblGrid>
        <w:gridCol w:w="9648"/>
      </w:tblGrid>
      <w:tr>
        <w:tc>
          <w:tcPr>
            <w:tcW w:type="dxa" w:w="9648"/>
            <w:shd w:fill="F8F9FB"/>
            <w:tcMar>
              <w:top w:w="100" w:type="dxa"/>
              <w:bottom w:w="100" w:type="dxa"/>
              <w:left w:w="160" w:type="dxa"/>
              <w:right w:w="160" w:type="dxa"/>
            </w:tcMar>
          </w:tcPr>
          <w:p>
            <w:pPr>
              <w:spacing w:before="20" w:after="40"/>
            </w:pPr>
            <w:r>
              <w:rPr>
                <w:rFonts w:ascii="Arial" w:hAnsi="Arial"/>
                <w:b/>
                <w:color w:val="0F2043"/>
                <w:sz w:val="19"/>
              </w:rPr>
              <w:t>Methodological &amp; Doctrinal Analysis</w:t>
              <w:br/>
            </w:r>
          </w:p>
          <w:p>
            <w:pPr>
              <w:spacing w:before="20" w:after="40" w:line="276" w:lineRule="auto"/>
            </w:pPr>
            <w:r>
              <w:rPr>
                <w:rFonts w:ascii="Calibri" w:hAnsi="Calibri"/>
                <w:b/>
                <w:color w:val="212529"/>
                <w:sz w:val="19"/>
              </w:rPr>
              <w:t xml:space="preserve">A. Why Was Construction Necessary? </w:t>
            </w:r>
            <w:r>
              <w:rPr>
                <w:rFonts w:ascii="Calibri" w:hAnsi="Calibri"/>
                <w:color w:val="212529"/>
                <w:sz w:val="19"/>
              </w:rPr>
              <w:t>The statutory provision enumerated specific items, raising whether non-included matters were intentionally excluded by the Legislature.</w:t>
            </w:r>
          </w:p>
          <w:p>
            <w:pPr>
              <w:spacing w:before="20" w:after="40" w:line="276" w:lineRule="auto"/>
            </w:pPr>
            <w:r>
              <w:rPr>
                <w:rFonts w:ascii="Calibri" w:hAnsi="Calibri"/>
                <w:b/>
                <w:color w:val="212529"/>
                <w:sz w:val="19"/>
              </w:rPr>
              <w:t xml:space="preserve">B. Purpose of Construction: </w:t>
            </w:r>
            <w:r>
              <w:rPr>
                <w:rFonts w:ascii="Calibri" w:hAnsi="Calibri"/>
                <w:color w:val="212529"/>
                <w:sz w:val="19"/>
              </w:rPr>
              <w:t>To enforce the negative implication intended by the Legislature and prevent unwarranted judicial expansion (*expressio unius est exclusio alterius*).</w:t>
            </w:r>
          </w:p>
          <w:p>
            <w:pPr>
              <w:spacing w:before="20" w:after="40" w:line="276" w:lineRule="auto"/>
            </w:pPr>
            <w:r>
              <w:rPr>
                <w:rFonts w:ascii="Calibri" w:hAnsi="Calibri"/>
                <w:b/>
                <w:color w:val="212529"/>
                <w:sz w:val="19"/>
              </w:rPr>
              <w:t xml:space="preserve">C. Method, Canon, or Rule Applied: </w:t>
            </w:r>
            <w:r>
              <w:rPr>
                <w:rFonts w:ascii="Calibri" w:hAnsi="Calibri"/>
                <w:color w:val="212529"/>
                <w:sz w:val="19"/>
              </w:rPr>
              <w:t>Expressio unius est exclusio alterius</w:t>
              <w:br/>
              <w:t xml:space="preserve">   - Application: Doctrine of Expressio Unius: When the Constitution or a statute expressly enumerates the subjects to which a privilege applies, it is an unmistakable indication that all unmentioned subjects are excluded.</w:t>
              <w:br/>
              <w:t xml:space="preserve">   - Result: No. The Constitution grants fiscal autonomy only to the CSC, COMELEC, and COA. Because CHR is not on that list, Expressio Unius excludes it. CHR must follow the Salary Standardization Law and get DBM approval.</w:t>
            </w:r>
          </w:p>
          <w:p>
            <w:pPr>
              <w:spacing w:before="20" w:after="40" w:line="276" w:lineRule="auto"/>
            </w:pPr>
            <w:r>
              <w:rPr>
                <w:rFonts w:ascii="Calibri" w:hAnsi="Calibri"/>
                <w:b/>
                <w:color w:val="212529"/>
                <w:sz w:val="19"/>
              </w:rPr>
              <w:t xml:space="preserve">D. Other Sources Used: </w:t>
            </w:r>
            <w:r>
              <w:rPr>
                <w:rFonts w:ascii="Calibri" w:hAnsi="Calibri"/>
                <w:color w:val="212529"/>
                <w:sz w:val="19"/>
              </w:rPr>
              <w:t>Ordinary meaning of words, statute considered as a whole, legislative history, and established Supreme Court jurisprudence.</w:t>
            </w:r>
          </w:p>
        </w:tc>
      </w:tr>
    </w:tbl>
    <w:p>
      <w:pPr>
        <w:keepNext/>
        <w:spacing w:before="240" w:after="60"/>
      </w:pPr>
      <w:r>
        <w:rPr>
          <w:rFonts w:ascii="Arial" w:hAnsi="Arial"/>
          <w:b/>
          <w:color w:val="0F2043"/>
          <w:sz w:val="21"/>
        </w:rPr>
        <w:t>VII. RELEVANT STATUTORY-CONSTRUCTION CONCEPTS (A–L EVALUATION)</w:t>
      </w:r>
    </w:p>
    <w:tbl>
      <w:tblPr>
        <w:tblW w:type="auto" w:w="0"/>
        <w:jc w:val="center"/>
        <w:tblLook w:firstColumn="1" w:firstRow="1" w:lastColumn="0" w:lastRow="0" w:noHBand="0" w:noVBand="1" w:val="04A0"/>
      </w:tblPr>
      <w:tblGrid>
        <w:gridCol w:w="4824"/>
        <w:gridCol w:w="4824"/>
      </w:tblGrid>
      <w:tr>
        <w:tc>
          <w:tcPr>
            <w:tcW w:type="dxa" w:w="4824"/>
            <w:shd w:fill="EBF0F8"/>
            <w:tcMar>
              <w:top w:w="70" w:type="dxa"/>
              <w:bottom w:w="70" w:type="dxa"/>
              <w:left w:w="100" w:type="dxa"/>
              <w:right w:w="100" w:type="dxa"/>
            </w:tcMar>
          </w:tcPr>
          <w:p>
            <w:pPr>
              <w:spacing w:before="20" w:after="20"/>
            </w:pPr>
            <w:r>
              <w:rPr>
                <w:rFonts w:ascii="Arial" w:hAnsi="Arial"/>
                <w:b/>
                <w:color w:val="0F2043"/>
                <w:sz w:val="18"/>
              </w:rPr>
              <w:t>A. Situs of Statutory Construction</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Supreme Court of the Philippines, exercising its constitutional judicial power under Article VIII of the Constitution, serves as the ultimate situs and final arbiter for interpreting and construing the disputed provision.</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B. Purpose of Statutory Construction</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purpose of construction is to discover and effectuate the true legislative intent and will of the lawmaking body, preventing injustice and ensuring the statute operates harmoniously.</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C. When to Construe</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Construction became imperative because the text contained an ambiguity, competing interpretations, or conflicting statutory provisions that required judicial determination of legislative intent.</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D. Ambiguity or Vagueness</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controversy centered on the ambiguity, silence, or conflicting scope of the statutory language, which the Court resolved by examining legislative intent and governing maxims.</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E. Verba Legis Non Est Recedendum</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781E1E"/>
                <w:sz w:val="17"/>
              </w:rPr>
              <w:t xml:space="preserve"> [NOT APPLICABLE] </w:t>
            </w:r>
            <w:r>
              <w:rPr>
                <w:rFonts w:ascii="Calibri" w:hAnsi="Calibri"/>
                <w:color w:val="212529"/>
                <w:sz w:val="18"/>
              </w:rPr>
              <w:t>Not Applicable. The Court looked beyond literal words to discover the underlying legislative spirit, context, and intent.</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F. Absoluta Sententia Expositore Non Indigent</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781E1E"/>
                <w:sz w:val="17"/>
              </w:rPr>
              <w:t xml:space="preserve"> [NOT APPLICABLE] </w:t>
            </w:r>
            <w:r>
              <w:rPr>
                <w:rFonts w:ascii="Calibri" w:hAnsi="Calibri"/>
                <w:color w:val="212529"/>
                <w:sz w:val="18"/>
              </w:rPr>
              <w:t>Not Applicable. The statutory language required expository interpretation due to textual gaps, broad phrasing, or conflicting provisions.</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G. Legislative Intent</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Court analyzed the true intent and policy of the lawmaking authority, ensuring that the statutory purpose is preserved and not defeated by erroneous administrative or private interpretations.</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H. Strict or Liberal Construction</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781E1E"/>
                <w:sz w:val="17"/>
              </w:rPr>
              <w:t xml:space="preserve"> [NOT APPLICABLE] </w:t>
            </w:r>
            <w:r>
              <w:rPr>
                <w:rFonts w:ascii="Calibri" w:hAnsi="Calibri"/>
                <w:color w:val="212529"/>
                <w:sz w:val="18"/>
              </w:rPr>
              <w:t>Not Applicable. The Court applied standard ordinary rules of statutory interpretation without resorting to special strict or liberal construction doctrines.</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I. Prospective or Retrospective Construction</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781E1E"/>
                <w:sz w:val="17"/>
              </w:rPr>
              <w:t xml:space="preserve"> [NOT APPLICABLE] </w:t>
            </w:r>
            <w:r>
              <w:rPr>
                <w:rFonts w:ascii="Calibri" w:hAnsi="Calibri"/>
                <w:color w:val="212529"/>
                <w:sz w:val="18"/>
              </w:rPr>
              <w:t>Not Applicable. The case involved only the contemporaneous, prospective application of the governing law.</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J. Statutory Construction vs. Judicial Legislation</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Court underscored the constitutional boundary of judicial power: Courts are empowered solely to interpret (jus dicere), not to enact or amend laws (jus dare). Supplying unwritten terms or expanding clear prohibitions constitutes prohibited judicial legislation.</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K. Legis Interpretatio Legis Vim Obtinet</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Under Article 8 of the Civil Code, the Supreme Court's authoritative interpretation of the statute forms part of the legal system of the Philippines and acquires the force of law (*legis interpretatio legis vim obtinet*).</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L. Extent and Limits of the Power to Construe</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Court respected the constitutional limits of its authority by applying the law as written and refusing to invade the legislative domain under the guise of equity or expediency.</w:t>
            </w:r>
          </w:p>
        </w:tc>
      </w:tr>
    </w:tbl>
    <w:p>
      <w:pPr>
        <w:keepNext/>
        <w:spacing w:before="240" w:after="60"/>
      </w:pPr>
      <w:r>
        <w:rPr>
          <w:rFonts w:ascii="Arial" w:hAnsi="Arial"/>
          <w:b/>
          <w:color w:val="0F2043"/>
          <w:sz w:val="21"/>
        </w:rPr>
        <w:t>VIII. OTHER CANONS OR METHODS OF CONSTRUCTION</w:t>
      </w:r>
    </w:p>
    <w:tbl>
      <w:tblPr>
        <w:tblW w:type="auto" w:w="0"/>
        <w:jc w:val="center"/>
        <w:tblLook w:firstColumn="1" w:firstRow="1" w:lastColumn="0" w:lastRow="0" w:noHBand="0" w:noVBand="1" w:val="04A0"/>
      </w:tblPr>
      <w:tblGrid>
        <w:gridCol w:w="9648"/>
      </w:tblGrid>
      <w:tr>
        <w:tc>
          <w:tcPr>
            <w:tcW w:type="dxa" w:w="9648"/>
            <w:shd w:fill="F8F9FB"/>
            <w:tcMar>
              <w:top w:w="100" w:type="dxa"/>
              <w:bottom w:w="100" w:type="dxa"/>
              <w:left w:w="160" w:type="dxa"/>
              <w:right w:w="160" w:type="dxa"/>
            </w:tcMar>
          </w:tcPr>
          <w:p>
            <w:pPr>
              <w:spacing w:before="20" w:after="40"/>
            </w:pPr>
            <w:r>
              <w:rPr>
                <w:rFonts w:ascii="Arial" w:hAnsi="Arial"/>
                <w:b/>
                <w:color w:val="0F2043"/>
                <w:sz w:val="19"/>
              </w:rPr>
              <w:t>Secondary Rules &amp; Canons Applied</w:t>
              <w:br/>
            </w:r>
          </w:p>
          <w:p>
            <w:pPr>
              <w:spacing w:before="20" w:after="40" w:line="276" w:lineRule="auto"/>
            </w:pPr>
            <w:r>
              <w:rPr>
                <w:rFonts w:ascii="Calibri" w:hAnsi="Calibri"/>
                <w:b/>
                <w:color w:val="212529"/>
                <w:sz w:val="19"/>
              </w:rPr>
              <w:t xml:space="preserve">• Canon / Maxim: </w:t>
            </w:r>
            <w:r>
              <w:rPr>
                <w:rFonts w:ascii="Calibri" w:hAnsi="Calibri"/>
                <w:color w:val="212529"/>
                <w:sz w:val="19"/>
              </w:rPr>
              <w:t>• Optima statuti interpretatrix est ipsum statutum (the statute itself is its best interpreter)</w:t>
              <w:br/>
              <w:t>• Potestas delegata non delegari potest (delegated power limits)</w:t>
            </w:r>
          </w:p>
          <w:p>
            <w:pPr>
              <w:spacing w:before="20" w:after="40" w:line="276" w:lineRule="auto"/>
            </w:pPr>
            <w:r>
              <w:rPr>
                <w:rFonts w:ascii="Calibri" w:hAnsi="Calibri"/>
                <w:b/>
                <w:color w:val="212529"/>
                <w:sz w:val="19"/>
              </w:rPr>
              <w:t xml:space="preserve">• How Applied: </w:t>
            </w:r>
            <w:r>
              <w:rPr>
                <w:rFonts w:ascii="Calibri" w:hAnsi="Calibri"/>
                <w:color w:val="212529"/>
                <w:sz w:val="19"/>
              </w:rPr>
              <w:t>Applied as corroborative canons to reinforce the primary rule of construction.</w:t>
            </w:r>
          </w:p>
          <w:p>
            <w:pPr>
              <w:spacing w:before="20" w:after="40" w:line="276" w:lineRule="auto"/>
            </w:pPr>
            <w:r>
              <w:rPr>
                <w:rFonts w:ascii="Calibri" w:hAnsi="Calibri"/>
                <w:b/>
                <w:color w:val="212529"/>
                <w:sz w:val="19"/>
              </w:rPr>
              <w:t xml:space="preserve">• Effect on Interpretation: </w:t>
            </w:r>
            <w:r>
              <w:rPr>
                <w:rFonts w:ascii="Calibri" w:hAnsi="Calibri"/>
                <w:color w:val="212529"/>
                <w:sz w:val="19"/>
              </w:rPr>
              <w:t>Harmonized the statute and prevented an absurd or unjust result.</w:t>
            </w:r>
          </w:p>
        </w:tc>
      </w:tr>
    </w:tbl>
    <w:p>
      <w:pPr>
        <w:keepNext/>
        <w:spacing w:before="240" w:after="60"/>
      </w:pPr>
      <w:r>
        <w:rPr>
          <w:rFonts w:ascii="Arial" w:hAnsi="Arial"/>
          <w:b/>
          <w:color w:val="0F2043"/>
          <w:sz w:val="21"/>
        </w:rPr>
        <w:t>IX. THE CONSTRUCTION MADE BY THE COURT</w:t>
      </w:r>
    </w:p>
    <w:tbl>
      <w:tblPr>
        <w:tblW w:type="auto" w:w="0"/>
        <w:jc w:val="center"/>
        <w:tblLook w:firstColumn="1" w:firstRow="1" w:lastColumn="0" w:lastRow="0" w:noHBand="0" w:noVBand="1" w:val="04A0"/>
      </w:tblPr>
      <w:tblGrid>
        <w:gridCol w:w="9648"/>
      </w:tblGrid>
      <w:tr>
        <w:tc>
          <w:tcPr>
            <w:tcW w:type="dxa" w:w="9648"/>
            <w:shd w:fill="F9F8F5"/>
            <w:tcMar>
              <w:top w:w="100" w:type="dxa"/>
              <w:bottom w:w="100" w:type="dxa"/>
              <w:left w:w="160" w:type="dxa"/>
              <w:right w:w="160" w:type="dxa"/>
            </w:tcMar>
          </w:tcPr>
          <w:p>
            <w:pPr>
              <w:spacing w:before="20" w:after="40"/>
            </w:pPr>
            <w:r>
              <w:rPr>
                <w:rFonts w:ascii="Arial" w:hAnsi="Arial"/>
                <w:b/>
                <w:color w:val="0F2043"/>
                <w:sz w:val="19"/>
              </w:rPr>
              <w:t>Actual Judicial Construction &amp; Ratio</w:t>
              <w:br/>
            </w:r>
          </w:p>
          <w:p>
            <w:pPr>
              <w:spacing w:before="20" w:after="40" w:line="276" w:lineRule="auto"/>
            </w:pPr>
            <w:r>
              <w:rPr>
                <w:rFonts w:ascii="Calibri" w:hAnsi="Calibri"/>
                <w:b/>
                <w:color w:val="212529"/>
                <w:sz w:val="19"/>
              </w:rPr>
              <w:t xml:space="preserve">• Construction Summary: </w:t>
            </w:r>
            <w:r>
              <w:rPr>
                <w:rFonts w:ascii="Calibri" w:hAnsi="Calibri"/>
                <w:color w:val="212529"/>
                <w:sz w:val="19"/>
              </w:rPr>
              <w:t>The Court construed the disputed statutory provisions in Commission on Human Rights Employees' Association (CHREA) v. Commission on Human Rights to mean and apply strictly in accordance with Expressio unius est exclusio alterius, holding that No. The Constitution grants fiscal autonomy only to the CSC, COMELEC, and COA. Because CHR is not on that list, Expressio Unius excludes it. CHR must follow the.</w:t>
            </w:r>
          </w:p>
          <w:p>
            <w:pPr>
              <w:spacing w:before="20" w:after="40" w:line="276" w:lineRule="auto"/>
            </w:pPr>
            <w:r>
              <w:rPr>
                <w:rFonts w:ascii="Calibri" w:hAnsi="Calibri"/>
                <w:b/>
                <w:color w:val="212529"/>
                <w:sz w:val="19"/>
              </w:rPr>
              <w:t xml:space="preserve">• Principal Reasoning: </w:t>
            </w:r>
            <w:r>
              <w:rPr>
                <w:rFonts w:ascii="Calibri" w:hAnsi="Calibri"/>
                <w:color w:val="212529"/>
                <w:sz w:val="19"/>
              </w:rPr>
              <w:t>The Constitution specifically lists the three commissions that have financial independence: Civil Service, Elections, and Audit. CHR is not on that list. Under Expressio Unius, when the law makes a specific list, what is left off the list is excluded. Therefore, CHR must obey the salary law.</w:t>
            </w:r>
          </w:p>
        </w:tc>
      </w:tr>
    </w:tbl>
    <w:tbl>
      <w:tblPr>
        <w:tblW w:type="auto" w:w="0"/>
        <w:jc w:val="center"/>
        <w:tblLook w:firstColumn="1" w:firstRow="1" w:lastColumn="0" w:lastRow="0" w:noHBand="0" w:noVBand="1" w:val="04A0"/>
      </w:tblPr>
      <w:tblGrid>
        <w:gridCol w:w="9648"/>
      </w:tblGrid>
      <w:tr>
        <w:tc>
          <w:tcPr>
            <w:tcW w:type="dxa" w:w="9648"/>
            <w:shd w:fill="EEF6F0"/>
            <w:tcMar>
              <w:top w:w="100" w:type="dxa"/>
              <w:bottom w:w="100" w:type="dxa"/>
              <w:left w:w="160" w:type="dxa"/>
              <w:right w:w="160" w:type="dxa"/>
            </w:tcMar>
          </w:tcPr>
          <w:p>
            <w:pPr>
              <w:spacing w:before="20" w:after="40"/>
            </w:pPr>
            <w:r>
              <w:rPr>
                <w:rFonts w:ascii="Arial" w:hAnsi="Arial"/>
                <w:b/>
                <w:color w:val="0D6E4B"/>
                <w:sz w:val="19"/>
              </w:rPr>
              <w:t>X. STATUTORY CONSTRUCTION OR JUDICIAL LEGISLATION?</w:t>
              <w:br/>
            </w:r>
          </w:p>
          <w:p>
            <w:pPr>
              <w:spacing w:before="20" w:after="60"/>
            </w:pPr>
            <w:r>
              <w:rPr>
                <w:rFonts w:ascii="Arial" w:hAnsi="Arial"/>
                <w:b/>
                <w:color w:val="0F2043"/>
                <w:sz w:val="19"/>
              </w:rPr>
              <w:t>☑ Proper statutory construction    ☐ Judicial legislation    ☐ Debatable</w:t>
            </w:r>
          </w:p>
          <w:p>
            <w:pPr>
              <w:spacing w:before="40" w:after="40" w:line="276" w:lineRule="auto"/>
            </w:pPr>
            <w:r>
              <w:rPr>
                <w:rFonts w:ascii="Calibri" w:hAnsi="Calibri"/>
                <w:b/>
                <w:color w:val="212529"/>
                <w:sz w:val="19"/>
              </w:rPr>
              <w:t>Explanation (3–5 sentences):</w:t>
              <w:br/>
            </w:r>
            <w:r>
              <w:rPr>
                <w:rFonts w:ascii="Calibri" w:hAnsi="Calibri"/>
                <w:color w:val="212529"/>
                <w:sz w:val="19"/>
              </w:rPr>
              <w:t>The Supreme Court acted within the legitimate bounds of its constitutional power to interpret the law (jus dicere). By applying Expressio unius est exclusio alterius, the Court faithfully effectuated the legislative intent without creating new rules, modifying clear statutory text, or usurping congressional prerogative. The ruling reinforces the separation of powers and the doctrine that courts must enforce the law as enacted.</w:t>
            </w:r>
          </w:p>
        </w:tc>
      </w:tr>
    </w:tbl>
    <w:p>
      <w:pPr>
        <w:spacing w:before="80" w:after="40"/>
      </w:pPr>
    </w:p>
    <w:tbl>
      <w:tblPr>
        <w:tblW w:type="auto" w:w="0"/>
        <w:jc w:val="center"/>
        <w:tblLook w:firstColumn="1" w:firstRow="1" w:lastColumn="0" w:lastRow="0" w:noHBand="0" w:noVBand="1" w:val="04A0"/>
      </w:tblPr>
      <w:tblGrid>
        <w:gridCol w:w="9648"/>
      </w:tblGrid>
      <w:tr>
        <w:tc>
          <w:tcPr>
            <w:tcW w:type="dxa" w:w="9648"/>
            <w:shd w:fill="FBF6EE"/>
            <w:tcMar>
              <w:top w:w="100" w:type="dxa"/>
              <w:bottom w:w="100" w:type="dxa"/>
              <w:left w:w="160" w:type="dxa"/>
              <w:right w:w="160" w:type="dxa"/>
            </w:tcMar>
          </w:tcPr>
          <w:p>
            <w:pPr>
              <w:spacing w:before="20" w:after="40"/>
            </w:pPr>
            <w:r>
              <w:rPr>
                <w:rFonts w:ascii="Arial" w:hAnsi="Arial"/>
                <w:b/>
                <w:color w:val="8C3200"/>
                <w:sz w:val="19"/>
              </w:rPr>
              <w:t>XI. DOCTRINE (Statutory Construction Principle):</w:t>
              <w:br/>
            </w:r>
            <w:r>
              <w:rPr>
                <w:rFonts w:ascii="Calibri" w:hAnsi="Calibri"/>
                <w:color w:val="212529"/>
                <w:sz w:val="19"/>
              </w:rPr>
              <w:t>Doctrine of Expressio Unius: When the Constitution or a statute expressly enumerates the subjects to which a privilege applies, it is an unmistakable indication that all unmentioned subjects are excluded.</w:t>
              <w:br/>
              <w:br/>
            </w:r>
          </w:p>
          <w:p>
            <w:pPr>
              <w:spacing w:before="20" w:after="40"/>
            </w:pPr>
            <w:r>
              <w:rPr>
                <w:rFonts w:ascii="Arial" w:hAnsi="Arial"/>
                <w:b/>
                <w:color w:val="8C3200"/>
                <w:sz w:val="19"/>
              </w:rPr>
              <w:t>XII. ONE-SENTENCE TAKEAWAY:</w:t>
              <w:br/>
            </w:r>
            <w:r>
              <w:rPr>
                <w:rFonts w:ascii="Calibri" w:hAnsi="Calibri"/>
                <w:i/>
                <w:color w:val="212529"/>
                <w:sz w:val="19"/>
              </w:rPr>
              <w:t>This case is important in Statutory Construction because If the Constitution names three specific commissions that have total budget freedom, other agencies cannot pretend they are included.</w:t>
            </w:r>
          </w:p>
        </w:tc>
      </w:tr>
    </w:tbl>
    <w:p>
      <w:r>
        <w:br w:type="page"/>
      </w:r>
    </w:p>
    <w:p>
      <w:pPr>
        <w:keepNext/>
        <w:spacing w:before="320" w:after="80"/>
      </w:pPr>
      <w:r>
        <w:rPr>
          <w:rFonts w:ascii="Arial" w:hAnsi="Arial"/>
          <w:b/>
          <w:color w:val="0F2043"/>
          <w:sz w:val="26"/>
        </w:rPr>
        <w:t>38. STERLING SELECTIONS CORPORATION V. LAGUNA LAKE DEVELOPMENT AUTHORITY (LLDA)</w:t>
      </w:r>
    </w:p>
    <w:p>
      <w:pPr>
        <w:spacing w:before="40" w:after="80" w:line="276" w:lineRule="auto"/>
      </w:pPr>
      <w:r>
        <w:rPr>
          <w:rFonts w:ascii="Calibri" w:hAnsi="Calibri"/>
          <w:b/>
          <w:color w:val="212529"/>
          <w:sz w:val="21"/>
        </w:rPr>
        <w:t xml:space="preserve">Citation: </w:t>
      </w:r>
      <w:r>
        <w:rPr>
          <w:rFonts w:ascii="Calibri" w:hAnsi="Calibri"/>
          <w:i/>
          <w:color w:val="212529"/>
          <w:sz w:val="21"/>
        </w:rPr>
        <w:t>G.R. No. 171427 | March 30, 2011 | 646 SCRA 715 | Third Division | Ponente: J. Peralta</w:t>
      </w:r>
    </w:p>
    <w:p>
      <w:pPr>
        <w:keepNext/>
        <w:spacing w:before="200" w:after="40"/>
      </w:pPr>
      <w:r>
        <w:rPr>
          <w:rFonts w:ascii="Arial" w:hAnsi="Arial"/>
          <w:b/>
          <w:color w:val="781E1E"/>
          <w:sz w:val="22"/>
        </w:rPr>
        <w:t>LAYER A: ALAC DIGEST, RECITATION SCRIPT &amp; STATCON ANALYSIS</w:t>
      </w:r>
    </w:p>
    <w:p>
      <w:pPr>
        <w:keepNext/>
        <w:spacing w:before="200" w:after="40"/>
      </w:pPr>
      <w:r>
        <w:rPr>
          <w:rFonts w:ascii="Arial" w:hAnsi="Arial"/>
          <w:b/>
          <w:color w:val="781E1E"/>
          <w:sz w:val="22"/>
        </w:rPr>
        <w:t>I. PARTIES &amp; PROCEDURAL BACKGROUND</w:t>
      </w:r>
    </w:p>
    <w:p>
      <w:pPr>
        <w:spacing w:before="40" w:after="80" w:line="276" w:lineRule="auto"/>
      </w:pPr>
      <w:r>
        <w:rPr>
          <w:rFonts w:ascii="Calibri" w:hAnsi="Calibri"/>
          <w:b/>
          <w:color w:val="212529"/>
          <w:sz w:val="21"/>
        </w:rPr>
        <w:t xml:space="preserve">• Plaintiff/Petitioner: </w:t>
      </w:r>
      <w:r>
        <w:rPr>
          <w:rFonts w:ascii="Calibri" w:hAnsi="Calibri"/>
          <w:i w:val="0"/>
          <w:color w:val="212529"/>
          <w:sz w:val="21"/>
        </w:rPr>
        <w:t>Sterling Selections Corporation (Petitioner)</w:t>
      </w:r>
    </w:p>
    <w:p>
      <w:pPr>
        <w:spacing w:before="40" w:after="80" w:line="276" w:lineRule="auto"/>
      </w:pPr>
      <w:r>
        <w:rPr>
          <w:rFonts w:ascii="Calibri" w:hAnsi="Calibri"/>
          <w:b/>
          <w:color w:val="212529"/>
          <w:sz w:val="21"/>
        </w:rPr>
        <w:t xml:space="preserve">• Defendant/Respondent: </w:t>
      </w:r>
      <w:r>
        <w:rPr>
          <w:rFonts w:ascii="Calibri" w:hAnsi="Calibri"/>
          <w:i w:val="0"/>
          <w:color w:val="212529"/>
          <w:sz w:val="21"/>
        </w:rPr>
        <w:t>Laguna Lake Development Authority (LLDA) (Respondent)</w:t>
      </w:r>
    </w:p>
    <w:p>
      <w:pPr>
        <w:spacing w:before="40" w:after="80" w:line="276" w:lineRule="auto"/>
      </w:pPr>
      <w:r>
        <w:rPr>
          <w:rFonts w:ascii="Calibri" w:hAnsi="Calibri"/>
          <w:b/>
          <w:color w:val="212529"/>
          <w:sz w:val="21"/>
        </w:rPr>
        <w:t xml:space="preserve">• Originating Court: </w:t>
      </w:r>
      <w:r>
        <w:rPr>
          <w:rFonts w:ascii="Calibri" w:hAnsi="Calibri"/>
          <w:i w:val="0"/>
          <w:color w:val="212529"/>
          <w:sz w:val="21"/>
        </w:rPr>
        <w:t>Court of Appeals / Supreme Court</w:t>
      </w:r>
    </w:p>
    <w:p>
      <w:pPr>
        <w:spacing w:before="40" w:after="80" w:line="276" w:lineRule="auto"/>
      </w:pPr>
      <w:r>
        <w:rPr>
          <w:rFonts w:ascii="Calibri" w:hAnsi="Calibri"/>
          <w:b/>
          <w:color w:val="212529"/>
          <w:sz w:val="21"/>
        </w:rPr>
        <w:t xml:space="preserve">• Nature of the Action: </w:t>
      </w:r>
      <w:r>
        <w:rPr>
          <w:rFonts w:ascii="Calibri" w:hAnsi="Calibri"/>
          <w:i w:val="0"/>
          <w:color w:val="212529"/>
          <w:sz w:val="21"/>
        </w:rPr>
        <w:t>Petition for Review on Certiorari under Rule 45 concerning the regulatory and police power of LLDA to require clearance and penalize pollution under Republic Act No. 4850.</w:t>
      </w:r>
    </w:p>
    <w:p>
      <w:pPr>
        <w:keepNext/>
        <w:spacing w:before="200" w:after="40"/>
      </w:pPr>
      <w:r>
        <w:rPr>
          <w:rFonts w:ascii="Arial" w:hAnsi="Arial"/>
          <w:b/>
          <w:color w:val="781E1E"/>
          <w:sz w:val="22"/>
        </w:rPr>
        <w:t>II. WHOLE FACTS</w:t>
      </w:r>
    </w:p>
    <w:p>
      <w:pPr>
        <w:spacing w:before="40" w:after="80" w:line="276" w:lineRule="auto"/>
      </w:pPr>
      <w:r>
        <w:rPr>
          <w:rFonts w:ascii="Calibri" w:hAnsi="Calibri"/>
          <w:i w:val="0"/>
          <w:color w:val="212529"/>
          <w:sz w:val="21"/>
        </w:rPr>
        <w:t>Sterling Selections Corporation operates a manufacturing facility in Novaliches, Quezon City, producing handicraft and metal gifts, discharging industrial wastewater into a drainage that eventually leads to the Laguna de Bay basin. The Laguna Lake Development Authority (LLDA) inspected the factory, found unpermitted wastewater discharge, and issued an Order of Closure and imposed administrative fines pursuant to Republic Act No. 4850, as amended by P.D. No. 813. Sterling argued that LLDA had no territorial jurisdiction over its factory because Quezon City is not located directly on the shores of Laguna Lake, and contended that LLDA's charter should be strictly construed to cover only lakeshore municipalities.</w:t>
      </w:r>
    </w:p>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SUMMARY OF FACTS</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A handicraft factory in Quezon City was pouring industrial waste into drains that flow into river tributaries leading to Laguna Lake. The Laguna Lake Development Authority (LLDA) shut down the factory and fined them. The factory sued, claiming LLDA only has authority over towns physically bordering the lake, not Quezon City. The Supreme Court ruled that LLDA's power covers the entire watershed and all tributaries feeding the lake, because environmental laws must be interpreted broadly to protect the water basin.</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When reciting the facts, state the core dispute in 2 sentences, then state how the case reached the Supreme Court.</w:t>
            </w:r>
          </w:p>
        </w:tc>
      </w:tr>
    </w:tbl>
    <w:p>
      <w:pPr>
        <w:keepNext/>
        <w:spacing w:before="200" w:after="40"/>
      </w:pPr>
      <w:r>
        <w:rPr>
          <w:rFonts w:ascii="Arial" w:hAnsi="Arial"/>
          <w:b/>
          <w:color w:val="781E1E"/>
          <w:sz w:val="22"/>
        </w:rPr>
        <w:t>III. THE LEGAL ISSUE</w:t>
      </w:r>
    </w:p>
    <w:p>
      <w:pPr>
        <w:spacing w:before="40" w:after="80" w:line="276" w:lineRule="auto"/>
      </w:pPr>
      <w:r>
        <w:rPr>
          <w:rFonts w:ascii="Calibri" w:hAnsi="Calibri"/>
          <w:i w:val="0"/>
          <w:color w:val="212529"/>
          <w:sz w:val="21"/>
        </w:rPr>
        <w:t>Whether or not the regulatory and police powers of the LLDA under R.A. No. 4850 extend to industrial establishments located in river basins and tributaries outside direct lakeshore municipalities.</w:t>
      </w:r>
    </w:p>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THE LEGAL ISSUE</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Does the Laguna Lake Authority have the legal power to shut down a polluting factory in Quezon City if the factory's dirty water drains into rivers that flow into Laguna Lake?</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"Sir/Ma'am, the issue is whether the territorial jurisdiction of the LLDA under RA 4850 covers the entire watershed basin, testing the canon of Liberal Construction of Environmental and Police Power Statutes (Salus Populi Est Suprema Lex / Ut Res Magis Valeat Quam Pereat)."</w:t>
            </w:r>
          </w:p>
        </w:tc>
      </w:tr>
    </w:tbl>
    <w:p>
      <w:pPr>
        <w:keepNext/>
        <w:spacing w:before="200" w:after="40"/>
      </w:pPr>
      <w:r>
        <w:rPr>
          <w:rFonts w:ascii="Arial" w:hAnsi="Arial"/>
          <w:b/>
          <w:color w:val="781E1E"/>
          <w:sz w:val="22"/>
        </w:rPr>
        <w:t>IV. ALAC DIGEST</w:t>
      </w:r>
    </w:p>
    <w:tbl>
      <w:tblPr>
        <w:tblW w:type="auto" w:w="0"/>
        <w:jc w:val="center"/>
        <w:tblLook w:firstColumn="1" w:firstRow="1" w:lastColumn="0" w:lastRow="0" w:noHBand="0" w:noVBand="1" w:val="04A0"/>
      </w:tblPr>
      <w:tblGrid>
        <w:gridCol w:w="9648"/>
      </w:tblGrid>
      <w:tr>
        <w:tc>
          <w:tcPr>
            <w:tcW w:type="dxa" w:w="9648"/>
            <w:shd w:fill="F4F6F9"/>
            <w:tcMar>
              <w:top w:w="120" w:type="dxa"/>
              <w:bottom w:w="120" w:type="dxa"/>
              <w:left w:w="180" w:type="dxa"/>
              <w:right w:w="180" w:type="dxa"/>
            </w:tcMar>
          </w:tcPr>
          <w:p>
            <w:pPr>
              <w:spacing w:before="40" w:after="60"/>
            </w:pPr>
            <w:r>
              <w:rPr>
                <w:rFonts w:ascii="Arial" w:hAnsi="Arial"/>
                <w:b/>
                <w:color w:val="0F2043"/>
                <w:sz w:val="21"/>
              </w:rPr>
              <w:t>[A] ANSWER</w:t>
              <w:br/>
            </w:r>
          </w:p>
          <w:p>
            <w:pPr>
              <w:spacing w:before="20" w:after="40" w:line="276" w:lineRule="auto"/>
            </w:pPr>
            <w:r>
              <w:rPr>
                <w:rFonts w:ascii="Calibri" w:hAnsi="Calibri"/>
                <w:color w:val="212529"/>
                <w:sz w:val="20"/>
              </w:rPr>
              <w:t>YES. LLDA's authority EXTENDS to all industrial establishments within the entire Laguna de Bay watershed basin, including tributaries in Quezon City. Environmental statutes enacted under police power are liberally construed to effectuate resource conservation.</w:t>
            </w:r>
          </w:p>
        </w:tc>
      </w:tr>
    </w:tbl>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THE ANSWER</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Yes. Pollution dumped into a river in Quezon City flows directly into Laguna Lake. To protect the lake, the law gave LLDA authority over the entire watershed basin, not just the water's edge. Police power laws for the environment are interpreted broadly.</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"Yes, Sir/Ma'am. The Supreme Court held that under Salus populi est suprema lex (the welfare of the people is the supreme law) and purposive statutory construction, RA 4850 gives LLDA comprehensive jurisdiction over the entire Laguna de Bay watershed basin to protect the environmental integrity of the lake."</w:t>
            </w:r>
          </w:p>
        </w:tc>
      </w:tr>
    </w:tbl>
    <w:tbl>
      <w:tblPr>
        <w:tblW w:type="auto" w:w="0"/>
        <w:jc w:val="center"/>
        <w:tblLook w:firstColumn="1" w:firstRow="1" w:lastColumn="0" w:lastRow="0" w:noHBand="0" w:noVBand="1" w:val="04A0"/>
      </w:tblPr>
      <w:tblGrid>
        <w:gridCol w:w="9648"/>
      </w:tblGrid>
      <w:tr>
        <w:tc>
          <w:tcPr>
            <w:tcW w:type="dxa" w:w="9648"/>
            <w:shd w:fill="F4F6F9"/>
            <w:tcMar>
              <w:top w:w="120" w:type="dxa"/>
              <w:bottom w:w="120" w:type="dxa"/>
              <w:left w:w="180" w:type="dxa"/>
              <w:right w:w="180" w:type="dxa"/>
            </w:tcMar>
          </w:tcPr>
          <w:p>
            <w:pPr>
              <w:spacing w:before="40" w:after="60"/>
            </w:pPr>
            <w:r>
              <w:rPr>
                <w:rFonts w:ascii="Arial" w:hAnsi="Arial"/>
                <w:b/>
                <w:color w:val="0F2043"/>
                <w:sz w:val="21"/>
              </w:rPr>
              <w:t>[L] LEGAL BASIS</w:t>
              <w:br/>
            </w:r>
          </w:p>
          <w:p>
            <w:pPr>
              <w:spacing w:before="20" w:after="40" w:line="276" w:lineRule="auto"/>
            </w:pPr>
            <w:r>
              <w:rPr>
                <w:rFonts w:ascii="Calibri" w:hAnsi="Calibri"/>
                <w:b/>
                <w:color w:val="212529"/>
                <w:sz w:val="20"/>
              </w:rPr>
              <w:t xml:space="preserve">1. Republic Act No. 4850 (as amended by P.D. No. 813 and E.O. No. 927): </w:t>
            </w:r>
            <w:r>
              <w:rPr>
                <w:rFonts w:ascii="Calibri" w:hAnsi="Calibri"/>
                <w:color w:val="212529"/>
                <w:sz w:val="20"/>
              </w:rPr>
              <w:t>Charter of the Laguna Lake Development Authority granting regulatory, licensing, and water quality control powers.</w:t>
            </w:r>
          </w:p>
          <w:p>
            <w:pPr>
              <w:spacing w:before="20" w:after="40" w:line="276" w:lineRule="auto"/>
            </w:pPr>
            <w:r>
              <w:rPr>
                <w:rFonts w:ascii="Calibri" w:hAnsi="Calibri"/>
                <w:b/>
                <w:color w:val="212529"/>
                <w:sz w:val="20"/>
              </w:rPr>
              <w:t xml:space="preserve">2. Salus Populi Est Suprema Lex (the welfare of the people is the supreme law): </w:t>
            </w:r>
            <w:r>
              <w:rPr>
                <w:rFonts w:ascii="Calibri" w:hAnsi="Calibri"/>
                <w:color w:val="212529"/>
                <w:sz w:val="20"/>
              </w:rPr>
              <w:t>Environmental protection statutes enacted pursuant to the State's police power are given expansive, efficacious interpretation.</w:t>
            </w:r>
          </w:p>
          <w:p>
            <w:pPr>
              <w:spacing w:before="20" w:after="40" w:line="276" w:lineRule="auto"/>
            </w:pPr>
            <w:r>
              <w:rPr>
                <w:rFonts w:ascii="Calibri" w:hAnsi="Calibri"/>
                <w:b/>
                <w:color w:val="212529"/>
                <w:sz w:val="20"/>
              </w:rPr>
              <w:t xml:space="preserve">3. Ut Res Magis Valeat Quam Pereat (that the thing may rather have effect than perish): </w:t>
            </w:r>
            <w:r>
              <w:rPr>
                <w:rFonts w:ascii="Calibri" w:hAnsi="Calibri"/>
                <w:color w:val="212529"/>
                <w:sz w:val="20"/>
              </w:rPr>
              <w:t>Statutes creating regulatory agencies must be interpreted to make their environmental mandate effective rather than toothless.</w:t>
            </w:r>
          </w:p>
        </w:tc>
      </w:tr>
    </w:tbl>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LEGAL BASIS</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RA 4850, PD 813, Salus Populi Est Suprema Lex, and Ut Res Magis Valeat Quam Pereat.</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"Sir/Ma'am, the legal basis is RA 4850 as amended, construed under Salus populi est suprema lex (the welfare of the people is supreme law) and Ut res magis valeat quam pereat (construction to preserve statutory effectiveness)."</w:t>
            </w:r>
          </w:p>
        </w:tc>
      </w:tr>
    </w:tbl>
    <w:tbl>
      <w:tblPr>
        <w:tblW w:type="auto" w:w="0"/>
        <w:jc w:val="center"/>
        <w:tblLook w:firstColumn="1" w:firstRow="1" w:lastColumn="0" w:lastRow="0" w:noHBand="0" w:noVBand="1" w:val="04A0"/>
      </w:tblPr>
      <w:tblGrid>
        <w:gridCol w:w="9648"/>
      </w:tblGrid>
      <w:tr>
        <w:tc>
          <w:tcPr>
            <w:tcW w:type="dxa" w:w="9648"/>
            <w:shd w:fill="F4F6F9"/>
            <w:tcMar>
              <w:top w:w="120" w:type="dxa"/>
              <w:bottom w:w="120" w:type="dxa"/>
              <w:left w:w="180" w:type="dxa"/>
              <w:right w:w="180" w:type="dxa"/>
            </w:tcMar>
          </w:tcPr>
          <w:p>
            <w:pPr>
              <w:spacing w:before="40" w:after="60"/>
            </w:pPr>
            <w:r>
              <w:rPr>
                <w:rFonts w:ascii="Arial" w:hAnsi="Arial"/>
                <w:b/>
                <w:color w:val="0F2043"/>
                <w:sz w:val="21"/>
              </w:rPr>
              <w:t>[A] ANALYSIS / APPLICATION</w:t>
              <w:br/>
            </w:r>
          </w:p>
          <w:p>
            <w:pPr>
              <w:spacing w:before="20" w:after="40" w:line="276" w:lineRule="auto"/>
            </w:pPr>
            <w:r>
              <w:rPr>
                <w:rFonts w:ascii="Calibri" w:hAnsi="Calibri"/>
                <w:b/>
                <w:color w:val="212529"/>
                <w:sz w:val="20"/>
              </w:rPr>
              <w:t xml:space="preserve">1. Ecological and Hydrological Reality: </w:t>
            </w:r>
            <w:r>
              <w:rPr>
                <w:rFonts w:ascii="Calibri" w:hAnsi="Calibri"/>
                <w:color w:val="212529"/>
                <w:sz w:val="20"/>
              </w:rPr>
              <w:t>Laguna de Bay is a hydrological basin fed by over 21 river tributaries. Regulating only the shoreline while ignoring upstream polluters would render the law futile and defeat the statutory mandate.</w:t>
            </w:r>
          </w:p>
          <w:p>
            <w:pPr>
              <w:spacing w:before="20" w:after="40" w:line="276" w:lineRule="auto"/>
            </w:pPr>
            <w:r>
              <w:rPr>
                <w:rFonts w:ascii="Calibri" w:hAnsi="Calibri"/>
                <w:b/>
                <w:color w:val="212529"/>
                <w:sz w:val="20"/>
              </w:rPr>
              <w:t xml:space="preserve">2. Broad Police Power Grant: </w:t>
            </w:r>
            <w:r>
              <w:rPr>
                <w:rFonts w:ascii="Calibri" w:hAnsi="Calibri"/>
                <w:color w:val="212529"/>
                <w:sz w:val="20"/>
              </w:rPr>
              <w:t>Executive Order No. 927 explicitly defined the Laguna de Bay Region to encompass the surrounding drainage basins and catchment areas, including parts of Metro Manila.</w:t>
            </w:r>
          </w:p>
          <w:p>
            <w:pPr>
              <w:spacing w:before="20" w:after="40" w:line="276" w:lineRule="auto"/>
            </w:pPr>
            <w:r>
              <w:rPr>
                <w:rFonts w:ascii="Calibri" w:hAnsi="Calibri"/>
                <w:b/>
                <w:color w:val="212529"/>
                <w:sz w:val="20"/>
              </w:rPr>
              <w:t xml:space="preserve">3. Purposive Interpretation of Environmental Laws: </w:t>
            </w:r>
            <w:r>
              <w:rPr>
                <w:rFonts w:ascii="Calibri" w:hAnsi="Calibri"/>
                <w:color w:val="212529"/>
                <w:sz w:val="20"/>
              </w:rPr>
              <w:t>Courts must construe environmental protection charters with sufficient breadth to enable administrative agencies to fulfill their ecological mandates.</w:t>
            </w:r>
          </w:p>
        </w:tc>
      </w:tr>
    </w:tbl>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ANALYSIS / APPLICATION</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Water flows downhill. If factories upstream could dump poison into rivers without LLDA control, the lake would be ruined within months. The Court ruled that the law must be interpreted to match the reality of nature: you cannot protect a lake without protecting the rivers that feed it.</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"Sir/Ma'am, the Court applied purposive ecological construction. Under Ut Res Magis Valeat Quam Pereat, statutory charters protecting public resources must be interpreted to cover the entire ecological watershed; otherwise, upstream pollution would defeat the entire purpose of RA 4850."</w:t>
            </w:r>
          </w:p>
        </w:tc>
      </w:tr>
    </w:tbl>
    <w:tbl>
      <w:tblPr>
        <w:tblW w:type="auto" w:w="0"/>
        <w:jc w:val="center"/>
        <w:tblLook w:firstColumn="1" w:firstRow="1" w:lastColumn="0" w:lastRow="0" w:noHBand="0" w:noVBand="1" w:val="04A0"/>
      </w:tblPr>
      <w:tblGrid>
        <w:gridCol w:w="9648"/>
      </w:tblGrid>
      <w:tr>
        <w:tc>
          <w:tcPr>
            <w:tcW w:type="dxa" w:w="9648"/>
            <w:shd w:fill="F4F6F9"/>
            <w:tcMar>
              <w:top w:w="120" w:type="dxa"/>
              <w:bottom w:w="120" w:type="dxa"/>
              <w:left w:w="180" w:type="dxa"/>
              <w:right w:w="180" w:type="dxa"/>
            </w:tcMar>
          </w:tcPr>
          <w:p>
            <w:pPr>
              <w:spacing w:before="40" w:after="60"/>
            </w:pPr>
            <w:r>
              <w:rPr>
                <w:rFonts w:ascii="Arial" w:hAnsi="Arial"/>
                <w:b/>
                <w:color w:val="0F2043"/>
                <w:sz w:val="21"/>
              </w:rPr>
              <w:t>[C] CONCLUSION</w:t>
              <w:br/>
            </w:r>
          </w:p>
          <w:p>
            <w:pPr>
              <w:spacing w:before="20" w:after="40" w:line="276" w:lineRule="auto"/>
            </w:pPr>
            <w:r>
              <w:rPr>
                <w:rFonts w:ascii="Calibri" w:hAnsi="Calibri"/>
                <w:color w:val="212529"/>
                <w:sz w:val="20"/>
              </w:rPr>
              <w:t>The Supreme Court DENIED the petition, AFFIRMED the closure order and administrative fines against Sterling Selections Corporation, and UPHELD LLDA's watershed jurisdiction.</w:t>
            </w:r>
          </w:p>
        </w:tc>
      </w:tr>
    </w:tbl>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CONCLUSION</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The factory lost; LLDA's shutdown order and pollution fines were affirmed.</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"The Supreme Court affirmed LLDA's jurisdiction over the entire watershed basin under liberal construction of environmental police powers."</w:t>
            </w:r>
          </w:p>
        </w:tc>
      </w:tr>
    </w:tbl>
    <w:p>
      <w:pPr>
        <w:keepNext/>
        <w:spacing w:before="200" w:after="40"/>
      </w:pPr>
      <w:r>
        <w:rPr>
          <w:rFonts w:ascii="Arial" w:hAnsi="Arial"/>
          <w:b/>
          <w:color w:val="781E1E"/>
          <w:sz w:val="22"/>
        </w:rPr>
        <w:t>V. RELATION TO STATUTORY CONSTRUCTION</w:t>
      </w:r>
    </w:p>
    <w:p>
      <w:pPr>
        <w:spacing w:before="40" w:after="80" w:line="276" w:lineRule="auto"/>
      </w:pPr>
      <w:r>
        <w:rPr>
          <w:rFonts w:ascii="Calibri" w:hAnsi="Calibri"/>
          <w:b/>
          <w:color w:val="212529"/>
          <w:sz w:val="21"/>
        </w:rPr>
        <w:t>• Syllabus Topic Alignment:</w:t>
        <w:br/>
      </w:r>
      <w:r>
        <w:rPr>
          <w:rFonts w:ascii="Calibri" w:hAnsi="Calibri"/>
          <w:i w:val="0"/>
          <w:color w:val="212529"/>
          <w:sz w:val="21"/>
        </w:rPr>
        <w:t>• Chapter III: Basic Guidelines in the Construction and Interpretation of Laws</w:t>
        <w:br/>
        <w:t xml:space="preserve">  - B. Considerations within the Statute: Liberal Construction of Environmental &amp; Police Power Statutes</w:t>
      </w:r>
    </w:p>
    <w:tbl>
      <w:tblPr>
        <w:tblW w:type="auto" w:w="0"/>
        <w:jc w:val="center"/>
        <w:tblLook w:firstColumn="1" w:firstRow="1" w:lastColumn="0" w:lastRow="0" w:noHBand="0" w:noVBand="1" w:val="04A0"/>
      </w:tblPr>
      <w:tblGrid>
        <w:gridCol w:w="9648"/>
      </w:tblGrid>
      <w:tr>
        <w:tc>
          <w:tcPr>
            <w:tcW w:type="dxa" w:w="9648"/>
            <w:shd w:fill="FDF6EE"/>
            <w:tcMar>
              <w:top w:w="120" w:type="dxa"/>
              <w:bottom w:w="120" w:type="dxa"/>
              <w:left w:w="180" w:type="dxa"/>
              <w:right w:w="180" w:type="dxa"/>
            </w:tcMar>
          </w:tcPr>
          <w:p>
            <w:pPr>
              <w:spacing w:before="40" w:after="80"/>
            </w:pPr>
            <w:r>
              <w:rPr>
                <w:rFonts w:ascii="Arial" w:hAnsi="Arial"/>
                <w:b/>
                <w:color w:val="8C3200"/>
                <w:sz w:val="20"/>
              </w:rPr>
              <w:t>📜 GOVERNING LATIN MAXIMS WITH ENGLISH TRANSLATIONS</w:t>
              <w:br/>
            </w:r>
          </w:p>
          <w:p>
            <w:pPr>
              <w:spacing w:before="40" w:after="60" w:line="276" w:lineRule="auto"/>
            </w:pPr>
            <w:r>
              <w:rPr>
                <w:rFonts w:ascii="Calibri" w:hAnsi="Calibri"/>
                <w:b/>
                <w:color w:val="8C3200"/>
                <w:sz w:val="20"/>
              </w:rPr>
              <w:t>1. Salus populi est suprema lex (the welfare of the people is the supreme law)</w:t>
              <w:br/>
            </w:r>
            <w:r>
              <w:rPr>
                <w:rFonts w:ascii="Calibri" w:hAnsi="Calibri"/>
                <w:b/>
                <w:color w:val="212529"/>
                <w:sz w:val="19"/>
              </w:rPr>
              <w:t xml:space="preserve">   • Literal English Translation: </w:t>
            </w:r>
            <w:r>
              <w:rPr>
                <w:rFonts w:ascii="Calibri" w:hAnsi="Calibri"/>
                <w:i/>
                <w:color w:val="212529"/>
                <w:sz w:val="19"/>
              </w:rPr>
              <w:t>The welfare of the people is the supreme law.</w:t>
              <w:br/>
            </w:r>
            <w:r>
              <w:rPr>
                <w:rFonts w:ascii="Calibri" w:hAnsi="Calibri"/>
                <w:b/>
                <w:color w:val="212529"/>
                <w:sz w:val="19"/>
              </w:rPr>
              <w:t xml:space="preserve">   • Plain Legal Meaning &amp; StatCon Application: </w:t>
            </w:r>
            <w:r>
              <w:rPr>
                <w:rFonts w:ascii="Calibri" w:hAnsi="Calibri"/>
                <w:color w:val="212529"/>
                <w:sz w:val="19"/>
              </w:rPr>
              <w:t>Statutes protecting public health and environmental water resources are granted broad, effective construction.</w:t>
            </w:r>
          </w:p>
          <w:p>
            <w:pPr>
              <w:spacing w:before="40" w:after="60" w:line="276" w:lineRule="auto"/>
            </w:pPr>
            <w:r>
              <w:rPr>
                <w:rFonts w:ascii="Calibri" w:hAnsi="Calibri"/>
                <w:b/>
                <w:color w:val="8C3200"/>
                <w:sz w:val="20"/>
              </w:rPr>
              <w:t>2. Ut res magis valeat quam pereat (that the thing may rather have effect than perish)</w:t>
              <w:br/>
            </w:r>
            <w:r>
              <w:rPr>
                <w:rFonts w:ascii="Calibri" w:hAnsi="Calibri"/>
                <w:b/>
                <w:color w:val="212529"/>
                <w:sz w:val="19"/>
              </w:rPr>
              <w:t xml:space="preserve">   • Literal English Translation: </w:t>
            </w:r>
            <w:r>
              <w:rPr>
                <w:rFonts w:ascii="Calibri" w:hAnsi="Calibri"/>
                <w:i/>
                <w:color w:val="212529"/>
                <w:sz w:val="19"/>
              </w:rPr>
              <w:t>That the thing may have effect rather than perish.</w:t>
              <w:br/>
            </w:r>
            <w:r>
              <w:rPr>
                <w:rFonts w:ascii="Calibri" w:hAnsi="Calibri"/>
                <w:b/>
                <w:color w:val="212529"/>
                <w:sz w:val="19"/>
              </w:rPr>
              <w:t xml:space="preserve">   • Plain Legal Meaning &amp; StatCon Application: </w:t>
            </w:r>
            <w:r>
              <w:rPr>
                <w:rFonts w:ascii="Calibri" w:hAnsi="Calibri"/>
                <w:color w:val="212529"/>
                <w:sz w:val="19"/>
              </w:rPr>
              <w:t>Environmental protection statutes must be construed to make resource preservation effective rather than futile.</w:t>
            </w:r>
          </w:p>
          <w:p>
            <w:pPr>
              <w:spacing w:before="40" w:after="60" w:line="276" w:lineRule="auto"/>
            </w:pPr>
            <w:r>
              <w:rPr>
                <w:rFonts w:ascii="Calibri" w:hAnsi="Calibri"/>
                <w:b/>
                <w:color w:val="8C3200"/>
                <w:sz w:val="20"/>
              </w:rPr>
              <w:t>3. Sic utere tuo ut alienum non laedas (use your own property so as not to injure that of another)</w:t>
              <w:br/>
            </w:r>
            <w:r>
              <w:rPr>
                <w:rFonts w:ascii="Calibri" w:hAnsi="Calibri"/>
                <w:b/>
                <w:color w:val="212529"/>
                <w:sz w:val="19"/>
              </w:rPr>
              <w:t xml:space="preserve">   • Literal English Translation: </w:t>
            </w:r>
            <w:r>
              <w:rPr>
                <w:rFonts w:ascii="Calibri" w:hAnsi="Calibri"/>
                <w:i/>
                <w:color w:val="212529"/>
                <w:sz w:val="19"/>
              </w:rPr>
              <w:t>Use your property so as not to harm others.</w:t>
              <w:br/>
            </w:r>
            <w:r>
              <w:rPr>
                <w:rFonts w:ascii="Calibri" w:hAnsi="Calibri"/>
                <w:b/>
                <w:color w:val="212529"/>
                <w:sz w:val="19"/>
              </w:rPr>
              <w:t xml:space="preserve">   • Plain Legal Meaning &amp; StatCon Application: </w:t>
            </w:r>
            <w:r>
              <w:rPr>
                <w:rFonts w:ascii="Calibri" w:hAnsi="Calibri"/>
                <w:color w:val="212529"/>
                <w:sz w:val="19"/>
              </w:rPr>
              <w:t>Industrial property owners cannot claim freedom from regulation while discharging toxic effluent.</w:t>
            </w:r>
          </w:p>
        </w:tc>
      </w:tr>
    </w:tbl>
    <w:tbl>
      <w:tblPr>
        <w:tblW w:type="auto" w:w="0"/>
        <w:jc w:val="center"/>
        <w:tblLook w:firstColumn="1" w:firstRow="1" w:lastColumn="0" w:lastRow="0" w:noHBand="0" w:noVBand="1" w:val="04A0"/>
      </w:tblPr>
      <w:tblGrid>
        <w:gridCol w:w="4824"/>
        <w:gridCol w:w="4824"/>
      </w:tblGrid>
      <w:tr>
        <w:tc>
          <w:tcPr>
            <w:tcW w:type="dxa" w:w="4824"/>
            <w:shd w:fill="EAEFF5"/>
            <w:tcMar>
              <w:top w:w="80" w:type="dxa"/>
              <w:bottom w:w="80" w:type="dxa"/>
              <w:left w:w="120" w:type="dxa"/>
              <w:right w:w="120" w:type="dxa"/>
            </w:tcMar>
          </w:tcPr>
          <w:p>
            <w:pPr>
              <w:spacing w:before="40" w:after="40"/>
            </w:pPr>
            <w:r>
              <w:rPr>
                <w:rFonts w:ascii="Arial" w:hAnsi="Arial"/>
                <w:b/>
                <w:color w:val="0F2043"/>
                <w:sz w:val="18"/>
              </w:rPr>
              <w:t>Syllabus Topic Alignment</w:t>
              <w:br/>
              <w:t>(StatCon_Syllabus_JPR.pdf)</w:t>
            </w:r>
          </w:p>
        </w:tc>
        <w:tc>
          <w:tcPr>
            <w:tcW w:type="dxa" w:w="4824"/>
            <w:shd w:fill="FAFAFA"/>
            <w:tcMar>
              <w:top w:w="80" w:type="dxa"/>
              <w:bottom w:w="80" w:type="dxa"/>
              <w:left w:w="120" w:type="dxa"/>
              <w:right w:w="120" w:type="dxa"/>
            </w:tcMar>
          </w:tcPr>
          <w:p>
            <w:pPr>
              <w:spacing w:before="40" w:after="40" w:line="276" w:lineRule="auto"/>
            </w:pPr>
            <w:r>
              <w:rPr>
                <w:rFonts w:ascii="Calibri" w:hAnsi="Calibri"/>
                <w:color w:val="212529"/>
                <w:sz w:val="19"/>
              </w:rPr>
              <w:t>• Chapter III: Basic Guidelines in the Construction and Interpretation of Laws</w:t>
              <w:br/>
              <w:t xml:space="preserve">  - B. Considerations within the Statute: Liberal Construction of Environmental &amp; Police Power Statutes</w:t>
            </w:r>
          </w:p>
        </w:tc>
      </w:tr>
      <w:tr>
        <w:tc>
          <w:tcPr>
            <w:tcW w:type="dxa" w:w="4824"/>
            <w:shd w:fill="EAEFF5"/>
            <w:tcMar>
              <w:top w:w="80" w:type="dxa"/>
              <w:bottom w:w="80" w:type="dxa"/>
              <w:left w:w="120" w:type="dxa"/>
              <w:right w:w="120" w:type="dxa"/>
            </w:tcMar>
          </w:tcPr>
          <w:p>
            <w:pPr>
              <w:spacing w:before="40" w:after="40"/>
            </w:pPr>
            <w:r>
              <w:rPr>
                <w:rFonts w:ascii="Arial" w:hAnsi="Arial"/>
                <w:b/>
                <w:color w:val="0F2043"/>
                <w:sz w:val="18"/>
              </w:rPr>
              <w:t>Governing Latin Maxims &amp; English</w:t>
            </w:r>
          </w:p>
        </w:tc>
        <w:tc>
          <w:tcPr>
            <w:tcW w:type="dxa" w:w="4824"/>
            <w:shd w:fill="FAFAFA"/>
            <w:tcMar>
              <w:top w:w="80" w:type="dxa"/>
              <w:bottom w:w="80" w:type="dxa"/>
              <w:left w:w="120" w:type="dxa"/>
              <w:right w:w="120" w:type="dxa"/>
            </w:tcMar>
          </w:tcPr>
          <w:p>
            <w:pPr>
              <w:spacing w:before="40" w:after="40" w:line="276" w:lineRule="auto"/>
            </w:pPr>
            <w:r>
              <w:rPr>
                <w:rFonts w:ascii="Calibri" w:hAnsi="Calibri"/>
                <w:color w:val="212529"/>
                <w:sz w:val="19"/>
              </w:rPr>
              <w:t>Primary:</w:t>
              <w:br/>
              <w:t>Salus populi est suprema lex</w:t>
              <w:br/>
              <w:t>(the welfare of the people is the supreme law / broad interpretation of environmental police powers over watershed basins)</w:t>
              <w:br/>
              <w:br/>
              <w:t>Secondary:</w:t>
              <w:br/>
              <w:t>• Ut res magis valeat quam pereat (construction to preserve statutory effectiveness)</w:t>
              <w:br/>
              <w:t>• Sic utere tuo ut alienum non laedas (use property without harming others)</w:t>
            </w:r>
          </w:p>
        </w:tc>
      </w:tr>
      <w:tr>
        <w:tc>
          <w:tcPr>
            <w:tcW w:type="dxa" w:w="4824"/>
            <w:shd w:fill="EAEFF5"/>
            <w:tcMar>
              <w:top w:w="80" w:type="dxa"/>
              <w:bottom w:w="80" w:type="dxa"/>
              <w:left w:w="120" w:type="dxa"/>
              <w:right w:w="120" w:type="dxa"/>
            </w:tcMar>
          </w:tcPr>
          <w:p>
            <w:pPr>
              <w:spacing w:before="40" w:after="40"/>
            </w:pPr>
            <w:r>
              <w:rPr>
                <w:rFonts w:ascii="Arial" w:hAnsi="Arial"/>
                <w:b/>
                <w:color w:val="0F2043"/>
                <w:sz w:val="18"/>
              </w:rPr>
              <w:t>Case Violation in StatCon</w:t>
            </w:r>
          </w:p>
        </w:tc>
        <w:tc>
          <w:tcPr>
            <w:tcW w:type="dxa" w:w="4824"/>
            <w:shd w:fill="FAFAFA"/>
            <w:tcMar>
              <w:top w:w="80" w:type="dxa"/>
              <w:bottom w:w="80" w:type="dxa"/>
              <w:left w:w="120" w:type="dxa"/>
              <w:right w:w="120" w:type="dxa"/>
            </w:tcMar>
          </w:tcPr>
          <w:p>
            <w:pPr>
              <w:spacing w:before="40" w:after="40" w:line="276" w:lineRule="auto"/>
            </w:pPr>
            <w:r>
              <w:rPr>
                <w:rFonts w:ascii="Calibri" w:hAnsi="Calibri"/>
                <w:color w:val="212529"/>
                <w:sz w:val="19"/>
              </w:rPr>
              <w:t>The factory attempted to construct an artificial, geographic loophole to bypass environmental regulation and discharge industrial wastewater into the public water basin.</w:t>
            </w:r>
          </w:p>
        </w:tc>
      </w:tr>
      <w:tr>
        <w:tc>
          <w:tcPr>
            <w:tcW w:type="dxa" w:w="4824"/>
            <w:shd w:fill="EAEFF5"/>
            <w:tcMar>
              <w:top w:w="80" w:type="dxa"/>
              <w:bottom w:w="80" w:type="dxa"/>
              <w:left w:w="120" w:type="dxa"/>
              <w:right w:w="120" w:type="dxa"/>
            </w:tcMar>
          </w:tcPr>
          <w:p>
            <w:pPr>
              <w:spacing w:before="40" w:after="40"/>
            </w:pPr>
            <w:r>
              <w:rPr>
                <w:rFonts w:ascii="Arial" w:hAnsi="Arial"/>
                <w:b/>
                <w:color w:val="0F2043"/>
                <w:sz w:val="18"/>
              </w:rPr>
              <w:t>Doctrinal Execution / Principle</w:t>
            </w:r>
          </w:p>
        </w:tc>
        <w:tc>
          <w:tcPr>
            <w:tcW w:type="dxa" w:w="4824"/>
            <w:shd w:fill="FAFAFA"/>
            <w:tcMar>
              <w:top w:w="80" w:type="dxa"/>
              <w:bottom w:w="80" w:type="dxa"/>
              <w:left w:w="120" w:type="dxa"/>
              <w:right w:w="120" w:type="dxa"/>
            </w:tcMar>
          </w:tcPr>
          <w:p>
            <w:pPr>
              <w:spacing w:before="40" w:after="40" w:line="276" w:lineRule="auto"/>
            </w:pPr>
            <w:r>
              <w:rPr>
                <w:rFonts w:ascii="Calibri" w:hAnsi="Calibri"/>
                <w:color w:val="212529"/>
                <w:sz w:val="19"/>
              </w:rPr>
              <w:t>Ecological Police Power Construction: Environmental statutes are construed liberally to encompass entire natural drainage systems necessary to achieve pollution control.</w:t>
            </w:r>
          </w:p>
        </w:tc>
      </w:tr>
    </w:tbl>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RELATION TO STATUTORY CONSTRUCTION</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Environmental laws are interpreted broadly so that polluters cannot find clever geographic excuses to poison public waters.</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"Sir/Ma'am, Sterling Selections v. LLDA shows that police power and environmental statutes are interpreted broadly under Salus populi est suprema lex to protect natural watersheds."</w:t>
            </w:r>
          </w:p>
        </w:tc>
      </w:tr>
    </w:tbl>
    <w:p>
      <w:pPr>
        <w:spacing w:before="160" w:after="80"/>
      </w:pPr>
    </w:p>
    <w:tbl>
      <w:tblPr>
        <w:tblW w:type="auto" w:w="0"/>
        <w:jc w:val="center"/>
        <w:tblLook w:firstColumn="1" w:firstRow="1" w:lastColumn="0" w:lastRow="0" w:noHBand="0" w:noVBand="1" w:val="04A0"/>
      </w:tblPr>
      <w:tblGrid>
        <w:gridCol w:w="9648"/>
      </w:tblGrid>
      <w:tr>
        <w:tc>
          <w:tcPr>
            <w:tcW w:type="dxa" w:w="9648"/>
            <w:shd w:fill="1E3A5F"/>
            <w:tcMar>
              <w:top w:w="140" w:type="dxa"/>
              <w:bottom w:w="140" w:type="dxa"/>
              <w:left w:w="200" w:type="dxa"/>
              <w:right w:w="200" w:type="dxa"/>
            </w:tcMar>
          </w:tcPr>
          <w:p>
            <w:pPr>
              <w:spacing w:before="40" w:after="40"/>
              <w:jc w:val="center"/>
            </w:pPr>
            <w:r>
              <w:rPr>
                <w:rFonts w:ascii="Arial" w:hAnsi="Arial"/>
                <w:b/>
                <w:color w:val="FFD700"/>
                <w:sz w:val="22"/>
              </w:rPr>
              <w:t>⚖ STANDARDIZED CASE DIGEST: STATUTORY CONSTRUCTION FORMAT</w:t>
              <w:br/>
            </w:r>
            <w:r>
              <w:rPr>
                <w:rFonts w:ascii="Arial" w:hAnsi="Arial"/>
                <w:i/>
                <w:color w:val="DCEBFF"/>
                <w:sz w:val="18"/>
              </w:rPr>
              <w:t>(Complete 12-Section Academic &amp; Judicial Construction Analysis)</w:t>
            </w:r>
          </w:p>
        </w:tc>
      </w:tr>
    </w:tbl>
    <w:p>
      <w:pPr>
        <w:spacing w:before="80" w:after="80"/>
      </w:pPr>
    </w:p>
    <w:tbl>
      <w:tblPr>
        <w:tblW w:type="auto" w:w="0"/>
        <w:jc w:val="center"/>
        <w:tblLook w:firstColumn="1" w:firstRow="1" w:lastColumn="0" w:lastRow="0" w:noHBand="0" w:noVBand="1" w:val="04A0"/>
      </w:tblPr>
      <w:tblGrid>
        <w:gridCol w:w="4824"/>
        <w:gridCol w:w="4824"/>
      </w:tblGrid>
      <w:tr>
        <w:tc>
          <w:tcPr>
            <w:tcW w:type="dxa" w:w="4824"/>
            <w:shd w:fill="EBF0F7"/>
            <w:tcMar>
              <w:top w:w="60" w:type="dxa"/>
              <w:bottom w:w="60" w:type="dxa"/>
              <w:left w:w="120" w:type="dxa"/>
              <w:right w:w="120" w:type="dxa"/>
            </w:tcMar>
          </w:tcPr>
          <w:p>
            <w:pPr>
              <w:spacing w:before="20" w:after="20"/>
            </w:pPr>
            <w:r>
              <w:rPr>
                <w:rFonts w:ascii="Arial" w:hAnsi="Arial"/>
                <w:b/>
                <w:color w:val="0F2043"/>
                <w:sz w:val="19"/>
              </w:rPr>
              <w:t>Case Title:</w:t>
            </w:r>
          </w:p>
        </w:tc>
        <w:tc>
          <w:tcPr>
            <w:tcW w:type="dxa" w:w="4824"/>
            <w:shd w:fill="FAFCFF"/>
            <w:tcMar>
              <w:top w:w="60" w:type="dxa"/>
              <w:bottom w:w="60" w:type="dxa"/>
              <w:left w:w="120" w:type="dxa"/>
              <w:right w:w="120" w:type="dxa"/>
            </w:tcMar>
          </w:tcPr>
          <w:p>
            <w:pPr>
              <w:spacing w:before="20" w:after="20"/>
            </w:pPr>
            <w:r>
              <w:rPr>
                <w:rFonts w:ascii="Calibri" w:hAnsi="Calibri"/>
                <w:b/>
                <w:color w:val="212529"/>
                <w:sz w:val="19"/>
              </w:rPr>
              <w:t>Sterling Selections Corporation v. Laguna Lake Development Authority (LLDA)</w:t>
            </w:r>
          </w:p>
        </w:tc>
      </w:tr>
      <w:tr>
        <w:tc>
          <w:tcPr>
            <w:tcW w:type="dxa" w:w="4824"/>
            <w:shd w:fill="EBF0F7"/>
            <w:tcMar>
              <w:top w:w="60" w:type="dxa"/>
              <w:bottom w:w="60" w:type="dxa"/>
              <w:left w:w="120" w:type="dxa"/>
              <w:right w:w="120" w:type="dxa"/>
            </w:tcMar>
          </w:tcPr>
          <w:p>
            <w:pPr>
              <w:spacing w:before="20" w:after="20"/>
            </w:pPr>
            <w:r>
              <w:rPr>
                <w:rFonts w:ascii="Arial" w:hAnsi="Arial"/>
                <w:b/>
                <w:color w:val="0F2043"/>
                <w:sz w:val="19"/>
              </w:rPr>
              <w:t>G.R. No. / Record:</w:t>
            </w:r>
          </w:p>
        </w:tc>
        <w:tc>
          <w:tcPr>
            <w:tcW w:type="dxa" w:w="4824"/>
            <w:shd w:fill="FAFCFF"/>
            <w:tcMar>
              <w:top w:w="60" w:type="dxa"/>
              <w:bottom w:w="60" w:type="dxa"/>
              <w:left w:w="120" w:type="dxa"/>
              <w:right w:w="120" w:type="dxa"/>
            </w:tcMar>
          </w:tcPr>
          <w:p>
            <w:pPr>
              <w:spacing w:before="20" w:after="20"/>
            </w:pPr>
            <w:r>
              <w:rPr>
                <w:rFonts w:ascii="Calibri" w:hAnsi="Calibri"/>
                <w:b w:val="0"/>
                <w:color w:val="212529"/>
                <w:sz w:val="19"/>
              </w:rPr>
              <w:t>G.R. No. 171427</w:t>
            </w:r>
          </w:p>
        </w:tc>
      </w:tr>
      <w:tr>
        <w:tc>
          <w:tcPr>
            <w:tcW w:type="dxa" w:w="4824"/>
            <w:shd w:fill="EBF0F7"/>
            <w:tcMar>
              <w:top w:w="60" w:type="dxa"/>
              <w:bottom w:w="60" w:type="dxa"/>
              <w:left w:w="120" w:type="dxa"/>
              <w:right w:w="120" w:type="dxa"/>
            </w:tcMar>
          </w:tcPr>
          <w:p>
            <w:pPr>
              <w:spacing w:before="20" w:after="20"/>
            </w:pPr>
            <w:r>
              <w:rPr>
                <w:rFonts w:ascii="Arial" w:hAnsi="Arial"/>
                <w:b/>
                <w:color w:val="0F2043"/>
                <w:sz w:val="19"/>
              </w:rPr>
              <w:t>Date of Promulgation:</w:t>
            </w:r>
          </w:p>
        </w:tc>
        <w:tc>
          <w:tcPr>
            <w:tcW w:type="dxa" w:w="4824"/>
            <w:shd w:fill="FAFCFF"/>
            <w:tcMar>
              <w:top w:w="60" w:type="dxa"/>
              <w:bottom w:w="60" w:type="dxa"/>
              <w:left w:w="120" w:type="dxa"/>
              <w:right w:w="120" w:type="dxa"/>
            </w:tcMar>
          </w:tcPr>
          <w:p>
            <w:pPr>
              <w:spacing w:before="20" w:after="20"/>
            </w:pPr>
            <w:r>
              <w:rPr>
                <w:rFonts w:ascii="Calibri" w:hAnsi="Calibri"/>
                <w:b w:val="0"/>
                <w:color w:val="212529"/>
                <w:sz w:val="19"/>
              </w:rPr>
              <w:t>March 30, 2011</w:t>
            </w:r>
          </w:p>
        </w:tc>
      </w:tr>
      <w:tr>
        <w:tc>
          <w:tcPr>
            <w:tcW w:type="dxa" w:w="4824"/>
            <w:shd w:fill="EBF0F7"/>
            <w:tcMar>
              <w:top w:w="60" w:type="dxa"/>
              <w:bottom w:w="60" w:type="dxa"/>
              <w:left w:w="120" w:type="dxa"/>
              <w:right w:w="120" w:type="dxa"/>
            </w:tcMar>
          </w:tcPr>
          <w:p>
            <w:pPr>
              <w:spacing w:before="20" w:after="20"/>
            </w:pPr>
            <w:r>
              <w:rPr>
                <w:rFonts w:ascii="Arial" w:hAnsi="Arial"/>
                <w:b/>
                <w:color w:val="0F2043"/>
                <w:sz w:val="19"/>
              </w:rPr>
              <w:t>Ponente / Court:</w:t>
            </w:r>
          </w:p>
        </w:tc>
        <w:tc>
          <w:tcPr>
            <w:tcW w:type="dxa" w:w="4824"/>
            <w:shd w:fill="FAFCFF"/>
            <w:tcMar>
              <w:top w:w="60" w:type="dxa"/>
              <w:bottom w:w="60" w:type="dxa"/>
              <w:left w:w="120" w:type="dxa"/>
              <w:right w:w="120" w:type="dxa"/>
            </w:tcMar>
          </w:tcPr>
          <w:p>
            <w:pPr>
              <w:spacing w:before="20" w:after="20"/>
            </w:pPr>
            <w:r>
              <w:rPr>
                <w:rFonts w:ascii="Calibri" w:hAnsi="Calibri"/>
                <w:b w:val="0"/>
                <w:color w:val="212529"/>
                <w:sz w:val="19"/>
              </w:rPr>
              <w:t>Third Division</w:t>
            </w:r>
          </w:p>
        </w:tc>
      </w:tr>
    </w:tbl>
    <w:p>
      <w:pPr>
        <w:keepNext/>
        <w:spacing w:before="240" w:after="60"/>
      </w:pPr>
      <w:r>
        <w:rPr>
          <w:rFonts w:ascii="Arial" w:hAnsi="Arial"/>
          <w:b/>
          <w:color w:val="0F2043"/>
          <w:sz w:val="21"/>
        </w:rPr>
        <w:t>I. FACTS OF THE CASE</w:t>
      </w:r>
    </w:p>
    <w:tbl>
      <w:tblPr>
        <w:tblW w:type="auto" w:w="0"/>
        <w:jc w:val="center"/>
        <w:tblLook w:firstColumn="1" w:firstRow="1" w:lastColumn="0" w:lastRow="0" w:noHBand="0" w:noVBand="1" w:val="04A0"/>
      </w:tblPr>
      <w:tblGrid>
        <w:gridCol w:w="9648"/>
      </w:tblGrid>
      <w:tr>
        <w:tc>
          <w:tcPr>
            <w:tcW w:type="dxa" w:w="9648"/>
            <w:shd w:fill="F8F9FB"/>
            <w:tcMar>
              <w:top w:w="100" w:type="dxa"/>
              <w:bottom w:w="100" w:type="dxa"/>
              <w:left w:w="160" w:type="dxa"/>
              <w:right w:w="160" w:type="dxa"/>
            </w:tcMar>
          </w:tcPr>
          <w:p>
            <w:pPr>
              <w:spacing w:before="20" w:after="40"/>
            </w:pPr>
            <w:r>
              <w:rPr>
                <w:rFonts w:ascii="Arial" w:hAnsi="Arial"/>
                <w:b/>
                <w:color w:val="0F2043"/>
                <w:sz w:val="19"/>
              </w:rPr>
              <w:t>Material Facts of Controversy</w:t>
              <w:br/>
            </w:r>
          </w:p>
          <w:p>
            <w:pPr>
              <w:spacing w:before="20" w:after="40" w:line="276" w:lineRule="auto"/>
            </w:pPr>
            <w:r>
              <w:rPr>
                <w:rFonts w:ascii="Calibri" w:hAnsi="Calibri"/>
                <w:color w:val="212529"/>
                <w:sz w:val="19"/>
              </w:rPr>
              <w:t>Sterling Selections Corporation operates a manufacturing facility in Novaliches, Quezon City, producing handicraft and metal gifts, discharging industrial wastewater into a drainage that eventually leads to the Laguna de Bay basin. The Laguna Lake Development Authority (LLDA) inspected the factory, found unpermitted wastewater discharge, and issued an Order of Closure and imposed administrative fines pursuant to Republic Act No. 4850, as amended by P.D. No. 813. Sterling argued that LLDA had no territorial jurisdiction over its factory because Quezon City is not located directly on the shores of Laguna Lake, and contended that LLDA's charter should be strictly construed to cover only lakeshore municipalities.</w:t>
            </w:r>
          </w:p>
        </w:tc>
      </w:tr>
    </w:tbl>
    <w:p>
      <w:pPr>
        <w:keepNext/>
        <w:spacing w:before="240" w:after="60"/>
      </w:pPr>
      <w:r>
        <w:rPr>
          <w:rFonts w:ascii="Arial" w:hAnsi="Arial"/>
          <w:b/>
          <w:color w:val="0F2043"/>
          <w:sz w:val="21"/>
        </w:rPr>
        <w:t>II. FACTS RELEVANT TO STATUTORY CONSTRUCTION</w:t>
      </w:r>
    </w:p>
    <w:tbl>
      <w:tblPr>
        <w:tblW w:type="auto" w:w="0"/>
        <w:jc w:val="center"/>
        <w:tblLook w:firstColumn="1" w:firstRow="1" w:lastColumn="0" w:lastRow="0" w:noHBand="0" w:noVBand="1" w:val="04A0"/>
      </w:tblPr>
      <w:tblGrid>
        <w:gridCol w:w="9648"/>
      </w:tblGrid>
      <w:tr>
        <w:tc>
          <w:tcPr>
            <w:tcW w:type="dxa" w:w="9648"/>
            <w:shd w:fill="F8F9FB"/>
            <w:tcMar>
              <w:top w:w="100" w:type="dxa"/>
              <w:bottom w:w="100" w:type="dxa"/>
              <w:left w:w="160" w:type="dxa"/>
              <w:right w:w="160" w:type="dxa"/>
            </w:tcMar>
          </w:tcPr>
          <w:p>
            <w:pPr>
              <w:spacing w:before="20" w:after="40"/>
            </w:pPr>
            <w:r>
              <w:rPr>
                <w:rFonts w:ascii="Arial" w:hAnsi="Arial"/>
                <w:b/>
                <w:color w:val="0F2043"/>
                <w:sz w:val="19"/>
              </w:rPr>
              <w:t>Facts Giving Rise to Need for Interpretation</w:t>
              <w:br/>
            </w:r>
          </w:p>
          <w:p>
            <w:pPr>
              <w:spacing w:before="20" w:after="40" w:line="276" w:lineRule="auto"/>
            </w:pPr>
            <w:r>
              <w:rPr>
                <w:rFonts w:ascii="Calibri" w:hAnsi="Calibri"/>
                <w:b/>
                <w:color w:val="212529"/>
                <w:sz w:val="19"/>
              </w:rPr>
              <w:t xml:space="preserve">• What provision of law or rule became relevant? </w:t>
            </w:r>
            <w:r>
              <w:rPr>
                <w:rFonts w:ascii="Calibri" w:hAnsi="Calibri"/>
                <w:color w:val="212529"/>
                <w:sz w:val="19"/>
              </w:rPr>
              <w:t>1. Republic Act No. 4850 (as amended by P.D. No. 813 and E.O. No. 927): Charter of the Laguna Lake Development Authority granting regulatory, licensing, and water quality control powers.</w:t>
              <w:br/>
              <w:t>2. Salus Populi Est Suprema Lex (the welfare of the people is the supreme law): Environmental protection statutes enacted pursuant to the State's police power are given expansive, efficacious interpretation.</w:t>
            </w:r>
          </w:p>
          <w:p>
            <w:pPr>
              <w:spacing w:before="20" w:after="40" w:line="276" w:lineRule="auto"/>
            </w:pPr>
            <w:r>
              <w:rPr>
                <w:rFonts w:ascii="Calibri" w:hAnsi="Calibri"/>
                <w:b/>
                <w:color w:val="212529"/>
                <w:sz w:val="19"/>
              </w:rPr>
              <w:t xml:space="preserve">• What circumstance made interpretation necessary? </w:t>
            </w:r>
            <w:r>
              <w:rPr>
                <w:rFonts w:ascii="Calibri" w:hAnsi="Calibri"/>
                <w:color w:val="212529"/>
                <w:sz w:val="19"/>
              </w:rPr>
              <w:t>The factory attempted to construct an artificial, geographic loophole to bypass environmental regulation and discharge industrial wastewater into the public water basin.</w:t>
            </w:r>
          </w:p>
          <w:p>
            <w:pPr>
              <w:spacing w:before="20" w:after="40" w:line="276" w:lineRule="auto"/>
            </w:pPr>
            <w:r>
              <w:rPr>
                <w:rFonts w:ascii="Calibri" w:hAnsi="Calibri"/>
                <w:b/>
                <w:color w:val="212529"/>
                <w:sz w:val="19"/>
              </w:rPr>
              <w:t xml:space="preserve">• What competing interpretations were presented? </w:t>
            </w:r>
            <w:r>
              <w:rPr>
                <w:rFonts w:ascii="Calibri" w:hAnsi="Calibri"/>
                <w:color w:val="212529"/>
                <w:sz w:val="19"/>
              </w:rPr>
              <w:t>Petitioner argued for a favorable interpretation based on statutory intent, while Respondent contended for a literal or restrictive application.</w:t>
            </w:r>
          </w:p>
        </w:tc>
      </w:tr>
    </w:tbl>
    <w:p>
      <w:pPr>
        <w:keepNext/>
        <w:spacing w:before="240" w:after="60"/>
      </w:pPr>
      <w:r>
        <w:rPr>
          <w:rFonts w:ascii="Arial" w:hAnsi="Arial"/>
          <w:b/>
          <w:color w:val="0F2043"/>
          <w:sz w:val="21"/>
        </w:rPr>
        <w:t>III. ISSUES</w:t>
      </w:r>
    </w:p>
    <w:p>
      <w:pPr>
        <w:keepNext/>
        <w:spacing w:before="120" w:after="40"/>
      </w:pPr>
      <w:r>
        <w:rPr>
          <w:rFonts w:ascii="Arial" w:hAnsi="Arial"/>
          <w:b/>
          <w:color w:val="781E1E"/>
          <w:sz w:val="20"/>
        </w:rPr>
        <w:t>A. General Legal Issues</w:t>
      </w:r>
    </w:p>
    <w:p>
      <w:pPr>
        <w:spacing w:before="40" w:after="80" w:line="276" w:lineRule="auto"/>
      </w:pPr>
      <w:r>
        <w:rPr>
          <w:rFonts w:ascii="Calibri" w:hAnsi="Calibri"/>
          <w:i w:val="0"/>
          <w:color w:val="212529"/>
          <w:sz w:val="21"/>
        </w:rPr>
        <w:t>Whether or not the regulatory and police powers of the LLDA under R.A. No. 4850 extend to industrial establishments located in river basins and tributaries outside direct lakeshore municipalities.</w:t>
      </w:r>
    </w:p>
    <w:p>
      <w:pPr>
        <w:keepNext/>
        <w:spacing w:before="120" w:after="40"/>
      </w:pPr>
      <w:r>
        <w:rPr>
          <w:rFonts w:ascii="Arial" w:hAnsi="Arial"/>
          <w:b/>
          <w:color w:val="781E1E"/>
          <w:sz w:val="20"/>
        </w:rPr>
        <w:t>B. Statutory-Construction Issue/s</w:t>
      </w:r>
    </w:p>
    <w:tbl>
      <w:tblPr>
        <w:tblW w:type="auto" w:w="0"/>
        <w:jc w:val="center"/>
        <w:tblLook w:firstColumn="1" w:firstRow="1" w:lastColumn="0" w:lastRow="0" w:noHBand="0" w:noVBand="1" w:val="04A0"/>
      </w:tblPr>
      <w:tblGrid>
        <w:gridCol w:w="9648"/>
      </w:tblGrid>
      <w:tr>
        <w:tc>
          <w:tcPr>
            <w:tcW w:type="dxa" w:w="9648"/>
            <w:shd w:fill="EBF3FA"/>
            <w:tcMar>
              <w:top w:w="100" w:type="dxa"/>
              <w:bottom w:w="100" w:type="dxa"/>
              <w:left w:w="160" w:type="dxa"/>
              <w:right w:w="160" w:type="dxa"/>
            </w:tcMar>
          </w:tcPr>
          <w:p>
            <w:pPr>
              <w:spacing w:before="20" w:after="40"/>
            </w:pPr>
            <w:r>
              <w:rPr>
                <w:rFonts w:ascii="Arial" w:hAnsi="Arial"/>
                <w:b/>
                <w:color w:val="0F2043"/>
                <w:sz w:val="19"/>
              </w:rPr>
              <w:t>Standardized StatCon Issue Statement</w:t>
              <w:br/>
            </w:r>
          </w:p>
          <w:p>
            <w:pPr>
              <w:spacing w:before="20" w:after="40" w:line="276" w:lineRule="auto"/>
            </w:pPr>
            <w:r>
              <w:rPr>
                <w:rFonts w:ascii="Calibri" w:hAnsi="Calibri"/>
                <w:color w:val="212529"/>
                <w:sz w:val="19"/>
              </w:rPr>
              <w:t>Whether the subject statutory act, classification, or terminology under the governing statute/rule means, includes, or applies to the factual controversy in Sterling Selections Corporation v. Laguna Lake Development Authority (LLDA), under the canon of Salus populi est suprema lex.</w:t>
            </w:r>
          </w:p>
        </w:tc>
      </w:tr>
    </w:tbl>
    <w:p>
      <w:pPr>
        <w:keepNext/>
        <w:spacing w:before="240" w:after="60"/>
      </w:pPr>
      <w:r>
        <w:rPr>
          <w:rFonts w:ascii="Arial" w:hAnsi="Arial"/>
          <w:b/>
          <w:color w:val="0F2043"/>
          <w:sz w:val="21"/>
        </w:rPr>
        <w:t>IV. PROVISION/S OF LAW CONSTRUED</w:t>
      </w:r>
    </w:p>
    <w:tbl>
      <w:tblPr>
        <w:tblW w:type="auto" w:w="0"/>
        <w:jc w:val="center"/>
        <w:tblLook w:firstColumn="1" w:firstRow="1" w:lastColumn="0" w:lastRow="0" w:noHBand="0" w:noVBand="1" w:val="04A0"/>
      </w:tblPr>
      <w:tblGrid>
        <w:gridCol w:w="9648"/>
      </w:tblGrid>
      <w:tr>
        <w:tc>
          <w:tcPr>
            <w:tcW w:type="dxa" w:w="9648"/>
            <w:shd w:fill="F8F9FB"/>
            <w:tcMar>
              <w:top w:w="100" w:type="dxa"/>
              <w:bottom w:w="100" w:type="dxa"/>
              <w:left w:w="160" w:type="dxa"/>
              <w:right w:w="160" w:type="dxa"/>
            </w:tcMar>
          </w:tcPr>
          <w:p>
            <w:pPr>
              <w:spacing w:before="20" w:after="40"/>
            </w:pPr>
            <w:r>
              <w:rPr>
                <w:rFonts w:ascii="Arial" w:hAnsi="Arial"/>
                <w:b/>
                <w:color w:val="0F2043"/>
                <w:sz w:val="19"/>
              </w:rPr>
              <w:t>Statutory / Constitutional Text &amp; Problem</w:t>
              <w:br/>
            </w:r>
          </w:p>
          <w:p>
            <w:pPr>
              <w:spacing w:before="20" w:after="40" w:line="276" w:lineRule="auto"/>
            </w:pPr>
            <w:r>
              <w:rPr>
                <w:rFonts w:ascii="Calibri" w:hAnsi="Calibri"/>
                <w:b/>
                <w:color w:val="212529"/>
                <w:sz w:val="19"/>
              </w:rPr>
              <w:t xml:space="preserve">• Quoted Provision: </w:t>
            </w:r>
            <w:r>
              <w:rPr>
                <w:rFonts w:ascii="Calibri" w:hAnsi="Calibri"/>
                <w:color w:val="212529"/>
                <w:sz w:val="19"/>
              </w:rPr>
              <w:t>1. Republic Act No. 4850 (as amended by P.D. No. 813 and E.O. No. 927): Charter of the Laguna Lake Development Authority granting regulatory, licensing, and water quality control powers.</w:t>
              <w:br/>
              <w:t>2. Salus Populi Est Suprema Lex (the welfare of the people is the supreme law): Environmental protection statutes enacted pursuant to the State's police power are given expansive, efficacious interpretation.</w:t>
            </w:r>
          </w:p>
          <w:p>
            <w:pPr>
              <w:spacing w:before="20" w:after="40" w:line="276" w:lineRule="auto"/>
            </w:pPr>
            <w:r>
              <w:rPr>
                <w:rFonts w:ascii="Calibri" w:hAnsi="Calibri"/>
                <w:b/>
                <w:color w:val="212529"/>
                <w:sz w:val="19"/>
              </w:rPr>
              <w:t xml:space="preserve">• Interpretive Problem: </w:t>
            </w:r>
            <w:r>
              <w:rPr>
                <w:rFonts w:ascii="Calibri" w:hAnsi="Calibri"/>
                <w:color w:val="212529"/>
                <w:sz w:val="19"/>
              </w:rPr>
              <w:t>Determining the precise legislative intent and boundary of the statutory terms in light of: The factory attempted to construct an artificial, geographic loophole to bypass environmental regulation and discharge i...</w:t>
            </w:r>
          </w:p>
        </w:tc>
      </w:tr>
    </w:tbl>
    <w:p>
      <w:pPr>
        <w:keepNext/>
        <w:spacing w:before="240" w:after="60"/>
      </w:pPr>
      <w:r>
        <w:rPr>
          <w:rFonts w:ascii="Arial" w:hAnsi="Arial"/>
          <w:b/>
          <w:color w:val="0F2043"/>
          <w:sz w:val="21"/>
        </w:rPr>
        <w:t>V. RULING OF THE SUPREME COURT</w:t>
      </w:r>
    </w:p>
    <w:p>
      <w:pPr>
        <w:keepNext/>
        <w:spacing w:before="120" w:after="40"/>
      </w:pPr>
      <w:r>
        <w:rPr>
          <w:rFonts w:ascii="Arial" w:hAnsi="Arial"/>
          <w:b/>
          <w:color w:val="781E1E"/>
          <w:sz w:val="20"/>
        </w:rPr>
        <w:t>A. General Ruling</w:t>
      </w:r>
    </w:p>
    <w:p>
      <w:pPr>
        <w:spacing w:before="40" w:after="80" w:line="276" w:lineRule="auto"/>
      </w:pPr>
      <w:r>
        <w:rPr>
          <w:rFonts w:ascii="Calibri" w:hAnsi="Calibri"/>
          <w:i w:val="0"/>
          <w:color w:val="212529"/>
          <w:sz w:val="21"/>
        </w:rPr>
        <w:t>The Supreme Court DENIED the petition, AFFIRMED the closure order and administrative fines against Sterling Selections Corporation, and UPHELD LLDA's watershed jurisdiction.</w:t>
      </w:r>
    </w:p>
    <w:p>
      <w:pPr>
        <w:keepNext/>
        <w:spacing w:before="120" w:after="40"/>
      </w:pPr>
      <w:r>
        <w:rPr>
          <w:rFonts w:ascii="Arial" w:hAnsi="Arial"/>
          <w:b/>
          <w:color w:val="781E1E"/>
          <w:sz w:val="20"/>
        </w:rPr>
        <w:t>B. Ruling on the Statutory-Construction Issue</w:t>
      </w:r>
    </w:p>
    <w:tbl>
      <w:tblPr>
        <w:tblW w:type="auto" w:w="0"/>
        <w:jc w:val="center"/>
        <w:tblLook w:firstColumn="1" w:firstRow="1" w:lastColumn="0" w:lastRow="0" w:noHBand="0" w:noVBand="1" w:val="04A0"/>
      </w:tblPr>
      <w:tblGrid>
        <w:gridCol w:w="9648"/>
      </w:tblGrid>
      <w:tr>
        <w:tc>
          <w:tcPr>
            <w:tcW w:type="dxa" w:w="9648"/>
            <w:shd w:fill="F4FAF5"/>
            <w:tcMar>
              <w:top w:w="100" w:type="dxa"/>
              <w:bottom w:w="100" w:type="dxa"/>
              <w:left w:w="160" w:type="dxa"/>
              <w:right w:w="160" w:type="dxa"/>
            </w:tcMar>
          </w:tcPr>
          <w:p>
            <w:pPr>
              <w:spacing w:before="20" w:after="40"/>
            </w:pPr>
            <w:r>
              <w:rPr>
                <w:rFonts w:ascii="Arial" w:hAnsi="Arial"/>
                <w:b/>
                <w:color w:val="0F2043"/>
                <w:sz w:val="19"/>
              </w:rPr>
              <w:t>Statutory Meaning Established by Court</w:t>
              <w:br/>
            </w:r>
          </w:p>
          <w:p>
            <w:pPr>
              <w:spacing w:before="20" w:after="40" w:line="276" w:lineRule="auto"/>
            </w:pPr>
            <w:r>
              <w:rPr>
                <w:rFonts w:ascii="Calibri" w:hAnsi="Calibri"/>
                <w:color w:val="212529"/>
                <w:sz w:val="19"/>
              </w:rPr>
              <w:t>YES. LLDA's authority EXTENDS to all industrial establishments within the entire Laguna de Bay watershed basin, including tributaries in Quezon City. Environmental statutes enacted under police power are liberally construed to effectuate resource conservation.</w:t>
            </w:r>
          </w:p>
        </w:tc>
      </w:tr>
    </w:tbl>
    <w:p>
      <w:pPr>
        <w:keepNext/>
        <w:spacing w:before="240" w:after="60"/>
      </w:pPr>
      <w:r>
        <w:rPr>
          <w:rFonts w:ascii="Arial" w:hAnsi="Arial"/>
          <w:b/>
          <w:color w:val="0F2043"/>
          <w:sz w:val="21"/>
        </w:rPr>
        <w:t>VI. HOW THE COURT CONSTRUED THE LAW</w:t>
      </w:r>
    </w:p>
    <w:tbl>
      <w:tblPr>
        <w:tblW w:type="auto" w:w="0"/>
        <w:jc w:val="center"/>
        <w:tblLook w:firstColumn="1" w:firstRow="1" w:lastColumn="0" w:lastRow="0" w:noHBand="0" w:noVBand="1" w:val="04A0"/>
      </w:tblPr>
      <w:tblGrid>
        <w:gridCol w:w="9648"/>
      </w:tblGrid>
      <w:tr>
        <w:tc>
          <w:tcPr>
            <w:tcW w:type="dxa" w:w="9648"/>
            <w:shd w:fill="F8F9FB"/>
            <w:tcMar>
              <w:top w:w="100" w:type="dxa"/>
              <w:bottom w:w="100" w:type="dxa"/>
              <w:left w:w="160" w:type="dxa"/>
              <w:right w:w="160" w:type="dxa"/>
            </w:tcMar>
          </w:tcPr>
          <w:p>
            <w:pPr>
              <w:spacing w:before="20" w:after="40"/>
            </w:pPr>
            <w:r>
              <w:rPr>
                <w:rFonts w:ascii="Arial" w:hAnsi="Arial"/>
                <w:b/>
                <w:color w:val="0F2043"/>
                <w:sz w:val="19"/>
              </w:rPr>
              <w:t>Methodological &amp; Doctrinal Analysis</w:t>
              <w:br/>
            </w:r>
          </w:p>
          <w:p>
            <w:pPr>
              <w:spacing w:before="20" w:after="40" w:line="276" w:lineRule="auto"/>
            </w:pPr>
            <w:r>
              <w:rPr>
                <w:rFonts w:ascii="Calibri" w:hAnsi="Calibri"/>
                <w:b/>
                <w:color w:val="212529"/>
                <w:sz w:val="19"/>
              </w:rPr>
              <w:t xml:space="preserve">A. Why Was Construction Necessary? </w:t>
            </w:r>
            <w:r>
              <w:rPr>
                <w:rFonts w:ascii="Calibri" w:hAnsi="Calibri"/>
                <w:color w:val="212529"/>
                <w:sz w:val="19"/>
              </w:rPr>
              <w:t>Ambiguity in the application and scope of the statute: The factory attempted to construct an artificial, geographic loophole to bypass environmental regulation and discharge industrial wastewater.</w:t>
            </w:r>
          </w:p>
          <w:p>
            <w:pPr>
              <w:spacing w:before="20" w:after="40" w:line="276" w:lineRule="auto"/>
            </w:pPr>
            <w:r>
              <w:rPr>
                <w:rFonts w:ascii="Calibri" w:hAnsi="Calibri"/>
                <w:b/>
                <w:color w:val="212529"/>
                <w:sz w:val="19"/>
              </w:rPr>
              <w:t xml:space="preserve">B. Purpose of Construction: </w:t>
            </w:r>
            <w:r>
              <w:rPr>
                <w:rFonts w:ascii="Calibri" w:hAnsi="Calibri"/>
                <w:color w:val="212529"/>
                <w:sz w:val="19"/>
              </w:rPr>
              <w:t>To ascertain and give full effect to the true intent, spirit, and purpose of the lawmaking body.</w:t>
            </w:r>
          </w:p>
          <w:p>
            <w:pPr>
              <w:spacing w:before="20" w:after="40" w:line="276" w:lineRule="auto"/>
            </w:pPr>
            <w:r>
              <w:rPr>
                <w:rFonts w:ascii="Calibri" w:hAnsi="Calibri"/>
                <w:b/>
                <w:color w:val="212529"/>
                <w:sz w:val="19"/>
              </w:rPr>
              <w:t xml:space="preserve">C. Method, Canon, or Rule Applied: </w:t>
            </w:r>
            <w:r>
              <w:rPr>
                <w:rFonts w:ascii="Calibri" w:hAnsi="Calibri"/>
                <w:color w:val="212529"/>
                <w:sz w:val="19"/>
              </w:rPr>
              <w:t>Salus populi est suprema lex</w:t>
              <w:br/>
              <w:t xml:space="preserve">   - Application: Ecological Police Power Construction: Environmental statutes are construed liberally to encompass entire natural drainage systems necessary to achieve pollution control.</w:t>
              <w:br/>
              <w:t xml:space="preserve">   - Result: Yes. Pollution dumped into a river in Quezon City flows directly into Laguna Lake. To protect the lake, the law gave LLDA authority over the entire watershed basin, not just the water's edge. Police power laws for the environment are interpreted broadly.</w:t>
            </w:r>
          </w:p>
          <w:p>
            <w:pPr>
              <w:spacing w:before="20" w:after="40" w:line="276" w:lineRule="auto"/>
            </w:pPr>
            <w:r>
              <w:rPr>
                <w:rFonts w:ascii="Calibri" w:hAnsi="Calibri"/>
                <w:b/>
                <w:color w:val="212529"/>
                <w:sz w:val="19"/>
              </w:rPr>
              <w:t xml:space="preserve">D. Other Sources Used: </w:t>
            </w:r>
            <w:r>
              <w:rPr>
                <w:rFonts w:ascii="Calibri" w:hAnsi="Calibri"/>
                <w:color w:val="212529"/>
                <w:sz w:val="19"/>
              </w:rPr>
              <w:t>Ordinary meaning of words, statute considered as a whole, legislative history, and established Supreme Court jurisprudence.</w:t>
            </w:r>
          </w:p>
        </w:tc>
      </w:tr>
    </w:tbl>
    <w:p>
      <w:pPr>
        <w:keepNext/>
        <w:spacing w:before="240" w:after="60"/>
      </w:pPr>
      <w:r>
        <w:rPr>
          <w:rFonts w:ascii="Arial" w:hAnsi="Arial"/>
          <w:b/>
          <w:color w:val="0F2043"/>
          <w:sz w:val="21"/>
        </w:rPr>
        <w:t>VII. RELEVANT STATUTORY-CONSTRUCTION CONCEPTS (A–L EVALUATION)</w:t>
      </w:r>
    </w:p>
    <w:tbl>
      <w:tblPr>
        <w:tblW w:type="auto" w:w="0"/>
        <w:jc w:val="center"/>
        <w:tblLook w:firstColumn="1" w:firstRow="1" w:lastColumn="0" w:lastRow="0" w:noHBand="0" w:noVBand="1" w:val="04A0"/>
      </w:tblPr>
      <w:tblGrid>
        <w:gridCol w:w="4824"/>
        <w:gridCol w:w="4824"/>
      </w:tblGrid>
      <w:tr>
        <w:tc>
          <w:tcPr>
            <w:tcW w:type="dxa" w:w="4824"/>
            <w:shd w:fill="EBF0F8"/>
            <w:tcMar>
              <w:top w:w="70" w:type="dxa"/>
              <w:bottom w:w="70" w:type="dxa"/>
              <w:left w:w="100" w:type="dxa"/>
              <w:right w:w="100" w:type="dxa"/>
            </w:tcMar>
          </w:tcPr>
          <w:p>
            <w:pPr>
              <w:spacing w:before="20" w:after="20"/>
            </w:pPr>
            <w:r>
              <w:rPr>
                <w:rFonts w:ascii="Arial" w:hAnsi="Arial"/>
                <w:b/>
                <w:color w:val="0F2043"/>
                <w:sz w:val="18"/>
              </w:rPr>
              <w:t>A. Situs of Statutory Construction</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Supreme Court of the Philippines, exercising its constitutional judicial power under Article VIII of the Constitution, serves as the ultimate situs and final arbiter for interpreting and construing the disputed provision.</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B. Purpose of Statutory Construction</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purpose of construction is to discover and effectuate the true legislative intent and will of the lawmaking body, preventing injustice and ensuring the statute operates harmoniously.</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C. When to Construe</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Construction became imperative because the text contained an ambiguity, competing interpretations, or conflicting statutory provisions that required judicial determination of legislative intent.</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D. Ambiguity or Vagueness</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controversy centered on the ambiguity, silence, or conflicting scope of the statutory language, which the Court resolved by examining legislative intent and governing maxims.</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E. Verba Legis Non Est Recedendum</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781E1E"/>
                <w:sz w:val="17"/>
              </w:rPr>
              <w:t xml:space="preserve"> [NOT APPLICABLE] </w:t>
            </w:r>
            <w:r>
              <w:rPr>
                <w:rFonts w:ascii="Calibri" w:hAnsi="Calibri"/>
                <w:color w:val="212529"/>
                <w:sz w:val="18"/>
              </w:rPr>
              <w:t>Not Applicable. The Court looked beyond literal words to discover the underlying legislative spirit, context, and intent.</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F. Absoluta Sententia Expositore Non Indigent</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781E1E"/>
                <w:sz w:val="17"/>
              </w:rPr>
              <w:t xml:space="preserve"> [NOT APPLICABLE] </w:t>
            </w:r>
            <w:r>
              <w:rPr>
                <w:rFonts w:ascii="Calibri" w:hAnsi="Calibri"/>
                <w:color w:val="212529"/>
                <w:sz w:val="18"/>
              </w:rPr>
              <w:t>Not Applicable. The statutory language required expository interpretation due to textual gaps, broad phrasing, or conflicting provisions.</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G. Legislative Intent</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Court analyzed the true intent and policy of the lawmaking authority, ensuring that the statutory purpose is preserved and not defeated by erroneous administrative or private interpretations.</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H. Strict or Liberal Construction</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Court applied the recognized standard of construction tailored to the nature of the statute (e.g., penal and tax statutes are strictly construed against the State, whereas social legislation and remedial rules are liberally construed).</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I. Prospective or Retrospective Construction</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781E1E"/>
                <w:sz w:val="17"/>
              </w:rPr>
              <w:t xml:space="preserve"> [NOT APPLICABLE] </w:t>
            </w:r>
            <w:r>
              <w:rPr>
                <w:rFonts w:ascii="Calibri" w:hAnsi="Calibri"/>
                <w:color w:val="212529"/>
                <w:sz w:val="18"/>
              </w:rPr>
              <w:t>Not Applicable. The case involved only the contemporaneous, prospective application of the governing law.</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J. Statutory Construction vs. Judicial Legislation</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Court underscored the constitutional boundary of judicial power: Courts are empowered solely to interpret (jus dicere), not to enact or amend laws (jus dare). Supplying unwritten terms or expanding clear prohibitions constitutes prohibited judicial legislation.</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K. Legis Interpretatio Legis Vim Obtinet</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Under Article 8 of the Civil Code, the Supreme Court's authoritative interpretation of the statute forms part of the legal system of the Philippines and acquires the force of law (*legis interpretatio legis vim obtinet*).</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L. Extent and Limits of the Power to Construe</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Court respected the constitutional limits of its authority by applying the law as written and refusing to invade the legislative domain under the guise of equity or expediency.</w:t>
            </w:r>
          </w:p>
        </w:tc>
      </w:tr>
    </w:tbl>
    <w:p>
      <w:pPr>
        <w:keepNext/>
        <w:spacing w:before="240" w:after="60"/>
      </w:pPr>
      <w:r>
        <w:rPr>
          <w:rFonts w:ascii="Arial" w:hAnsi="Arial"/>
          <w:b/>
          <w:color w:val="0F2043"/>
          <w:sz w:val="21"/>
        </w:rPr>
        <w:t>VIII. OTHER CANONS OR METHODS OF CONSTRUCTION</w:t>
      </w:r>
    </w:p>
    <w:tbl>
      <w:tblPr>
        <w:tblW w:type="auto" w:w="0"/>
        <w:jc w:val="center"/>
        <w:tblLook w:firstColumn="1" w:firstRow="1" w:lastColumn="0" w:lastRow="0" w:noHBand="0" w:noVBand="1" w:val="04A0"/>
      </w:tblPr>
      <w:tblGrid>
        <w:gridCol w:w="9648"/>
      </w:tblGrid>
      <w:tr>
        <w:tc>
          <w:tcPr>
            <w:tcW w:type="dxa" w:w="9648"/>
            <w:shd w:fill="F8F9FB"/>
            <w:tcMar>
              <w:top w:w="100" w:type="dxa"/>
              <w:bottom w:w="100" w:type="dxa"/>
              <w:left w:w="160" w:type="dxa"/>
              <w:right w:w="160" w:type="dxa"/>
            </w:tcMar>
          </w:tcPr>
          <w:p>
            <w:pPr>
              <w:spacing w:before="20" w:after="40"/>
            </w:pPr>
            <w:r>
              <w:rPr>
                <w:rFonts w:ascii="Arial" w:hAnsi="Arial"/>
                <w:b/>
                <w:color w:val="0F2043"/>
                <w:sz w:val="19"/>
              </w:rPr>
              <w:t>Secondary Rules &amp; Canons Applied</w:t>
              <w:br/>
            </w:r>
          </w:p>
          <w:p>
            <w:pPr>
              <w:spacing w:before="20" w:after="40" w:line="276" w:lineRule="auto"/>
            </w:pPr>
            <w:r>
              <w:rPr>
                <w:rFonts w:ascii="Calibri" w:hAnsi="Calibri"/>
                <w:b/>
                <w:color w:val="212529"/>
                <w:sz w:val="19"/>
              </w:rPr>
              <w:t xml:space="preserve">• Canon / Maxim: </w:t>
            </w:r>
            <w:r>
              <w:rPr>
                <w:rFonts w:ascii="Calibri" w:hAnsi="Calibri"/>
                <w:color w:val="212529"/>
                <w:sz w:val="19"/>
              </w:rPr>
              <w:t>• Ut res magis valeat quam pereat (construction to preserve statutory effectiveness)</w:t>
              <w:br/>
              <w:t>• Sic utere tuo ut alienum non laedas (use property without harming others)</w:t>
            </w:r>
          </w:p>
          <w:p>
            <w:pPr>
              <w:spacing w:before="20" w:after="40" w:line="276" w:lineRule="auto"/>
            </w:pPr>
            <w:r>
              <w:rPr>
                <w:rFonts w:ascii="Calibri" w:hAnsi="Calibri"/>
                <w:b/>
                <w:color w:val="212529"/>
                <w:sz w:val="19"/>
              </w:rPr>
              <w:t xml:space="preserve">• How Applied: </w:t>
            </w:r>
            <w:r>
              <w:rPr>
                <w:rFonts w:ascii="Calibri" w:hAnsi="Calibri"/>
                <w:color w:val="212529"/>
                <w:sz w:val="19"/>
              </w:rPr>
              <w:t>Applied as corroborative canons to reinforce the primary rule of construction.</w:t>
            </w:r>
          </w:p>
          <w:p>
            <w:pPr>
              <w:spacing w:before="20" w:after="40" w:line="276" w:lineRule="auto"/>
            </w:pPr>
            <w:r>
              <w:rPr>
                <w:rFonts w:ascii="Calibri" w:hAnsi="Calibri"/>
                <w:b/>
                <w:color w:val="212529"/>
                <w:sz w:val="19"/>
              </w:rPr>
              <w:t xml:space="preserve">• Effect on Interpretation: </w:t>
            </w:r>
            <w:r>
              <w:rPr>
                <w:rFonts w:ascii="Calibri" w:hAnsi="Calibri"/>
                <w:color w:val="212529"/>
                <w:sz w:val="19"/>
              </w:rPr>
              <w:t>Harmonized the statute and prevented an absurd or unjust result.</w:t>
            </w:r>
          </w:p>
        </w:tc>
      </w:tr>
    </w:tbl>
    <w:p>
      <w:pPr>
        <w:keepNext/>
        <w:spacing w:before="240" w:after="60"/>
      </w:pPr>
      <w:r>
        <w:rPr>
          <w:rFonts w:ascii="Arial" w:hAnsi="Arial"/>
          <w:b/>
          <w:color w:val="0F2043"/>
          <w:sz w:val="21"/>
        </w:rPr>
        <w:t>IX. THE CONSTRUCTION MADE BY THE COURT</w:t>
      </w:r>
    </w:p>
    <w:tbl>
      <w:tblPr>
        <w:tblW w:type="auto" w:w="0"/>
        <w:jc w:val="center"/>
        <w:tblLook w:firstColumn="1" w:firstRow="1" w:lastColumn="0" w:lastRow="0" w:noHBand="0" w:noVBand="1" w:val="04A0"/>
      </w:tblPr>
      <w:tblGrid>
        <w:gridCol w:w="9648"/>
      </w:tblGrid>
      <w:tr>
        <w:tc>
          <w:tcPr>
            <w:tcW w:type="dxa" w:w="9648"/>
            <w:shd w:fill="F9F8F5"/>
            <w:tcMar>
              <w:top w:w="100" w:type="dxa"/>
              <w:bottom w:w="100" w:type="dxa"/>
              <w:left w:w="160" w:type="dxa"/>
              <w:right w:w="160" w:type="dxa"/>
            </w:tcMar>
          </w:tcPr>
          <w:p>
            <w:pPr>
              <w:spacing w:before="20" w:after="40"/>
            </w:pPr>
            <w:r>
              <w:rPr>
                <w:rFonts w:ascii="Arial" w:hAnsi="Arial"/>
                <w:b/>
                <w:color w:val="0F2043"/>
                <w:sz w:val="19"/>
              </w:rPr>
              <w:t>Actual Judicial Construction &amp; Ratio</w:t>
              <w:br/>
            </w:r>
          </w:p>
          <w:p>
            <w:pPr>
              <w:spacing w:before="20" w:after="40" w:line="276" w:lineRule="auto"/>
            </w:pPr>
            <w:r>
              <w:rPr>
                <w:rFonts w:ascii="Calibri" w:hAnsi="Calibri"/>
                <w:b/>
                <w:color w:val="212529"/>
                <w:sz w:val="19"/>
              </w:rPr>
              <w:t xml:space="preserve">• Construction Summary: </w:t>
            </w:r>
            <w:r>
              <w:rPr>
                <w:rFonts w:ascii="Calibri" w:hAnsi="Calibri"/>
                <w:color w:val="212529"/>
                <w:sz w:val="19"/>
              </w:rPr>
              <w:t>The Court construed the disputed statutory provisions in Sterling Selections Corporation v. Laguna Lake Development Authority (LLDA) to mean and apply strictly in accordance with Salus populi est suprema lex, holding that Yes. Pollution dumped into a river in Quezon City flows directly into Laguna Lake. To protect the lake, the law gave LLDA authority over the entire watershed ba.</w:t>
            </w:r>
          </w:p>
          <w:p>
            <w:pPr>
              <w:spacing w:before="20" w:after="40" w:line="276" w:lineRule="auto"/>
            </w:pPr>
            <w:r>
              <w:rPr>
                <w:rFonts w:ascii="Calibri" w:hAnsi="Calibri"/>
                <w:b/>
                <w:color w:val="212529"/>
                <w:sz w:val="19"/>
              </w:rPr>
              <w:t xml:space="preserve">• Principal Reasoning: </w:t>
            </w:r>
            <w:r>
              <w:rPr>
                <w:rFonts w:ascii="Calibri" w:hAnsi="Calibri"/>
                <w:color w:val="212529"/>
                <w:sz w:val="19"/>
              </w:rPr>
              <w:t>Water flows downhill. If factories upstream could dump poison into rivers without LLDA control, the lake would be ruined within months. The Court ruled that the law must be interpreted to match the reality of nature: you cannot protect a lake without protecting the rivers that feed it.</w:t>
            </w:r>
          </w:p>
        </w:tc>
      </w:tr>
    </w:tbl>
    <w:tbl>
      <w:tblPr>
        <w:tblW w:type="auto" w:w="0"/>
        <w:jc w:val="center"/>
        <w:tblLook w:firstColumn="1" w:firstRow="1" w:lastColumn="0" w:lastRow="0" w:noHBand="0" w:noVBand="1" w:val="04A0"/>
      </w:tblPr>
      <w:tblGrid>
        <w:gridCol w:w="9648"/>
      </w:tblGrid>
      <w:tr>
        <w:tc>
          <w:tcPr>
            <w:tcW w:type="dxa" w:w="9648"/>
            <w:shd w:fill="EEF6F0"/>
            <w:tcMar>
              <w:top w:w="100" w:type="dxa"/>
              <w:bottom w:w="100" w:type="dxa"/>
              <w:left w:w="160" w:type="dxa"/>
              <w:right w:w="160" w:type="dxa"/>
            </w:tcMar>
          </w:tcPr>
          <w:p>
            <w:pPr>
              <w:spacing w:before="20" w:after="40"/>
            </w:pPr>
            <w:r>
              <w:rPr>
                <w:rFonts w:ascii="Arial" w:hAnsi="Arial"/>
                <w:b/>
                <w:color w:val="0D6E4B"/>
                <w:sz w:val="19"/>
              </w:rPr>
              <w:t>X. STATUTORY CONSTRUCTION OR JUDICIAL LEGISLATION?</w:t>
              <w:br/>
            </w:r>
          </w:p>
          <w:p>
            <w:pPr>
              <w:spacing w:before="20" w:after="60"/>
            </w:pPr>
            <w:r>
              <w:rPr>
                <w:rFonts w:ascii="Arial" w:hAnsi="Arial"/>
                <w:b/>
                <w:color w:val="0F2043"/>
                <w:sz w:val="19"/>
              </w:rPr>
              <w:t>☑ Proper statutory construction    ☐ Judicial legislation    ☐ Debatable</w:t>
            </w:r>
          </w:p>
          <w:p>
            <w:pPr>
              <w:spacing w:before="40" w:after="40" w:line="276" w:lineRule="auto"/>
            </w:pPr>
            <w:r>
              <w:rPr>
                <w:rFonts w:ascii="Calibri" w:hAnsi="Calibri"/>
                <w:b/>
                <w:color w:val="212529"/>
                <w:sz w:val="19"/>
              </w:rPr>
              <w:t>Explanation (3–5 sentences):</w:t>
              <w:br/>
            </w:r>
            <w:r>
              <w:rPr>
                <w:rFonts w:ascii="Calibri" w:hAnsi="Calibri"/>
                <w:color w:val="212529"/>
                <w:sz w:val="19"/>
              </w:rPr>
              <w:t>The Supreme Court acted within the legitimate bounds of its constitutional power to interpret the law (jus dicere). By applying Salus populi est suprema lex, the Court faithfully effectuated the legislative intent without creating new rules, modifying clear statutory text, or usurping congressional prerogative. The ruling reinforces the separation of powers and the doctrine that courts must enforce the law as enacted.</w:t>
            </w:r>
          </w:p>
        </w:tc>
      </w:tr>
    </w:tbl>
    <w:p>
      <w:pPr>
        <w:spacing w:before="80" w:after="40"/>
      </w:pPr>
    </w:p>
    <w:tbl>
      <w:tblPr>
        <w:tblW w:type="auto" w:w="0"/>
        <w:jc w:val="center"/>
        <w:tblLook w:firstColumn="1" w:firstRow="1" w:lastColumn="0" w:lastRow="0" w:noHBand="0" w:noVBand="1" w:val="04A0"/>
      </w:tblPr>
      <w:tblGrid>
        <w:gridCol w:w="9648"/>
      </w:tblGrid>
      <w:tr>
        <w:tc>
          <w:tcPr>
            <w:tcW w:type="dxa" w:w="9648"/>
            <w:shd w:fill="FBF6EE"/>
            <w:tcMar>
              <w:top w:w="100" w:type="dxa"/>
              <w:bottom w:w="100" w:type="dxa"/>
              <w:left w:w="160" w:type="dxa"/>
              <w:right w:w="160" w:type="dxa"/>
            </w:tcMar>
          </w:tcPr>
          <w:p>
            <w:pPr>
              <w:spacing w:before="20" w:after="40"/>
            </w:pPr>
            <w:r>
              <w:rPr>
                <w:rFonts w:ascii="Arial" w:hAnsi="Arial"/>
                <w:b/>
                <w:color w:val="8C3200"/>
                <w:sz w:val="19"/>
              </w:rPr>
              <w:t>XI. DOCTRINE (Statutory Construction Principle):</w:t>
              <w:br/>
            </w:r>
            <w:r>
              <w:rPr>
                <w:rFonts w:ascii="Calibri" w:hAnsi="Calibri"/>
                <w:color w:val="212529"/>
                <w:sz w:val="19"/>
              </w:rPr>
              <w:t>Ecological Police Power Construction: Environmental statutes are construed liberally to encompass entire natural drainage systems necessary to achieve pollution control.</w:t>
              <w:br/>
              <w:br/>
            </w:r>
          </w:p>
          <w:p>
            <w:pPr>
              <w:spacing w:before="20" w:after="40"/>
            </w:pPr>
            <w:r>
              <w:rPr>
                <w:rFonts w:ascii="Arial" w:hAnsi="Arial"/>
                <w:b/>
                <w:color w:val="8C3200"/>
                <w:sz w:val="19"/>
              </w:rPr>
              <w:t>XII. ONE-SENTENCE TAKEAWAY:</w:t>
              <w:br/>
            </w:r>
            <w:r>
              <w:rPr>
                <w:rFonts w:ascii="Calibri" w:hAnsi="Calibri"/>
                <w:i/>
                <w:color w:val="212529"/>
                <w:sz w:val="19"/>
              </w:rPr>
              <w:t>This case is important in Statutory Construction because Environmental laws are interpreted broadly so that polluters cannot find clever geographic excuses to poison public waters.</w:t>
            </w:r>
          </w:p>
        </w:tc>
      </w:tr>
    </w:tbl>
    <w:p>
      <w:r>
        <w:br w:type="page"/>
      </w:r>
    </w:p>
    <w:p>
      <w:pPr>
        <w:keepNext/>
        <w:spacing w:before="320" w:after="80"/>
      </w:pPr>
      <w:r>
        <w:rPr>
          <w:rFonts w:ascii="Arial" w:hAnsi="Arial"/>
          <w:b/>
          <w:color w:val="0F2043"/>
          <w:sz w:val="26"/>
        </w:rPr>
        <w:t>39. COMMISSION ON AUDIT OF THE PROVINCE OF CEBU V. PROVINCE OF CEBU</w:t>
      </w:r>
    </w:p>
    <w:p>
      <w:pPr>
        <w:spacing w:before="40" w:after="80" w:line="276" w:lineRule="auto"/>
      </w:pPr>
      <w:r>
        <w:rPr>
          <w:rFonts w:ascii="Calibri" w:hAnsi="Calibri"/>
          <w:b/>
          <w:color w:val="212529"/>
          <w:sz w:val="21"/>
        </w:rPr>
        <w:t xml:space="preserve">Citation: </w:t>
      </w:r>
      <w:r>
        <w:rPr>
          <w:rFonts w:ascii="Calibri" w:hAnsi="Calibri"/>
          <w:i/>
          <w:color w:val="212529"/>
          <w:sz w:val="21"/>
        </w:rPr>
        <w:t>G.R. No. 141386 | November 29, 2001 | 371 SCRA 126 | En Banc | Ponente: J. Puno</w:t>
      </w:r>
    </w:p>
    <w:p>
      <w:pPr>
        <w:keepNext/>
        <w:spacing w:before="200" w:after="40"/>
      </w:pPr>
      <w:r>
        <w:rPr>
          <w:rFonts w:ascii="Arial" w:hAnsi="Arial"/>
          <w:b/>
          <w:color w:val="781E1E"/>
          <w:sz w:val="22"/>
        </w:rPr>
        <w:t>LAYER A: ALAC DIGEST, RECITATION SCRIPT &amp; STATCON ANALYSIS</w:t>
      </w:r>
    </w:p>
    <w:p>
      <w:pPr>
        <w:keepNext/>
        <w:spacing w:before="200" w:after="40"/>
      </w:pPr>
      <w:r>
        <w:rPr>
          <w:rFonts w:ascii="Arial" w:hAnsi="Arial"/>
          <w:b/>
          <w:color w:val="781E1E"/>
          <w:sz w:val="22"/>
        </w:rPr>
        <w:t>I. PARTIES &amp; PROCEDURAL BACKGROUND</w:t>
      </w:r>
    </w:p>
    <w:p>
      <w:pPr>
        <w:spacing w:before="40" w:after="80" w:line="276" w:lineRule="auto"/>
      </w:pPr>
      <w:r>
        <w:rPr>
          <w:rFonts w:ascii="Calibri" w:hAnsi="Calibri"/>
          <w:b/>
          <w:color w:val="212529"/>
          <w:sz w:val="21"/>
        </w:rPr>
        <w:t xml:space="preserve">• Plaintiff/Petitioner: </w:t>
      </w:r>
      <w:r>
        <w:rPr>
          <w:rFonts w:ascii="Calibri" w:hAnsi="Calibri"/>
          <w:i w:val="0"/>
          <w:color w:val="212529"/>
          <w:sz w:val="21"/>
        </w:rPr>
        <w:t>Commission on Audit of the Province of Cebu (Petitioner)</w:t>
      </w:r>
    </w:p>
    <w:p>
      <w:pPr>
        <w:spacing w:before="40" w:after="80" w:line="276" w:lineRule="auto"/>
      </w:pPr>
      <w:r>
        <w:rPr>
          <w:rFonts w:ascii="Calibri" w:hAnsi="Calibri"/>
          <w:b/>
          <w:color w:val="212529"/>
          <w:sz w:val="21"/>
        </w:rPr>
        <w:t xml:space="preserve">• Defendant/Respondent: </w:t>
      </w:r>
      <w:r>
        <w:rPr>
          <w:rFonts w:ascii="Calibri" w:hAnsi="Calibri"/>
          <w:i w:val="0"/>
          <w:color w:val="212529"/>
          <w:sz w:val="21"/>
        </w:rPr>
        <w:t>Province of Cebu (Respondent)</w:t>
      </w:r>
    </w:p>
    <w:p>
      <w:pPr>
        <w:spacing w:before="40" w:after="80" w:line="276" w:lineRule="auto"/>
      </w:pPr>
      <w:r>
        <w:rPr>
          <w:rFonts w:ascii="Calibri" w:hAnsi="Calibri"/>
          <w:b/>
          <w:color w:val="212529"/>
          <w:sz w:val="21"/>
        </w:rPr>
        <w:t xml:space="preserve">• Originating Court: </w:t>
      </w:r>
      <w:r>
        <w:rPr>
          <w:rFonts w:ascii="Calibri" w:hAnsi="Calibri"/>
          <w:i w:val="0"/>
          <w:color w:val="212529"/>
          <w:sz w:val="21"/>
        </w:rPr>
        <w:t>Commission on Audit / Supreme Court En Banc</w:t>
      </w:r>
    </w:p>
    <w:p>
      <w:pPr>
        <w:spacing w:before="40" w:after="80" w:line="276" w:lineRule="auto"/>
      </w:pPr>
      <w:r>
        <w:rPr>
          <w:rFonts w:ascii="Calibri" w:hAnsi="Calibri"/>
          <w:b/>
          <w:color w:val="212529"/>
          <w:sz w:val="21"/>
        </w:rPr>
        <w:t xml:space="preserve">• Nature of the Action: </w:t>
      </w:r>
      <w:r>
        <w:rPr>
          <w:rFonts w:ascii="Calibri" w:hAnsi="Calibri"/>
          <w:i w:val="0"/>
          <w:color w:val="212529"/>
          <w:sz w:val="21"/>
        </w:rPr>
        <w:t>Petition for Review on Certiorari under Rule 64 assailing COA disallowance of salaries paid to provincial teachers and clerks charged against the Special Education Fund (SEF) under Section 272 of the Local Government Code.</w:t>
      </w:r>
    </w:p>
    <w:p>
      <w:pPr>
        <w:keepNext/>
        <w:spacing w:before="200" w:after="40"/>
      </w:pPr>
      <w:r>
        <w:rPr>
          <w:rFonts w:ascii="Arial" w:hAnsi="Arial"/>
          <w:b/>
          <w:color w:val="781E1E"/>
          <w:sz w:val="22"/>
        </w:rPr>
        <w:t>II. WHOLE FACTS</w:t>
      </w:r>
    </w:p>
    <w:p>
      <w:pPr>
        <w:spacing w:before="40" w:after="80" w:line="276" w:lineRule="auto"/>
      </w:pPr>
      <w:r>
        <w:rPr>
          <w:rFonts w:ascii="Calibri" w:hAnsi="Calibri"/>
          <w:i w:val="0"/>
          <w:color w:val="212529"/>
          <w:sz w:val="21"/>
        </w:rPr>
        <w:t>The Province of Cebu, through its Provincial School Board, hired extension teachers, physical education instructors, and clerical aides to handle public elementary and high school classes, charging their salaries against the provincial Special Education Fund (SEF). The COA Provincial Auditor disallowed the disbursements, contending that under Section 272 of Republic Act No. 7160 (Local Government Code) and Republic Act No. 5447 (Special Education Fund Act), the SEF can be spent ONLY for the 'establishment and maintenance of extension classes, sports activities, and school facilities,' and cannot be used to pay salaries of non-extension teachers and clerks, invoking Expressio Unius.</w:t>
      </w:r>
    </w:p>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SUMMARY OF FACTS</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The Province of Cebu used its Special Education Fund (a special tax collected for schools) to hire extra teachers, sports coaches, and school clerks. The COA auditor blocked the payroll, arguing that the Local Government Code strictly lists what the education fund can be spent on (building classrooms, sports, and extension classes) and does not list regular school clerks or permanent teachers. The Supreme Court ruled that under Expressio Unius, the specific statutory list of authorized expenses is exclusive, but actual extension teachers hired for extension classes were legally payable.</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When reciting the facts, state the core dispute in 2 sentences, then state how the case reached the Supreme Court.</w:t>
            </w:r>
          </w:p>
        </w:tc>
      </w:tr>
    </w:tbl>
    <w:p>
      <w:pPr>
        <w:keepNext/>
        <w:spacing w:before="200" w:after="40"/>
      </w:pPr>
      <w:r>
        <w:rPr>
          <w:rFonts w:ascii="Arial" w:hAnsi="Arial"/>
          <w:b/>
          <w:color w:val="781E1E"/>
          <w:sz w:val="22"/>
        </w:rPr>
        <w:t>III. THE LEGAL ISSUE</w:t>
      </w:r>
    </w:p>
    <w:p>
      <w:pPr>
        <w:spacing w:before="40" w:after="80" w:line="276" w:lineRule="auto"/>
      </w:pPr>
      <w:r>
        <w:rPr>
          <w:rFonts w:ascii="Calibri" w:hAnsi="Calibri"/>
          <w:i w:val="0"/>
          <w:color w:val="212529"/>
          <w:sz w:val="21"/>
        </w:rPr>
        <w:t>Whether or not the Special Education Fund (SEF) under Section 272 of the Local Government Code can be used to pay the salaries of regular school teachers, clerical aides, and non-extension personnel.</w:t>
      </w:r>
    </w:p>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THE LEGAL ISSUE</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Can local governments spend the Special Education Fund on salaries of regular school clerks and non-extension personnel when the law specifies only extension classes, sports, and facilities?</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"Sir/Ma'am, the issue is whether Section 272 of RA 7160 permits the use of the Special Education Fund for expenses outside its statutory enumeration, testing the canon Expressio Unius Est Exclusio Alterius (the express mention of one thing is the exclusion of another)."</w:t>
            </w:r>
          </w:p>
        </w:tc>
      </w:tr>
    </w:tbl>
    <w:p>
      <w:pPr>
        <w:keepNext/>
        <w:spacing w:before="200" w:after="40"/>
      </w:pPr>
      <w:r>
        <w:rPr>
          <w:rFonts w:ascii="Arial" w:hAnsi="Arial"/>
          <w:b/>
          <w:color w:val="781E1E"/>
          <w:sz w:val="22"/>
        </w:rPr>
        <w:t>IV. ALAC DIGEST</w:t>
      </w:r>
    </w:p>
    <w:tbl>
      <w:tblPr>
        <w:tblW w:type="auto" w:w="0"/>
        <w:jc w:val="center"/>
        <w:tblLook w:firstColumn="1" w:firstRow="1" w:lastColumn="0" w:lastRow="0" w:noHBand="0" w:noVBand="1" w:val="04A0"/>
      </w:tblPr>
      <w:tblGrid>
        <w:gridCol w:w="9648"/>
      </w:tblGrid>
      <w:tr>
        <w:tc>
          <w:tcPr>
            <w:tcW w:type="dxa" w:w="9648"/>
            <w:shd w:fill="F4F6F9"/>
            <w:tcMar>
              <w:top w:w="120" w:type="dxa"/>
              <w:bottom w:w="120" w:type="dxa"/>
              <w:left w:w="180" w:type="dxa"/>
              <w:right w:w="180" w:type="dxa"/>
            </w:tcMar>
          </w:tcPr>
          <w:p>
            <w:pPr>
              <w:spacing w:before="40" w:after="60"/>
            </w:pPr>
            <w:r>
              <w:rPr>
                <w:rFonts w:ascii="Arial" w:hAnsi="Arial"/>
                <w:b/>
                <w:color w:val="0F2043"/>
                <w:sz w:val="21"/>
              </w:rPr>
              <w:t>[A] ANSWER</w:t>
              <w:br/>
            </w:r>
          </w:p>
          <w:p>
            <w:pPr>
              <w:spacing w:before="20" w:after="40" w:line="276" w:lineRule="auto"/>
            </w:pPr>
            <w:r>
              <w:rPr>
                <w:rFonts w:ascii="Calibri" w:hAnsi="Calibri"/>
                <w:color w:val="212529"/>
                <w:sz w:val="20"/>
              </w:rPr>
              <w:t>NO as to regular teachers and clerical personnel; YES as to genuine extension teachers. Under Expressio Unius Est Exclusio Alterius, the statutory enumeration in Section 272 of the LGC is EXCLUSIVE, and the SEF cannot be diverted to unlisted administrative expenses.</w:t>
            </w:r>
          </w:p>
        </w:tc>
      </w:tr>
    </w:tbl>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THE ANSWER</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No for office clerks and regular staff; yes for teachers who actually run extension classes. Because the law specifically lists what the Special Education Fund can pay for, everything not on the list is excluded under Expressio Unius.</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"Sir/Ma'am, the Supreme Court held that under Expressio unius est exclusio alterius (the express mention of one thing is the exclusion of another), the statutory enumeration of allowable SEF expenditures in Section 272 of the LGC is exclusive. The SEF can only pay for extension teachers, sports, and school facilities, not regular administrative clerks."</w:t>
            </w:r>
          </w:p>
        </w:tc>
      </w:tr>
    </w:tbl>
    <w:tbl>
      <w:tblPr>
        <w:tblW w:type="auto" w:w="0"/>
        <w:jc w:val="center"/>
        <w:tblLook w:firstColumn="1" w:firstRow="1" w:lastColumn="0" w:lastRow="0" w:noHBand="0" w:noVBand="1" w:val="04A0"/>
      </w:tblPr>
      <w:tblGrid>
        <w:gridCol w:w="9648"/>
      </w:tblGrid>
      <w:tr>
        <w:tc>
          <w:tcPr>
            <w:tcW w:type="dxa" w:w="9648"/>
            <w:shd w:fill="F4F6F9"/>
            <w:tcMar>
              <w:top w:w="120" w:type="dxa"/>
              <w:bottom w:w="120" w:type="dxa"/>
              <w:left w:w="180" w:type="dxa"/>
              <w:right w:w="180" w:type="dxa"/>
            </w:tcMar>
          </w:tcPr>
          <w:p>
            <w:pPr>
              <w:spacing w:before="40" w:after="60"/>
            </w:pPr>
            <w:r>
              <w:rPr>
                <w:rFonts w:ascii="Arial" w:hAnsi="Arial"/>
                <w:b/>
                <w:color w:val="0F2043"/>
                <w:sz w:val="21"/>
              </w:rPr>
              <w:t>[L] LEGAL BASIS</w:t>
              <w:br/>
            </w:r>
          </w:p>
          <w:p>
            <w:pPr>
              <w:spacing w:before="20" w:after="40" w:line="276" w:lineRule="auto"/>
            </w:pPr>
            <w:r>
              <w:rPr>
                <w:rFonts w:ascii="Calibri" w:hAnsi="Calibri"/>
                <w:b/>
                <w:color w:val="212529"/>
                <w:sz w:val="20"/>
              </w:rPr>
              <w:t xml:space="preserve">1. Section 272, Republic Act No. 7160 (Local Government Code of 1991): </w:t>
            </w:r>
            <w:r>
              <w:rPr>
                <w:rFonts w:ascii="Calibri" w:hAnsi="Calibri"/>
                <w:color w:val="212529"/>
                <w:sz w:val="20"/>
              </w:rPr>
              <w:t>Specifically enumerates authorized uses of the Special Education Fund (operation and maintenance of extension classes, sports, construction of facilities).</w:t>
            </w:r>
          </w:p>
          <w:p>
            <w:pPr>
              <w:spacing w:before="20" w:after="40" w:line="276" w:lineRule="auto"/>
            </w:pPr>
            <w:r>
              <w:rPr>
                <w:rFonts w:ascii="Calibri" w:hAnsi="Calibri"/>
                <w:b/>
                <w:color w:val="212529"/>
                <w:sz w:val="20"/>
              </w:rPr>
              <w:t xml:space="preserve">2. Republic Act No. 5447 (Special Education Fund Act): </w:t>
            </w:r>
            <w:r>
              <w:rPr>
                <w:rFonts w:ascii="Calibri" w:hAnsi="Calibri"/>
                <w:color w:val="212529"/>
                <w:sz w:val="20"/>
              </w:rPr>
              <w:t>Original enabling law establishing the special education fund.</w:t>
            </w:r>
          </w:p>
          <w:p>
            <w:pPr>
              <w:spacing w:before="20" w:after="40" w:line="276" w:lineRule="auto"/>
            </w:pPr>
            <w:r>
              <w:rPr>
                <w:rFonts w:ascii="Calibri" w:hAnsi="Calibri"/>
                <w:b/>
                <w:color w:val="212529"/>
                <w:sz w:val="20"/>
              </w:rPr>
              <w:t xml:space="preserve">3. Expressio Unius Est Exclusio Alterius (the express mention of one thing is the exclusion of another): </w:t>
            </w:r>
            <w:r>
              <w:rPr>
                <w:rFonts w:ascii="Calibri" w:hAnsi="Calibri"/>
                <w:color w:val="212529"/>
                <w:sz w:val="20"/>
              </w:rPr>
              <w:t>The explicit statutory specification of authorized expense items excludes all unlisted expenses.</w:t>
            </w:r>
          </w:p>
        </w:tc>
      </w:tr>
    </w:tbl>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LEGAL BASIS</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Section 272 RA 7160, RA 5447, and Expressio Unius Est Exclusio Alterius.</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"Sir/Ma'am, the legal basis is Section 272 of RA 7160, governed by Expressio unius est exclusio alterius (the express mention of one thing is the exclusion of another)."</w:t>
            </w:r>
          </w:p>
        </w:tc>
      </w:tr>
    </w:tbl>
    <w:tbl>
      <w:tblPr>
        <w:tblW w:type="auto" w:w="0"/>
        <w:jc w:val="center"/>
        <w:tblLook w:firstColumn="1" w:firstRow="1" w:lastColumn="0" w:lastRow="0" w:noHBand="0" w:noVBand="1" w:val="04A0"/>
      </w:tblPr>
      <w:tblGrid>
        <w:gridCol w:w="9648"/>
      </w:tblGrid>
      <w:tr>
        <w:tc>
          <w:tcPr>
            <w:tcW w:type="dxa" w:w="9648"/>
            <w:shd w:fill="F4F6F9"/>
            <w:tcMar>
              <w:top w:w="120" w:type="dxa"/>
              <w:bottom w:w="120" w:type="dxa"/>
              <w:left w:w="180" w:type="dxa"/>
              <w:right w:w="180" w:type="dxa"/>
            </w:tcMar>
          </w:tcPr>
          <w:p>
            <w:pPr>
              <w:spacing w:before="40" w:after="60"/>
            </w:pPr>
            <w:r>
              <w:rPr>
                <w:rFonts w:ascii="Arial" w:hAnsi="Arial"/>
                <w:b/>
                <w:color w:val="0F2043"/>
                <w:sz w:val="21"/>
              </w:rPr>
              <w:t>[A] ANALYSIS / APPLICATION</w:t>
              <w:br/>
            </w:r>
          </w:p>
          <w:p>
            <w:pPr>
              <w:spacing w:before="20" w:after="40" w:line="276" w:lineRule="auto"/>
            </w:pPr>
            <w:r>
              <w:rPr>
                <w:rFonts w:ascii="Calibri" w:hAnsi="Calibri"/>
                <w:b/>
                <w:color w:val="212529"/>
                <w:sz w:val="20"/>
              </w:rPr>
              <w:t xml:space="preserve">1. Nature of the Special Education Fund: </w:t>
            </w:r>
            <w:r>
              <w:rPr>
                <w:rFonts w:ascii="Calibri" w:hAnsi="Calibri"/>
                <w:color w:val="212529"/>
                <w:sz w:val="20"/>
              </w:rPr>
              <w:t>The SEF is a dedicated trust fund created from an additional 1% real property tax, strictly earmarked for specific statutory educational purposes.</w:t>
            </w:r>
          </w:p>
          <w:p>
            <w:pPr>
              <w:spacing w:before="20" w:after="40" w:line="276" w:lineRule="auto"/>
            </w:pPr>
            <w:r>
              <w:rPr>
                <w:rFonts w:ascii="Calibri" w:hAnsi="Calibri"/>
                <w:b/>
                <w:color w:val="212529"/>
                <w:sz w:val="20"/>
              </w:rPr>
              <w:t xml:space="preserve">2. Exclusivity of Statutory Enumeration: </w:t>
            </w:r>
            <w:r>
              <w:rPr>
                <w:rFonts w:ascii="Calibri" w:hAnsi="Calibri"/>
                <w:color w:val="212529"/>
                <w:sz w:val="20"/>
              </w:rPr>
              <w:t>Section 272 explicitly specifies: (a) extension classes; (b) facilities construction and repair; (c) educational research; (d) purchase of books; and (e) sports development. Under Expressio Unius, salaries of regular teachers and clerical personnel are excluded.</w:t>
            </w:r>
          </w:p>
          <w:p>
            <w:pPr>
              <w:spacing w:before="20" w:after="40" w:line="276" w:lineRule="auto"/>
            </w:pPr>
            <w:r>
              <w:rPr>
                <w:rFonts w:ascii="Calibri" w:hAnsi="Calibri"/>
                <w:b/>
                <w:color w:val="212529"/>
                <w:sz w:val="20"/>
              </w:rPr>
              <w:t xml:space="preserve">3. Validity of Extension Teachers: </w:t>
            </w:r>
            <w:r>
              <w:rPr>
                <w:rFonts w:ascii="Calibri" w:hAnsi="Calibri"/>
                <w:color w:val="212529"/>
                <w:sz w:val="20"/>
              </w:rPr>
              <w:t>Salaries of extension teachers hired precisely to handle newly opened extension classes fall squarely within 'operation and maintenance of extension classes' and are validly chargeable against the SEF.</w:t>
            </w:r>
          </w:p>
        </w:tc>
      </w:tr>
    </w:tbl>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ANALYSIS / APPLICATION</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The Special Education Fund is special money collected for specific educational needs. When a statute gives a precise checklist of 5 things you can buy with special funds, you cannot add a 6th thing like office clerks. However, teachers hired to teach extension classes fit the express category and are allowed.</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"Sir/Ma'am, the Court applied Expressio Unius. Since Section 272 explicitly enumerates the allowable uses of the SEF, unlisted items like clerical salaries are excluded. The Court allowed salaries for genuine extension teachers but disallowed regular non-extension personnel."</w:t>
            </w:r>
          </w:p>
        </w:tc>
      </w:tr>
    </w:tbl>
    <w:tbl>
      <w:tblPr>
        <w:tblW w:type="auto" w:w="0"/>
        <w:jc w:val="center"/>
        <w:tblLook w:firstColumn="1" w:firstRow="1" w:lastColumn="0" w:lastRow="0" w:noHBand="0" w:noVBand="1" w:val="04A0"/>
      </w:tblPr>
      <w:tblGrid>
        <w:gridCol w:w="9648"/>
      </w:tblGrid>
      <w:tr>
        <w:tc>
          <w:tcPr>
            <w:tcW w:type="dxa" w:w="9648"/>
            <w:shd w:fill="F4F6F9"/>
            <w:tcMar>
              <w:top w:w="120" w:type="dxa"/>
              <w:bottom w:w="120" w:type="dxa"/>
              <w:left w:w="180" w:type="dxa"/>
              <w:right w:w="180" w:type="dxa"/>
            </w:tcMar>
          </w:tcPr>
          <w:p>
            <w:pPr>
              <w:spacing w:before="40" w:after="60"/>
            </w:pPr>
            <w:r>
              <w:rPr>
                <w:rFonts w:ascii="Arial" w:hAnsi="Arial"/>
                <w:b/>
                <w:color w:val="0F2043"/>
                <w:sz w:val="21"/>
              </w:rPr>
              <w:t>[C] CONCLUSION</w:t>
              <w:br/>
            </w:r>
          </w:p>
          <w:p>
            <w:pPr>
              <w:spacing w:before="20" w:after="40" w:line="276" w:lineRule="auto"/>
            </w:pPr>
            <w:r>
              <w:rPr>
                <w:rFonts w:ascii="Calibri" w:hAnsi="Calibri"/>
                <w:color w:val="212529"/>
                <w:sz w:val="20"/>
              </w:rPr>
              <w:t>The Supreme Court AFFIRMED WITH MODIFICATION the COA decision, SUSTAINING the disallowance of salaries for clerks and non-extension personnel, but ALLOWING the disbursements for genuine extension class teachers.</w:t>
            </w:r>
          </w:p>
        </w:tc>
      </w:tr>
    </w:tbl>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CONCLUSION</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The salaries of extension teachers were approved, but clerical and regular salaries were disallowed.</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"The Supreme Court modified the disallowance, upholding Expressio Unius to restrict SEF usage strictly to statutory categories."</w:t>
            </w:r>
          </w:p>
        </w:tc>
      </w:tr>
    </w:tbl>
    <w:p>
      <w:pPr>
        <w:keepNext/>
        <w:spacing w:before="200" w:after="40"/>
      </w:pPr>
      <w:r>
        <w:rPr>
          <w:rFonts w:ascii="Arial" w:hAnsi="Arial"/>
          <w:b/>
          <w:color w:val="781E1E"/>
          <w:sz w:val="22"/>
        </w:rPr>
        <w:t>V. RELATION TO STATUTORY CONSTRUCTION</w:t>
      </w:r>
    </w:p>
    <w:p>
      <w:pPr>
        <w:spacing w:before="40" w:after="80" w:line="276" w:lineRule="auto"/>
      </w:pPr>
      <w:r>
        <w:rPr>
          <w:rFonts w:ascii="Calibri" w:hAnsi="Calibri"/>
          <w:b/>
          <w:color w:val="212529"/>
          <w:sz w:val="21"/>
        </w:rPr>
        <w:t>• Syllabus Topic Alignment:</w:t>
        <w:br/>
      </w:r>
      <w:r>
        <w:rPr>
          <w:rFonts w:ascii="Calibri" w:hAnsi="Calibri"/>
          <w:i w:val="0"/>
          <w:color w:val="212529"/>
          <w:sz w:val="21"/>
        </w:rPr>
        <w:t>• Chapter III: Basic Guidelines in the Construction and Interpretation of Laws</w:t>
        <w:br/>
        <w:t xml:space="preserve">  - B. Considerations within the Statute: Expressio Unius Est Exclusio Alterius (Special Funds)</w:t>
      </w:r>
    </w:p>
    <w:tbl>
      <w:tblPr>
        <w:tblW w:type="auto" w:w="0"/>
        <w:jc w:val="center"/>
        <w:tblLook w:firstColumn="1" w:firstRow="1" w:lastColumn="0" w:lastRow="0" w:noHBand="0" w:noVBand="1" w:val="04A0"/>
      </w:tblPr>
      <w:tblGrid>
        <w:gridCol w:w="9648"/>
      </w:tblGrid>
      <w:tr>
        <w:tc>
          <w:tcPr>
            <w:tcW w:type="dxa" w:w="9648"/>
            <w:shd w:fill="FDF6EE"/>
            <w:tcMar>
              <w:top w:w="120" w:type="dxa"/>
              <w:bottom w:w="120" w:type="dxa"/>
              <w:left w:w="180" w:type="dxa"/>
              <w:right w:w="180" w:type="dxa"/>
            </w:tcMar>
          </w:tcPr>
          <w:p>
            <w:pPr>
              <w:spacing w:before="40" w:after="80"/>
            </w:pPr>
            <w:r>
              <w:rPr>
                <w:rFonts w:ascii="Arial" w:hAnsi="Arial"/>
                <w:b/>
                <w:color w:val="8C3200"/>
                <w:sz w:val="20"/>
              </w:rPr>
              <w:t>📜 GOVERNING LATIN MAXIMS WITH ENGLISH TRANSLATIONS</w:t>
              <w:br/>
            </w:r>
          </w:p>
          <w:p>
            <w:pPr>
              <w:spacing w:before="40" w:after="60" w:line="276" w:lineRule="auto"/>
            </w:pPr>
            <w:r>
              <w:rPr>
                <w:rFonts w:ascii="Calibri" w:hAnsi="Calibri"/>
                <w:b/>
                <w:color w:val="8C3200"/>
                <w:sz w:val="20"/>
              </w:rPr>
              <w:t>1. Expressio unius est exclusio alterius (the express mention of one thing is the exclusion of another)</w:t>
              <w:br/>
            </w:r>
            <w:r>
              <w:rPr>
                <w:rFonts w:ascii="Calibri" w:hAnsi="Calibri"/>
                <w:b/>
                <w:color w:val="212529"/>
                <w:sz w:val="19"/>
              </w:rPr>
              <w:t xml:space="preserve">   • Literal English Translation: </w:t>
            </w:r>
            <w:r>
              <w:rPr>
                <w:rFonts w:ascii="Calibri" w:hAnsi="Calibri"/>
                <w:i/>
                <w:color w:val="212529"/>
                <w:sz w:val="19"/>
              </w:rPr>
              <w:t>The express mention of one thing implies the exclusion of others.</w:t>
              <w:br/>
            </w:r>
            <w:r>
              <w:rPr>
                <w:rFonts w:ascii="Calibri" w:hAnsi="Calibri"/>
                <w:b/>
                <w:color w:val="212529"/>
                <w:sz w:val="19"/>
              </w:rPr>
              <w:t xml:space="preserve">   • Plain Legal Meaning &amp; StatCon Application: </w:t>
            </w:r>
            <w:r>
              <w:rPr>
                <w:rFonts w:ascii="Calibri" w:hAnsi="Calibri"/>
                <w:color w:val="212529"/>
                <w:sz w:val="19"/>
              </w:rPr>
              <w:t>The statutory listing of permitted SEF disbursements excludes unlisted administrative expenditures.</w:t>
            </w:r>
          </w:p>
          <w:p>
            <w:pPr>
              <w:spacing w:before="40" w:after="60" w:line="276" w:lineRule="auto"/>
            </w:pPr>
            <w:r>
              <w:rPr>
                <w:rFonts w:ascii="Calibri" w:hAnsi="Calibri"/>
                <w:b/>
                <w:color w:val="8C3200"/>
                <w:sz w:val="20"/>
              </w:rPr>
              <w:t>2. Expressum facit cessare tacitum (what is expressed puts an end to that which is implied)</w:t>
              <w:br/>
            </w:r>
            <w:r>
              <w:rPr>
                <w:rFonts w:ascii="Calibri" w:hAnsi="Calibri"/>
                <w:b/>
                <w:color w:val="212529"/>
                <w:sz w:val="19"/>
              </w:rPr>
              <w:t xml:space="preserve">   • Literal English Translation: </w:t>
            </w:r>
            <w:r>
              <w:rPr>
                <w:rFonts w:ascii="Calibri" w:hAnsi="Calibri"/>
                <w:i/>
                <w:color w:val="212529"/>
                <w:sz w:val="19"/>
              </w:rPr>
              <w:t>That which is expressed supersedes that which is implied.</w:t>
              <w:br/>
            </w:r>
            <w:r>
              <w:rPr>
                <w:rFonts w:ascii="Calibri" w:hAnsi="Calibri"/>
                <w:b/>
                <w:color w:val="212529"/>
                <w:sz w:val="19"/>
              </w:rPr>
              <w:t xml:space="preserve">   • Plain Legal Meaning &amp; StatCon Application: </w:t>
            </w:r>
            <w:r>
              <w:rPr>
                <w:rFonts w:ascii="Calibri" w:hAnsi="Calibri"/>
                <w:color w:val="212529"/>
                <w:sz w:val="19"/>
              </w:rPr>
              <w:t>The explicit statutory enumeration of fund purposes leaves no room for implied spending categories.</w:t>
            </w:r>
          </w:p>
          <w:p>
            <w:pPr>
              <w:spacing w:before="40" w:after="60" w:line="276" w:lineRule="auto"/>
            </w:pPr>
            <w:r>
              <w:rPr>
                <w:rFonts w:ascii="Calibri" w:hAnsi="Calibri"/>
                <w:b/>
                <w:color w:val="8C3200"/>
                <w:sz w:val="20"/>
              </w:rPr>
              <w:t>3. Dura lex, sed lex (the law is harsh, but it is the law)</w:t>
              <w:br/>
            </w:r>
            <w:r>
              <w:rPr>
                <w:rFonts w:ascii="Calibri" w:hAnsi="Calibri"/>
                <w:b/>
                <w:color w:val="212529"/>
                <w:sz w:val="19"/>
              </w:rPr>
              <w:t xml:space="preserve">   • Literal English Translation: </w:t>
            </w:r>
            <w:r>
              <w:rPr>
                <w:rFonts w:ascii="Calibri" w:hAnsi="Calibri"/>
                <w:i/>
                <w:color w:val="212529"/>
                <w:sz w:val="19"/>
              </w:rPr>
              <w:t>The law is harsh, but it is the law.</w:t>
              <w:br/>
            </w:r>
            <w:r>
              <w:rPr>
                <w:rFonts w:ascii="Calibri" w:hAnsi="Calibri"/>
                <w:b/>
                <w:color w:val="212529"/>
                <w:sz w:val="19"/>
              </w:rPr>
              <w:t xml:space="preserve">   • Plain Legal Meaning &amp; StatCon Application: </w:t>
            </w:r>
            <w:r>
              <w:rPr>
                <w:rFonts w:ascii="Calibri" w:hAnsi="Calibri"/>
                <w:color w:val="212529"/>
                <w:sz w:val="19"/>
              </w:rPr>
              <w:t>Statutory fiscal restrictions on trust funds must be strictly followed regardless of local convenience.</w:t>
            </w:r>
          </w:p>
        </w:tc>
      </w:tr>
    </w:tbl>
    <w:tbl>
      <w:tblPr>
        <w:tblW w:type="auto" w:w="0"/>
        <w:jc w:val="center"/>
        <w:tblLook w:firstColumn="1" w:firstRow="1" w:lastColumn="0" w:lastRow="0" w:noHBand="0" w:noVBand="1" w:val="04A0"/>
      </w:tblPr>
      <w:tblGrid>
        <w:gridCol w:w="4824"/>
        <w:gridCol w:w="4824"/>
      </w:tblGrid>
      <w:tr>
        <w:tc>
          <w:tcPr>
            <w:tcW w:type="dxa" w:w="4824"/>
            <w:shd w:fill="EAEFF5"/>
            <w:tcMar>
              <w:top w:w="80" w:type="dxa"/>
              <w:bottom w:w="80" w:type="dxa"/>
              <w:left w:w="120" w:type="dxa"/>
              <w:right w:w="120" w:type="dxa"/>
            </w:tcMar>
          </w:tcPr>
          <w:p>
            <w:pPr>
              <w:spacing w:before="40" w:after="40"/>
            </w:pPr>
            <w:r>
              <w:rPr>
                <w:rFonts w:ascii="Arial" w:hAnsi="Arial"/>
                <w:b/>
                <w:color w:val="0F2043"/>
                <w:sz w:val="18"/>
              </w:rPr>
              <w:t>Syllabus Topic Alignment</w:t>
              <w:br/>
              <w:t>(StatCon_Syllabus_JPR.pdf)</w:t>
            </w:r>
          </w:p>
        </w:tc>
        <w:tc>
          <w:tcPr>
            <w:tcW w:type="dxa" w:w="4824"/>
            <w:shd w:fill="FAFAFA"/>
            <w:tcMar>
              <w:top w:w="80" w:type="dxa"/>
              <w:bottom w:w="80" w:type="dxa"/>
              <w:left w:w="120" w:type="dxa"/>
              <w:right w:w="120" w:type="dxa"/>
            </w:tcMar>
          </w:tcPr>
          <w:p>
            <w:pPr>
              <w:spacing w:before="40" w:after="40" w:line="276" w:lineRule="auto"/>
            </w:pPr>
            <w:r>
              <w:rPr>
                <w:rFonts w:ascii="Calibri" w:hAnsi="Calibri"/>
                <w:color w:val="212529"/>
                <w:sz w:val="19"/>
              </w:rPr>
              <w:t>• Chapter III: Basic Guidelines in the Construction and Interpretation of Laws</w:t>
              <w:br/>
              <w:t xml:space="preserve">  - B. Considerations within the Statute: Expressio Unius Est Exclusio Alterius (Special Funds)</w:t>
            </w:r>
          </w:p>
        </w:tc>
      </w:tr>
      <w:tr>
        <w:tc>
          <w:tcPr>
            <w:tcW w:type="dxa" w:w="4824"/>
            <w:shd w:fill="EAEFF5"/>
            <w:tcMar>
              <w:top w:w="80" w:type="dxa"/>
              <w:bottom w:w="80" w:type="dxa"/>
              <w:left w:w="120" w:type="dxa"/>
              <w:right w:w="120" w:type="dxa"/>
            </w:tcMar>
          </w:tcPr>
          <w:p>
            <w:pPr>
              <w:spacing w:before="40" w:after="40"/>
            </w:pPr>
            <w:r>
              <w:rPr>
                <w:rFonts w:ascii="Arial" w:hAnsi="Arial"/>
                <w:b/>
                <w:color w:val="0F2043"/>
                <w:sz w:val="18"/>
              </w:rPr>
              <w:t>Governing Latin Maxims &amp; English</w:t>
            </w:r>
          </w:p>
        </w:tc>
        <w:tc>
          <w:tcPr>
            <w:tcW w:type="dxa" w:w="4824"/>
            <w:shd w:fill="FAFAFA"/>
            <w:tcMar>
              <w:top w:w="80" w:type="dxa"/>
              <w:bottom w:w="80" w:type="dxa"/>
              <w:left w:w="120" w:type="dxa"/>
              <w:right w:w="120" w:type="dxa"/>
            </w:tcMar>
          </w:tcPr>
          <w:p>
            <w:pPr>
              <w:spacing w:before="40" w:after="40" w:line="276" w:lineRule="auto"/>
            </w:pPr>
            <w:r>
              <w:rPr>
                <w:rFonts w:ascii="Calibri" w:hAnsi="Calibri"/>
                <w:color w:val="212529"/>
                <w:sz w:val="19"/>
              </w:rPr>
              <w:t>Primary:</w:t>
              <w:br/>
              <w:t>Expressio unius est exclusio alterius</w:t>
              <w:br/>
              <w:t>(the express mention of one thing is the exclusion of another / statutory list of allowable Special Education Fund expenses is exclusive)</w:t>
              <w:br/>
              <w:br/>
              <w:t>Secondary:</w:t>
              <w:br/>
              <w:t>• Expressum facit cessare tacitum (what is expressed ends what is implied)</w:t>
              <w:br/>
              <w:t>• Dura lex sed lex (fiscal fund restrictions are strictly enforced)</w:t>
            </w:r>
          </w:p>
        </w:tc>
      </w:tr>
      <w:tr>
        <w:tc>
          <w:tcPr>
            <w:tcW w:type="dxa" w:w="4824"/>
            <w:shd w:fill="EAEFF5"/>
            <w:tcMar>
              <w:top w:w="80" w:type="dxa"/>
              <w:bottom w:w="80" w:type="dxa"/>
              <w:left w:w="120" w:type="dxa"/>
              <w:right w:w="120" w:type="dxa"/>
            </w:tcMar>
          </w:tcPr>
          <w:p>
            <w:pPr>
              <w:spacing w:before="40" w:after="40"/>
            </w:pPr>
            <w:r>
              <w:rPr>
                <w:rFonts w:ascii="Arial" w:hAnsi="Arial"/>
                <w:b/>
                <w:color w:val="0F2043"/>
                <w:sz w:val="18"/>
              </w:rPr>
              <w:t>Case Violation in StatCon</w:t>
            </w:r>
          </w:p>
        </w:tc>
        <w:tc>
          <w:tcPr>
            <w:tcW w:type="dxa" w:w="4824"/>
            <w:shd w:fill="FAFAFA"/>
            <w:tcMar>
              <w:top w:w="80" w:type="dxa"/>
              <w:bottom w:w="80" w:type="dxa"/>
              <w:left w:w="120" w:type="dxa"/>
              <w:right w:w="120" w:type="dxa"/>
            </w:tcMar>
          </w:tcPr>
          <w:p>
            <w:pPr>
              <w:spacing w:before="40" w:after="40" w:line="276" w:lineRule="auto"/>
            </w:pPr>
            <w:r>
              <w:rPr>
                <w:rFonts w:ascii="Calibri" w:hAnsi="Calibri"/>
                <w:color w:val="212529"/>
                <w:sz w:val="19"/>
              </w:rPr>
              <w:t>The local government attempted to divert earmarked special education trust funds to general administrative salaries not enumerated in the statute.</w:t>
            </w:r>
          </w:p>
        </w:tc>
      </w:tr>
      <w:tr>
        <w:tc>
          <w:tcPr>
            <w:tcW w:type="dxa" w:w="4824"/>
            <w:shd w:fill="EAEFF5"/>
            <w:tcMar>
              <w:top w:w="80" w:type="dxa"/>
              <w:bottom w:w="80" w:type="dxa"/>
              <w:left w:w="120" w:type="dxa"/>
              <w:right w:w="120" w:type="dxa"/>
            </w:tcMar>
          </w:tcPr>
          <w:p>
            <w:pPr>
              <w:spacing w:before="40" w:after="40"/>
            </w:pPr>
            <w:r>
              <w:rPr>
                <w:rFonts w:ascii="Arial" w:hAnsi="Arial"/>
                <w:b/>
                <w:color w:val="0F2043"/>
                <w:sz w:val="18"/>
              </w:rPr>
              <w:t>Doctrinal Execution / Principle</w:t>
            </w:r>
          </w:p>
        </w:tc>
        <w:tc>
          <w:tcPr>
            <w:tcW w:type="dxa" w:w="4824"/>
            <w:shd w:fill="FAFAFA"/>
            <w:tcMar>
              <w:top w:w="80" w:type="dxa"/>
              <w:bottom w:w="80" w:type="dxa"/>
              <w:left w:w="120" w:type="dxa"/>
              <w:right w:w="120" w:type="dxa"/>
            </w:tcMar>
          </w:tcPr>
          <w:p>
            <w:pPr>
              <w:spacing w:before="40" w:after="40" w:line="276" w:lineRule="auto"/>
            </w:pPr>
            <w:r>
              <w:rPr>
                <w:rFonts w:ascii="Calibri" w:hAnsi="Calibri"/>
                <w:color w:val="212529"/>
                <w:sz w:val="19"/>
              </w:rPr>
              <w:t>Exclusivity of Statutory Enumeration for Special Funds: When a statute creates a special trust fund and enumerates allowable disbursements, the enumeration is exclusive under Expressio Unius.</w:t>
            </w:r>
          </w:p>
        </w:tc>
      </w:tr>
    </w:tbl>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RELATION TO STATUTORY CONSTRUCTION</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When the law gives a specific shopping list for spending special tax money, you cannot buy items that are not on the list.</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"Sir/Ma'am, COA v. Province of Cebu establishes that statutory enumerations of special fund disbursements are exclusive under Expressio unius est exclusio alterius."</w:t>
            </w:r>
          </w:p>
        </w:tc>
      </w:tr>
    </w:tbl>
    <w:p>
      <w:pPr>
        <w:spacing w:before="160" w:after="80"/>
      </w:pPr>
    </w:p>
    <w:tbl>
      <w:tblPr>
        <w:tblW w:type="auto" w:w="0"/>
        <w:jc w:val="center"/>
        <w:tblLook w:firstColumn="1" w:firstRow="1" w:lastColumn="0" w:lastRow="0" w:noHBand="0" w:noVBand="1" w:val="04A0"/>
      </w:tblPr>
      <w:tblGrid>
        <w:gridCol w:w="9648"/>
      </w:tblGrid>
      <w:tr>
        <w:tc>
          <w:tcPr>
            <w:tcW w:type="dxa" w:w="9648"/>
            <w:shd w:fill="1E3A5F"/>
            <w:tcMar>
              <w:top w:w="140" w:type="dxa"/>
              <w:bottom w:w="140" w:type="dxa"/>
              <w:left w:w="200" w:type="dxa"/>
              <w:right w:w="200" w:type="dxa"/>
            </w:tcMar>
          </w:tcPr>
          <w:p>
            <w:pPr>
              <w:spacing w:before="40" w:after="40"/>
              <w:jc w:val="center"/>
            </w:pPr>
            <w:r>
              <w:rPr>
                <w:rFonts w:ascii="Arial" w:hAnsi="Arial"/>
                <w:b/>
                <w:color w:val="FFD700"/>
                <w:sz w:val="22"/>
              </w:rPr>
              <w:t>⚖ STANDARDIZED CASE DIGEST: STATUTORY CONSTRUCTION FORMAT</w:t>
              <w:br/>
            </w:r>
            <w:r>
              <w:rPr>
                <w:rFonts w:ascii="Arial" w:hAnsi="Arial"/>
                <w:i/>
                <w:color w:val="DCEBFF"/>
                <w:sz w:val="18"/>
              </w:rPr>
              <w:t>(Complete 12-Section Academic &amp; Judicial Construction Analysis)</w:t>
            </w:r>
          </w:p>
        </w:tc>
      </w:tr>
    </w:tbl>
    <w:p>
      <w:pPr>
        <w:spacing w:before="80" w:after="80"/>
      </w:pPr>
    </w:p>
    <w:tbl>
      <w:tblPr>
        <w:tblW w:type="auto" w:w="0"/>
        <w:jc w:val="center"/>
        <w:tblLook w:firstColumn="1" w:firstRow="1" w:lastColumn="0" w:lastRow="0" w:noHBand="0" w:noVBand="1" w:val="04A0"/>
      </w:tblPr>
      <w:tblGrid>
        <w:gridCol w:w="4824"/>
        <w:gridCol w:w="4824"/>
      </w:tblGrid>
      <w:tr>
        <w:tc>
          <w:tcPr>
            <w:tcW w:type="dxa" w:w="4824"/>
            <w:shd w:fill="EBF0F7"/>
            <w:tcMar>
              <w:top w:w="60" w:type="dxa"/>
              <w:bottom w:w="60" w:type="dxa"/>
              <w:left w:w="120" w:type="dxa"/>
              <w:right w:w="120" w:type="dxa"/>
            </w:tcMar>
          </w:tcPr>
          <w:p>
            <w:pPr>
              <w:spacing w:before="20" w:after="20"/>
            </w:pPr>
            <w:r>
              <w:rPr>
                <w:rFonts w:ascii="Arial" w:hAnsi="Arial"/>
                <w:b/>
                <w:color w:val="0F2043"/>
                <w:sz w:val="19"/>
              </w:rPr>
              <w:t>Case Title:</w:t>
            </w:r>
          </w:p>
        </w:tc>
        <w:tc>
          <w:tcPr>
            <w:tcW w:type="dxa" w:w="4824"/>
            <w:shd w:fill="FAFCFF"/>
            <w:tcMar>
              <w:top w:w="60" w:type="dxa"/>
              <w:bottom w:w="60" w:type="dxa"/>
              <w:left w:w="120" w:type="dxa"/>
              <w:right w:w="120" w:type="dxa"/>
            </w:tcMar>
          </w:tcPr>
          <w:p>
            <w:pPr>
              <w:spacing w:before="20" w:after="20"/>
            </w:pPr>
            <w:r>
              <w:rPr>
                <w:rFonts w:ascii="Calibri" w:hAnsi="Calibri"/>
                <w:b/>
                <w:color w:val="212529"/>
                <w:sz w:val="19"/>
              </w:rPr>
              <w:t>Commission on Audit of the Province of Cebu v. Province of Cebu</w:t>
            </w:r>
          </w:p>
        </w:tc>
      </w:tr>
      <w:tr>
        <w:tc>
          <w:tcPr>
            <w:tcW w:type="dxa" w:w="4824"/>
            <w:shd w:fill="EBF0F7"/>
            <w:tcMar>
              <w:top w:w="60" w:type="dxa"/>
              <w:bottom w:w="60" w:type="dxa"/>
              <w:left w:w="120" w:type="dxa"/>
              <w:right w:w="120" w:type="dxa"/>
            </w:tcMar>
          </w:tcPr>
          <w:p>
            <w:pPr>
              <w:spacing w:before="20" w:after="20"/>
            </w:pPr>
            <w:r>
              <w:rPr>
                <w:rFonts w:ascii="Arial" w:hAnsi="Arial"/>
                <w:b/>
                <w:color w:val="0F2043"/>
                <w:sz w:val="19"/>
              </w:rPr>
              <w:t>G.R. No. / Record:</w:t>
            </w:r>
          </w:p>
        </w:tc>
        <w:tc>
          <w:tcPr>
            <w:tcW w:type="dxa" w:w="4824"/>
            <w:shd w:fill="FAFCFF"/>
            <w:tcMar>
              <w:top w:w="60" w:type="dxa"/>
              <w:bottom w:w="60" w:type="dxa"/>
              <w:left w:w="120" w:type="dxa"/>
              <w:right w:w="120" w:type="dxa"/>
            </w:tcMar>
          </w:tcPr>
          <w:p>
            <w:pPr>
              <w:spacing w:before="20" w:after="20"/>
            </w:pPr>
            <w:r>
              <w:rPr>
                <w:rFonts w:ascii="Calibri" w:hAnsi="Calibri"/>
                <w:b w:val="0"/>
                <w:color w:val="212529"/>
                <w:sz w:val="19"/>
              </w:rPr>
              <w:t>G.R. No. 141386</w:t>
            </w:r>
          </w:p>
        </w:tc>
      </w:tr>
      <w:tr>
        <w:tc>
          <w:tcPr>
            <w:tcW w:type="dxa" w:w="4824"/>
            <w:shd w:fill="EBF0F7"/>
            <w:tcMar>
              <w:top w:w="60" w:type="dxa"/>
              <w:bottom w:w="60" w:type="dxa"/>
              <w:left w:w="120" w:type="dxa"/>
              <w:right w:w="120" w:type="dxa"/>
            </w:tcMar>
          </w:tcPr>
          <w:p>
            <w:pPr>
              <w:spacing w:before="20" w:after="20"/>
            </w:pPr>
            <w:r>
              <w:rPr>
                <w:rFonts w:ascii="Arial" w:hAnsi="Arial"/>
                <w:b/>
                <w:color w:val="0F2043"/>
                <w:sz w:val="19"/>
              </w:rPr>
              <w:t>Date of Promulgation:</w:t>
            </w:r>
          </w:p>
        </w:tc>
        <w:tc>
          <w:tcPr>
            <w:tcW w:type="dxa" w:w="4824"/>
            <w:shd w:fill="FAFCFF"/>
            <w:tcMar>
              <w:top w:w="60" w:type="dxa"/>
              <w:bottom w:w="60" w:type="dxa"/>
              <w:left w:w="120" w:type="dxa"/>
              <w:right w:w="120" w:type="dxa"/>
            </w:tcMar>
          </w:tcPr>
          <w:p>
            <w:pPr>
              <w:spacing w:before="20" w:after="20"/>
            </w:pPr>
            <w:r>
              <w:rPr>
                <w:rFonts w:ascii="Calibri" w:hAnsi="Calibri"/>
                <w:b w:val="0"/>
                <w:color w:val="212529"/>
                <w:sz w:val="19"/>
              </w:rPr>
              <w:t>November 29, 2001</w:t>
            </w:r>
          </w:p>
        </w:tc>
      </w:tr>
      <w:tr>
        <w:tc>
          <w:tcPr>
            <w:tcW w:type="dxa" w:w="4824"/>
            <w:shd w:fill="EBF0F7"/>
            <w:tcMar>
              <w:top w:w="60" w:type="dxa"/>
              <w:bottom w:w="60" w:type="dxa"/>
              <w:left w:w="120" w:type="dxa"/>
              <w:right w:w="120" w:type="dxa"/>
            </w:tcMar>
          </w:tcPr>
          <w:p>
            <w:pPr>
              <w:spacing w:before="20" w:after="20"/>
            </w:pPr>
            <w:r>
              <w:rPr>
                <w:rFonts w:ascii="Arial" w:hAnsi="Arial"/>
                <w:b/>
                <w:color w:val="0F2043"/>
                <w:sz w:val="19"/>
              </w:rPr>
              <w:t>Ponente / Court:</w:t>
            </w:r>
          </w:p>
        </w:tc>
        <w:tc>
          <w:tcPr>
            <w:tcW w:type="dxa" w:w="4824"/>
            <w:shd w:fill="FAFCFF"/>
            <w:tcMar>
              <w:top w:w="60" w:type="dxa"/>
              <w:bottom w:w="60" w:type="dxa"/>
              <w:left w:w="120" w:type="dxa"/>
              <w:right w:w="120" w:type="dxa"/>
            </w:tcMar>
          </w:tcPr>
          <w:p>
            <w:pPr>
              <w:spacing w:before="20" w:after="20"/>
            </w:pPr>
            <w:r>
              <w:rPr>
                <w:rFonts w:ascii="Calibri" w:hAnsi="Calibri"/>
                <w:b w:val="0"/>
                <w:color w:val="212529"/>
                <w:sz w:val="19"/>
              </w:rPr>
              <w:t>En Banc</w:t>
            </w:r>
          </w:p>
        </w:tc>
      </w:tr>
    </w:tbl>
    <w:p>
      <w:pPr>
        <w:keepNext/>
        <w:spacing w:before="240" w:after="60"/>
      </w:pPr>
      <w:r>
        <w:rPr>
          <w:rFonts w:ascii="Arial" w:hAnsi="Arial"/>
          <w:b/>
          <w:color w:val="0F2043"/>
          <w:sz w:val="21"/>
        </w:rPr>
        <w:t>I. FACTS OF THE CASE</w:t>
      </w:r>
    </w:p>
    <w:tbl>
      <w:tblPr>
        <w:tblW w:type="auto" w:w="0"/>
        <w:jc w:val="center"/>
        <w:tblLook w:firstColumn="1" w:firstRow="1" w:lastColumn="0" w:lastRow="0" w:noHBand="0" w:noVBand="1" w:val="04A0"/>
      </w:tblPr>
      <w:tblGrid>
        <w:gridCol w:w="9648"/>
      </w:tblGrid>
      <w:tr>
        <w:tc>
          <w:tcPr>
            <w:tcW w:type="dxa" w:w="9648"/>
            <w:shd w:fill="F8F9FB"/>
            <w:tcMar>
              <w:top w:w="100" w:type="dxa"/>
              <w:bottom w:w="100" w:type="dxa"/>
              <w:left w:w="160" w:type="dxa"/>
              <w:right w:w="160" w:type="dxa"/>
            </w:tcMar>
          </w:tcPr>
          <w:p>
            <w:pPr>
              <w:spacing w:before="20" w:after="40"/>
            </w:pPr>
            <w:r>
              <w:rPr>
                <w:rFonts w:ascii="Arial" w:hAnsi="Arial"/>
                <w:b/>
                <w:color w:val="0F2043"/>
                <w:sz w:val="19"/>
              </w:rPr>
              <w:t>Material Facts of Controversy</w:t>
              <w:br/>
            </w:r>
          </w:p>
          <w:p>
            <w:pPr>
              <w:spacing w:before="20" w:after="40" w:line="276" w:lineRule="auto"/>
            </w:pPr>
            <w:r>
              <w:rPr>
                <w:rFonts w:ascii="Calibri" w:hAnsi="Calibri"/>
                <w:color w:val="212529"/>
                <w:sz w:val="19"/>
              </w:rPr>
              <w:t>The Province of Cebu, through its Provincial School Board, hired extension teachers, physical education instructors, and clerical aides to handle public elementary and high school classes, charging their salaries against the provincial Special Education Fund (SEF). The COA Provincial Auditor disallowed the disbursements, contending that under Section 272 of Republic Act No. 7160 (Local Government Code) and Republic Act No. 5447 (Special Education Fund Act), the SEF can be spent ONLY for the 'establishment and maintenance of extension classes, sports activities, and school facilities,' and cannot be used to pay salaries of non-extension teachers and clerks, invoking Expressio Unius.</w:t>
            </w:r>
          </w:p>
        </w:tc>
      </w:tr>
    </w:tbl>
    <w:p>
      <w:pPr>
        <w:keepNext/>
        <w:spacing w:before="240" w:after="60"/>
      </w:pPr>
      <w:r>
        <w:rPr>
          <w:rFonts w:ascii="Arial" w:hAnsi="Arial"/>
          <w:b/>
          <w:color w:val="0F2043"/>
          <w:sz w:val="21"/>
        </w:rPr>
        <w:t>II. FACTS RELEVANT TO STATUTORY CONSTRUCTION</w:t>
      </w:r>
    </w:p>
    <w:tbl>
      <w:tblPr>
        <w:tblW w:type="auto" w:w="0"/>
        <w:jc w:val="center"/>
        <w:tblLook w:firstColumn="1" w:firstRow="1" w:lastColumn="0" w:lastRow="0" w:noHBand="0" w:noVBand="1" w:val="04A0"/>
      </w:tblPr>
      <w:tblGrid>
        <w:gridCol w:w="9648"/>
      </w:tblGrid>
      <w:tr>
        <w:tc>
          <w:tcPr>
            <w:tcW w:type="dxa" w:w="9648"/>
            <w:shd w:fill="F8F9FB"/>
            <w:tcMar>
              <w:top w:w="100" w:type="dxa"/>
              <w:bottom w:w="100" w:type="dxa"/>
              <w:left w:w="160" w:type="dxa"/>
              <w:right w:w="160" w:type="dxa"/>
            </w:tcMar>
          </w:tcPr>
          <w:p>
            <w:pPr>
              <w:spacing w:before="20" w:after="40"/>
            </w:pPr>
            <w:r>
              <w:rPr>
                <w:rFonts w:ascii="Arial" w:hAnsi="Arial"/>
                <w:b/>
                <w:color w:val="0F2043"/>
                <w:sz w:val="19"/>
              </w:rPr>
              <w:t>Facts Giving Rise to Need for Interpretation</w:t>
              <w:br/>
            </w:r>
          </w:p>
          <w:p>
            <w:pPr>
              <w:spacing w:before="20" w:after="40" w:line="276" w:lineRule="auto"/>
            </w:pPr>
            <w:r>
              <w:rPr>
                <w:rFonts w:ascii="Calibri" w:hAnsi="Calibri"/>
                <w:b/>
                <w:color w:val="212529"/>
                <w:sz w:val="19"/>
              </w:rPr>
              <w:t xml:space="preserve">• What provision of law or rule became relevant? </w:t>
            </w:r>
            <w:r>
              <w:rPr>
                <w:rFonts w:ascii="Calibri" w:hAnsi="Calibri"/>
                <w:color w:val="212529"/>
                <w:sz w:val="19"/>
              </w:rPr>
              <w:t>1. Section 272, Republic Act No. 7160 (Local Government Code of 1991): Specifically enumerates authorized uses of the Special Education Fund (operation and maintenance of extension classes, sports, construction of facilities).</w:t>
              <w:br/>
              <w:t>2. Republic Act No. 5447 (Special Education Fund Act): Original enabling law establishing the special education fund.</w:t>
            </w:r>
          </w:p>
          <w:p>
            <w:pPr>
              <w:spacing w:before="20" w:after="40" w:line="276" w:lineRule="auto"/>
            </w:pPr>
            <w:r>
              <w:rPr>
                <w:rFonts w:ascii="Calibri" w:hAnsi="Calibri"/>
                <w:b/>
                <w:color w:val="212529"/>
                <w:sz w:val="19"/>
              </w:rPr>
              <w:t xml:space="preserve">• What circumstance made interpretation necessary? </w:t>
            </w:r>
            <w:r>
              <w:rPr>
                <w:rFonts w:ascii="Calibri" w:hAnsi="Calibri"/>
                <w:color w:val="212529"/>
                <w:sz w:val="19"/>
              </w:rPr>
              <w:t>The local government attempted to divert earmarked special education trust funds to general administrative salaries not enumerated in the statute.</w:t>
            </w:r>
          </w:p>
          <w:p>
            <w:pPr>
              <w:spacing w:before="20" w:after="40" w:line="276" w:lineRule="auto"/>
            </w:pPr>
            <w:r>
              <w:rPr>
                <w:rFonts w:ascii="Calibri" w:hAnsi="Calibri"/>
                <w:b/>
                <w:color w:val="212529"/>
                <w:sz w:val="19"/>
              </w:rPr>
              <w:t xml:space="preserve">• What competing interpretations were presented? </w:t>
            </w:r>
            <w:r>
              <w:rPr>
                <w:rFonts w:ascii="Calibri" w:hAnsi="Calibri"/>
                <w:color w:val="212529"/>
                <w:sz w:val="19"/>
              </w:rPr>
              <w:t>Petitioner argued for a favorable interpretation based on statutory intent, while Respondent contended for a literal or restrictive application.</w:t>
            </w:r>
          </w:p>
        </w:tc>
      </w:tr>
    </w:tbl>
    <w:p>
      <w:pPr>
        <w:keepNext/>
        <w:spacing w:before="240" w:after="60"/>
      </w:pPr>
      <w:r>
        <w:rPr>
          <w:rFonts w:ascii="Arial" w:hAnsi="Arial"/>
          <w:b/>
          <w:color w:val="0F2043"/>
          <w:sz w:val="21"/>
        </w:rPr>
        <w:t>III. ISSUES</w:t>
      </w:r>
    </w:p>
    <w:p>
      <w:pPr>
        <w:keepNext/>
        <w:spacing w:before="120" w:after="40"/>
      </w:pPr>
      <w:r>
        <w:rPr>
          <w:rFonts w:ascii="Arial" w:hAnsi="Arial"/>
          <w:b/>
          <w:color w:val="781E1E"/>
          <w:sz w:val="20"/>
        </w:rPr>
        <w:t>A. General Legal Issues</w:t>
      </w:r>
    </w:p>
    <w:p>
      <w:pPr>
        <w:spacing w:before="40" w:after="80" w:line="276" w:lineRule="auto"/>
      </w:pPr>
      <w:r>
        <w:rPr>
          <w:rFonts w:ascii="Calibri" w:hAnsi="Calibri"/>
          <w:i w:val="0"/>
          <w:color w:val="212529"/>
          <w:sz w:val="21"/>
        </w:rPr>
        <w:t>Whether or not the Special Education Fund (SEF) under Section 272 of the Local Government Code can be used to pay the salaries of regular school teachers, clerical aides, and non-extension personnel.</w:t>
      </w:r>
    </w:p>
    <w:p>
      <w:pPr>
        <w:keepNext/>
        <w:spacing w:before="120" w:after="40"/>
      </w:pPr>
      <w:r>
        <w:rPr>
          <w:rFonts w:ascii="Arial" w:hAnsi="Arial"/>
          <w:b/>
          <w:color w:val="781E1E"/>
          <w:sz w:val="20"/>
        </w:rPr>
        <w:t>B. Statutory-Construction Issue/s</w:t>
      </w:r>
    </w:p>
    <w:tbl>
      <w:tblPr>
        <w:tblW w:type="auto" w:w="0"/>
        <w:jc w:val="center"/>
        <w:tblLook w:firstColumn="1" w:firstRow="1" w:lastColumn="0" w:lastRow="0" w:noHBand="0" w:noVBand="1" w:val="04A0"/>
      </w:tblPr>
      <w:tblGrid>
        <w:gridCol w:w="9648"/>
      </w:tblGrid>
      <w:tr>
        <w:tc>
          <w:tcPr>
            <w:tcW w:type="dxa" w:w="9648"/>
            <w:shd w:fill="EBF3FA"/>
            <w:tcMar>
              <w:top w:w="100" w:type="dxa"/>
              <w:bottom w:w="100" w:type="dxa"/>
              <w:left w:w="160" w:type="dxa"/>
              <w:right w:w="160" w:type="dxa"/>
            </w:tcMar>
          </w:tcPr>
          <w:p>
            <w:pPr>
              <w:spacing w:before="20" w:after="40"/>
            </w:pPr>
            <w:r>
              <w:rPr>
                <w:rFonts w:ascii="Arial" w:hAnsi="Arial"/>
                <w:b/>
                <w:color w:val="0F2043"/>
                <w:sz w:val="19"/>
              </w:rPr>
              <w:t>Standardized StatCon Issue Statement</w:t>
              <w:br/>
            </w:r>
          </w:p>
          <w:p>
            <w:pPr>
              <w:spacing w:before="20" w:after="40" w:line="276" w:lineRule="auto"/>
            </w:pPr>
            <w:r>
              <w:rPr>
                <w:rFonts w:ascii="Calibri" w:hAnsi="Calibri"/>
                <w:color w:val="212529"/>
                <w:sz w:val="19"/>
              </w:rPr>
              <w:t>Whether the subject statutory act, classification, or terminology under the governing statute/rule means, includes, or applies to the factual controversy in Commission on Audit of the Province of Cebu v. Province of Cebu, under the canon of Expressio unius est exclusio alterius.</w:t>
            </w:r>
          </w:p>
        </w:tc>
      </w:tr>
    </w:tbl>
    <w:p>
      <w:pPr>
        <w:keepNext/>
        <w:spacing w:before="240" w:after="60"/>
      </w:pPr>
      <w:r>
        <w:rPr>
          <w:rFonts w:ascii="Arial" w:hAnsi="Arial"/>
          <w:b/>
          <w:color w:val="0F2043"/>
          <w:sz w:val="21"/>
        </w:rPr>
        <w:t>IV. PROVISION/S OF LAW CONSTRUED</w:t>
      </w:r>
    </w:p>
    <w:tbl>
      <w:tblPr>
        <w:tblW w:type="auto" w:w="0"/>
        <w:jc w:val="center"/>
        <w:tblLook w:firstColumn="1" w:firstRow="1" w:lastColumn="0" w:lastRow="0" w:noHBand="0" w:noVBand="1" w:val="04A0"/>
      </w:tblPr>
      <w:tblGrid>
        <w:gridCol w:w="9648"/>
      </w:tblGrid>
      <w:tr>
        <w:tc>
          <w:tcPr>
            <w:tcW w:type="dxa" w:w="9648"/>
            <w:shd w:fill="F8F9FB"/>
            <w:tcMar>
              <w:top w:w="100" w:type="dxa"/>
              <w:bottom w:w="100" w:type="dxa"/>
              <w:left w:w="160" w:type="dxa"/>
              <w:right w:w="160" w:type="dxa"/>
            </w:tcMar>
          </w:tcPr>
          <w:p>
            <w:pPr>
              <w:spacing w:before="20" w:after="40"/>
            </w:pPr>
            <w:r>
              <w:rPr>
                <w:rFonts w:ascii="Arial" w:hAnsi="Arial"/>
                <w:b/>
                <w:color w:val="0F2043"/>
                <w:sz w:val="19"/>
              </w:rPr>
              <w:t>Statutory / Constitutional Text &amp; Problem</w:t>
              <w:br/>
            </w:r>
          </w:p>
          <w:p>
            <w:pPr>
              <w:spacing w:before="20" w:after="40" w:line="276" w:lineRule="auto"/>
            </w:pPr>
            <w:r>
              <w:rPr>
                <w:rFonts w:ascii="Calibri" w:hAnsi="Calibri"/>
                <w:b/>
                <w:color w:val="212529"/>
                <w:sz w:val="19"/>
              </w:rPr>
              <w:t xml:space="preserve">• Quoted Provision: </w:t>
            </w:r>
            <w:r>
              <w:rPr>
                <w:rFonts w:ascii="Calibri" w:hAnsi="Calibri"/>
                <w:color w:val="212529"/>
                <w:sz w:val="19"/>
              </w:rPr>
              <w:t>1. Section 272, Republic Act No. 7160 (Local Government Code of 1991): Specifically enumerates authorized uses of the Special Education Fund (operation and maintenance of extension classes, sports, construction of facilities).</w:t>
              <w:br/>
              <w:t>2. Republic Act No. 5447 (Special Education Fund Act): Original enabling law establishing the special education fund.</w:t>
            </w:r>
          </w:p>
          <w:p>
            <w:pPr>
              <w:spacing w:before="20" w:after="40" w:line="276" w:lineRule="auto"/>
            </w:pPr>
            <w:r>
              <w:rPr>
                <w:rFonts w:ascii="Calibri" w:hAnsi="Calibri"/>
                <w:b/>
                <w:color w:val="212529"/>
                <w:sz w:val="19"/>
              </w:rPr>
              <w:t xml:space="preserve">• Interpretive Problem: </w:t>
            </w:r>
            <w:r>
              <w:rPr>
                <w:rFonts w:ascii="Calibri" w:hAnsi="Calibri"/>
                <w:color w:val="212529"/>
                <w:sz w:val="19"/>
              </w:rPr>
              <w:t>The statute explicitly enumerates specific items or exceptions, raising whether non-enumerated items are excluded by necessary implication.</w:t>
            </w:r>
          </w:p>
        </w:tc>
      </w:tr>
    </w:tbl>
    <w:p>
      <w:pPr>
        <w:keepNext/>
        <w:spacing w:before="240" w:after="60"/>
      </w:pPr>
      <w:r>
        <w:rPr>
          <w:rFonts w:ascii="Arial" w:hAnsi="Arial"/>
          <w:b/>
          <w:color w:val="0F2043"/>
          <w:sz w:val="21"/>
        </w:rPr>
        <w:t>V. RULING OF THE SUPREME COURT</w:t>
      </w:r>
    </w:p>
    <w:p>
      <w:pPr>
        <w:keepNext/>
        <w:spacing w:before="120" w:after="40"/>
      </w:pPr>
      <w:r>
        <w:rPr>
          <w:rFonts w:ascii="Arial" w:hAnsi="Arial"/>
          <w:b/>
          <w:color w:val="781E1E"/>
          <w:sz w:val="20"/>
        </w:rPr>
        <w:t>A. General Ruling</w:t>
      </w:r>
    </w:p>
    <w:p>
      <w:pPr>
        <w:spacing w:before="40" w:after="80" w:line="276" w:lineRule="auto"/>
      </w:pPr>
      <w:r>
        <w:rPr>
          <w:rFonts w:ascii="Calibri" w:hAnsi="Calibri"/>
          <w:i w:val="0"/>
          <w:color w:val="212529"/>
          <w:sz w:val="21"/>
        </w:rPr>
        <w:t>The Supreme Court AFFIRMED WITH MODIFICATION the COA decision, SUSTAINING the disallowance of salaries for clerks and non-extension personnel, but ALLOWING the disbursements for genuine extension class teachers.</w:t>
      </w:r>
    </w:p>
    <w:p>
      <w:pPr>
        <w:keepNext/>
        <w:spacing w:before="120" w:after="40"/>
      </w:pPr>
      <w:r>
        <w:rPr>
          <w:rFonts w:ascii="Arial" w:hAnsi="Arial"/>
          <w:b/>
          <w:color w:val="781E1E"/>
          <w:sz w:val="20"/>
        </w:rPr>
        <w:t>B. Ruling on the Statutory-Construction Issue</w:t>
      </w:r>
    </w:p>
    <w:tbl>
      <w:tblPr>
        <w:tblW w:type="auto" w:w="0"/>
        <w:jc w:val="center"/>
        <w:tblLook w:firstColumn="1" w:firstRow="1" w:lastColumn="0" w:lastRow="0" w:noHBand="0" w:noVBand="1" w:val="04A0"/>
      </w:tblPr>
      <w:tblGrid>
        <w:gridCol w:w="9648"/>
      </w:tblGrid>
      <w:tr>
        <w:tc>
          <w:tcPr>
            <w:tcW w:type="dxa" w:w="9648"/>
            <w:shd w:fill="F4FAF5"/>
            <w:tcMar>
              <w:top w:w="100" w:type="dxa"/>
              <w:bottom w:w="100" w:type="dxa"/>
              <w:left w:w="160" w:type="dxa"/>
              <w:right w:w="160" w:type="dxa"/>
            </w:tcMar>
          </w:tcPr>
          <w:p>
            <w:pPr>
              <w:spacing w:before="20" w:after="40"/>
            </w:pPr>
            <w:r>
              <w:rPr>
                <w:rFonts w:ascii="Arial" w:hAnsi="Arial"/>
                <w:b/>
                <w:color w:val="0F2043"/>
                <w:sz w:val="19"/>
              </w:rPr>
              <w:t>Statutory Meaning Established by Court</w:t>
              <w:br/>
            </w:r>
          </w:p>
          <w:p>
            <w:pPr>
              <w:spacing w:before="20" w:after="40" w:line="276" w:lineRule="auto"/>
            </w:pPr>
            <w:r>
              <w:rPr>
                <w:rFonts w:ascii="Calibri" w:hAnsi="Calibri"/>
                <w:color w:val="212529"/>
                <w:sz w:val="19"/>
              </w:rPr>
              <w:t>NO as to regular teachers and clerical personnel; YES as to genuine extension teachers. Under Expressio Unius Est Exclusio Alterius, the statutory enumeration in Section 272 of the LGC is EXCLUSIVE, and the SEF cannot be diverted to unlisted administrative expenses.</w:t>
            </w:r>
          </w:p>
        </w:tc>
      </w:tr>
    </w:tbl>
    <w:p>
      <w:pPr>
        <w:keepNext/>
        <w:spacing w:before="240" w:after="60"/>
      </w:pPr>
      <w:r>
        <w:rPr>
          <w:rFonts w:ascii="Arial" w:hAnsi="Arial"/>
          <w:b/>
          <w:color w:val="0F2043"/>
          <w:sz w:val="21"/>
        </w:rPr>
        <w:t>VI. HOW THE COURT CONSTRUED THE LAW</w:t>
      </w:r>
    </w:p>
    <w:tbl>
      <w:tblPr>
        <w:tblW w:type="auto" w:w="0"/>
        <w:jc w:val="center"/>
        <w:tblLook w:firstColumn="1" w:firstRow="1" w:lastColumn="0" w:lastRow="0" w:noHBand="0" w:noVBand="1" w:val="04A0"/>
      </w:tblPr>
      <w:tblGrid>
        <w:gridCol w:w="9648"/>
      </w:tblGrid>
      <w:tr>
        <w:tc>
          <w:tcPr>
            <w:tcW w:type="dxa" w:w="9648"/>
            <w:shd w:fill="F8F9FB"/>
            <w:tcMar>
              <w:top w:w="100" w:type="dxa"/>
              <w:bottom w:w="100" w:type="dxa"/>
              <w:left w:w="160" w:type="dxa"/>
              <w:right w:w="160" w:type="dxa"/>
            </w:tcMar>
          </w:tcPr>
          <w:p>
            <w:pPr>
              <w:spacing w:before="20" w:after="40"/>
            </w:pPr>
            <w:r>
              <w:rPr>
                <w:rFonts w:ascii="Arial" w:hAnsi="Arial"/>
                <w:b/>
                <w:color w:val="0F2043"/>
                <w:sz w:val="19"/>
              </w:rPr>
              <w:t>Methodological &amp; Doctrinal Analysis</w:t>
              <w:br/>
            </w:r>
          </w:p>
          <w:p>
            <w:pPr>
              <w:spacing w:before="20" w:after="40" w:line="276" w:lineRule="auto"/>
            </w:pPr>
            <w:r>
              <w:rPr>
                <w:rFonts w:ascii="Calibri" w:hAnsi="Calibri"/>
                <w:b/>
                <w:color w:val="212529"/>
                <w:sz w:val="19"/>
              </w:rPr>
              <w:t xml:space="preserve">A. Why Was Construction Necessary? </w:t>
            </w:r>
            <w:r>
              <w:rPr>
                <w:rFonts w:ascii="Calibri" w:hAnsi="Calibri"/>
                <w:color w:val="212529"/>
                <w:sz w:val="19"/>
              </w:rPr>
              <w:t>The statutory provision enumerated specific items, raising whether non-included matters were intentionally excluded by the Legislature.</w:t>
            </w:r>
          </w:p>
          <w:p>
            <w:pPr>
              <w:spacing w:before="20" w:after="40" w:line="276" w:lineRule="auto"/>
            </w:pPr>
            <w:r>
              <w:rPr>
                <w:rFonts w:ascii="Calibri" w:hAnsi="Calibri"/>
                <w:b/>
                <w:color w:val="212529"/>
                <w:sz w:val="19"/>
              </w:rPr>
              <w:t xml:space="preserve">B. Purpose of Construction: </w:t>
            </w:r>
            <w:r>
              <w:rPr>
                <w:rFonts w:ascii="Calibri" w:hAnsi="Calibri"/>
                <w:color w:val="212529"/>
                <w:sz w:val="19"/>
              </w:rPr>
              <w:t>To enforce the negative implication intended by the Legislature and prevent unwarranted judicial expansion (*expressio unius est exclusio alterius*).</w:t>
            </w:r>
          </w:p>
          <w:p>
            <w:pPr>
              <w:spacing w:before="20" w:after="40" w:line="276" w:lineRule="auto"/>
            </w:pPr>
            <w:r>
              <w:rPr>
                <w:rFonts w:ascii="Calibri" w:hAnsi="Calibri"/>
                <w:b/>
                <w:color w:val="212529"/>
                <w:sz w:val="19"/>
              </w:rPr>
              <w:t xml:space="preserve">C. Method, Canon, or Rule Applied: </w:t>
            </w:r>
            <w:r>
              <w:rPr>
                <w:rFonts w:ascii="Calibri" w:hAnsi="Calibri"/>
                <w:color w:val="212529"/>
                <w:sz w:val="19"/>
              </w:rPr>
              <w:t>Expressio unius est exclusio alterius</w:t>
              <w:br/>
              <w:t xml:space="preserve">   - Application: Exclusivity of Statutory Enumeration for Special Funds: When a statute creates a special trust fund and enumerates allowable disbursements, the enumeration is exclusive under Expressio Unius.</w:t>
              <w:br/>
              <w:t xml:space="preserve">   - Result: No for office clerks and regular staff; yes for teachers who actually run extension classes. Because the law specifically lists what the Special Education Fund can pay for, everything not on the list is excluded under Expressio Unius.</w:t>
            </w:r>
          </w:p>
          <w:p>
            <w:pPr>
              <w:spacing w:before="20" w:after="40" w:line="276" w:lineRule="auto"/>
            </w:pPr>
            <w:r>
              <w:rPr>
                <w:rFonts w:ascii="Calibri" w:hAnsi="Calibri"/>
                <w:b/>
                <w:color w:val="212529"/>
                <w:sz w:val="19"/>
              </w:rPr>
              <w:t xml:space="preserve">D. Other Sources Used: </w:t>
            </w:r>
            <w:r>
              <w:rPr>
                <w:rFonts w:ascii="Calibri" w:hAnsi="Calibri"/>
                <w:color w:val="212529"/>
                <w:sz w:val="19"/>
              </w:rPr>
              <w:t>Ordinary meaning of words, statute considered as a whole, legislative history, and established Supreme Court jurisprudence.</w:t>
            </w:r>
          </w:p>
        </w:tc>
      </w:tr>
    </w:tbl>
    <w:p>
      <w:pPr>
        <w:keepNext/>
        <w:spacing w:before="240" w:after="60"/>
      </w:pPr>
      <w:r>
        <w:rPr>
          <w:rFonts w:ascii="Arial" w:hAnsi="Arial"/>
          <w:b/>
          <w:color w:val="0F2043"/>
          <w:sz w:val="21"/>
        </w:rPr>
        <w:t>VII. RELEVANT STATUTORY-CONSTRUCTION CONCEPTS (A–L EVALUATION)</w:t>
      </w:r>
    </w:p>
    <w:tbl>
      <w:tblPr>
        <w:tblW w:type="auto" w:w="0"/>
        <w:jc w:val="center"/>
        <w:tblLook w:firstColumn="1" w:firstRow="1" w:lastColumn="0" w:lastRow="0" w:noHBand="0" w:noVBand="1" w:val="04A0"/>
      </w:tblPr>
      <w:tblGrid>
        <w:gridCol w:w="4824"/>
        <w:gridCol w:w="4824"/>
      </w:tblGrid>
      <w:tr>
        <w:tc>
          <w:tcPr>
            <w:tcW w:type="dxa" w:w="4824"/>
            <w:shd w:fill="EBF0F8"/>
            <w:tcMar>
              <w:top w:w="70" w:type="dxa"/>
              <w:bottom w:w="70" w:type="dxa"/>
              <w:left w:w="100" w:type="dxa"/>
              <w:right w:w="100" w:type="dxa"/>
            </w:tcMar>
          </w:tcPr>
          <w:p>
            <w:pPr>
              <w:spacing w:before="20" w:after="20"/>
            </w:pPr>
            <w:r>
              <w:rPr>
                <w:rFonts w:ascii="Arial" w:hAnsi="Arial"/>
                <w:b/>
                <w:color w:val="0F2043"/>
                <w:sz w:val="18"/>
              </w:rPr>
              <w:t>A. Situs of Statutory Construction</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Supreme Court of the Philippines, exercising its constitutional judicial power under Article VIII of the Constitution, serves as the ultimate situs and final arbiter for interpreting and construing the disputed provision.</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B. Purpose of Statutory Construction</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purpose of construction is to discover and effectuate the true legislative intent and will of the lawmaking body, preventing injustice and ensuring the statute operates harmoniously.</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C. When to Construe</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Court reaffirmed the cardinal threshold rule: Construction and interpretation are proper only where the statute is ambiguous, doubtful, or susceptible of multiple meanings. Where the law is clear, no construction is warranted.</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D. Ambiguity or Vagueness</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781E1E"/>
                <w:sz w:val="17"/>
              </w:rPr>
              <w:t xml:space="preserve"> [NOT APPLICABLE] </w:t>
            </w:r>
            <w:r>
              <w:rPr>
                <w:rFonts w:ascii="Calibri" w:hAnsi="Calibri"/>
                <w:color w:val="212529"/>
                <w:sz w:val="18"/>
              </w:rPr>
              <w:t>Not Applicable. The statutory language was clear and unambiguous; the Court declined to find ambiguity where none existed in the text.</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E. Verba Legis Non Est Recedendum</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781E1E"/>
                <w:sz w:val="17"/>
              </w:rPr>
              <w:t xml:space="preserve"> [NOT APPLICABLE] </w:t>
            </w:r>
            <w:r>
              <w:rPr>
                <w:rFonts w:ascii="Calibri" w:hAnsi="Calibri"/>
                <w:color w:val="212529"/>
                <w:sz w:val="18"/>
              </w:rPr>
              <w:t>Not Applicable. The Court looked beyond literal words to discover the underlying legislative spirit, context, and intent.</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F. Absoluta Sententia Expositore Non Indigent</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Court held that when the language of the law is clear and unequivocal, it requires no interpreter and leaves no room for judicial construction.</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G. Legislative Intent</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Court analyzed the true intent and policy of the lawmaking authority, ensuring that the statutory purpose is preserved and not defeated by erroneous administrative or private interpretations.</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H. Strict or Liberal Construction</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781E1E"/>
                <w:sz w:val="17"/>
              </w:rPr>
              <w:t xml:space="preserve"> [NOT APPLICABLE] </w:t>
            </w:r>
            <w:r>
              <w:rPr>
                <w:rFonts w:ascii="Calibri" w:hAnsi="Calibri"/>
                <w:color w:val="212529"/>
                <w:sz w:val="18"/>
              </w:rPr>
              <w:t>Not Applicable. The Court applied standard ordinary rules of statutory interpretation without resorting to special strict or liberal construction doctrines.</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I. Prospective or Retrospective Construction</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781E1E"/>
                <w:sz w:val="17"/>
              </w:rPr>
              <w:t xml:space="preserve"> [NOT APPLICABLE] </w:t>
            </w:r>
            <w:r>
              <w:rPr>
                <w:rFonts w:ascii="Calibri" w:hAnsi="Calibri"/>
                <w:color w:val="212529"/>
                <w:sz w:val="18"/>
              </w:rPr>
              <w:t>Not Applicable. The case involved only the contemporaneous, prospective application of the governing law.</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J. Statutory Construction vs. Judicial Legislation</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Court underscored the constitutional boundary of judicial power: Courts are empowered solely to interpret (jus dicere), not to enact or amend laws (jus dare). Supplying unwritten terms or expanding clear prohibitions constitutes prohibited judicial legislation.</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K. Legis Interpretatio Legis Vim Obtinet</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Under Article 8 of the Civil Code, the Supreme Court's authoritative interpretation of the statute forms part of the legal system of the Philippines and acquires the force of law (*legis interpretatio legis vim obtinet*).</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L. Extent and Limits of the Power to Construe</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Court respected the constitutional limits of its authority by applying the law as written and refusing to invade the legislative domain under the guise of equity or expediency.</w:t>
            </w:r>
          </w:p>
        </w:tc>
      </w:tr>
    </w:tbl>
    <w:p>
      <w:pPr>
        <w:keepNext/>
        <w:spacing w:before="240" w:after="60"/>
      </w:pPr>
      <w:r>
        <w:rPr>
          <w:rFonts w:ascii="Arial" w:hAnsi="Arial"/>
          <w:b/>
          <w:color w:val="0F2043"/>
          <w:sz w:val="21"/>
        </w:rPr>
        <w:t>VIII. OTHER CANONS OR METHODS OF CONSTRUCTION</w:t>
      </w:r>
    </w:p>
    <w:tbl>
      <w:tblPr>
        <w:tblW w:type="auto" w:w="0"/>
        <w:jc w:val="center"/>
        <w:tblLook w:firstColumn="1" w:firstRow="1" w:lastColumn="0" w:lastRow="0" w:noHBand="0" w:noVBand="1" w:val="04A0"/>
      </w:tblPr>
      <w:tblGrid>
        <w:gridCol w:w="9648"/>
      </w:tblGrid>
      <w:tr>
        <w:tc>
          <w:tcPr>
            <w:tcW w:type="dxa" w:w="9648"/>
            <w:shd w:fill="F8F9FB"/>
            <w:tcMar>
              <w:top w:w="100" w:type="dxa"/>
              <w:bottom w:w="100" w:type="dxa"/>
              <w:left w:w="160" w:type="dxa"/>
              <w:right w:w="160" w:type="dxa"/>
            </w:tcMar>
          </w:tcPr>
          <w:p>
            <w:pPr>
              <w:spacing w:before="20" w:after="40"/>
            </w:pPr>
            <w:r>
              <w:rPr>
                <w:rFonts w:ascii="Arial" w:hAnsi="Arial"/>
                <w:b/>
                <w:color w:val="0F2043"/>
                <w:sz w:val="19"/>
              </w:rPr>
              <w:t>Secondary Rules &amp; Canons Applied</w:t>
              <w:br/>
            </w:r>
          </w:p>
          <w:p>
            <w:pPr>
              <w:spacing w:before="20" w:after="40" w:line="276" w:lineRule="auto"/>
            </w:pPr>
            <w:r>
              <w:rPr>
                <w:rFonts w:ascii="Calibri" w:hAnsi="Calibri"/>
                <w:b/>
                <w:color w:val="212529"/>
                <w:sz w:val="19"/>
              </w:rPr>
              <w:t xml:space="preserve">• Canon / Maxim: </w:t>
            </w:r>
            <w:r>
              <w:rPr>
                <w:rFonts w:ascii="Calibri" w:hAnsi="Calibri"/>
                <w:color w:val="212529"/>
                <w:sz w:val="19"/>
              </w:rPr>
              <w:t>• Expressum facit cessare tacitum (what is expressed ends what is implied)</w:t>
              <w:br/>
              <w:t>• Dura lex sed lex (fiscal fund restrictions are strictly enforced)</w:t>
            </w:r>
          </w:p>
          <w:p>
            <w:pPr>
              <w:spacing w:before="20" w:after="40" w:line="276" w:lineRule="auto"/>
            </w:pPr>
            <w:r>
              <w:rPr>
                <w:rFonts w:ascii="Calibri" w:hAnsi="Calibri"/>
                <w:b/>
                <w:color w:val="212529"/>
                <w:sz w:val="19"/>
              </w:rPr>
              <w:t xml:space="preserve">• How Applied: </w:t>
            </w:r>
            <w:r>
              <w:rPr>
                <w:rFonts w:ascii="Calibri" w:hAnsi="Calibri"/>
                <w:color w:val="212529"/>
                <w:sz w:val="19"/>
              </w:rPr>
              <w:t>Applied as corroborative canons to reinforce the primary rule of construction.</w:t>
            </w:r>
          </w:p>
          <w:p>
            <w:pPr>
              <w:spacing w:before="20" w:after="40" w:line="276" w:lineRule="auto"/>
            </w:pPr>
            <w:r>
              <w:rPr>
                <w:rFonts w:ascii="Calibri" w:hAnsi="Calibri"/>
                <w:b/>
                <w:color w:val="212529"/>
                <w:sz w:val="19"/>
              </w:rPr>
              <w:t xml:space="preserve">• Effect on Interpretation: </w:t>
            </w:r>
            <w:r>
              <w:rPr>
                <w:rFonts w:ascii="Calibri" w:hAnsi="Calibri"/>
                <w:color w:val="212529"/>
                <w:sz w:val="19"/>
              </w:rPr>
              <w:t>Harmonized the statute and prevented an absurd or unjust result.</w:t>
            </w:r>
          </w:p>
        </w:tc>
      </w:tr>
    </w:tbl>
    <w:p>
      <w:pPr>
        <w:keepNext/>
        <w:spacing w:before="240" w:after="60"/>
      </w:pPr>
      <w:r>
        <w:rPr>
          <w:rFonts w:ascii="Arial" w:hAnsi="Arial"/>
          <w:b/>
          <w:color w:val="0F2043"/>
          <w:sz w:val="21"/>
        </w:rPr>
        <w:t>IX. THE CONSTRUCTION MADE BY THE COURT</w:t>
      </w:r>
    </w:p>
    <w:tbl>
      <w:tblPr>
        <w:tblW w:type="auto" w:w="0"/>
        <w:jc w:val="center"/>
        <w:tblLook w:firstColumn="1" w:firstRow="1" w:lastColumn="0" w:lastRow="0" w:noHBand="0" w:noVBand="1" w:val="04A0"/>
      </w:tblPr>
      <w:tblGrid>
        <w:gridCol w:w="9648"/>
      </w:tblGrid>
      <w:tr>
        <w:tc>
          <w:tcPr>
            <w:tcW w:type="dxa" w:w="9648"/>
            <w:shd w:fill="F9F8F5"/>
            <w:tcMar>
              <w:top w:w="100" w:type="dxa"/>
              <w:bottom w:w="100" w:type="dxa"/>
              <w:left w:w="160" w:type="dxa"/>
              <w:right w:w="160" w:type="dxa"/>
            </w:tcMar>
          </w:tcPr>
          <w:p>
            <w:pPr>
              <w:spacing w:before="20" w:after="40"/>
            </w:pPr>
            <w:r>
              <w:rPr>
                <w:rFonts w:ascii="Arial" w:hAnsi="Arial"/>
                <w:b/>
                <w:color w:val="0F2043"/>
                <w:sz w:val="19"/>
              </w:rPr>
              <w:t>Actual Judicial Construction &amp; Ratio</w:t>
              <w:br/>
            </w:r>
          </w:p>
          <w:p>
            <w:pPr>
              <w:spacing w:before="20" w:after="40" w:line="276" w:lineRule="auto"/>
            </w:pPr>
            <w:r>
              <w:rPr>
                <w:rFonts w:ascii="Calibri" w:hAnsi="Calibri"/>
                <w:b/>
                <w:color w:val="212529"/>
                <w:sz w:val="19"/>
              </w:rPr>
              <w:t xml:space="preserve">• Construction Summary: </w:t>
            </w:r>
            <w:r>
              <w:rPr>
                <w:rFonts w:ascii="Calibri" w:hAnsi="Calibri"/>
                <w:color w:val="212529"/>
                <w:sz w:val="19"/>
              </w:rPr>
              <w:t>The Court construed the disputed statutory provisions in Commission on Audit of the Province of Cebu v. Province of Cebu to mean and apply strictly in accordance with Expressio unius est exclusio alterius, holding that No for office clerks and regular staff; yes for teachers who actually run extension classes. Because the law specifically lists what the Special Education Fund .</w:t>
            </w:r>
          </w:p>
          <w:p>
            <w:pPr>
              <w:spacing w:before="20" w:after="40" w:line="276" w:lineRule="auto"/>
            </w:pPr>
            <w:r>
              <w:rPr>
                <w:rFonts w:ascii="Calibri" w:hAnsi="Calibri"/>
                <w:b/>
                <w:color w:val="212529"/>
                <w:sz w:val="19"/>
              </w:rPr>
              <w:t xml:space="preserve">• Principal Reasoning: </w:t>
            </w:r>
            <w:r>
              <w:rPr>
                <w:rFonts w:ascii="Calibri" w:hAnsi="Calibri"/>
                <w:color w:val="212529"/>
                <w:sz w:val="19"/>
              </w:rPr>
              <w:t>The Special Education Fund is special money collected for specific educational needs. When a statute gives a precise checklist of 5 things you can buy with special funds, you cannot add a 6th thing like office clerks. However, teachers hired to teach extension classes fit the express category and are allowed.</w:t>
            </w:r>
          </w:p>
        </w:tc>
      </w:tr>
    </w:tbl>
    <w:tbl>
      <w:tblPr>
        <w:tblW w:type="auto" w:w="0"/>
        <w:jc w:val="center"/>
        <w:tblLook w:firstColumn="1" w:firstRow="1" w:lastColumn="0" w:lastRow="0" w:noHBand="0" w:noVBand="1" w:val="04A0"/>
      </w:tblPr>
      <w:tblGrid>
        <w:gridCol w:w="9648"/>
      </w:tblGrid>
      <w:tr>
        <w:tc>
          <w:tcPr>
            <w:tcW w:type="dxa" w:w="9648"/>
            <w:shd w:fill="EEF6F0"/>
            <w:tcMar>
              <w:top w:w="100" w:type="dxa"/>
              <w:bottom w:w="100" w:type="dxa"/>
              <w:left w:w="160" w:type="dxa"/>
              <w:right w:w="160" w:type="dxa"/>
            </w:tcMar>
          </w:tcPr>
          <w:p>
            <w:pPr>
              <w:spacing w:before="20" w:after="40"/>
            </w:pPr>
            <w:r>
              <w:rPr>
                <w:rFonts w:ascii="Arial" w:hAnsi="Arial"/>
                <w:b/>
                <w:color w:val="0D6E4B"/>
                <w:sz w:val="19"/>
              </w:rPr>
              <w:t>X. STATUTORY CONSTRUCTION OR JUDICIAL LEGISLATION?</w:t>
              <w:br/>
            </w:r>
          </w:p>
          <w:p>
            <w:pPr>
              <w:spacing w:before="20" w:after="60"/>
            </w:pPr>
            <w:r>
              <w:rPr>
                <w:rFonts w:ascii="Arial" w:hAnsi="Arial"/>
                <w:b/>
                <w:color w:val="0F2043"/>
                <w:sz w:val="19"/>
              </w:rPr>
              <w:t>☑ Proper statutory construction    ☐ Judicial legislation    ☐ Debatable</w:t>
            </w:r>
          </w:p>
          <w:p>
            <w:pPr>
              <w:spacing w:before="40" w:after="40" w:line="276" w:lineRule="auto"/>
            </w:pPr>
            <w:r>
              <w:rPr>
                <w:rFonts w:ascii="Calibri" w:hAnsi="Calibri"/>
                <w:b/>
                <w:color w:val="212529"/>
                <w:sz w:val="19"/>
              </w:rPr>
              <w:t>Explanation (3–5 sentences):</w:t>
              <w:br/>
            </w:r>
            <w:r>
              <w:rPr>
                <w:rFonts w:ascii="Calibri" w:hAnsi="Calibri"/>
                <w:color w:val="212529"/>
                <w:sz w:val="19"/>
              </w:rPr>
              <w:t>The Supreme Court acted within the legitimate bounds of its constitutional power to interpret the law (jus dicere). By applying Expressio unius est exclusio alterius, the Court faithfully effectuated the legislative intent without creating new rules, modifying clear statutory text, or usurping congressional prerogative. The ruling reinforces the separation of powers and the doctrine that courts must enforce the law as enacted.</w:t>
            </w:r>
          </w:p>
        </w:tc>
      </w:tr>
    </w:tbl>
    <w:p>
      <w:pPr>
        <w:spacing w:before="80" w:after="40"/>
      </w:pPr>
    </w:p>
    <w:tbl>
      <w:tblPr>
        <w:tblW w:type="auto" w:w="0"/>
        <w:jc w:val="center"/>
        <w:tblLook w:firstColumn="1" w:firstRow="1" w:lastColumn="0" w:lastRow="0" w:noHBand="0" w:noVBand="1" w:val="04A0"/>
      </w:tblPr>
      <w:tblGrid>
        <w:gridCol w:w="9648"/>
      </w:tblGrid>
      <w:tr>
        <w:tc>
          <w:tcPr>
            <w:tcW w:type="dxa" w:w="9648"/>
            <w:shd w:fill="FBF6EE"/>
            <w:tcMar>
              <w:top w:w="100" w:type="dxa"/>
              <w:bottom w:w="100" w:type="dxa"/>
              <w:left w:w="160" w:type="dxa"/>
              <w:right w:w="160" w:type="dxa"/>
            </w:tcMar>
          </w:tcPr>
          <w:p>
            <w:pPr>
              <w:spacing w:before="20" w:after="40"/>
            </w:pPr>
            <w:r>
              <w:rPr>
                <w:rFonts w:ascii="Arial" w:hAnsi="Arial"/>
                <w:b/>
                <w:color w:val="8C3200"/>
                <w:sz w:val="19"/>
              </w:rPr>
              <w:t>XI. DOCTRINE (Statutory Construction Principle):</w:t>
              <w:br/>
            </w:r>
            <w:r>
              <w:rPr>
                <w:rFonts w:ascii="Calibri" w:hAnsi="Calibri"/>
                <w:color w:val="212529"/>
                <w:sz w:val="19"/>
              </w:rPr>
              <w:t>Exclusivity of Statutory Enumeration for Special Funds: When a statute creates a special trust fund and enumerates allowable disbursements, the enumeration is exclusive under Expressio Unius.</w:t>
              <w:br/>
              <w:br/>
            </w:r>
          </w:p>
          <w:p>
            <w:pPr>
              <w:spacing w:before="20" w:after="40"/>
            </w:pPr>
            <w:r>
              <w:rPr>
                <w:rFonts w:ascii="Arial" w:hAnsi="Arial"/>
                <w:b/>
                <w:color w:val="8C3200"/>
                <w:sz w:val="19"/>
              </w:rPr>
              <w:t>XII. ONE-SENTENCE TAKEAWAY:</w:t>
              <w:br/>
            </w:r>
            <w:r>
              <w:rPr>
                <w:rFonts w:ascii="Calibri" w:hAnsi="Calibri"/>
                <w:i/>
                <w:color w:val="212529"/>
                <w:sz w:val="19"/>
              </w:rPr>
              <w:t>This case is important in Statutory Construction because When the law gives a specific shopping list for spending special tax money, you cannot buy items that are not on the list.</w:t>
            </w:r>
          </w:p>
        </w:tc>
      </w:tr>
    </w:tbl>
    <w:p>
      <w:r>
        <w:br w:type="page"/>
      </w:r>
    </w:p>
    <w:p>
      <w:pPr>
        <w:keepNext/>
        <w:spacing w:before="320" w:after="80"/>
      </w:pPr>
      <w:r>
        <w:rPr>
          <w:rFonts w:ascii="Arial" w:hAnsi="Arial"/>
          <w:b/>
          <w:color w:val="0F2043"/>
          <w:sz w:val="26"/>
        </w:rPr>
        <w:t>40. COLGATE-PALMOLIVE PHILIPPINES, INC. V. PEDRO M. GIMENEZ</w:t>
      </w:r>
    </w:p>
    <w:p>
      <w:pPr>
        <w:spacing w:before="40" w:after="80" w:line="276" w:lineRule="auto"/>
      </w:pPr>
      <w:r>
        <w:rPr>
          <w:rFonts w:ascii="Calibri" w:hAnsi="Calibri"/>
          <w:b/>
          <w:color w:val="212529"/>
          <w:sz w:val="21"/>
        </w:rPr>
        <w:t xml:space="preserve">Citation: </w:t>
      </w:r>
      <w:r>
        <w:rPr>
          <w:rFonts w:ascii="Calibri" w:hAnsi="Calibri"/>
          <w:i/>
          <w:color w:val="212529"/>
          <w:sz w:val="21"/>
        </w:rPr>
        <w:t>G.R. No. L-14787 | January 28, 1961 | 1 SCRA 267 | En Banc | Ponente: J. Gutierrez David</w:t>
      </w:r>
    </w:p>
    <w:p>
      <w:pPr>
        <w:keepNext/>
        <w:spacing w:before="200" w:after="40"/>
      </w:pPr>
      <w:r>
        <w:rPr>
          <w:rFonts w:ascii="Arial" w:hAnsi="Arial"/>
          <w:b/>
          <w:color w:val="781E1E"/>
          <w:sz w:val="22"/>
        </w:rPr>
        <w:t>LAYER A: ALAC DIGEST, RECITATION SCRIPT &amp; STATCON ANALYSIS</w:t>
      </w:r>
    </w:p>
    <w:p>
      <w:pPr>
        <w:keepNext/>
        <w:spacing w:before="200" w:after="40"/>
      </w:pPr>
      <w:r>
        <w:rPr>
          <w:rFonts w:ascii="Arial" w:hAnsi="Arial"/>
          <w:b/>
          <w:color w:val="781E1E"/>
          <w:sz w:val="22"/>
        </w:rPr>
        <w:t>I. PARTIES &amp; PROCEDURAL BACKGROUND</w:t>
      </w:r>
    </w:p>
    <w:p>
      <w:pPr>
        <w:spacing w:before="40" w:after="80" w:line="276" w:lineRule="auto"/>
      </w:pPr>
      <w:r>
        <w:rPr>
          <w:rFonts w:ascii="Calibri" w:hAnsi="Calibri"/>
          <w:b/>
          <w:color w:val="212529"/>
          <w:sz w:val="21"/>
        </w:rPr>
        <w:t xml:space="preserve">• Plaintiff/Petitioner: </w:t>
      </w:r>
      <w:r>
        <w:rPr>
          <w:rFonts w:ascii="Calibri" w:hAnsi="Calibri"/>
          <w:i w:val="0"/>
          <w:color w:val="212529"/>
          <w:sz w:val="21"/>
        </w:rPr>
        <w:t>Colgate-Palmolive Philippines, Inc. (Petitioner)</w:t>
      </w:r>
    </w:p>
    <w:p>
      <w:pPr>
        <w:spacing w:before="40" w:after="80" w:line="276" w:lineRule="auto"/>
      </w:pPr>
      <w:r>
        <w:rPr>
          <w:rFonts w:ascii="Calibri" w:hAnsi="Calibri"/>
          <w:b/>
          <w:color w:val="212529"/>
          <w:sz w:val="21"/>
        </w:rPr>
        <w:t xml:space="preserve">• Defendant/Respondent: </w:t>
      </w:r>
      <w:r>
        <w:rPr>
          <w:rFonts w:ascii="Calibri" w:hAnsi="Calibri"/>
          <w:i w:val="0"/>
          <w:color w:val="212529"/>
          <w:sz w:val="21"/>
        </w:rPr>
        <w:t>Pedro M. Gimenez, as Auditor General (Respondent)</w:t>
      </w:r>
    </w:p>
    <w:p>
      <w:pPr>
        <w:spacing w:before="40" w:after="80" w:line="276" w:lineRule="auto"/>
      </w:pPr>
      <w:r>
        <w:rPr>
          <w:rFonts w:ascii="Calibri" w:hAnsi="Calibri"/>
          <w:b/>
          <w:color w:val="212529"/>
          <w:sz w:val="21"/>
        </w:rPr>
        <w:t xml:space="preserve">• Originating Court: </w:t>
      </w:r>
      <w:r>
        <w:rPr>
          <w:rFonts w:ascii="Calibri" w:hAnsi="Calibri"/>
          <w:i w:val="0"/>
          <w:color w:val="212529"/>
          <w:sz w:val="21"/>
        </w:rPr>
        <w:t>Auditor General / Supreme Court En Banc</w:t>
      </w:r>
    </w:p>
    <w:p>
      <w:pPr>
        <w:spacing w:before="40" w:after="80" w:line="276" w:lineRule="auto"/>
      </w:pPr>
      <w:r>
        <w:rPr>
          <w:rFonts w:ascii="Calibri" w:hAnsi="Calibri"/>
          <w:b/>
          <w:color w:val="212529"/>
          <w:sz w:val="21"/>
        </w:rPr>
        <w:t xml:space="preserve">• Nature of the Action: </w:t>
      </w:r>
      <w:r>
        <w:rPr>
          <w:rFonts w:ascii="Calibri" w:hAnsi="Calibri"/>
          <w:i w:val="0"/>
          <w:color w:val="212529"/>
          <w:sz w:val="21"/>
        </w:rPr>
        <w:t>Petition for Review of Auditor General ruling denying refund of 17% foreign exchange margin levy on imported Irish moss and dental cream stabilizers under Republic Act No. 601.</w:t>
      </w:r>
    </w:p>
    <w:p>
      <w:pPr>
        <w:keepNext/>
        <w:spacing w:before="200" w:after="40"/>
      </w:pPr>
      <w:r>
        <w:rPr>
          <w:rFonts w:ascii="Arial" w:hAnsi="Arial"/>
          <w:b/>
          <w:color w:val="781E1E"/>
          <w:sz w:val="22"/>
        </w:rPr>
        <w:t>II. WHOLE FACTS</w:t>
      </w:r>
    </w:p>
    <w:p>
      <w:pPr>
        <w:spacing w:before="40" w:after="80" w:line="276" w:lineRule="auto"/>
      </w:pPr>
      <w:r>
        <w:rPr>
          <w:rFonts w:ascii="Calibri" w:hAnsi="Calibri"/>
          <w:i w:val="0"/>
          <w:color w:val="212529"/>
          <w:sz w:val="21"/>
        </w:rPr>
        <w:t>Colgate-Palmolive imported 'Irish moss extract' and sodium carboxymethylcellulose to be used as stabilizers and emulsifiers in manufacturing dental cream (toothpaste). The Central Bank collected the 17% special foreign exchange tax under Republic Act No. 601. Colgate claimed a tax refund under Section 2 of RA 601, which exempts foreign exchange used for importation of 'stabilizers and flavors... for food, and medical and hospital supplies.' The Auditor General denied the refund, contending that dental cream is not a food or medicine, and that under Ejusdem Generis, 'stabilizers' must be restricted strictly to food stabilizers.</w:t>
      </w:r>
    </w:p>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SUMMARY OF FACTS</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Colgate imported stabilizers to make toothpaste and asked for a tax refund under a law that exempts foreign exchange for 'stabilizers and flavors... for food, and medical and hospital supplies.' The government auditor refused the refund, claiming the word 'stabilizers' only applies to food stabilizers, not toothpaste stabilizers. The Supreme Court ruled in favor of Colgate, holding that the general word 'stabilizers' stood alone without the modifying phrase 'for food', and Ejusdem Generis cannot be used to restrict a word that the legislature deliberately left broad.</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When reciting the facts, state the core dispute in 2 sentences, then state how the case reached the Supreme Court.</w:t>
            </w:r>
          </w:p>
        </w:tc>
      </w:tr>
    </w:tbl>
    <w:p>
      <w:pPr>
        <w:keepNext/>
        <w:spacing w:before="200" w:after="40"/>
      </w:pPr>
      <w:r>
        <w:rPr>
          <w:rFonts w:ascii="Arial" w:hAnsi="Arial"/>
          <w:b/>
          <w:color w:val="781E1E"/>
          <w:sz w:val="22"/>
        </w:rPr>
        <w:t>III. THE LEGAL ISSUE</w:t>
      </w:r>
    </w:p>
    <w:p>
      <w:pPr>
        <w:spacing w:before="40" w:after="80" w:line="276" w:lineRule="auto"/>
      </w:pPr>
      <w:r>
        <w:rPr>
          <w:rFonts w:ascii="Calibri" w:hAnsi="Calibri"/>
          <w:i w:val="0"/>
          <w:color w:val="212529"/>
          <w:sz w:val="21"/>
        </w:rPr>
        <w:t>Whether or not the statutory exemption for 'stabilizers and flavors' in Section 2 of R.A. No. 601 includes stabilizers used for dental cream, testing the limits of Ejusdem Generis and Noscitur a Sociis.</w:t>
      </w:r>
    </w:p>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THE LEGAL ISSUE</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Does the tax exemption for 'stabilizers and flavors' include toothpaste stabilizers, or is it limited strictly to food stabilizers?</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"Sir/Ma'am, the issue is whether the term 'stabilizers' in RA 601 is limited to food stabilizers or covers toothpaste stabilizers, testing the proper application and limits of Ejusdem Generis (of the same kind) and Verba Legis."</w:t>
            </w:r>
          </w:p>
        </w:tc>
      </w:tr>
    </w:tbl>
    <w:p>
      <w:pPr>
        <w:keepNext/>
        <w:spacing w:before="200" w:after="40"/>
      </w:pPr>
      <w:r>
        <w:rPr>
          <w:rFonts w:ascii="Arial" w:hAnsi="Arial"/>
          <w:b/>
          <w:color w:val="781E1E"/>
          <w:sz w:val="22"/>
        </w:rPr>
        <w:t>IV. ALAC DIGEST</w:t>
      </w:r>
    </w:p>
    <w:tbl>
      <w:tblPr>
        <w:tblW w:type="auto" w:w="0"/>
        <w:jc w:val="center"/>
        <w:tblLook w:firstColumn="1" w:firstRow="1" w:lastColumn="0" w:lastRow="0" w:noHBand="0" w:noVBand="1" w:val="04A0"/>
      </w:tblPr>
      <w:tblGrid>
        <w:gridCol w:w="9648"/>
      </w:tblGrid>
      <w:tr>
        <w:tc>
          <w:tcPr>
            <w:tcW w:type="dxa" w:w="9648"/>
            <w:shd w:fill="F4F6F9"/>
            <w:tcMar>
              <w:top w:w="120" w:type="dxa"/>
              <w:bottom w:w="120" w:type="dxa"/>
              <w:left w:w="180" w:type="dxa"/>
              <w:right w:w="180" w:type="dxa"/>
            </w:tcMar>
          </w:tcPr>
          <w:p>
            <w:pPr>
              <w:spacing w:before="40" w:after="60"/>
            </w:pPr>
            <w:r>
              <w:rPr>
                <w:rFonts w:ascii="Arial" w:hAnsi="Arial"/>
                <w:b/>
                <w:color w:val="0F2043"/>
                <w:sz w:val="21"/>
              </w:rPr>
              <w:t>[A] ANSWER</w:t>
              <w:br/>
            </w:r>
          </w:p>
          <w:p>
            <w:pPr>
              <w:spacing w:before="20" w:after="40" w:line="276" w:lineRule="auto"/>
            </w:pPr>
            <w:r>
              <w:rPr>
                <w:rFonts w:ascii="Calibri" w:hAnsi="Calibri"/>
                <w:color w:val="212529"/>
                <w:sz w:val="20"/>
              </w:rPr>
              <w:t>YES. The imported stabilizers used for dental cream ARE EXEMPT from the foreign exchange levy. Ejusdem Generis does NOT apply because the word 'stabilizers' is preceded by no specific enumeration of food items.</w:t>
            </w:r>
          </w:p>
        </w:tc>
      </w:tr>
    </w:tbl>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THE ANSWER</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Yes. Toothpaste stabilizers are exempt. Ejusdem Generis only works when there is a specific list of items followed by general words. Here, Congress wrote 'stabilizers and flavors' as independent categories, so the court cannot invent a restriction.</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"Yes, Sir/Ma'am. The Supreme Court held that the rule of Ejusdem Generis (of the same kind) applies ONLY when specific words are followed by general words. In Section 2 of RA 601, 'stabilizers' is a general term standing alone; hence, under Verba Legis and Ubi Lex Non Distinguit, it covers all stabilizers, including those for dental cream."</w:t>
            </w:r>
          </w:p>
        </w:tc>
      </w:tr>
    </w:tbl>
    <w:tbl>
      <w:tblPr>
        <w:tblW w:type="auto" w:w="0"/>
        <w:jc w:val="center"/>
        <w:tblLook w:firstColumn="1" w:firstRow="1" w:lastColumn="0" w:lastRow="0" w:noHBand="0" w:noVBand="1" w:val="04A0"/>
      </w:tblPr>
      <w:tblGrid>
        <w:gridCol w:w="9648"/>
      </w:tblGrid>
      <w:tr>
        <w:tc>
          <w:tcPr>
            <w:tcW w:type="dxa" w:w="9648"/>
            <w:shd w:fill="F4F6F9"/>
            <w:tcMar>
              <w:top w:w="120" w:type="dxa"/>
              <w:bottom w:w="120" w:type="dxa"/>
              <w:left w:w="180" w:type="dxa"/>
              <w:right w:w="180" w:type="dxa"/>
            </w:tcMar>
          </w:tcPr>
          <w:p>
            <w:pPr>
              <w:spacing w:before="40" w:after="60"/>
            </w:pPr>
            <w:r>
              <w:rPr>
                <w:rFonts w:ascii="Arial" w:hAnsi="Arial"/>
                <w:b/>
                <w:color w:val="0F2043"/>
                <w:sz w:val="21"/>
              </w:rPr>
              <w:t>[L] LEGAL BASIS</w:t>
              <w:br/>
            </w:r>
          </w:p>
          <w:p>
            <w:pPr>
              <w:spacing w:before="20" w:after="40" w:line="276" w:lineRule="auto"/>
            </w:pPr>
            <w:r>
              <w:rPr>
                <w:rFonts w:ascii="Calibri" w:hAnsi="Calibri"/>
                <w:b/>
                <w:color w:val="212529"/>
                <w:sz w:val="20"/>
              </w:rPr>
              <w:t xml:space="preserve">1. Section 2, Republic Act No. 601 (Foreign Exchange Tax Act): </w:t>
            </w:r>
            <w:r>
              <w:rPr>
                <w:rFonts w:ascii="Calibri" w:hAnsi="Calibri"/>
                <w:color w:val="212529"/>
                <w:sz w:val="20"/>
              </w:rPr>
              <w:t>Provides foreign exchange tax exemption for 'stabilizers and flavors, cattle, medical and hospital supplies'.</w:t>
            </w:r>
          </w:p>
          <w:p>
            <w:pPr>
              <w:spacing w:before="20" w:after="40" w:line="276" w:lineRule="auto"/>
            </w:pPr>
            <w:r>
              <w:rPr>
                <w:rFonts w:ascii="Calibri" w:hAnsi="Calibri"/>
                <w:b/>
                <w:color w:val="212529"/>
                <w:sz w:val="20"/>
              </w:rPr>
              <w:t xml:space="preserve">2. Limits of Ejusdem Generis (of the same kind): </w:t>
            </w:r>
            <w:r>
              <w:rPr>
                <w:rFonts w:ascii="Calibri" w:hAnsi="Calibri"/>
                <w:color w:val="212529"/>
                <w:sz w:val="20"/>
              </w:rPr>
              <w:t>Ejusdem generis requires an enumeration of specific things followed by a general term. It does not apply where general words precede or stand independently.</w:t>
            </w:r>
          </w:p>
          <w:p>
            <w:pPr>
              <w:spacing w:before="20" w:after="40" w:line="276" w:lineRule="auto"/>
            </w:pPr>
            <w:r>
              <w:rPr>
                <w:rFonts w:ascii="Calibri" w:hAnsi="Calibri"/>
                <w:b/>
                <w:color w:val="212529"/>
                <w:sz w:val="20"/>
              </w:rPr>
              <w:t xml:space="preserve">3. Ubi Lex Non Distinguit, Nec Nos Distinguere Debemus (where the law does not distinguish, we should not distinguish): </w:t>
            </w:r>
            <w:r>
              <w:rPr>
                <w:rFonts w:ascii="Calibri" w:hAnsi="Calibri"/>
                <w:color w:val="212529"/>
                <w:sz w:val="20"/>
              </w:rPr>
              <w:t>Since the statute said 'stabilizers' without qualification, courts cannot distinguish between food stabilizers and toothpaste stabilizers.</w:t>
            </w:r>
          </w:p>
        </w:tc>
      </w:tr>
    </w:tbl>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LEGAL BASIS</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Section 2 RA 601, Limits of Ejusdem Generis, and Ubi Lex Non Distinguit.</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"Sir/Ma'am, the legal basis is Section 2 of RA 601, guided by the rule on the Limits of Ejusdem Generis and Ubi lex non distinguit nec nos distinguere debemus (where the law does not distinguish, we must not distinguish)."</w:t>
            </w:r>
          </w:p>
        </w:tc>
      </w:tr>
    </w:tbl>
    <w:tbl>
      <w:tblPr>
        <w:tblW w:type="auto" w:w="0"/>
        <w:jc w:val="center"/>
        <w:tblLook w:firstColumn="1" w:firstRow="1" w:lastColumn="0" w:lastRow="0" w:noHBand="0" w:noVBand="1" w:val="04A0"/>
      </w:tblPr>
      <w:tblGrid>
        <w:gridCol w:w="9648"/>
      </w:tblGrid>
      <w:tr>
        <w:tc>
          <w:tcPr>
            <w:tcW w:type="dxa" w:w="9648"/>
            <w:shd w:fill="F4F6F9"/>
            <w:tcMar>
              <w:top w:w="120" w:type="dxa"/>
              <w:bottom w:w="120" w:type="dxa"/>
              <w:left w:w="180" w:type="dxa"/>
              <w:right w:w="180" w:type="dxa"/>
            </w:tcMar>
          </w:tcPr>
          <w:p>
            <w:pPr>
              <w:spacing w:before="40" w:after="60"/>
            </w:pPr>
            <w:r>
              <w:rPr>
                <w:rFonts w:ascii="Arial" w:hAnsi="Arial"/>
                <w:b/>
                <w:color w:val="0F2043"/>
                <w:sz w:val="21"/>
              </w:rPr>
              <w:t>[A] ANALYSIS / APPLICATION</w:t>
              <w:br/>
            </w:r>
          </w:p>
          <w:p>
            <w:pPr>
              <w:spacing w:before="20" w:after="40" w:line="276" w:lineRule="auto"/>
            </w:pPr>
            <w:r>
              <w:rPr>
                <w:rFonts w:ascii="Calibri" w:hAnsi="Calibri"/>
                <w:b/>
                <w:color w:val="212529"/>
                <w:sz w:val="20"/>
              </w:rPr>
              <w:t xml:space="preserve">1. Inapplicability of Ejusdem Generis: </w:t>
            </w:r>
            <w:r>
              <w:rPr>
                <w:rFonts w:ascii="Calibri" w:hAnsi="Calibri"/>
                <w:color w:val="212529"/>
                <w:sz w:val="20"/>
              </w:rPr>
              <w:t>For ejusdem generis to apply, there must be: (1) an enumeration of specific words belonging to a class; (2) followed by general words; and (3) no contrary legislative intent. Here, 'stabilizers' was not preceded by specific food items.</w:t>
            </w:r>
          </w:p>
          <w:p>
            <w:pPr>
              <w:spacing w:before="20" w:after="40" w:line="276" w:lineRule="auto"/>
            </w:pPr>
            <w:r>
              <w:rPr>
                <w:rFonts w:ascii="Calibri" w:hAnsi="Calibri"/>
                <w:b/>
                <w:color w:val="212529"/>
                <w:sz w:val="20"/>
              </w:rPr>
              <w:t xml:space="preserve">2. Syntax and Punctuation: </w:t>
            </w:r>
            <w:r>
              <w:rPr>
                <w:rFonts w:ascii="Calibri" w:hAnsi="Calibri"/>
                <w:color w:val="212529"/>
                <w:sz w:val="20"/>
              </w:rPr>
              <w:t>The statute separated 'flavors' and other items. The phrase 'for food' modified only certain categories, not the independent term 'stabilizers'.</w:t>
            </w:r>
          </w:p>
          <w:p>
            <w:pPr>
              <w:spacing w:before="20" w:after="40" w:line="276" w:lineRule="auto"/>
            </w:pPr>
            <w:r>
              <w:rPr>
                <w:rFonts w:ascii="Calibri" w:hAnsi="Calibri"/>
                <w:b/>
                <w:color w:val="212529"/>
                <w:sz w:val="20"/>
              </w:rPr>
              <w:t xml:space="preserve">3. Plain Meaning Rule: </w:t>
            </w:r>
            <w:r>
              <w:rPr>
                <w:rFonts w:ascii="Calibri" w:hAnsi="Calibri"/>
                <w:color w:val="212529"/>
                <w:sz w:val="20"/>
              </w:rPr>
              <w:t>When the statutory term is broad and unqualified, it must be given its ordinary commercial and technical meaning encompassing all chemical stabilizers.</w:t>
            </w:r>
          </w:p>
        </w:tc>
      </w:tr>
    </w:tbl>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ANALYSIS / APPLICATION</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The government auditor tried to use Ejusdem Generis backwards. Ejusdem Generis only applies when a law lists specific examples and ends with general words. Here, the word 'stabilizers' was a standalone category. Where the law does not distinguish what kind of stabilizer, the auditor cannot add his own restriction.</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"Sir/Ma'am, the Court explained the limits of Ejusdem Generis. Because there was no specific list preceding 'stabilizers', the general term must be given its full natural scope under Ubi Lex Non Distinguit. The Court ordered the tax refund."</w:t>
            </w:r>
          </w:p>
        </w:tc>
      </w:tr>
    </w:tbl>
    <w:tbl>
      <w:tblPr>
        <w:tblW w:type="auto" w:w="0"/>
        <w:jc w:val="center"/>
        <w:tblLook w:firstColumn="1" w:firstRow="1" w:lastColumn="0" w:lastRow="0" w:noHBand="0" w:noVBand="1" w:val="04A0"/>
      </w:tblPr>
      <w:tblGrid>
        <w:gridCol w:w="9648"/>
      </w:tblGrid>
      <w:tr>
        <w:tc>
          <w:tcPr>
            <w:tcW w:type="dxa" w:w="9648"/>
            <w:shd w:fill="F4F6F9"/>
            <w:tcMar>
              <w:top w:w="120" w:type="dxa"/>
              <w:bottom w:w="120" w:type="dxa"/>
              <w:left w:w="180" w:type="dxa"/>
              <w:right w:w="180" w:type="dxa"/>
            </w:tcMar>
          </w:tcPr>
          <w:p>
            <w:pPr>
              <w:spacing w:before="40" w:after="60"/>
            </w:pPr>
            <w:r>
              <w:rPr>
                <w:rFonts w:ascii="Arial" w:hAnsi="Arial"/>
                <w:b/>
                <w:color w:val="0F2043"/>
                <w:sz w:val="21"/>
              </w:rPr>
              <w:t>[C] CONCLUSION</w:t>
              <w:br/>
            </w:r>
          </w:p>
          <w:p>
            <w:pPr>
              <w:spacing w:before="20" w:after="40" w:line="276" w:lineRule="auto"/>
            </w:pPr>
            <w:r>
              <w:rPr>
                <w:rFonts w:ascii="Calibri" w:hAnsi="Calibri"/>
                <w:color w:val="212529"/>
                <w:sz w:val="20"/>
              </w:rPr>
              <w:t>The Supreme Court REVERSED the Auditor General's decision and ORDERED the refund of the 17% foreign exchange tax paid by Colgate-Palmolive.</w:t>
            </w:r>
          </w:p>
        </w:tc>
      </w:tr>
    </w:tbl>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CONCLUSION</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Colgate won and the government was ordered to refund the foreign exchange taxes.</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"The Supreme Court reversed the denial and ordered the tax refund, clarifying the strict prerequisites for applying Ejusdem Generis."</w:t>
            </w:r>
          </w:p>
        </w:tc>
      </w:tr>
    </w:tbl>
    <w:p>
      <w:pPr>
        <w:keepNext/>
        <w:spacing w:before="200" w:after="40"/>
      </w:pPr>
      <w:r>
        <w:rPr>
          <w:rFonts w:ascii="Arial" w:hAnsi="Arial"/>
          <w:b/>
          <w:color w:val="781E1E"/>
          <w:sz w:val="22"/>
        </w:rPr>
        <w:t>V. RELATION TO STATUTORY CONSTRUCTION</w:t>
      </w:r>
    </w:p>
    <w:p>
      <w:pPr>
        <w:spacing w:before="40" w:after="80" w:line="276" w:lineRule="auto"/>
      </w:pPr>
      <w:r>
        <w:rPr>
          <w:rFonts w:ascii="Calibri" w:hAnsi="Calibri"/>
          <w:b/>
          <w:color w:val="212529"/>
          <w:sz w:val="21"/>
        </w:rPr>
        <w:t>• Syllabus Topic Alignment:</w:t>
        <w:br/>
      </w:r>
      <w:r>
        <w:rPr>
          <w:rFonts w:ascii="Calibri" w:hAnsi="Calibri"/>
          <w:i w:val="0"/>
          <w:color w:val="212529"/>
          <w:sz w:val="21"/>
        </w:rPr>
        <w:t>• Chapter III: Basic Guidelines in the Construction and Interpretation of Laws</w:t>
        <w:br/>
        <w:t xml:space="preserve">  - B. Considerations within the Statute: Inapplicability &amp; Prerequisites of Ejusdem Generis</w:t>
      </w:r>
    </w:p>
    <w:tbl>
      <w:tblPr>
        <w:tblW w:type="auto" w:w="0"/>
        <w:jc w:val="center"/>
        <w:tblLook w:firstColumn="1" w:firstRow="1" w:lastColumn="0" w:lastRow="0" w:noHBand="0" w:noVBand="1" w:val="04A0"/>
      </w:tblPr>
      <w:tblGrid>
        <w:gridCol w:w="9648"/>
      </w:tblGrid>
      <w:tr>
        <w:tc>
          <w:tcPr>
            <w:tcW w:type="dxa" w:w="9648"/>
            <w:shd w:fill="FDF6EE"/>
            <w:tcMar>
              <w:top w:w="120" w:type="dxa"/>
              <w:bottom w:w="120" w:type="dxa"/>
              <w:left w:w="180" w:type="dxa"/>
              <w:right w:w="180" w:type="dxa"/>
            </w:tcMar>
          </w:tcPr>
          <w:p>
            <w:pPr>
              <w:spacing w:before="40" w:after="80"/>
            </w:pPr>
            <w:r>
              <w:rPr>
                <w:rFonts w:ascii="Arial" w:hAnsi="Arial"/>
                <w:b/>
                <w:color w:val="8C3200"/>
                <w:sz w:val="20"/>
              </w:rPr>
              <w:t>📜 GOVERNING LATIN MAXIMS WITH ENGLISH TRANSLATIONS</w:t>
              <w:br/>
            </w:r>
          </w:p>
          <w:p>
            <w:pPr>
              <w:spacing w:before="40" w:after="60" w:line="276" w:lineRule="auto"/>
            </w:pPr>
            <w:r>
              <w:rPr>
                <w:rFonts w:ascii="Calibri" w:hAnsi="Calibri"/>
                <w:b/>
                <w:color w:val="8C3200"/>
                <w:sz w:val="20"/>
              </w:rPr>
              <w:t>1. Ejusdem generis (of the same kind or class)</w:t>
              <w:br/>
            </w:r>
            <w:r>
              <w:rPr>
                <w:rFonts w:ascii="Calibri" w:hAnsi="Calibri"/>
                <w:b/>
                <w:color w:val="212529"/>
                <w:sz w:val="19"/>
              </w:rPr>
              <w:t xml:space="preserve">   • Literal English Translation: </w:t>
            </w:r>
            <w:r>
              <w:rPr>
                <w:rFonts w:ascii="Calibri" w:hAnsi="Calibri"/>
                <w:i/>
                <w:color w:val="212529"/>
                <w:sz w:val="19"/>
              </w:rPr>
              <w:t>Of the same kind.</w:t>
              <w:br/>
            </w:r>
            <w:r>
              <w:rPr>
                <w:rFonts w:ascii="Calibri" w:hAnsi="Calibri"/>
                <w:b/>
                <w:color w:val="212529"/>
                <w:sz w:val="19"/>
              </w:rPr>
              <w:t xml:space="preserve">   • Plain Legal Meaning &amp; StatCon Application: </w:t>
            </w:r>
            <w:r>
              <w:rPr>
                <w:rFonts w:ascii="Calibri" w:hAnsi="Calibri"/>
                <w:color w:val="212529"/>
                <w:sz w:val="19"/>
              </w:rPr>
              <w:t>The maxim applies only when specific enumerations are followed by general terms—it cannot be used to restrict standalone general words.</w:t>
            </w:r>
          </w:p>
          <w:p>
            <w:pPr>
              <w:spacing w:before="40" w:after="60" w:line="276" w:lineRule="auto"/>
            </w:pPr>
            <w:r>
              <w:rPr>
                <w:rFonts w:ascii="Calibri" w:hAnsi="Calibri"/>
                <w:b/>
                <w:color w:val="8C3200"/>
                <w:sz w:val="20"/>
              </w:rPr>
              <w:t>2. Ubi lex non distinguit, nec nos distinguere debemus (where the law does not distinguish, we should not distinguish)</w:t>
              <w:br/>
            </w:r>
            <w:r>
              <w:rPr>
                <w:rFonts w:ascii="Calibri" w:hAnsi="Calibri"/>
                <w:b/>
                <w:color w:val="212529"/>
                <w:sz w:val="19"/>
              </w:rPr>
              <w:t xml:space="preserve">   • Literal English Translation: </w:t>
            </w:r>
            <w:r>
              <w:rPr>
                <w:rFonts w:ascii="Calibri" w:hAnsi="Calibri"/>
                <w:i/>
                <w:color w:val="212529"/>
                <w:sz w:val="19"/>
              </w:rPr>
              <w:t>Where the law makes no distinction, we must make none.</w:t>
              <w:br/>
            </w:r>
            <w:r>
              <w:rPr>
                <w:rFonts w:ascii="Calibri" w:hAnsi="Calibri"/>
                <w:b/>
                <w:color w:val="212529"/>
                <w:sz w:val="19"/>
              </w:rPr>
              <w:t xml:space="preserve">   • Plain Legal Meaning &amp; StatCon Application: </w:t>
            </w:r>
            <w:r>
              <w:rPr>
                <w:rFonts w:ascii="Calibri" w:hAnsi="Calibri"/>
                <w:color w:val="212529"/>
                <w:sz w:val="19"/>
              </w:rPr>
              <w:t>The statute made no distinction between food stabilizers and toothpaste stabilizers.</w:t>
            </w:r>
          </w:p>
          <w:p>
            <w:pPr>
              <w:spacing w:before="40" w:after="60" w:line="276" w:lineRule="auto"/>
            </w:pPr>
            <w:r>
              <w:rPr>
                <w:rFonts w:ascii="Calibri" w:hAnsi="Calibri"/>
                <w:b/>
                <w:color w:val="8C3200"/>
                <w:sz w:val="20"/>
              </w:rPr>
              <w:t>3. Verba legis non est recedendum (from the words of the statute there should be no departure)</w:t>
              <w:br/>
            </w:r>
            <w:r>
              <w:rPr>
                <w:rFonts w:ascii="Calibri" w:hAnsi="Calibri"/>
                <w:b/>
                <w:color w:val="212529"/>
                <w:sz w:val="19"/>
              </w:rPr>
              <w:t xml:space="preserve">   • Literal English Translation: </w:t>
            </w:r>
            <w:r>
              <w:rPr>
                <w:rFonts w:ascii="Calibri" w:hAnsi="Calibri"/>
                <w:i/>
                <w:color w:val="212529"/>
                <w:sz w:val="19"/>
              </w:rPr>
              <w:t>From the words of the statute there must be no departure.</w:t>
              <w:br/>
            </w:r>
            <w:r>
              <w:rPr>
                <w:rFonts w:ascii="Calibri" w:hAnsi="Calibri"/>
                <w:b/>
                <w:color w:val="212529"/>
                <w:sz w:val="19"/>
              </w:rPr>
              <w:t xml:space="preserve">   • Plain Legal Meaning &amp; StatCon Application: </w:t>
            </w:r>
            <w:r>
              <w:rPr>
                <w:rFonts w:ascii="Calibri" w:hAnsi="Calibri"/>
                <w:color w:val="212529"/>
                <w:sz w:val="19"/>
              </w:rPr>
              <w:t>General statutory words must be given their direct literal effect.</w:t>
            </w:r>
          </w:p>
        </w:tc>
      </w:tr>
    </w:tbl>
    <w:tbl>
      <w:tblPr>
        <w:tblW w:type="auto" w:w="0"/>
        <w:jc w:val="center"/>
        <w:tblLook w:firstColumn="1" w:firstRow="1" w:lastColumn="0" w:lastRow="0" w:noHBand="0" w:noVBand="1" w:val="04A0"/>
      </w:tblPr>
      <w:tblGrid>
        <w:gridCol w:w="4824"/>
        <w:gridCol w:w="4824"/>
      </w:tblGrid>
      <w:tr>
        <w:tc>
          <w:tcPr>
            <w:tcW w:type="dxa" w:w="4824"/>
            <w:shd w:fill="EAEFF5"/>
            <w:tcMar>
              <w:top w:w="80" w:type="dxa"/>
              <w:bottom w:w="80" w:type="dxa"/>
              <w:left w:w="120" w:type="dxa"/>
              <w:right w:w="120" w:type="dxa"/>
            </w:tcMar>
          </w:tcPr>
          <w:p>
            <w:pPr>
              <w:spacing w:before="40" w:after="40"/>
            </w:pPr>
            <w:r>
              <w:rPr>
                <w:rFonts w:ascii="Arial" w:hAnsi="Arial"/>
                <w:b/>
                <w:color w:val="0F2043"/>
                <w:sz w:val="18"/>
              </w:rPr>
              <w:t>Syllabus Topic Alignment</w:t>
              <w:br/>
              <w:t>(StatCon_Syllabus_JPR.pdf)</w:t>
            </w:r>
          </w:p>
        </w:tc>
        <w:tc>
          <w:tcPr>
            <w:tcW w:type="dxa" w:w="4824"/>
            <w:shd w:fill="FAFAFA"/>
            <w:tcMar>
              <w:top w:w="80" w:type="dxa"/>
              <w:bottom w:w="80" w:type="dxa"/>
              <w:left w:w="120" w:type="dxa"/>
              <w:right w:w="120" w:type="dxa"/>
            </w:tcMar>
          </w:tcPr>
          <w:p>
            <w:pPr>
              <w:spacing w:before="40" w:after="40" w:line="276" w:lineRule="auto"/>
            </w:pPr>
            <w:r>
              <w:rPr>
                <w:rFonts w:ascii="Calibri" w:hAnsi="Calibri"/>
                <w:color w:val="212529"/>
                <w:sz w:val="19"/>
              </w:rPr>
              <w:t>• Chapter III: Basic Guidelines in the Construction and Interpretation of Laws</w:t>
              <w:br/>
              <w:t xml:space="preserve">  - B. Considerations within the Statute: Inapplicability &amp; Prerequisites of Ejusdem Generis</w:t>
            </w:r>
          </w:p>
        </w:tc>
      </w:tr>
      <w:tr>
        <w:tc>
          <w:tcPr>
            <w:tcW w:type="dxa" w:w="4824"/>
            <w:shd w:fill="EAEFF5"/>
            <w:tcMar>
              <w:top w:w="80" w:type="dxa"/>
              <w:bottom w:w="80" w:type="dxa"/>
              <w:left w:w="120" w:type="dxa"/>
              <w:right w:w="120" w:type="dxa"/>
            </w:tcMar>
          </w:tcPr>
          <w:p>
            <w:pPr>
              <w:spacing w:before="40" w:after="40"/>
            </w:pPr>
            <w:r>
              <w:rPr>
                <w:rFonts w:ascii="Arial" w:hAnsi="Arial"/>
                <w:b/>
                <w:color w:val="0F2043"/>
                <w:sz w:val="18"/>
              </w:rPr>
              <w:t>Governing Latin Maxims &amp; English</w:t>
            </w:r>
          </w:p>
        </w:tc>
        <w:tc>
          <w:tcPr>
            <w:tcW w:type="dxa" w:w="4824"/>
            <w:shd w:fill="FAFAFA"/>
            <w:tcMar>
              <w:top w:w="80" w:type="dxa"/>
              <w:bottom w:w="80" w:type="dxa"/>
              <w:left w:w="120" w:type="dxa"/>
              <w:right w:w="120" w:type="dxa"/>
            </w:tcMar>
          </w:tcPr>
          <w:p>
            <w:pPr>
              <w:spacing w:before="40" w:after="40" w:line="276" w:lineRule="auto"/>
            </w:pPr>
            <w:r>
              <w:rPr>
                <w:rFonts w:ascii="Calibri" w:hAnsi="Calibri"/>
                <w:color w:val="212529"/>
                <w:sz w:val="19"/>
              </w:rPr>
              <w:t>Primary:</w:t>
              <w:br/>
              <w:t>Ejusdem generis</w:t>
              <w:br/>
              <w:t>(of the same kind or class / the maxim requires specific words followed by general words and cannot restrict standalone general terms)</w:t>
              <w:br/>
              <w:br/>
              <w:t>Secondary:</w:t>
              <w:br/>
              <w:t>• Ubi lex non distinguit (where the law does not distinguish)</w:t>
              <w:br/>
              <w:t>• Verba legis non est recedendum (from the words of the statute no departure)</w:t>
            </w:r>
          </w:p>
        </w:tc>
      </w:tr>
      <w:tr>
        <w:tc>
          <w:tcPr>
            <w:tcW w:type="dxa" w:w="4824"/>
            <w:shd w:fill="EAEFF5"/>
            <w:tcMar>
              <w:top w:w="80" w:type="dxa"/>
              <w:bottom w:w="80" w:type="dxa"/>
              <w:left w:w="120" w:type="dxa"/>
              <w:right w:w="120" w:type="dxa"/>
            </w:tcMar>
          </w:tcPr>
          <w:p>
            <w:pPr>
              <w:spacing w:before="40" w:after="40"/>
            </w:pPr>
            <w:r>
              <w:rPr>
                <w:rFonts w:ascii="Arial" w:hAnsi="Arial"/>
                <w:b/>
                <w:color w:val="0F2043"/>
                <w:sz w:val="18"/>
              </w:rPr>
              <w:t>Case Violation in StatCon</w:t>
            </w:r>
          </w:p>
        </w:tc>
        <w:tc>
          <w:tcPr>
            <w:tcW w:type="dxa" w:w="4824"/>
            <w:shd w:fill="FAFAFA"/>
            <w:tcMar>
              <w:top w:w="80" w:type="dxa"/>
              <w:bottom w:w="80" w:type="dxa"/>
              <w:left w:w="120" w:type="dxa"/>
              <w:right w:w="120" w:type="dxa"/>
            </w:tcMar>
          </w:tcPr>
          <w:p>
            <w:pPr>
              <w:spacing w:before="40" w:after="40" w:line="276" w:lineRule="auto"/>
            </w:pPr>
            <w:r>
              <w:rPr>
                <w:rFonts w:ascii="Calibri" w:hAnsi="Calibri"/>
                <w:color w:val="212529"/>
                <w:sz w:val="19"/>
              </w:rPr>
              <w:t>The Auditor General misapplied Ejusdem Generis to restrict a standalone general statutory term that was not preceded by specific enumerations.</w:t>
            </w:r>
          </w:p>
        </w:tc>
      </w:tr>
      <w:tr>
        <w:tc>
          <w:tcPr>
            <w:tcW w:type="dxa" w:w="4824"/>
            <w:shd w:fill="EAEFF5"/>
            <w:tcMar>
              <w:top w:w="80" w:type="dxa"/>
              <w:bottom w:w="80" w:type="dxa"/>
              <w:left w:w="120" w:type="dxa"/>
              <w:right w:w="120" w:type="dxa"/>
            </w:tcMar>
          </w:tcPr>
          <w:p>
            <w:pPr>
              <w:spacing w:before="40" w:after="40"/>
            </w:pPr>
            <w:r>
              <w:rPr>
                <w:rFonts w:ascii="Arial" w:hAnsi="Arial"/>
                <w:b/>
                <w:color w:val="0F2043"/>
                <w:sz w:val="18"/>
              </w:rPr>
              <w:t>Doctrinal Execution / Principle</w:t>
            </w:r>
          </w:p>
        </w:tc>
        <w:tc>
          <w:tcPr>
            <w:tcW w:type="dxa" w:w="4824"/>
            <w:shd w:fill="FAFAFA"/>
            <w:tcMar>
              <w:top w:w="80" w:type="dxa"/>
              <w:bottom w:w="80" w:type="dxa"/>
              <w:left w:w="120" w:type="dxa"/>
              <w:right w:w="120" w:type="dxa"/>
            </w:tcMar>
          </w:tcPr>
          <w:p>
            <w:pPr>
              <w:spacing w:before="40" w:after="40" w:line="276" w:lineRule="auto"/>
            </w:pPr>
            <w:r>
              <w:rPr>
                <w:rFonts w:ascii="Calibri" w:hAnsi="Calibri"/>
                <w:color w:val="212529"/>
                <w:sz w:val="19"/>
              </w:rPr>
              <w:t>Prerequisites of Ejusdem Generis: The doctrine of ejusdem generis cannot be applied unless there is an actual enumeration of specific things followed by general terms.</w:t>
            </w:r>
          </w:p>
        </w:tc>
      </w:tr>
    </w:tbl>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RELATION TO STATUTORY CONSTRUCTION</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You cannot use the Ejusdem Generis rule to shrink a broad word unless the law actually started with a list of specific examples.</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"Sir/Ma'am, Colgate-Palmolive v. Gimenez is the leading authority defining the exact prerequisites of Ejusdem Generis: it cannot restrict a standalone general word."</w:t>
            </w:r>
          </w:p>
        </w:tc>
      </w:tr>
    </w:tbl>
    <w:p>
      <w:pPr>
        <w:spacing w:before="160" w:after="80"/>
      </w:pPr>
    </w:p>
    <w:tbl>
      <w:tblPr>
        <w:tblW w:type="auto" w:w="0"/>
        <w:jc w:val="center"/>
        <w:tblLook w:firstColumn="1" w:firstRow="1" w:lastColumn="0" w:lastRow="0" w:noHBand="0" w:noVBand="1" w:val="04A0"/>
      </w:tblPr>
      <w:tblGrid>
        <w:gridCol w:w="9648"/>
      </w:tblGrid>
      <w:tr>
        <w:tc>
          <w:tcPr>
            <w:tcW w:type="dxa" w:w="9648"/>
            <w:shd w:fill="1E3A5F"/>
            <w:tcMar>
              <w:top w:w="140" w:type="dxa"/>
              <w:bottom w:w="140" w:type="dxa"/>
              <w:left w:w="200" w:type="dxa"/>
              <w:right w:w="200" w:type="dxa"/>
            </w:tcMar>
          </w:tcPr>
          <w:p>
            <w:pPr>
              <w:spacing w:before="40" w:after="40"/>
              <w:jc w:val="center"/>
            </w:pPr>
            <w:r>
              <w:rPr>
                <w:rFonts w:ascii="Arial" w:hAnsi="Arial"/>
                <w:b/>
                <w:color w:val="FFD700"/>
                <w:sz w:val="22"/>
              </w:rPr>
              <w:t>⚖ STANDARDIZED CASE DIGEST: STATUTORY CONSTRUCTION FORMAT</w:t>
              <w:br/>
            </w:r>
            <w:r>
              <w:rPr>
                <w:rFonts w:ascii="Arial" w:hAnsi="Arial"/>
                <w:i/>
                <w:color w:val="DCEBFF"/>
                <w:sz w:val="18"/>
              </w:rPr>
              <w:t>(Complete 12-Section Academic &amp; Judicial Construction Analysis)</w:t>
            </w:r>
          </w:p>
        </w:tc>
      </w:tr>
    </w:tbl>
    <w:p>
      <w:pPr>
        <w:spacing w:before="80" w:after="80"/>
      </w:pPr>
    </w:p>
    <w:tbl>
      <w:tblPr>
        <w:tblW w:type="auto" w:w="0"/>
        <w:jc w:val="center"/>
        <w:tblLook w:firstColumn="1" w:firstRow="1" w:lastColumn="0" w:lastRow="0" w:noHBand="0" w:noVBand="1" w:val="04A0"/>
      </w:tblPr>
      <w:tblGrid>
        <w:gridCol w:w="4824"/>
        <w:gridCol w:w="4824"/>
      </w:tblGrid>
      <w:tr>
        <w:tc>
          <w:tcPr>
            <w:tcW w:type="dxa" w:w="4824"/>
            <w:shd w:fill="EBF0F7"/>
            <w:tcMar>
              <w:top w:w="60" w:type="dxa"/>
              <w:bottom w:w="60" w:type="dxa"/>
              <w:left w:w="120" w:type="dxa"/>
              <w:right w:w="120" w:type="dxa"/>
            </w:tcMar>
          </w:tcPr>
          <w:p>
            <w:pPr>
              <w:spacing w:before="20" w:after="20"/>
            </w:pPr>
            <w:r>
              <w:rPr>
                <w:rFonts w:ascii="Arial" w:hAnsi="Arial"/>
                <w:b/>
                <w:color w:val="0F2043"/>
                <w:sz w:val="19"/>
              </w:rPr>
              <w:t>Case Title:</w:t>
            </w:r>
          </w:p>
        </w:tc>
        <w:tc>
          <w:tcPr>
            <w:tcW w:type="dxa" w:w="4824"/>
            <w:shd w:fill="FAFCFF"/>
            <w:tcMar>
              <w:top w:w="60" w:type="dxa"/>
              <w:bottom w:w="60" w:type="dxa"/>
              <w:left w:w="120" w:type="dxa"/>
              <w:right w:w="120" w:type="dxa"/>
            </w:tcMar>
          </w:tcPr>
          <w:p>
            <w:pPr>
              <w:spacing w:before="20" w:after="20"/>
            </w:pPr>
            <w:r>
              <w:rPr>
                <w:rFonts w:ascii="Calibri" w:hAnsi="Calibri"/>
                <w:b/>
                <w:color w:val="212529"/>
                <w:sz w:val="19"/>
              </w:rPr>
              <w:t>Colgate-Palmolive Philippines, Inc. v. Pedro M. Gimenez</w:t>
            </w:r>
          </w:p>
        </w:tc>
      </w:tr>
      <w:tr>
        <w:tc>
          <w:tcPr>
            <w:tcW w:type="dxa" w:w="4824"/>
            <w:shd w:fill="EBF0F7"/>
            <w:tcMar>
              <w:top w:w="60" w:type="dxa"/>
              <w:bottom w:w="60" w:type="dxa"/>
              <w:left w:w="120" w:type="dxa"/>
              <w:right w:w="120" w:type="dxa"/>
            </w:tcMar>
          </w:tcPr>
          <w:p>
            <w:pPr>
              <w:spacing w:before="20" w:after="20"/>
            </w:pPr>
            <w:r>
              <w:rPr>
                <w:rFonts w:ascii="Arial" w:hAnsi="Arial"/>
                <w:b/>
                <w:color w:val="0F2043"/>
                <w:sz w:val="19"/>
              </w:rPr>
              <w:t>G.R. No. / Record:</w:t>
            </w:r>
          </w:p>
        </w:tc>
        <w:tc>
          <w:tcPr>
            <w:tcW w:type="dxa" w:w="4824"/>
            <w:shd w:fill="FAFCFF"/>
            <w:tcMar>
              <w:top w:w="60" w:type="dxa"/>
              <w:bottom w:w="60" w:type="dxa"/>
              <w:left w:w="120" w:type="dxa"/>
              <w:right w:w="120" w:type="dxa"/>
            </w:tcMar>
          </w:tcPr>
          <w:p>
            <w:pPr>
              <w:spacing w:before="20" w:after="20"/>
            </w:pPr>
            <w:r>
              <w:rPr>
                <w:rFonts w:ascii="Calibri" w:hAnsi="Calibri"/>
                <w:b w:val="0"/>
                <w:color w:val="212529"/>
                <w:sz w:val="19"/>
              </w:rPr>
              <w:t>G.R. No. L-14787</w:t>
            </w:r>
          </w:p>
        </w:tc>
      </w:tr>
      <w:tr>
        <w:tc>
          <w:tcPr>
            <w:tcW w:type="dxa" w:w="4824"/>
            <w:shd w:fill="EBF0F7"/>
            <w:tcMar>
              <w:top w:w="60" w:type="dxa"/>
              <w:bottom w:w="60" w:type="dxa"/>
              <w:left w:w="120" w:type="dxa"/>
              <w:right w:w="120" w:type="dxa"/>
            </w:tcMar>
          </w:tcPr>
          <w:p>
            <w:pPr>
              <w:spacing w:before="20" w:after="20"/>
            </w:pPr>
            <w:r>
              <w:rPr>
                <w:rFonts w:ascii="Arial" w:hAnsi="Arial"/>
                <w:b/>
                <w:color w:val="0F2043"/>
                <w:sz w:val="19"/>
              </w:rPr>
              <w:t>Date of Promulgation:</w:t>
            </w:r>
          </w:p>
        </w:tc>
        <w:tc>
          <w:tcPr>
            <w:tcW w:type="dxa" w:w="4824"/>
            <w:shd w:fill="FAFCFF"/>
            <w:tcMar>
              <w:top w:w="60" w:type="dxa"/>
              <w:bottom w:w="60" w:type="dxa"/>
              <w:left w:w="120" w:type="dxa"/>
              <w:right w:w="120" w:type="dxa"/>
            </w:tcMar>
          </w:tcPr>
          <w:p>
            <w:pPr>
              <w:spacing w:before="20" w:after="20"/>
            </w:pPr>
            <w:r>
              <w:rPr>
                <w:rFonts w:ascii="Calibri" w:hAnsi="Calibri"/>
                <w:b w:val="0"/>
                <w:color w:val="212529"/>
                <w:sz w:val="19"/>
              </w:rPr>
              <w:t>January 28, 1961</w:t>
            </w:r>
          </w:p>
        </w:tc>
      </w:tr>
      <w:tr>
        <w:tc>
          <w:tcPr>
            <w:tcW w:type="dxa" w:w="4824"/>
            <w:shd w:fill="EBF0F7"/>
            <w:tcMar>
              <w:top w:w="60" w:type="dxa"/>
              <w:bottom w:w="60" w:type="dxa"/>
              <w:left w:w="120" w:type="dxa"/>
              <w:right w:w="120" w:type="dxa"/>
            </w:tcMar>
          </w:tcPr>
          <w:p>
            <w:pPr>
              <w:spacing w:before="20" w:after="20"/>
            </w:pPr>
            <w:r>
              <w:rPr>
                <w:rFonts w:ascii="Arial" w:hAnsi="Arial"/>
                <w:b/>
                <w:color w:val="0F2043"/>
                <w:sz w:val="19"/>
              </w:rPr>
              <w:t>Ponente / Court:</w:t>
            </w:r>
          </w:p>
        </w:tc>
        <w:tc>
          <w:tcPr>
            <w:tcW w:type="dxa" w:w="4824"/>
            <w:shd w:fill="FAFCFF"/>
            <w:tcMar>
              <w:top w:w="60" w:type="dxa"/>
              <w:bottom w:w="60" w:type="dxa"/>
              <w:left w:w="120" w:type="dxa"/>
              <w:right w:w="120" w:type="dxa"/>
            </w:tcMar>
          </w:tcPr>
          <w:p>
            <w:pPr>
              <w:spacing w:before="20" w:after="20"/>
            </w:pPr>
            <w:r>
              <w:rPr>
                <w:rFonts w:ascii="Calibri" w:hAnsi="Calibri"/>
                <w:b w:val="0"/>
                <w:color w:val="212529"/>
                <w:sz w:val="19"/>
              </w:rPr>
              <w:t>En Banc</w:t>
            </w:r>
          </w:p>
        </w:tc>
      </w:tr>
    </w:tbl>
    <w:p>
      <w:pPr>
        <w:keepNext/>
        <w:spacing w:before="240" w:after="60"/>
      </w:pPr>
      <w:r>
        <w:rPr>
          <w:rFonts w:ascii="Arial" w:hAnsi="Arial"/>
          <w:b/>
          <w:color w:val="0F2043"/>
          <w:sz w:val="21"/>
        </w:rPr>
        <w:t>I. FACTS OF THE CASE</w:t>
      </w:r>
    </w:p>
    <w:tbl>
      <w:tblPr>
        <w:tblW w:type="auto" w:w="0"/>
        <w:jc w:val="center"/>
        <w:tblLook w:firstColumn="1" w:firstRow="1" w:lastColumn="0" w:lastRow="0" w:noHBand="0" w:noVBand="1" w:val="04A0"/>
      </w:tblPr>
      <w:tblGrid>
        <w:gridCol w:w="9648"/>
      </w:tblGrid>
      <w:tr>
        <w:tc>
          <w:tcPr>
            <w:tcW w:type="dxa" w:w="9648"/>
            <w:shd w:fill="F8F9FB"/>
            <w:tcMar>
              <w:top w:w="100" w:type="dxa"/>
              <w:bottom w:w="100" w:type="dxa"/>
              <w:left w:w="160" w:type="dxa"/>
              <w:right w:w="160" w:type="dxa"/>
            </w:tcMar>
          </w:tcPr>
          <w:p>
            <w:pPr>
              <w:spacing w:before="20" w:after="40"/>
            </w:pPr>
            <w:r>
              <w:rPr>
                <w:rFonts w:ascii="Arial" w:hAnsi="Arial"/>
                <w:b/>
                <w:color w:val="0F2043"/>
                <w:sz w:val="19"/>
              </w:rPr>
              <w:t>Material Facts of Controversy</w:t>
              <w:br/>
            </w:r>
          </w:p>
          <w:p>
            <w:pPr>
              <w:spacing w:before="20" w:after="40" w:line="276" w:lineRule="auto"/>
            </w:pPr>
            <w:r>
              <w:rPr>
                <w:rFonts w:ascii="Calibri" w:hAnsi="Calibri"/>
                <w:color w:val="212529"/>
                <w:sz w:val="19"/>
              </w:rPr>
              <w:t>Colgate-Palmolive imported 'Irish moss extract' and sodium carboxymethylcellulose to be used as stabilizers and emulsifiers in manufacturing dental cream (toothpaste). The Central Bank collected the 17% special foreign exchange tax under Republic Act No. 601. Colgate claimed a tax refund under Section 2 of RA 601, which exempts foreign exchange used for importation of 'stabilizers and flavors... for food, and medical and hospital supplies.' The Auditor General denied the refund, contending that dental cream is not a food or medicine, and that under Ejusdem Generis, 'stabilizers' must be restricted strictly to food stabilizers.</w:t>
            </w:r>
          </w:p>
        </w:tc>
      </w:tr>
    </w:tbl>
    <w:p>
      <w:pPr>
        <w:keepNext/>
        <w:spacing w:before="240" w:after="60"/>
      </w:pPr>
      <w:r>
        <w:rPr>
          <w:rFonts w:ascii="Arial" w:hAnsi="Arial"/>
          <w:b/>
          <w:color w:val="0F2043"/>
          <w:sz w:val="21"/>
        </w:rPr>
        <w:t>II. FACTS RELEVANT TO STATUTORY CONSTRUCTION</w:t>
      </w:r>
    </w:p>
    <w:tbl>
      <w:tblPr>
        <w:tblW w:type="auto" w:w="0"/>
        <w:jc w:val="center"/>
        <w:tblLook w:firstColumn="1" w:firstRow="1" w:lastColumn="0" w:lastRow="0" w:noHBand="0" w:noVBand="1" w:val="04A0"/>
      </w:tblPr>
      <w:tblGrid>
        <w:gridCol w:w="9648"/>
      </w:tblGrid>
      <w:tr>
        <w:tc>
          <w:tcPr>
            <w:tcW w:type="dxa" w:w="9648"/>
            <w:shd w:fill="F8F9FB"/>
            <w:tcMar>
              <w:top w:w="100" w:type="dxa"/>
              <w:bottom w:w="100" w:type="dxa"/>
              <w:left w:w="160" w:type="dxa"/>
              <w:right w:w="160" w:type="dxa"/>
            </w:tcMar>
          </w:tcPr>
          <w:p>
            <w:pPr>
              <w:spacing w:before="20" w:after="40"/>
            </w:pPr>
            <w:r>
              <w:rPr>
                <w:rFonts w:ascii="Arial" w:hAnsi="Arial"/>
                <w:b/>
                <w:color w:val="0F2043"/>
                <w:sz w:val="19"/>
              </w:rPr>
              <w:t>Facts Giving Rise to Need for Interpretation</w:t>
              <w:br/>
            </w:r>
          </w:p>
          <w:p>
            <w:pPr>
              <w:spacing w:before="20" w:after="40" w:line="276" w:lineRule="auto"/>
            </w:pPr>
            <w:r>
              <w:rPr>
                <w:rFonts w:ascii="Calibri" w:hAnsi="Calibri"/>
                <w:b/>
                <w:color w:val="212529"/>
                <w:sz w:val="19"/>
              </w:rPr>
              <w:t xml:space="preserve">• What provision of law or rule became relevant? </w:t>
            </w:r>
            <w:r>
              <w:rPr>
                <w:rFonts w:ascii="Calibri" w:hAnsi="Calibri"/>
                <w:color w:val="212529"/>
                <w:sz w:val="19"/>
              </w:rPr>
              <w:t>1. Section 2, Republic Act No. 601 (Foreign Exchange Tax Act): Provides foreign exchange tax exemption for 'stabilizers and flavors, cattle, medical and hospital supplies'.</w:t>
              <w:br/>
              <w:t>2. Limits of Ejusdem Generis (of the same kind): Ejusdem generis requires an enumeration of specific things followed by a general term. It does not apply where general words precede or stand independently.</w:t>
            </w:r>
          </w:p>
          <w:p>
            <w:pPr>
              <w:spacing w:before="20" w:after="40" w:line="276" w:lineRule="auto"/>
            </w:pPr>
            <w:r>
              <w:rPr>
                <w:rFonts w:ascii="Calibri" w:hAnsi="Calibri"/>
                <w:b/>
                <w:color w:val="212529"/>
                <w:sz w:val="19"/>
              </w:rPr>
              <w:t xml:space="preserve">• What circumstance made interpretation necessary? </w:t>
            </w:r>
            <w:r>
              <w:rPr>
                <w:rFonts w:ascii="Calibri" w:hAnsi="Calibri"/>
                <w:color w:val="212529"/>
                <w:sz w:val="19"/>
              </w:rPr>
              <w:t>The Auditor General misapplied Ejusdem Generis to restrict a standalone general statutory term that was not preceded by specific enumerations.</w:t>
            </w:r>
          </w:p>
          <w:p>
            <w:pPr>
              <w:spacing w:before="20" w:after="40" w:line="276" w:lineRule="auto"/>
            </w:pPr>
            <w:r>
              <w:rPr>
                <w:rFonts w:ascii="Calibri" w:hAnsi="Calibri"/>
                <w:b/>
                <w:color w:val="212529"/>
                <w:sz w:val="19"/>
              </w:rPr>
              <w:t xml:space="preserve">• What competing interpretations were presented? </w:t>
            </w:r>
            <w:r>
              <w:rPr>
                <w:rFonts w:ascii="Calibri" w:hAnsi="Calibri"/>
                <w:color w:val="212529"/>
                <w:sz w:val="19"/>
              </w:rPr>
              <w:t>Petitioner argued for a favorable interpretation based on statutory intent, while Respondent contended for a literal or restrictive application.</w:t>
            </w:r>
          </w:p>
        </w:tc>
      </w:tr>
    </w:tbl>
    <w:p>
      <w:pPr>
        <w:keepNext/>
        <w:spacing w:before="240" w:after="60"/>
      </w:pPr>
      <w:r>
        <w:rPr>
          <w:rFonts w:ascii="Arial" w:hAnsi="Arial"/>
          <w:b/>
          <w:color w:val="0F2043"/>
          <w:sz w:val="21"/>
        </w:rPr>
        <w:t>III. ISSUES</w:t>
      </w:r>
    </w:p>
    <w:p>
      <w:pPr>
        <w:keepNext/>
        <w:spacing w:before="120" w:after="40"/>
      </w:pPr>
      <w:r>
        <w:rPr>
          <w:rFonts w:ascii="Arial" w:hAnsi="Arial"/>
          <w:b/>
          <w:color w:val="781E1E"/>
          <w:sz w:val="20"/>
        </w:rPr>
        <w:t>A. General Legal Issues</w:t>
      </w:r>
    </w:p>
    <w:p>
      <w:pPr>
        <w:spacing w:before="40" w:after="80" w:line="276" w:lineRule="auto"/>
      </w:pPr>
      <w:r>
        <w:rPr>
          <w:rFonts w:ascii="Calibri" w:hAnsi="Calibri"/>
          <w:i w:val="0"/>
          <w:color w:val="212529"/>
          <w:sz w:val="21"/>
        </w:rPr>
        <w:t>Whether or not the statutory exemption for 'stabilizers and flavors' in Section 2 of R.A. No. 601 includes stabilizers used for dental cream, testing the limits of Ejusdem Generis and Noscitur a Sociis.</w:t>
      </w:r>
    </w:p>
    <w:p>
      <w:pPr>
        <w:keepNext/>
        <w:spacing w:before="120" w:after="40"/>
      </w:pPr>
      <w:r>
        <w:rPr>
          <w:rFonts w:ascii="Arial" w:hAnsi="Arial"/>
          <w:b/>
          <w:color w:val="781E1E"/>
          <w:sz w:val="20"/>
        </w:rPr>
        <w:t>B. Statutory-Construction Issue/s</w:t>
      </w:r>
    </w:p>
    <w:tbl>
      <w:tblPr>
        <w:tblW w:type="auto" w:w="0"/>
        <w:jc w:val="center"/>
        <w:tblLook w:firstColumn="1" w:firstRow="1" w:lastColumn="0" w:lastRow="0" w:noHBand="0" w:noVBand="1" w:val="04A0"/>
      </w:tblPr>
      <w:tblGrid>
        <w:gridCol w:w="9648"/>
      </w:tblGrid>
      <w:tr>
        <w:tc>
          <w:tcPr>
            <w:tcW w:type="dxa" w:w="9648"/>
            <w:shd w:fill="EBF3FA"/>
            <w:tcMar>
              <w:top w:w="100" w:type="dxa"/>
              <w:bottom w:w="100" w:type="dxa"/>
              <w:left w:w="160" w:type="dxa"/>
              <w:right w:w="160" w:type="dxa"/>
            </w:tcMar>
          </w:tcPr>
          <w:p>
            <w:pPr>
              <w:spacing w:before="20" w:after="40"/>
            </w:pPr>
            <w:r>
              <w:rPr>
                <w:rFonts w:ascii="Arial" w:hAnsi="Arial"/>
                <w:b/>
                <w:color w:val="0F2043"/>
                <w:sz w:val="19"/>
              </w:rPr>
              <w:t>Standardized StatCon Issue Statement</w:t>
              <w:br/>
            </w:r>
          </w:p>
          <w:p>
            <w:pPr>
              <w:spacing w:before="20" w:after="40" w:line="276" w:lineRule="auto"/>
            </w:pPr>
            <w:r>
              <w:rPr>
                <w:rFonts w:ascii="Calibri" w:hAnsi="Calibri"/>
                <w:color w:val="212529"/>
                <w:sz w:val="19"/>
              </w:rPr>
              <w:t>Whether the subject statutory act, classification, or terminology under the governing statute/rule means, includes, or applies to the factual controversy in Colgate-Palmolive Philippines, Inc. v. Pedro M. Gimenez, under the canon of Ejusdem generis.</w:t>
            </w:r>
          </w:p>
        </w:tc>
      </w:tr>
    </w:tbl>
    <w:p>
      <w:pPr>
        <w:keepNext/>
        <w:spacing w:before="240" w:after="60"/>
      </w:pPr>
      <w:r>
        <w:rPr>
          <w:rFonts w:ascii="Arial" w:hAnsi="Arial"/>
          <w:b/>
          <w:color w:val="0F2043"/>
          <w:sz w:val="21"/>
        </w:rPr>
        <w:t>IV. PROVISION/S OF LAW CONSTRUED</w:t>
      </w:r>
    </w:p>
    <w:tbl>
      <w:tblPr>
        <w:tblW w:type="auto" w:w="0"/>
        <w:jc w:val="center"/>
        <w:tblLook w:firstColumn="1" w:firstRow="1" w:lastColumn="0" w:lastRow="0" w:noHBand="0" w:noVBand="1" w:val="04A0"/>
      </w:tblPr>
      <w:tblGrid>
        <w:gridCol w:w="9648"/>
      </w:tblGrid>
      <w:tr>
        <w:tc>
          <w:tcPr>
            <w:tcW w:type="dxa" w:w="9648"/>
            <w:shd w:fill="F8F9FB"/>
            <w:tcMar>
              <w:top w:w="100" w:type="dxa"/>
              <w:bottom w:w="100" w:type="dxa"/>
              <w:left w:w="160" w:type="dxa"/>
              <w:right w:w="160" w:type="dxa"/>
            </w:tcMar>
          </w:tcPr>
          <w:p>
            <w:pPr>
              <w:spacing w:before="20" w:after="40"/>
            </w:pPr>
            <w:r>
              <w:rPr>
                <w:rFonts w:ascii="Arial" w:hAnsi="Arial"/>
                <w:b/>
                <w:color w:val="0F2043"/>
                <w:sz w:val="19"/>
              </w:rPr>
              <w:t>Statutory / Constitutional Text &amp; Problem</w:t>
              <w:br/>
            </w:r>
          </w:p>
          <w:p>
            <w:pPr>
              <w:spacing w:before="20" w:after="40" w:line="276" w:lineRule="auto"/>
            </w:pPr>
            <w:r>
              <w:rPr>
                <w:rFonts w:ascii="Calibri" w:hAnsi="Calibri"/>
                <w:b/>
                <w:color w:val="212529"/>
                <w:sz w:val="19"/>
              </w:rPr>
              <w:t xml:space="preserve">• Quoted Provision: </w:t>
            </w:r>
            <w:r>
              <w:rPr>
                <w:rFonts w:ascii="Calibri" w:hAnsi="Calibri"/>
                <w:color w:val="212529"/>
                <w:sz w:val="19"/>
              </w:rPr>
              <w:t>1. Section 2, Republic Act No. 601 (Foreign Exchange Tax Act): Provides foreign exchange tax exemption for 'stabilizers and flavors, cattle, medical and hospital supplies'.</w:t>
              <w:br/>
              <w:t>2. Limits of Ejusdem Generis (of the same kind): Ejusdem generis requires an enumeration of specific things followed by a general term. It does not apply where general words precede or stand independently.</w:t>
            </w:r>
          </w:p>
          <w:p>
            <w:pPr>
              <w:spacing w:before="20" w:after="40" w:line="276" w:lineRule="auto"/>
            </w:pPr>
            <w:r>
              <w:rPr>
                <w:rFonts w:ascii="Calibri" w:hAnsi="Calibri"/>
                <w:b/>
                <w:color w:val="212529"/>
                <w:sz w:val="19"/>
              </w:rPr>
              <w:t xml:space="preserve">• Interpretive Problem: </w:t>
            </w:r>
            <w:r>
              <w:rPr>
                <w:rFonts w:ascii="Calibri" w:hAnsi="Calibri"/>
                <w:color w:val="212529"/>
                <w:sz w:val="19"/>
              </w:rPr>
              <w:t>The statutory term is associated with or preceded by specific words, creating uncertainty as to its exact scope and whether general words are restricted by specific company.</w:t>
            </w:r>
          </w:p>
        </w:tc>
      </w:tr>
    </w:tbl>
    <w:p>
      <w:pPr>
        <w:keepNext/>
        <w:spacing w:before="240" w:after="60"/>
      </w:pPr>
      <w:r>
        <w:rPr>
          <w:rFonts w:ascii="Arial" w:hAnsi="Arial"/>
          <w:b/>
          <w:color w:val="0F2043"/>
          <w:sz w:val="21"/>
        </w:rPr>
        <w:t>V. RULING OF THE SUPREME COURT</w:t>
      </w:r>
    </w:p>
    <w:p>
      <w:pPr>
        <w:keepNext/>
        <w:spacing w:before="120" w:after="40"/>
      </w:pPr>
      <w:r>
        <w:rPr>
          <w:rFonts w:ascii="Arial" w:hAnsi="Arial"/>
          <w:b/>
          <w:color w:val="781E1E"/>
          <w:sz w:val="20"/>
        </w:rPr>
        <w:t>A. General Ruling</w:t>
      </w:r>
    </w:p>
    <w:p>
      <w:pPr>
        <w:spacing w:before="40" w:after="80" w:line="276" w:lineRule="auto"/>
      </w:pPr>
      <w:r>
        <w:rPr>
          <w:rFonts w:ascii="Calibri" w:hAnsi="Calibri"/>
          <w:i w:val="0"/>
          <w:color w:val="212529"/>
          <w:sz w:val="21"/>
        </w:rPr>
        <w:t>The Supreme Court REVERSED the Auditor General's decision and ORDERED the refund of the 17% foreign exchange tax paid by Colgate-Palmolive.</w:t>
      </w:r>
    </w:p>
    <w:p>
      <w:pPr>
        <w:keepNext/>
        <w:spacing w:before="120" w:after="40"/>
      </w:pPr>
      <w:r>
        <w:rPr>
          <w:rFonts w:ascii="Arial" w:hAnsi="Arial"/>
          <w:b/>
          <w:color w:val="781E1E"/>
          <w:sz w:val="20"/>
        </w:rPr>
        <w:t>B. Ruling on the Statutory-Construction Issue</w:t>
      </w:r>
    </w:p>
    <w:tbl>
      <w:tblPr>
        <w:tblW w:type="auto" w:w="0"/>
        <w:jc w:val="center"/>
        <w:tblLook w:firstColumn="1" w:firstRow="1" w:lastColumn="0" w:lastRow="0" w:noHBand="0" w:noVBand="1" w:val="04A0"/>
      </w:tblPr>
      <w:tblGrid>
        <w:gridCol w:w="9648"/>
      </w:tblGrid>
      <w:tr>
        <w:tc>
          <w:tcPr>
            <w:tcW w:type="dxa" w:w="9648"/>
            <w:shd w:fill="F4FAF5"/>
            <w:tcMar>
              <w:top w:w="100" w:type="dxa"/>
              <w:bottom w:w="100" w:type="dxa"/>
              <w:left w:w="160" w:type="dxa"/>
              <w:right w:w="160" w:type="dxa"/>
            </w:tcMar>
          </w:tcPr>
          <w:p>
            <w:pPr>
              <w:spacing w:before="20" w:after="40"/>
            </w:pPr>
            <w:r>
              <w:rPr>
                <w:rFonts w:ascii="Arial" w:hAnsi="Arial"/>
                <w:b/>
                <w:color w:val="0F2043"/>
                <w:sz w:val="19"/>
              </w:rPr>
              <w:t>Statutory Meaning Established by Court</w:t>
              <w:br/>
            </w:r>
          </w:p>
          <w:p>
            <w:pPr>
              <w:spacing w:before="20" w:after="40" w:line="276" w:lineRule="auto"/>
            </w:pPr>
            <w:r>
              <w:rPr>
                <w:rFonts w:ascii="Calibri" w:hAnsi="Calibri"/>
                <w:color w:val="212529"/>
                <w:sz w:val="19"/>
              </w:rPr>
              <w:t>YES. The imported stabilizers used for dental cream ARE EXEMPT from the foreign exchange levy. Ejusdem Generis does NOT apply because the word 'stabilizers' is preceded by no specific enumeration of food items.</w:t>
            </w:r>
          </w:p>
        </w:tc>
      </w:tr>
    </w:tbl>
    <w:p>
      <w:pPr>
        <w:keepNext/>
        <w:spacing w:before="240" w:after="60"/>
      </w:pPr>
      <w:r>
        <w:rPr>
          <w:rFonts w:ascii="Arial" w:hAnsi="Arial"/>
          <w:b/>
          <w:color w:val="0F2043"/>
          <w:sz w:val="21"/>
        </w:rPr>
        <w:t>VI. HOW THE COURT CONSTRUED THE LAW</w:t>
      </w:r>
    </w:p>
    <w:tbl>
      <w:tblPr>
        <w:tblW w:type="auto" w:w="0"/>
        <w:jc w:val="center"/>
        <w:tblLook w:firstColumn="1" w:firstRow="1" w:lastColumn="0" w:lastRow="0" w:noHBand="0" w:noVBand="1" w:val="04A0"/>
      </w:tblPr>
      <w:tblGrid>
        <w:gridCol w:w="9648"/>
      </w:tblGrid>
      <w:tr>
        <w:tc>
          <w:tcPr>
            <w:tcW w:type="dxa" w:w="9648"/>
            <w:shd w:fill="F8F9FB"/>
            <w:tcMar>
              <w:top w:w="100" w:type="dxa"/>
              <w:bottom w:w="100" w:type="dxa"/>
              <w:left w:w="160" w:type="dxa"/>
              <w:right w:w="160" w:type="dxa"/>
            </w:tcMar>
          </w:tcPr>
          <w:p>
            <w:pPr>
              <w:spacing w:before="20" w:after="40"/>
            </w:pPr>
            <w:r>
              <w:rPr>
                <w:rFonts w:ascii="Arial" w:hAnsi="Arial"/>
                <w:b/>
                <w:color w:val="0F2043"/>
                <w:sz w:val="19"/>
              </w:rPr>
              <w:t>Methodological &amp; Doctrinal Analysis</w:t>
              <w:br/>
            </w:r>
          </w:p>
          <w:p>
            <w:pPr>
              <w:spacing w:before="20" w:after="40" w:line="276" w:lineRule="auto"/>
            </w:pPr>
            <w:r>
              <w:rPr>
                <w:rFonts w:ascii="Calibri" w:hAnsi="Calibri"/>
                <w:b/>
                <w:color w:val="212529"/>
                <w:sz w:val="19"/>
              </w:rPr>
              <w:t xml:space="preserve">A. Why Was Construction Necessary? </w:t>
            </w:r>
            <w:r>
              <w:rPr>
                <w:rFonts w:ascii="Calibri" w:hAnsi="Calibri"/>
                <w:color w:val="212529"/>
                <w:sz w:val="19"/>
              </w:rPr>
              <w:t>The presence of general terms alongside specific enumerations created ambiguity as to the intended scope and class of covered acts or subjects.</w:t>
            </w:r>
          </w:p>
          <w:p>
            <w:pPr>
              <w:spacing w:before="20" w:after="40" w:line="276" w:lineRule="auto"/>
            </w:pPr>
            <w:r>
              <w:rPr>
                <w:rFonts w:ascii="Calibri" w:hAnsi="Calibri"/>
                <w:b/>
                <w:color w:val="212529"/>
                <w:sz w:val="19"/>
              </w:rPr>
              <w:t xml:space="preserve">B. Purpose of Construction: </w:t>
            </w:r>
            <w:r>
              <w:rPr>
                <w:rFonts w:ascii="Calibri" w:hAnsi="Calibri"/>
                <w:color w:val="212529"/>
                <w:sz w:val="19"/>
              </w:rPr>
              <w:t>To ascertain legislative intent and give harmonious effect to associated words by restricting general terms to the class of specific words.</w:t>
            </w:r>
          </w:p>
          <w:p>
            <w:pPr>
              <w:spacing w:before="20" w:after="40" w:line="276" w:lineRule="auto"/>
            </w:pPr>
            <w:r>
              <w:rPr>
                <w:rFonts w:ascii="Calibri" w:hAnsi="Calibri"/>
                <w:b/>
                <w:color w:val="212529"/>
                <w:sz w:val="19"/>
              </w:rPr>
              <w:t xml:space="preserve">C. Method, Canon, or Rule Applied: </w:t>
            </w:r>
            <w:r>
              <w:rPr>
                <w:rFonts w:ascii="Calibri" w:hAnsi="Calibri"/>
                <w:color w:val="212529"/>
                <w:sz w:val="19"/>
              </w:rPr>
              <w:t>Ejusdem generis</w:t>
              <w:br/>
              <w:t xml:space="preserve">   - Application: Prerequisites of Ejusdem Generis: The doctrine of ejusdem generis cannot be applied unless there is an actual enumeration of specific things followed by general terms.</w:t>
              <w:br/>
              <w:t xml:space="preserve">   - Result: Yes. Toothpaste stabilizers are exempt. Ejusdem Generis only works when there is a specific list of items followed by general words. Here, Congress wrote 'stabilizers and flavors' as independent categories, so the court cannot invent a restriction.</w:t>
            </w:r>
          </w:p>
          <w:p>
            <w:pPr>
              <w:spacing w:before="20" w:after="40" w:line="276" w:lineRule="auto"/>
            </w:pPr>
            <w:r>
              <w:rPr>
                <w:rFonts w:ascii="Calibri" w:hAnsi="Calibri"/>
                <w:b/>
                <w:color w:val="212529"/>
                <w:sz w:val="19"/>
              </w:rPr>
              <w:t xml:space="preserve">D. Other Sources Used: </w:t>
            </w:r>
            <w:r>
              <w:rPr>
                <w:rFonts w:ascii="Calibri" w:hAnsi="Calibri"/>
                <w:color w:val="212529"/>
                <w:sz w:val="19"/>
              </w:rPr>
              <w:t>Ordinary meaning of words, statute considered as a whole, legislative history, and established Supreme Court jurisprudence.</w:t>
            </w:r>
          </w:p>
        </w:tc>
      </w:tr>
    </w:tbl>
    <w:p>
      <w:pPr>
        <w:keepNext/>
        <w:spacing w:before="240" w:after="60"/>
      </w:pPr>
      <w:r>
        <w:rPr>
          <w:rFonts w:ascii="Arial" w:hAnsi="Arial"/>
          <w:b/>
          <w:color w:val="0F2043"/>
          <w:sz w:val="21"/>
        </w:rPr>
        <w:t>VII. RELEVANT STATUTORY-CONSTRUCTION CONCEPTS (A–L EVALUATION)</w:t>
      </w:r>
    </w:p>
    <w:tbl>
      <w:tblPr>
        <w:tblW w:type="auto" w:w="0"/>
        <w:jc w:val="center"/>
        <w:tblLook w:firstColumn="1" w:firstRow="1" w:lastColumn="0" w:lastRow="0" w:noHBand="0" w:noVBand="1" w:val="04A0"/>
      </w:tblPr>
      <w:tblGrid>
        <w:gridCol w:w="4824"/>
        <w:gridCol w:w="4824"/>
      </w:tblGrid>
      <w:tr>
        <w:tc>
          <w:tcPr>
            <w:tcW w:type="dxa" w:w="4824"/>
            <w:shd w:fill="EBF0F8"/>
            <w:tcMar>
              <w:top w:w="70" w:type="dxa"/>
              <w:bottom w:w="70" w:type="dxa"/>
              <w:left w:w="100" w:type="dxa"/>
              <w:right w:w="100" w:type="dxa"/>
            </w:tcMar>
          </w:tcPr>
          <w:p>
            <w:pPr>
              <w:spacing w:before="20" w:after="20"/>
            </w:pPr>
            <w:r>
              <w:rPr>
                <w:rFonts w:ascii="Arial" w:hAnsi="Arial"/>
                <w:b/>
                <w:color w:val="0F2043"/>
                <w:sz w:val="18"/>
              </w:rPr>
              <w:t>A. Situs of Statutory Construction</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Supreme Court of the Philippines, exercising its constitutional judicial power under Article VIII of the Constitution, serves as the ultimate situs and final arbiter for interpreting and construing the disputed provision.</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B. Purpose of Statutory Construction</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purpose of construction is to discover and effectuate the true legislative intent and will of the lawmaking body, preventing injustice and ensuring the statute operates harmoniously.</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C. When to Construe</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Court reaffirmed the cardinal threshold rule: Construction and interpretation are proper only where the statute is ambiguous, doubtful, or susceptible of multiple meanings. Where the law is clear, no construction is warranted.</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D. Ambiguity or Vagueness</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781E1E"/>
                <w:sz w:val="17"/>
              </w:rPr>
              <w:t xml:space="preserve"> [NOT APPLICABLE] </w:t>
            </w:r>
            <w:r>
              <w:rPr>
                <w:rFonts w:ascii="Calibri" w:hAnsi="Calibri"/>
                <w:color w:val="212529"/>
                <w:sz w:val="18"/>
              </w:rPr>
              <w:t>Not Applicable. The statutory language was clear and unambiguous; the Court declined to find ambiguity where none existed in the text.</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E. Verba Legis Non Est Recedendum</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Court adhered strictly to the literal wording of the statute, holding that from the words of a statute there should be no departure.</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F. Absoluta Sententia Expositore Non Indigent</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Court held that when the language of the law is clear and unequivocal, it requires no interpreter and leaves no room for judicial construction.</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G. Legislative Intent</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Court analyzed the true intent and policy of the lawmaking authority, ensuring that the statutory purpose is preserved and not defeated by erroneous administrative or private interpretations.</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H. Strict or Liberal Construction</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781E1E"/>
                <w:sz w:val="17"/>
              </w:rPr>
              <w:t xml:space="preserve"> [NOT APPLICABLE] </w:t>
            </w:r>
            <w:r>
              <w:rPr>
                <w:rFonts w:ascii="Calibri" w:hAnsi="Calibri"/>
                <w:color w:val="212529"/>
                <w:sz w:val="18"/>
              </w:rPr>
              <w:t>Not Applicable. The Court applied standard ordinary rules of statutory interpretation without resorting to special strict or liberal construction doctrines.</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I. Prospective or Retrospective Construction</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781E1E"/>
                <w:sz w:val="17"/>
              </w:rPr>
              <w:t xml:space="preserve"> [NOT APPLICABLE] </w:t>
            </w:r>
            <w:r>
              <w:rPr>
                <w:rFonts w:ascii="Calibri" w:hAnsi="Calibri"/>
                <w:color w:val="212529"/>
                <w:sz w:val="18"/>
              </w:rPr>
              <w:t>Not Applicable. The case involved only the contemporaneous, prospective application of the governing law.</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J. Statutory Construction vs. Judicial Legislation</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Court underscored the constitutional boundary of judicial power: Courts are empowered solely to interpret (jus dicere), not to enact or amend laws (jus dare). Supplying unwritten terms or expanding clear prohibitions constitutes prohibited judicial legislation.</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K. Legis Interpretatio Legis Vim Obtinet</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Under Article 8 of the Civil Code, the Supreme Court's authoritative interpretation of the statute forms part of the legal system of the Philippines and acquires the force of law (*legis interpretatio legis vim obtinet*).</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L. Extent and Limits of the Power to Construe</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Court respected the constitutional limits of its authority by applying the law as written and refusing to invade the legislative domain under the guise of equity or expediency.</w:t>
            </w:r>
          </w:p>
        </w:tc>
      </w:tr>
    </w:tbl>
    <w:p>
      <w:pPr>
        <w:keepNext/>
        <w:spacing w:before="240" w:after="60"/>
      </w:pPr>
      <w:r>
        <w:rPr>
          <w:rFonts w:ascii="Arial" w:hAnsi="Arial"/>
          <w:b/>
          <w:color w:val="0F2043"/>
          <w:sz w:val="21"/>
        </w:rPr>
        <w:t>VIII. OTHER CANONS OR METHODS OF CONSTRUCTION</w:t>
      </w:r>
    </w:p>
    <w:tbl>
      <w:tblPr>
        <w:tblW w:type="auto" w:w="0"/>
        <w:jc w:val="center"/>
        <w:tblLook w:firstColumn="1" w:firstRow="1" w:lastColumn="0" w:lastRow="0" w:noHBand="0" w:noVBand="1" w:val="04A0"/>
      </w:tblPr>
      <w:tblGrid>
        <w:gridCol w:w="9648"/>
      </w:tblGrid>
      <w:tr>
        <w:tc>
          <w:tcPr>
            <w:tcW w:type="dxa" w:w="9648"/>
            <w:shd w:fill="F8F9FB"/>
            <w:tcMar>
              <w:top w:w="100" w:type="dxa"/>
              <w:bottom w:w="100" w:type="dxa"/>
              <w:left w:w="160" w:type="dxa"/>
              <w:right w:w="160" w:type="dxa"/>
            </w:tcMar>
          </w:tcPr>
          <w:p>
            <w:pPr>
              <w:spacing w:before="20" w:after="40"/>
            </w:pPr>
            <w:r>
              <w:rPr>
                <w:rFonts w:ascii="Arial" w:hAnsi="Arial"/>
                <w:b/>
                <w:color w:val="0F2043"/>
                <w:sz w:val="19"/>
              </w:rPr>
              <w:t>Secondary Rules &amp; Canons Applied</w:t>
              <w:br/>
            </w:r>
          </w:p>
          <w:p>
            <w:pPr>
              <w:spacing w:before="20" w:after="40" w:line="276" w:lineRule="auto"/>
            </w:pPr>
            <w:r>
              <w:rPr>
                <w:rFonts w:ascii="Calibri" w:hAnsi="Calibri"/>
                <w:b/>
                <w:color w:val="212529"/>
                <w:sz w:val="19"/>
              </w:rPr>
              <w:t xml:space="preserve">• Canon / Maxim: </w:t>
            </w:r>
            <w:r>
              <w:rPr>
                <w:rFonts w:ascii="Calibri" w:hAnsi="Calibri"/>
                <w:color w:val="212529"/>
                <w:sz w:val="19"/>
              </w:rPr>
              <w:t>• Ubi lex non distinguit (where the law does not distinguish)</w:t>
              <w:br/>
              <w:t>• Verba legis non est recedendum (from the words of the statute no departure)</w:t>
            </w:r>
          </w:p>
          <w:p>
            <w:pPr>
              <w:spacing w:before="20" w:after="40" w:line="276" w:lineRule="auto"/>
            </w:pPr>
            <w:r>
              <w:rPr>
                <w:rFonts w:ascii="Calibri" w:hAnsi="Calibri"/>
                <w:b/>
                <w:color w:val="212529"/>
                <w:sz w:val="19"/>
              </w:rPr>
              <w:t xml:space="preserve">• How Applied: </w:t>
            </w:r>
            <w:r>
              <w:rPr>
                <w:rFonts w:ascii="Calibri" w:hAnsi="Calibri"/>
                <w:color w:val="212529"/>
                <w:sz w:val="19"/>
              </w:rPr>
              <w:t>Applied as corroborative canons to reinforce the primary rule of construction.</w:t>
            </w:r>
          </w:p>
          <w:p>
            <w:pPr>
              <w:spacing w:before="20" w:after="40" w:line="276" w:lineRule="auto"/>
            </w:pPr>
            <w:r>
              <w:rPr>
                <w:rFonts w:ascii="Calibri" w:hAnsi="Calibri"/>
                <w:b/>
                <w:color w:val="212529"/>
                <w:sz w:val="19"/>
              </w:rPr>
              <w:t xml:space="preserve">• Effect on Interpretation: </w:t>
            </w:r>
            <w:r>
              <w:rPr>
                <w:rFonts w:ascii="Calibri" w:hAnsi="Calibri"/>
                <w:color w:val="212529"/>
                <w:sz w:val="19"/>
              </w:rPr>
              <w:t>Harmonized the statute and prevented an absurd or unjust result.</w:t>
            </w:r>
          </w:p>
        </w:tc>
      </w:tr>
    </w:tbl>
    <w:p>
      <w:pPr>
        <w:keepNext/>
        <w:spacing w:before="240" w:after="60"/>
      </w:pPr>
      <w:r>
        <w:rPr>
          <w:rFonts w:ascii="Arial" w:hAnsi="Arial"/>
          <w:b/>
          <w:color w:val="0F2043"/>
          <w:sz w:val="21"/>
        </w:rPr>
        <w:t>IX. THE CONSTRUCTION MADE BY THE COURT</w:t>
      </w:r>
    </w:p>
    <w:tbl>
      <w:tblPr>
        <w:tblW w:type="auto" w:w="0"/>
        <w:jc w:val="center"/>
        <w:tblLook w:firstColumn="1" w:firstRow="1" w:lastColumn="0" w:lastRow="0" w:noHBand="0" w:noVBand="1" w:val="04A0"/>
      </w:tblPr>
      <w:tblGrid>
        <w:gridCol w:w="9648"/>
      </w:tblGrid>
      <w:tr>
        <w:tc>
          <w:tcPr>
            <w:tcW w:type="dxa" w:w="9648"/>
            <w:shd w:fill="F9F8F5"/>
            <w:tcMar>
              <w:top w:w="100" w:type="dxa"/>
              <w:bottom w:w="100" w:type="dxa"/>
              <w:left w:w="160" w:type="dxa"/>
              <w:right w:w="160" w:type="dxa"/>
            </w:tcMar>
          </w:tcPr>
          <w:p>
            <w:pPr>
              <w:spacing w:before="20" w:after="40"/>
            </w:pPr>
            <w:r>
              <w:rPr>
                <w:rFonts w:ascii="Arial" w:hAnsi="Arial"/>
                <w:b/>
                <w:color w:val="0F2043"/>
                <w:sz w:val="19"/>
              </w:rPr>
              <w:t>Actual Judicial Construction &amp; Ratio</w:t>
              <w:br/>
            </w:r>
          </w:p>
          <w:p>
            <w:pPr>
              <w:spacing w:before="20" w:after="40" w:line="276" w:lineRule="auto"/>
            </w:pPr>
            <w:r>
              <w:rPr>
                <w:rFonts w:ascii="Calibri" w:hAnsi="Calibri"/>
                <w:b/>
                <w:color w:val="212529"/>
                <w:sz w:val="19"/>
              </w:rPr>
              <w:t xml:space="preserve">• Construction Summary: </w:t>
            </w:r>
            <w:r>
              <w:rPr>
                <w:rFonts w:ascii="Calibri" w:hAnsi="Calibri"/>
                <w:color w:val="212529"/>
                <w:sz w:val="19"/>
              </w:rPr>
              <w:t>The Court construed the disputed statutory provisions in Colgate-Palmolive Philippines, Inc. v. Pedro M. Gimenez to mean and apply strictly in accordance with Ejusdem generis, holding that Yes. Toothpaste stabilizers are exempt. Ejusdem Generis only works when there is a specific list of items followed by general words. Here, Congress wrote 'stabi.</w:t>
            </w:r>
          </w:p>
          <w:p>
            <w:pPr>
              <w:spacing w:before="20" w:after="40" w:line="276" w:lineRule="auto"/>
            </w:pPr>
            <w:r>
              <w:rPr>
                <w:rFonts w:ascii="Calibri" w:hAnsi="Calibri"/>
                <w:b/>
                <w:color w:val="212529"/>
                <w:sz w:val="19"/>
              </w:rPr>
              <w:t xml:space="preserve">• Principal Reasoning: </w:t>
            </w:r>
            <w:r>
              <w:rPr>
                <w:rFonts w:ascii="Calibri" w:hAnsi="Calibri"/>
                <w:color w:val="212529"/>
                <w:sz w:val="19"/>
              </w:rPr>
              <w:t>The government auditor tried to use Ejusdem Generis backwards. Ejusdem Generis only applies when a law lists specific examples and ends with general words. Here, the word 'stabilizers' was a standalone category. Where the law does not distinguish what kind of stabilizer, the auditor cannot add his own restriction.</w:t>
            </w:r>
          </w:p>
        </w:tc>
      </w:tr>
    </w:tbl>
    <w:tbl>
      <w:tblPr>
        <w:tblW w:type="auto" w:w="0"/>
        <w:jc w:val="center"/>
        <w:tblLook w:firstColumn="1" w:firstRow="1" w:lastColumn="0" w:lastRow="0" w:noHBand="0" w:noVBand="1" w:val="04A0"/>
      </w:tblPr>
      <w:tblGrid>
        <w:gridCol w:w="9648"/>
      </w:tblGrid>
      <w:tr>
        <w:tc>
          <w:tcPr>
            <w:tcW w:type="dxa" w:w="9648"/>
            <w:shd w:fill="EEF6F0"/>
            <w:tcMar>
              <w:top w:w="100" w:type="dxa"/>
              <w:bottom w:w="100" w:type="dxa"/>
              <w:left w:w="160" w:type="dxa"/>
              <w:right w:w="160" w:type="dxa"/>
            </w:tcMar>
          </w:tcPr>
          <w:p>
            <w:pPr>
              <w:spacing w:before="20" w:after="40"/>
            </w:pPr>
            <w:r>
              <w:rPr>
                <w:rFonts w:ascii="Arial" w:hAnsi="Arial"/>
                <w:b/>
                <w:color w:val="0D6E4B"/>
                <w:sz w:val="19"/>
              </w:rPr>
              <w:t>X. STATUTORY CONSTRUCTION OR JUDICIAL LEGISLATION?</w:t>
              <w:br/>
            </w:r>
          </w:p>
          <w:p>
            <w:pPr>
              <w:spacing w:before="20" w:after="60"/>
            </w:pPr>
            <w:r>
              <w:rPr>
                <w:rFonts w:ascii="Arial" w:hAnsi="Arial"/>
                <w:b/>
                <w:color w:val="0F2043"/>
                <w:sz w:val="19"/>
              </w:rPr>
              <w:t>☑ Proper statutory construction    ☐ Judicial legislation    ☐ Debatable</w:t>
            </w:r>
          </w:p>
          <w:p>
            <w:pPr>
              <w:spacing w:before="40" w:after="40" w:line="276" w:lineRule="auto"/>
            </w:pPr>
            <w:r>
              <w:rPr>
                <w:rFonts w:ascii="Calibri" w:hAnsi="Calibri"/>
                <w:b/>
                <w:color w:val="212529"/>
                <w:sz w:val="19"/>
              </w:rPr>
              <w:t>Explanation (3–5 sentences):</w:t>
              <w:br/>
            </w:r>
            <w:r>
              <w:rPr>
                <w:rFonts w:ascii="Calibri" w:hAnsi="Calibri"/>
                <w:color w:val="212529"/>
                <w:sz w:val="19"/>
              </w:rPr>
              <w:t>The Supreme Court acted within the legitimate bounds of its constitutional power to interpret the law (jus dicere). By applying Ejusdem generis, the Court faithfully effectuated the legislative intent without creating new rules, modifying clear statutory text, or usurping congressional prerogative. The ruling reinforces the separation of powers and the doctrine that courts must enforce the law as enacted.</w:t>
            </w:r>
          </w:p>
        </w:tc>
      </w:tr>
    </w:tbl>
    <w:p>
      <w:pPr>
        <w:spacing w:before="80" w:after="40"/>
      </w:pPr>
    </w:p>
    <w:tbl>
      <w:tblPr>
        <w:tblW w:type="auto" w:w="0"/>
        <w:jc w:val="center"/>
        <w:tblLook w:firstColumn="1" w:firstRow="1" w:lastColumn="0" w:lastRow="0" w:noHBand="0" w:noVBand="1" w:val="04A0"/>
      </w:tblPr>
      <w:tblGrid>
        <w:gridCol w:w="9648"/>
      </w:tblGrid>
      <w:tr>
        <w:tc>
          <w:tcPr>
            <w:tcW w:type="dxa" w:w="9648"/>
            <w:shd w:fill="FBF6EE"/>
            <w:tcMar>
              <w:top w:w="100" w:type="dxa"/>
              <w:bottom w:w="100" w:type="dxa"/>
              <w:left w:w="160" w:type="dxa"/>
              <w:right w:w="160" w:type="dxa"/>
            </w:tcMar>
          </w:tcPr>
          <w:p>
            <w:pPr>
              <w:spacing w:before="20" w:after="40"/>
            </w:pPr>
            <w:r>
              <w:rPr>
                <w:rFonts w:ascii="Arial" w:hAnsi="Arial"/>
                <w:b/>
                <w:color w:val="8C3200"/>
                <w:sz w:val="19"/>
              </w:rPr>
              <w:t>XI. DOCTRINE (Statutory Construction Principle):</w:t>
              <w:br/>
            </w:r>
            <w:r>
              <w:rPr>
                <w:rFonts w:ascii="Calibri" w:hAnsi="Calibri"/>
                <w:color w:val="212529"/>
                <w:sz w:val="19"/>
              </w:rPr>
              <w:t>Prerequisites of Ejusdem Generis: The doctrine of ejusdem generis cannot be applied unless there is an actual enumeration of specific things followed by general terms.</w:t>
              <w:br/>
              <w:br/>
            </w:r>
          </w:p>
          <w:p>
            <w:pPr>
              <w:spacing w:before="20" w:after="40"/>
            </w:pPr>
            <w:r>
              <w:rPr>
                <w:rFonts w:ascii="Arial" w:hAnsi="Arial"/>
                <w:b/>
                <w:color w:val="8C3200"/>
                <w:sz w:val="19"/>
              </w:rPr>
              <w:t>XII. ONE-SENTENCE TAKEAWAY:</w:t>
              <w:br/>
            </w:r>
            <w:r>
              <w:rPr>
                <w:rFonts w:ascii="Calibri" w:hAnsi="Calibri"/>
                <w:i/>
                <w:color w:val="212529"/>
                <w:sz w:val="19"/>
              </w:rPr>
              <w:t>This case is important in Statutory Construction because You cannot use the Ejusdem Generis rule to shrink a broad word unless the law actually started with a list of specific examples.</w:t>
            </w:r>
          </w:p>
        </w:tc>
      </w:tr>
    </w:tbl>
    <w:p>
      <w:r>
        <w:br w:type="page"/>
      </w:r>
    </w:p>
    <w:p>
      <w:pPr>
        <w:keepNext/>
        <w:spacing w:before="320" w:after="80"/>
      </w:pPr>
      <w:r>
        <w:rPr>
          <w:rFonts w:ascii="Arial" w:hAnsi="Arial"/>
          <w:b/>
          <w:color w:val="0F2043"/>
          <w:sz w:val="26"/>
        </w:rPr>
        <w:t>41. ROMAN CATHOLIC ARCHBISHOP OF MANILA V. SOCIAL SECURITY COMMISSION</w:t>
      </w:r>
    </w:p>
    <w:p>
      <w:pPr>
        <w:spacing w:before="40" w:after="80" w:line="276" w:lineRule="auto"/>
      </w:pPr>
      <w:r>
        <w:rPr>
          <w:rFonts w:ascii="Calibri" w:hAnsi="Calibri"/>
          <w:b/>
          <w:color w:val="212529"/>
          <w:sz w:val="21"/>
        </w:rPr>
        <w:t xml:space="preserve">Citation: </w:t>
      </w:r>
      <w:r>
        <w:rPr>
          <w:rFonts w:ascii="Calibri" w:hAnsi="Calibri"/>
          <w:i/>
          <w:color w:val="212529"/>
          <w:sz w:val="21"/>
        </w:rPr>
        <w:t>G.R. No. L-15045 | January 20, 1961 | 1 SCRA 10 | En Banc | Ponente: J. Gutierrez David</w:t>
      </w:r>
    </w:p>
    <w:p>
      <w:pPr>
        <w:keepNext/>
        <w:spacing w:before="200" w:after="40"/>
      </w:pPr>
      <w:r>
        <w:rPr>
          <w:rFonts w:ascii="Arial" w:hAnsi="Arial"/>
          <w:b/>
          <w:color w:val="781E1E"/>
          <w:sz w:val="22"/>
        </w:rPr>
        <w:t>LAYER A: ALAC DIGEST, RECITATION SCRIPT &amp; STATCON ANALYSIS</w:t>
      </w:r>
    </w:p>
    <w:p>
      <w:pPr>
        <w:keepNext/>
        <w:spacing w:before="200" w:after="40"/>
      </w:pPr>
      <w:r>
        <w:rPr>
          <w:rFonts w:ascii="Arial" w:hAnsi="Arial"/>
          <w:b/>
          <w:color w:val="781E1E"/>
          <w:sz w:val="22"/>
        </w:rPr>
        <w:t>I. PARTIES &amp; PROCEDURAL BACKGROUND</w:t>
      </w:r>
    </w:p>
    <w:p>
      <w:pPr>
        <w:spacing w:before="40" w:after="80" w:line="276" w:lineRule="auto"/>
      </w:pPr>
      <w:r>
        <w:rPr>
          <w:rFonts w:ascii="Calibri" w:hAnsi="Calibri"/>
          <w:b/>
          <w:color w:val="212529"/>
          <w:sz w:val="21"/>
        </w:rPr>
        <w:t xml:space="preserve">• Plaintiff/Petitioner: </w:t>
      </w:r>
      <w:r>
        <w:rPr>
          <w:rFonts w:ascii="Calibri" w:hAnsi="Calibri"/>
          <w:i w:val="0"/>
          <w:color w:val="212529"/>
          <w:sz w:val="21"/>
        </w:rPr>
        <w:t>Roman Catholic Archbishop of Manila (Petitioner)</w:t>
      </w:r>
    </w:p>
    <w:p>
      <w:pPr>
        <w:spacing w:before="40" w:after="80" w:line="276" w:lineRule="auto"/>
      </w:pPr>
      <w:r>
        <w:rPr>
          <w:rFonts w:ascii="Calibri" w:hAnsi="Calibri"/>
          <w:b/>
          <w:color w:val="212529"/>
          <w:sz w:val="21"/>
        </w:rPr>
        <w:t xml:space="preserve">• Defendant/Respondent: </w:t>
      </w:r>
      <w:r>
        <w:rPr>
          <w:rFonts w:ascii="Calibri" w:hAnsi="Calibri"/>
          <w:i w:val="0"/>
          <w:color w:val="212529"/>
          <w:sz w:val="21"/>
        </w:rPr>
        <w:t>Social Security Commission (Respondent)</w:t>
      </w:r>
    </w:p>
    <w:p>
      <w:pPr>
        <w:spacing w:before="40" w:after="80" w:line="276" w:lineRule="auto"/>
      </w:pPr>
      <w:r>
        <w:rPr>
          <w:rFonts w:ascii="Calibri" w:hAnsi="Calibri"/>
          <w:b/>
          <w:color w:val="212529"/>
          <w:sz w:val="21"/>
        </w:rPr>
        <w:t xml:space="preserve">• Originating Court: </w:t>
      </w:r>
      <w:r>
        <w:rPr>
          <w:rFonts w:ascii="Calibri" w:hAnsi="Calibri"/>
          <w:i w:val="0"/>
          <w:color w:val="212529"/>
          <w:sz w:val="21"/>
        </w:rPr>
        <w:t>Social Security Commission / Supreme Court En Banc</w:t>
      </w:r>
    </w:p>
    <w:p>
      <w:pPr>
        <w:spacing w:before="40" w:after="80" w:line="276" w:lineRule="auto"/>
      </w:pPr>
      <w:r>
        <w:rPr>
          <w:rFonts w:ascii="Calibri" w:hAnsi="Calibri"/>
          <w:b/>
          <w:color w:val="212529"/>
          <w:sz w:val="21"/>
        </w:rPr>
        <w:t xml:space="preserve">• Nature of the Action: </w:t>
      </w:r>
      <w:r>
        <w:rPr>
          <w:rFonts w:ascii="Calibri" w:hAnsi="Calibri"/>
          <w:i w:val="0"/>
          <w:color w:val="212529"/>
          <w:sz w:val="21"/>
        </w:rPr>
        <w:t>Petition for Review of Social Security Commission Resolution denying exemption of religious and charitable institutions from compulsory coverage under Republic Act No. 1161 (Social Security Act).</w:t>
      </w:r>
    </w:p>
    <w:p>
      <w:pPr>
        <w:keepNext/>
        <w:spacing w:before="200" w:after="40"/>
      </w:pPr>
      <w:r>
        <w:rPr>
          <w:rFonts w:ascii="Arial" w:hAnsi="Arial"/>
          <w:b/>
          <w:color w:val="781E1E"/>
          <w:sz w:val="22"/>
        </w:rPr>
        <w:t>II. WHOLE FACTS</w:t>
      </w:r>
    </w:p>
    <w:p>
      <w:pPr>
        <w:spacing w:before="40" w:after="80" w:line="276" w:lineRule="auto"/>
      </w:pPr>
      <w:r>
        <w:rPr>
          <w:rFonts w:ascii="Calibri" w:hAnsi="Calibri"/>
          <w:i w:val="0"/>
          <w:color w:val="212529"/>
          <w:sz w:val="21"/>
        </w:rPr>
        <w:t>The Roman Catholic Archbishop of Manila requested an exemption from compulsory coverage under the Social Security Act (R.A. No. 1161, as amended) for all Catholic religious, charitable, and educational institutions, and their lay personnel. The Archbishop argued that Section 8(j) of the SSS Act, which defines 'employment' as 'any service performed by an employee for his employer,' should be restricted through Ejusdem Generis and Noscitur a Sociis to purely commercial, industrial, and profit-making enterprises. The Social Security Commission denied the exemption, holding that the law makes no exception for non-profit or religious institutions.</w:t>
      </w:r>
    </w:p>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SUMMARY OF FACTS</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The Catholic Church asked the Social Security Commission to exempt all religious, charitable, and Catholic school lay employees from mandatory SSS contributions. The Church argued that SSS was meant only for commercial, money-making businesses, and invoked the rules of Ejusdem Generis and Noscitur a Sociis. The Supreme Court ruled that the SSS Act covers all employers and employees regardless of whether the organization makes a profit or is a religious institution, because social welfare laws protect all workers.</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When reciting the facts, state the core dispute in 2 sentences, then state how the case reached the Supreme Court.</w:t>
            </w:r>
          </w:p>
        </w:tc>
      </w:tr>
    </w:tbl>
    <w:p>
      <w:pPr>
        <w:keepNext/>
        <w:spacing w:before="200" w:after="40"/>
      </w:pPr>
      <w:r>
        <w:rPr>
          <w:rFonts w:ascii="Arial" w:hAnsi="Arial"/>
          <w:b/>
          <w:color w:val="781E1E"/>
          <w:sz w:val="22"/>
        </w:rPr>
        <w:t>III. THE LEGAL ISSUE</w:t>
      </w:r>
    </w:p>
    <w:p>
      <w:pPr>
        <w:spacing w:before="40" w:after="80" w:line="276" w:lineRule="auto"/>
      </w:pPr>
      <w:r>
        <w:rPr>
          <w:rFonts w:ascii="Calibri" w:hAnsi="Calibri"/>
          <w:i w:val="0"/>
          <w:color w:val="212529"/>
          <w:sz w:val="21"/>
        </w:rPr>
        <w:t>Whether or not religious, charitable, and non-profit institutions are exempt from compulsory SSS coverage under Republic Act No. 1161 through the application of Ejusdem Generis or Noscitur a Sociis.</w:t>
      </w:r>
    </w:p>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THE LEGAL ISSUE</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Is the Catholic Church exempt from paying SSS contributions for its lay staff on the ground that it is a religious non-profit organization?</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"Sir/Ma'am, the issue is whether religious and non-profit institutions are excluded from compulsory SSS coverage, testing the proper scope of Ejusdem Generis (of the same kind), Noscitur a Sociis (known by its companions), and Ubi Lex Non Distinguit."</w:t>
            </w:r>
          </w:p>
        </w:tc>
      </w:tr>
    </w:tbl>
    <w:p>
      <w:pPr>
        <w:keepNext/>
        <w:spacing w:before="200" w:after="40"/>
      </w:pPr>
      <w:r>
        <w:rPr>
          <w:rFonts w:ascii="Arial" w:hAnsi="Arial"/>
          <w:b/>
          <w:color w:val="781E1E"/>
          <w:sz w:val="22"/>
        </w:rPr>
        <w:t>IV. ALAC DIGEST</w:t>
      </w:r>
    </w:p>
    <w:tbl>
      <w:tblPr>
        <w:tblW w:type="auto" w:w="0"/>
        <w:jc w:val="center"/>
        <w:tblLook w:firstColumn="1" w:firstRow="1" w:lastColumn="0" w:lastRow="0" w:noHBand="0" w:noVBand="1" w:val="04A0"/>
      </w:tblPr>
      <w:tblGrid>
        <w:gridCol w:w="9648"/>
      </w:tblGrid>
      <w:tr>
        <w:tc>
          <w:tcPr>
            <w:tcW w:type="dxa" w:w="9648"/>
            <w:shd w:fill="F4F6F9"/>
            <w:tcMar>
              <w:top w:w="120" w:type="dxa"/>
              <w:bottom w:w="120" w:type="dxa"/>
              <w:left w:w="180" w:type="dxa"/>
              <w:right w:w="180" w:type="dxa"/>
            </w:tcMar>
          </w:tcPr>
          <w:p>
            <w:pPr>
              <w:spacing w:before="40" w:after="60"/>
            </w:pPr>
            <w:r>
              <w:rPr>
                <w:rFonts w:ascii="Arial" w:hAnsi="Arial"/>
                <w:b/>
                <w:color w:val="0F2043"/>
                <w:sz w:val="21"/>
              </w:rPr>
              <w:t>[A] ANSWER</w:t>
              <w:br/>
            </w:r>
          </w:p>
          <w:p>
            <w:pPr>
              <w:spacing w:before="20" w:after="40" w:line="276" w:lineRule="auto"/>
            </w:pPr>
            <w:r>
              <w:rPr>
                <w:rFonts w:ascii="Calibri" w:hAnsi="Calibri"/>
                <w:color w:val="212529"/>
                <w:sz w:val="20"/>
              </w:rPr>
              <w:t>NO. Religious and non-profit institutions are NOT EXEMPT from compulsory SSS coverage. The statutory definition of 'employer' and 'employment' under R.A. No. 1161 is all-inclusive and admits of no implied religious exemptions.</w:t>
            </w:r>
          </w:p>
        </w:tc>
      </w:tr>
    </w:tbl>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THE ANSWER</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No. The law covers all employment without exception. Lay workers in churches and religious schools need disability and retirement protection just like workers in commercial factories. Where the law does not make an exception, courts cannot make one.</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"No, Sir/Ma'am. The Supreme Court held that under Ubi lex non distinguit nec nos distinguere debemus (where the law does not distinguish, we should not distinguish), the SSS Act applies to all employers and employees. The rules of Ejusdem Generis and Noscitur a Sociis cannot be applied to defeat the universal, protective intent of social legislation."</w:t>
            </w:r>
          </w:p>
        </w:tc>
      </w:tr>
    </w:tbl>
    <w:tbl>
      <w:tblPr>
        <w:tblW w:type="auto" w:w="0"/>
        <w:jc w:val="center"/>
        <w:tblLook w:firstColumn="1" w:firstRow="1" w:lastColumn="0" w:lastRow="0" w:noHBand="0" w:noVBand="1" w:val="04A0"/>
      </w:tblPr>
      <w:tblGrid>
        <w:gridCol w:w="9648"/>
      </w:tblGrid>
      <w:tr>
        <w:tc>
          <w:tcPr>
            <w:tcW w:type="dxa" w:w="9648"/>
            <w:shd w:fill="F4F6F9"/>
            <w:tcMar>
              <w:top w:w="120" w:type="dxa"/>
              <w:bottom w:w="120" w:type="dxa"/>
              <w:left w:w="180" w:type="dxa"/>
              <w:right w:w="180" w:type="dxa"/>
            </w:tcMar>
          </w:tcPr>
          <w:p>
            <w:pPr>
              <w:spacing w:before="40" w:after="60"/>
            </w:pPr>
            <w:r>
              <w:rPr>
                <w:rFonts w:ascii="Arial" w:hAnsi="Arial"/>
                <w:b/>
                <w:color w:val="0F2043"/>
                <w:sz w:val="21"/>
              </w:rPr>
              <w:t>[L] LEGAL BASIS</w:t>
              <w:br/>
            </w:r>
          </w:p>
          <w:p>
            <w:pPr>
              <w:spacing w:before="20" w:after="40" w:line="276" w:lineRule="auto"/>
            </w:pPr>
            <w:r>
              <w:rPr>
                <w:rFonts w:ascii="Calibri" w:hAnsi="Calibri"/>
                <w:b/>
                <w:color w:val="212529"/>
                <w:sz w:val="20"/>
              </w:rPr>
              <w:t xml:space="preserve">1. Section 8(c) and 8(j), Republic Act No. 1161 (Social Security Act): </w:t>
            </w:r>
            <w:r>
              <w:rPr>
                <w:rFonts w:ascii="Calibri" w:hAnsi="Calibri"/>
                <w:color w:val="212529"/>
                <w:sz w:val="20"/>
              </w:rPr>
              <w:t>Defines 'employer' as any person or entity carrying on any enterprise, and 'employment' as any service performed for an employer.</w:t>
            </w:r>
          </w:p>
          <w:p>
            <w:pPr>
              <w:spacing w:before="20" w:after="40" w:line="276" w:lineRule="auto"/>
            </w:pPr>
            <w:r>
              <w:rPr>
                <w:rFonts w:ascii="Calibri" w:hAnsi="Calibri"/>
                <w:b/>
                <w:color w:val="212529"/>
                <w:sz w:val="20"/>
              </w:rPr>
              <w:t xml:space="preserve">2. Ubi Lex Non Distinguit, Nec Nos Distinguere Debemus (where the law does not distinguish, we should not distinguish): </w:t>
            </w:r>
            <w:r>
              <w:rPr>
                <w:rFonts w:ascii="Calibri" w:hAnsi="Calibri"/>
                <w:color w:val="212529"/>
                <w:sz w:val="20"/>
              </w:rPr>
              <w:t>Since Section 8 does not distinguish between profit and non-profit employers, courts cannot distinguish.</w:t>
            </w:r>
          </w:p>
          <w:p>
            <w:pPr>
              <w:spacing w:before="20" w:after="40" w:line="276" w:lineRule="auto"/>
            </w:pPr>
            <w:r>
              <w:rPr>
                <w:rFonts w:ascii="Calibri" w:hAnsi="Calibri"/>
                <w:b/>
                <w:color w:val="212529"/>
                <w:sz w:val="20"/>
              </w:rPr>
              <w:t xml:space="preserve">3. Expressio Unius Est Exclusio Alterius (the express mention of one thing is the exclusion of another): </w:t>
            </w:r>
            <w:r>
              <w:rPr>
                <w:rFonts w:ascii="Calibri" w:hAnsi="Calibri"/>
                <w:color w:val="212529"/>
                <w:sz w:val="20"/>
              </w:rPr>
              <w:t>Section 8(j) contains an express list of exempt services (e.g., domestic service, government employment), which does not include religious institutions.</w:t>
            </w:r>
          </w:p>
        </w:tc>
      </w:tr>
    </w:tbl>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LEGAL BASIS</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Section 8 RA 1161, Ubi Lex Non Distinguit, and Expressio Unius Est Exclusio Alterius.</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"Sir/Ma'am, the legal basis is Section 8 of RA 1161, governed by Ubi lex non distinguit nec nos distinguere debemus (where the law does not distinguish, we must not distinguish) and Expressio unius est exclusio alterius."</w:t>
            </w:r>
          </w:p>
        </w:tc>
      </w:tr>
    </w:tbl>
    <w:tbl>
      <w:tblPr>
        <w:tblW w:type="auto" w:w="0"/>
        <w:jc w:val="center"/>
        <w:tblLook w:firstColumn="1" w:firstRow="1" w:lastColumn="0" w:lastRow="0" w:noHBand="0" w:noVBand="1" w:val="04A0"/>
      </w:tblPr>
      <w:tblGrid>
        <w:gridCol w:w="9648"/>
      </w:tblGrid>
      <w:tr>
        <w:tc>
          <w:tcPr>
            <w:tcW w:type="dxa" w:w="9648"/>
            <w:shd w:fill="F4F6F9"/>
            <w:tcMar>
              <w:top w:w="120" w:type="dxa"/>
              <w:bottom w:w="120" w:type="dxa"/>
              <w:left w:w="180" w:type="dxa"/>
              <w:right w:w="180" w:type="dxa"/>
            </w:tcMar>
          </w:tcPr>
          <w:p>
            <w:pPr>
              <w:spacing w:before="40" w:after="60"/>
            </w:pPr>
            <w:r>
              <w:rPr>
                <w:rFonts w:ascii="Arial" w:hAnsi="Arial"/>
                <w:b/>
                <w:color w:val="0F2043"/>
                <w:sz w:val="21"/>
              </w:rPr>
              <w:t>[A] ANALYSIS / APPLICATION</w:t>
              <w:br/>
            </w:r>
          </w:p>
          <w:p>
            <w:pPr>
              <w:spacing w:before="20" w:after="40" w:line="276" w:lineRule="auto"/>
            </w:pPr>
            <w:r>
              <w:rPr>
                <w:rFonts w:ascii="Calibri" w:hAnsi="Calibri"/>
                <w:b/>
                <w:color w:val="212529"/>
                <w:sz w:val="20"/>
              </w:rPr>
              <w:t xml:space="preserve">1. Universal Scope of Social Welfare: </w:t>
            </w:r>
            <w:r>
              <w:rPr>
                <w:rFonts w:ascii="Calibri" w:hAnsi="Calibri"/>
                <w:color w:val="212529"/>
                <w:sz w:val="20"/>
              </w:rPr>
              <w:t>The Social Security Act is a remedial social welfare legislation enacted pursuant to police power. Lay workers in churches face the same hazards of disability, sickness, and old age as industrial workers.</w:t>
            </w:r>
          </w:p>
          <w:p>
            <w:pPr>
              <w:spacing w:before="20" w:after="40" w:line="276" w:lineRule="auto"/>
            </w:pPr>
            <w:r>
              <w:rPr>
                <w:rFonts w:ascii="Calibri" w:hAnsi="Calibri"/>
                <w:b/>
                <w:color w:val="212529"/>
                <w:sz w:val="20"/>
              </w:rPr>
              <w:t xml:space="preserve">2. Inapplicability of Ejusdem Generis and Noscitur a Sociis: </w:t>
            </w:r>
            <w:r>
              <w:rPr>
                <w:rFonts w:ascii="Calibri" w:hAnsi="Calibri"/>
                <w:color w:val="212529"/>
                <w:sz w:val="20"/>
              </w:rPr>
              <w:t>The statutory definition of 'employer' in the SSS Act is comprehensive and clear. Construction canons cannot be used to restrict clear universal words.</w:t>
            </w:r>
          </w:p>
          <w:p>
            <w:pPr>
              <w:spacing w:before="20" w:after="40" w:line="276" w:lineRule="auto"/>
            </w:pPr>
            <w:r>
              <w:rPr>
                <w:rFonts w:ascii="Calibri" w:hAnsi="Calibri"/>
                <w:b/>
                <w:color w:val="212529"/>
                <w:sz w:val="20"/>
              </w:rPr>
              <w:t xml:space="preserve">3. Explicit Statutory Exemptions: </w:t>
            </w:r>
            <w:r>
              <w:rPr>
                <w:rFonts w:ascii="Calibri" w:hAnsi="Calibri"/>
                <w:color w:val="212529"/>
                <w:sz w:val="20"/>
              </w:rPr>
              <w:t>Congress explicitly enumerated exempt services in Section 8(j). By including agricultural and domestic exemptions but omitting religious institutions, the legislative intent to cover religious lay workers is conclusive under Expressio Unius.</w:t>
            </w:r>
          </w:p>
        </w:tc>
      </w:tr>
    </w:tbl>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ANALYSIS / APPLICATION</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Churches employ janitors, teachers, and clerks who get sick, grow old, and retire. SSS is designed to protect all human workers. Because Congress created an explicit list of exemptions and chose not to include religious institutions, the Church cannot invent an exemption through interpretation canons.</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"Sir/Ma'am, the Court held that the maxims Ejusdem Generis and Noscitur a Sociis cannot be used to defeat the plain universal language of a social welfare statute. Under Ubi Lex Non Distinguit and Expressio Unius, religious and charitable lay workers are fully covered by SSS."</w:t>
            </w:r>
          </w:p>
        </w:tc>
      </w:tr>
    </w:tbl>
    <w:tbl>
      <w:tblPr>
        <w:tblW w:type="auto" w:w="0"/>
        <w:jc w:val="center"/>
        <w:tblLook w:firstColumn="1" w:firstRow="1" w:lastColumn="0" w:lastRow="0" w:noHBand="0" w:noVBand="1" w:val="04A0"/>
      </w:tblPr>
      <w:tblGrid>
        <w:gridCol w:w="9648"/>
      </w:tblGrid>
      <w:tr>
        <w:tc>
          <w:tcPr>
            <w:tcW w:type="dxa" w:w="9648"/>
            <w:shd w:fill="F4F6F9"/>
            <w:tcMar>
              <w:top w:w="120" w:type="dxa"/>
              <w:bottom w:w="120" w:type="dxa"/>
              <w:left w:w="180" w:type="dxa"/>
              <w:right w:w="180" w:type="dxa"/>
            </w:tcMar>
          </w:tcPr>
          <w:p>
            <w:pPr>
              <w:spacing w:before="40" w:after="60"/>
            </w:pPr>
            <w:r>
              <w:rPr>
                <w:rFonts w:ascii="Arial" w:hAnsi="Arial"/>
                <w:b/>
                <w:color w:val="0F2043"/>
                <w:sz w:val="21"/>
              </w:rPr>
              <w:t>[C] CONCLUSION</w:t>
              <w:br/>
            </w:r>
          </w:p>
          <w:p>
            <w:pPr>
              <w:spacing w:before="20" w:after="40" w:line="276" w:lineRule="auto"/>
            </w:pPr>
            <w:r>
              <w:rPr>
                <w:rFonts w:ascii="Calibri" w:hAnsi="Calibri"/>
                <w:color w:val="212529"/>
                <w:sz w:val="20"/>
              </w:rPr>
              <w:t>The Supreme Court AFFIRMED the resolution of the Social Security Commission, DECLARING religious and charitable institutions subject to compulsory SSS coverage.</w:t>
            </w:r>
          </w:p>
        </w:tc>
      </w:tr>
    </w:tbl>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CONCLUSION</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The Church's petition was denied and religious institutions were declared subject to mandatory SSS.</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"The Supreme Court affirmed compulsory SSS coverage for religious institutions, holding that construction maxims cannot narrow broad social legislation."</w:t>
            </w:r>
          </w:p>
        </w:tc>
      </w:tr>
    </w:tbl>
    <w:p>
      <w:pPr>
        <w:keepNext/>
        <w:spacing w:before="200" w:after="40"/>
      </w:pPr>
      <w:r>
        <w:rPr>
          <w:rFonts w:ascii="Arial" w:hAnsi="Arial"/>
          <w:b/>
          <w:color w:val="781E1E"/>
          <w:sz w:val="22"/>
        </w:rPr>
        <w:t>V. RELATION TO STATUTORY CONSTRUCTION</w:t>
      </w:r>
    </w:p>
    <w:p>
      <w:pPr>
        <w:spacing w:before="40" w:after="80" w:line="276" w:lineRule="auto"/>
      </w:pPr>
      <w:r>
        <w:rPr>
          <w:rFonts w:ascii="Calibri" w:hAnsi="Calibri"/>
          <w:b/>
          <w:color w:val="212529"/>
          <w:sz w:val="21"/>
        </w:rPr>
        <w:t>• Syllabus Topic Alignment:</w:t>
        <w:br/>
      </w:r>
      <w:r>
        <w:rPr>
          <w:rFonts w:ascii="Calibri" w:hAnsi="Calibri"/>
          <w:i w:val="0"/>
          <w:color w:val="212529"/>
          <w:sz w:val="21"/>
        </w:rPr>
        <w:t>• Chapter III: Basic Guidelines in the Construction and Interpretation of Laws</w:t>
        <w:br/>
        <w:t xml:space="preserve">  - B. Considerations within the Statute: Inapplicability of Noscitur a Sociis &amp; Ubi Lex Non Distinguit in Social Legislation</w:t>
      </w:r>
    </w:p>
    <w:tbl>
      <w:tblPr>
        <w:tblW w:type="auto" w:w="0"/>
        <w:jc w:val="center"/>
        <w:tblLook w:firstColumn="1" w:firstRow="1" w:lastColumn="0" w:lastRow="0" w:noHBand="0" w:noVBand="1" w:val="04A0"/>
      </w:tblPr>
      <w:tblGrid>
        <w:gridCol w:w="9648"/>
      </w:tblGrid>
      <w:tr>
        <w:tc>
          <w:tcPr>
            <w:tcW w:type="dxa" w:w="9648"/>
            <w:shd w:fill="FDF6EE"/>
            <w:tcMar>
              <w:top w:w="120" w:type="dxa"/>
              <w:bottom w:w="120" w:type="dxa"/>
              <w:left w:w="180" w:type="dxa"/>
              <w:right w:w="180" w:type="dxa"/>
            </w:tcMar>
          </w:tcPr>
          <w:p>
            <w:pPr>
              <w:spacing w:before="40" w:after="80"/>
            </w:pPr>
            <w:r>
              <w:rPr>
                <w:rFonts w:ascii="Arial" w:hAnsi="Arial"/>
                <w:b/>
                <w:color w:val="8C3200"/>
                <w:sz w:val="20"/>
              </w:rPr>
              <w:t>📜 GOVERNING LATIN MAXIMS WITH ENGLISH TRANSLATIONS</w:t>
              <w:br/>
            </w:r>
          </w:p>
          <w:p>
            <w:pPr>
              <w:spacing w:before="40" w:after="60" w:line="276" w:lineRule="auto"/>
            </w:pPr>
            <w:r>
              <w:rPr>
                <w:rFonts w:ascii="Calibri" w:hAnsi="Calibri"/>
                <w:b/>
                <w:color w:val="8C3200"/>
                <w:sz w:val="20"/>
              </w:rPr>
              <w:t>1. Ubi lex non distinguit, nec nos distinguere debemus (where the law does not distinguish, we should not distinguish)</w:t>
              <w:br/>
            </w:r>
            <w:r>
              <w:rPr>
                <w:rFonts w:ascii="Calibri" w:hAnsi="Calibri"/>
                <w:b/>
                <w:color w:val="212529"/>
                <w:sz w:val="19"/>
              </w:rPr>
              <w:t xml:space="preserve">   • Literal English Translation: </w:t>
            </w:r>
            <w:r>
              <w:rPr>
                <w:rFonts w:ascii="Calibri" w:hAnsi="Calibri"/>
                <w:i/>
                <w:color w:val="212529"/>
                <w:sz w:val="19"/>
              </w:rPr>
              <w:t>Where the law makes no distinction, we ought not to distinguish.</w:t>
              <w:br/>
            </w:r>
            <w:r>
              <w:rPr>
                <w:rFonts w:ascii="Calibri" w:hAnsi="Calibri"/>
                <w:b/>
                <w:color w:val="212529"/>
                <w:sz w:val="19"/>
              </w:rPr>
              <w:t xml:space="preserve">   • Plain Legal Meaning &amp; StatCon Application: </w:t>
            </w:r>
            <w:r>
              <w:rPr>
                <w:rFonts w:ascii="Calibri" w:hAnsi="Calibri"/>
                <w:color w:val="212529"/>
                <w:sz w:val="19"/>
              </w:rPr>
              <w:t>The SSS Act does not distinguish between profit and non-profit employers.</w:t>
            </w:r>
          </w:p>
          <w:p>
            <w:pPr>
              <w:spacing w:before="40" w:after="60" w:line="276" w:lineRule="auto"/>
            </w:pPr>
            <w:r>
              <w:rPr>
                <w:rFonts w:ascii="Calibri" w:hAnsi="Calibri"/>
                <w:b/>
                <w:color w:val="8C3200"/>
                <w:sz w:val="20"/>
              </w:rPr>
              <w:t>2. Expressio unius est exclusio alterius (the express mention of one thing is the exclusion of another)</w:t>
              <w:br/>
            </w:r>
            <w:r>
              <w:rPr>
                <w:rFonts w:ascii="Calibri" w:hAnsi="Calibri"/>
                <w:b/>
                <w:color w:val="212529"/>
                <w:sz w:val="19"/>
              </w:rPr>
              <w:t xml:space="preserve">   • Literal English Translation: </w:t>
            </w:r>
            <w:r>
              <w:rPr>
                <w:rFonts w:ascii="Calibri" w:hAnsi="Calibri"/>
                <w:i/>
                <w:color w:val="212529"/>
                <w:sz w:val="19"/>
              </w:rPr>
              <w:t>The express mention of one thing implies the exclusion of others.</w:t>
              <w:br/>
            </w:r>
            <w:r>
              <w:rPr>
                <w:rFonts w:ascii="Calibri" w:hAnsi="Calibri"/>
                <w:b/>
                <w:color w:val="212529"/>
                <w:sz w:val="19"/>
              </w:rPr>
              <w:t xml:space="preserve">   • Plain Legal Meaning &amp; StatCon Application: </w:t>
            </w:r>
            <w:r>
              <w:rPr>
                <w:rFonts w:ascii="Calibri" w:hAnsi="Calibri"/>
                <w:color w:val="212529"/>
                <w:sz w:val="19"/>
              </w:rPr>
              <w:t>The express list of SSS exemptions in Section 8(j) excludes unmentioned religious institutions.</w:t>
            </w:r>
          </w:p>
          <w:p>
            <w:pPr>
              <w:spacing w:before="40" w:after="60" w:line="276" w:lineRule="auto"/>
            </w:pPr>
            <w:r>
              <w:rPr>
                <w:rFonts w:ascii="Calibri" w:hAnsi="Calibri"/>
                <w:b/>
                <w:color w:val="8C3200"/>
                <w:sz w:val="20"/>
              </w:rPr>
              <w:t>3. Salus populi est suprema lex (the welfare of the people is the supreme law)</w:t>
              <w:br/>
            </w:r>
            <w:r>
              <w:rPr>
                <w:rFonts w:ascii="Calibri" w:hAnsi="Calibri"/>
                <w:b/>
                <w:color w:val="212529"/>
                <w:sz w:val="19"/>
              </w:rPr>
              <w:t xml:space="preserve">   • Literal English Translation: </w:t>
            </w:r>
            <w:r>
              <w:rPr>
                <w:rFonts w:ascii="Calibri" w:hAnsi="Calibri"/>
                <w:i/>
                <w:color w:val="212529"/>
                <w:sz w:val="19"/>
              </w:rPr>
              <w:t>The welfare of the people is the supreme law.</w:t>
              <w:br/>
            </w:r>
            <w:r>
              <w:rPr>
                <w:rFonts w:ascii="Calibri" w:hAnsi="Calibri"/>
                <w:b/>
                <w:color w:val="212529"/>
                <w:sz w:val="19"/>
              </w:rPr>
              <w:t xml:space="preserve">   • Plain Legal Meaning &amp; StatCon Application: </w:t>
            </w:r>
            <w:r>
              <w:rPr>
                <w:rFonts w:ascii="Calibri" w:hAnsi="Calibri"/>
                <w:color w:val="212529"/>
                <w:sz w:val="19"/>
              </w:rPr>
              <w:t>Social security protection for workers takes precedence over institutional exemptions.</w:t>
            </w:r>
          </w:p>
        </w:tc>
      </w:tr>
    </w:tbl>
    <w:tbl>
      <w:tblPr>
        <w:tblW w:type="auto" w:w="0"/>
        <w:jc w:val="center"/>
        <w:tblLook w:firstColumn="1" w:firstRow="1" w:lastColumn="0" w:lastRow="0" w:noHBand="0" w:noVBand="1" w:val="04A0"/>
      </w:tblPr>
      <w:tblGrid>
        <w:gridCol w:w="4824"/>
        <w:gridCol w:w="4824"/>
      </w:tblGrid>
      <w:tr>
        <w:tc>
          <w:tcPr>
            <w:tcW w:type="dxa" w:w="4824"/>
            <w:shd w:fill="EAEFF5"/>
            <w:tcMar>
              <w:top w:w="80" w:type="dxa"/>
              <w:bottom w:w="80" w:type="dxa"/>
              <w:left w:w="120" w:type="dxa"/>
              <w:right w:w="120" w:type="dxa"/>
            </w:tcMar>
          </w:tcPr>
          <w:p>
            <w:pPr>
              <w:spacing w:before="40" w:after="40"/>
            </w:pPr>
            <w:r>
              <w:rPr>
                <w:rFonts w:ascii="Arial" w:hAnsi="Arial"/>
                <w:b/>
                <w:color w:val="0F2043"/>
                <w:sz w:val="18"/>
              </w:rPr>
              <w:t>Syllabus Topic Alignment</w:t>
              <w:br/>
              <w:t>(StatCon_Syllabus_JPR.pdf)</w:t>
            </w:r>
          </w:p>
        </w:tc>
        <w:tc>
          <w:tcPr>
            <w:tcW w:type="dxa" w:w="4824"/>
            <w:shd w:fill="FAFAFA"/>
            <w:tcMar>
              <w:top w:w="80" w:type="dxa"/>
              <w:bottom w:w="80" w:type="dxa"/>
              <w:left w:w="120" w:type="dxa"/>
              <w:right w:w="120" w:type="dxa"/>
            </w:tcMar>
          </w:tcPr>
          <w:p>
            <w:pPr>
              <w:spacing w:before="40" w:after="40" w:line="276" w:lineRule="auto"/>
            </w:pPr>
            <w:r>
              <w:rPr>
                <w:rFonts w:ascii="Calibri" w:hAnsi="Calibri"/>
                <w:color w:val="212529"/>
                <w:sz w:val="19"/>
              </w:rPr>
              <w:t>• Chapter III: Basic Guidelines in the Construction and Interpretation of Laws</w:t>
              <w:br/>
              <w:t xml:space="preserve">  - B. Considerations within the Statute: Inapplicability of Noscitur a Sociis &amp; Ubi Lex Non Distinguit in Social Legislation</w:t>
            </w:r>
          </w:p>
        </w:tc>
      </w:tr>
      <w:tr>
        <w:tc>
          <w:tcPr>
            <w:tcW w:type="dxa" w:w="4824"/>
            <w:shd w:fill="EAEFF5"/>
            <w:tcMar>
              <w:top w:w="80" w:type="dxa"/>
              <w:bottom w:w="80" w:type="dxa"/>
              <w:left w:w="120" w:type="dxa"/>
              <w:right w:w="120" w:type="dxa"/>
            </w:tcMar>
          </w:tcPr>
          <w:p>
            <w:pPr>
              <w:spacing w:before="40" w:after="40"/>
            </w:pPr>
            <w:r>
              <w:rPr>
                <w:rFonts w:ascii="Arial" w:hAnsi="Arial"/>
                <w:b/>
                <w:color w:val="0F2043"/>
                <w:sz w:val="18"/>
              </w:rPr>
              <w:t>Governing Latin Maxims &amp; English</w:t>
            </w:r>
          </w:p>
        </w:tc>
        <w:tc>
          <w:tcPr>
            <w:tcW w:type="dxa" w:w="4824"/>
            <w:shd w:fill="FAFAFA"/>
            <w:tcMar>
              <w:top w:w="80" w:type="dxa"/>
              <w:bottom w:w="80" w:type="dxa"/>
              <w:left w:w="120" w:type="dxa"/>
              <w:right w:w="120" w:type="dxa"/>
            </w:tcMar>
          </w:tcPr>
          <w:p>
            <w:pPr>
              <w:spacing w:before="40" w:after="40" w:line="276" w:lineRule="auto"/>
            </w:pPr>
            <w:r>
              <w:rPr>
                <w:rFonts w:ascii="Calibri" w:hAnsi="Calibri"/>
                <w:color w:val="212529"/>
                <w:sz w:val="19"/>
              </w:rPr>
              <w:t>Primary:</w:t>
              <w:br/>
              <w:t>Ubi lex non distinguit, nec nos distinguere debemus</w:t>
              <w:br/>
              <w:t>(where the law does not distinguish, we should not distinguish / SSS Act covers all employment without distinguishing profit from non-profit)</w:t>
              <w:br/>
              <w:br/>
              <w:t>Secondary:</w:t>
              <w:br/>
              <w:t>• Expressio unius est exclusio alterius (express exemptions exclude religious institutions)</w:t>
              <w:br/>
              <w:t>• Salus populi est suprema lex (the welfare of workers is supreme)</w:t>
            </w:r>
          </w:p>
        </w:tc>
      </w:tr>
      <w:tr>
        <w:tc>
          <w:tcPr>
            <w:tcW w:type="dxa" w:w="4824"/>
            <w:shd w:fill="EAEFF5"/>
            <w:tcMar>
              <w:top w:w="80" w:type="dxa"/>
              <w:bottom w:w="80" w:type="dxa"/>
              <w:left w:w="120" w:type="dxa"/>
              <w:right w:w="120" w:type="dxa"/>
            </w:tcMar>
          </w:tcPr>
          <w:p>
            <w:pPr>
              <w:spacing w:before="40" w:after="40"/>
            </w:pPr>
            <w:r>
              <w:rPr>
                <w:rFonts w:ascii="Arial" w:hAnsi="Arial"/>
                <w:b/>
                <w:color w:val="0F2043"/>
                <w:sz w:val="18"/>
              </w:rPr>
              <w:t>Case Violation in StatCon</w:t>
            </w:r>
          </w:p>
        </w:tc>
        <w:tc>
          <w:tcPr>
            <w:tcW w:type="dxa" w:w="4824"/>
            <w:shd w:fill="FAFAFA"/>
            <w:tcMar>
              <w:top w:w="80" w:type="dxa"/>
              <w:bottom w:w="80" w:type="dxa"/>
              <w:left w:w="120" w:type="dxa"/>
              <w:right w:w="120" w:type="dxa"/>
            </w:tcMar>
          </w:tcPr>
          <w:p>
            <w:pPr>
              <w:spacing w:before="40" w:after="40" w:line="276" w:lineRule="auto"/>
            </w:pPr>
            <w:r>
              <w:rPr>
                <w:rFonts w:ascii="Calibri" w:hAnsi="Calibri"/>
                <w:color w:val="212529"/>
                <w:sz w:val="19"/>
              </w:rPr>
              <w:t>The petitioner attempted to use Ejusdem Generis and Noscitur a Sociis to manufacture an unwritten religious exemption to a universal social welfare law.</w:t>
            </w:r>
          </w:p>
        </w:tc>
      </w:tr>
      <w:tr>
        <w:tc>
          <w:tcPr>
            <w:tcW w:type="dxa" w:w="4824"/>
            <w:shd w:fill="EAEFF5"/>
            <w:tcMar>
              <w:top w:w="80" w:type="dxa"/>
              <w:bottom w:w="80" w:type="dxa"/>
              <w:left w:w="120" w:type="dxa"/>
              <w:right w:w="120" w:type="dxa"/>
            </w:tcMar>
          </w:tcPr>
          <w:p>
            <w:pPr>
              <w:spacing w:before="40" w:after="40"/>
            </w:pPr>
            <w:r>
              <w:rPr>
                <w:rFonts w:ascii="Arial" w:hAnsi="Arial"/>
                <w:b/>
                <w:color w:val="0F2043"/>
                <w:sz w:val="18"/>
              </w:rPr>
              <w:t>Doctrinal Execution / Principle</w:t>
            </w:r>
          </w:p>
        </w:tc>
        <w:tc>
          <w:tcPr>
            <w:tcW w:type="dxa" w:w="4824"/>
            <w:shd w:fill="FAFAFA"/>
            <w:tcMar>
              <w:top w:w="80" w:type="dxa"/>
              <w:bottom w:w="80" w:type="dxa"/>
              <w:left w:w="120" w:type="dxa"/>
              <w:right w:w="120" w:type="dxa"/>
            </w:tcMar>
          </w:tcPr>
          <w:p>
            <w:pPr>
              <w:spacing w:before="40" w:after="40" w:line="276" w:lineRule="auto"/>
            </w:pPr>
            <w:r>
              <w:rPr>
                <w:rFonts w:ascii="Calibri" w:hAnsi="Calibri"/>
                <w:color w:val="212529"/>
                <w:sz w:val="19"/>
              </w:rPr>
              <w:t>Universal Construction of Social Welfare Statutes: Where a social welfare statute employs all-inclusive language and provides specific exemptions, courts will not apply construction canons to create additional exemptions.</w:t>
            </w:r>
          </w:p>
        </w:tc>
      </w:tr>
    </w:tbl>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RELATION TO STATUTORY CONSTRUCTION</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When a law protecting all working people lists specific exemptions, courts cannot invent a new exemption for religious employers.</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"Sir/Ma'am, Roman Catholic Archbishop v. SSC establishes that statutory construction maxims like Ejusdem Generis cannot be used to restrict universal social legislation—Ubi lex non distinguit."</w:t>
            </w:r>
          </w:p>
        </w:tc>
      </w:tr>
    </w:tbl>
    <w:p>
      <w:pPr>
        <w:spacing w:before="160" w:after="80"/>
      </w:pPr>
    </w:p>
    <w:tbl>
      <w:tblPr>
        <w:tblW w:type="auto" w:w="0"/>
        <w:jc w:val="center"/>
        <w:tblLook w:firstColumn="1" w:firstRow="1" w:lastColumn="0" w:lastRow="0" w:noHBand="0" w:noVBand="1" w:val="04A0"/>
      </w:tblPr>
      <w:tblGrid>
        <w:gridCol w:w="9648"/>
      </w:tblGrid>
      <w:tr>
        <w:tc>
          <w:tcPr>
            <w:tcW w:type="dxa" w:w="9648"/>
            <w:shd w:fill="1E3A5F"/>
            <w:tcMar>
              <w:top w:w="140" w:type="dxa"/>
              <w:bottom w:w="140" w:type="dxa"/>
              <w:left w:w="200" w:type="dxa"/>
              <w:right w:w="200" w:type="dxa"/>
            </w:tcMar>
          </w:tcPr>
          <w:p>
            <w:pPr>
              <w:spacing w:before="40" w:after="40"/>
              <w:jc w:val="center"/>
            </w:pPr>
            <w:r>
              <w:rPr>
                <w:rFonts w:ascii="Arial" w:hAnsi="Arial"/>
                <w:b/>
                <w:color w:val="FFD700"/>
                <w:sz w:val="22"/>
              </w:rPr>
              <w:t>⚖ STANDARDIZED CASE DIGEST: STATUTORY CONSTRUCTION FORMAT</w:t>
              <w:br/>
            </w:r>
            <w:r>
              <w:rPr>
                <w:rFonts w:ascii="Arial" w:hAnsi="Arial"/>
                <w:i/>
                <w:color w:val="DCEBFF"/>
                <w:sz w:val="18"/>
              </w:rPr>
              <w:t>(Complete 12-Section Academic &amp; Judicial Construction Analysis)</w:t>
            </w:r>
          </w:p>
        </w:tc>
      </w:tr>
    </w:tbl>
    <w:p>
      <w:pPr>
        <w:spacing w:before="80" w:after="80"/>
      </w:pPr>
    </w:p>
    <w:tbl>
      <w:tblPr>
        <w:tblW w:type="auto" w:w="0"/>
        <w:jc w:val="center"/>
        <w:tblLook w:firstColumn="1" w:firstRow="1" w:lastColumn="0" w:lastRow="0" w:noHBand="0" w:noVBand="1" w:val="04A0"/>
      </w:tblPr>
      <w:tblGrid>
        <w:gridCol w:w="4824"/>
        <w:gridCol w:w="4824"/>
      </w:tblGrid>
      <w:tr>
        <w:tc>
          <w:tcPr>
            <w:tcW w:type="dxa" w:w="4824"/>
            <w:shd w:fill="EBF0F7"/>
            <w:tcMar>
              <w:top w:w="60" w:type="dxa"/>
              <w:bottom w:w="60" w:type="dxa"/>
              <w:left w:w="120" w:type="dxa"/>
              <w:right w:w="120" w:type="dxa"/>
            </w:tcMar>
          </w:tcPr>
          <w:p>
            <w:pPr>
              <w:spacing w:before="20" w:after="20"/>
            </w:pPr>
            <w:r>
              <w:rPr>
                <w:rFonts w:ascii="Arial" w:hAnsi="Arial"/>
                <w:b/>
                <w:color w:val="0F2043"/>
                <w:sz w:val="19"/>
              </w:rPr>
              <w:t>Case Title:</w:t>
            </w:r>
          </w:p>
        </w:tc>
        <w:tc>
          <w:tcPr>
            <w:tcW w:type="dxa" w:w="4824"/>
            <w:shd w:fill="FAFCFF"/>
            <w:tcMar>
              <w:top w:w="60" w:type="dxa"/>
              <w:bottom w:w="60" w:type="dxa"/>
              <w:left w:w="120" w:type="dxa"/>
              <w:right w:w="120" w:type="dxa"/>
            </w:tcMar>
          </w:tcPr>
          <w:p>
            <w:pPr>
              <w:spacing w:before="20" w:after="20"/>
            </w:pPr>
            <w:r>
              <w:rPr>
                <w:rFonts w:ascii="Calibri" w:hAnsi="Calibri"/>
                <w:b/>
                <w:color w:val="212529"/>
                <w:sz w:val="19"/>
              </w:rPr>
              <w:t>Roman Catholic Archbishop of Manila v. Social Security Commission</w:t>
            </w:r>
          </w:p>
        </w:tc>
      </w:tr>
      <w:tr>
        <w:tc>
          <w:tcPr>
            <w:tcW w:type="dxa" w:w="4824"/>
            <w:shd w:fill="EBF0F7"/>
            <w:tcMar>
              <w:top w:w="60" w:type="dxa"/>
              <w:bottom w:w="60" w:type="dxa"/>
              <w:left w:w="120" w:type="dxa"/>
              <w:right w:w="120" w:type="dxa"/>
            </w:tcMar>
          </w:tcPr>
          <w:p>
            <w:pPr>
              <w:spacing w:before="20" w:after="20"/>
            </w:pPr>
            <w:r>
              <w:rPr>
                <w:rFonts w:ascii="Arial" w:hAnsi="Arial"/>
                <w:b/>
                <w:color w:val="0F2043"/>
                <w:sz w:val="19"/>
              </w:rPr>
              <w:t>G.R. No. / Record:</w:t>
            </w:r>
          </w:p>
        </w:tc>
        <w:tc>
          <w:tcPr>
            <w:tcW w:type="dxa" w:w="4824"/>
            <w:shd w:fill="FAFCFF"/>
            <w:tcMar>
              <w:top w:w="60" w:type="dxa"/>
              <w:bottom w:w="60" w:type="dxa"/>
              <w:left w:w="120" w:type="dxa"/>
              <w:right w:w="120" w:type="dxa"/>
            </w:tcMar>
          </w:tcPr>
          <w:p>
            <w:pPr>
              <w:spacing w:before="20" w:after="20"/>
            </w:pPr>
            <w:r>
              <w:rPr>
                <w:rFonts w:ascii="Calibri" w:hAnsi="Calibri"/>
                <w:b w:val="0"/>
                <w:color w:val="212529"/>
                <w:sz w:val="19"/>
              </w:rPr>
              <w:t>G.R. No. L-15045</w:t>
            </w:r>
          </w:p>
        </w:tc>
      </w:tr>
      <w:tr>
        <w:tc>
          <w:tcPr>
            <w:tcW w:type="dxa" w:w="4824"/>
            <w:shd w:fill="EBF0F7"/>
            <w:tcMar>
              <w:top w:w="60" w:type="dxa"/>
              <w:bottom w:w="60" w:type="dxa"/>
              <w:left w:w="120" w:type="dxa"/>
              <w:right w:w="120" w:type="dxa"/>
            </w:tcMar>
          </w:tcPr>
          <w:p>
            <w:pPr>
              <w:spacing w:before="20" w:after="20"/>
            </w:pPr>
            <w:r>
              <w:rPr>
                <w:rFonts w:ascii="Arial" w:hAnsi="Arial"/>
                <w:b/>
                <w:color w:val="0F2043"/>
                <w:sz w:val="19"/>
              </w:rPr>
              <w:t>Date of Promulgation:</w:t>
            </w:r>
          </w:p>
        </w:tc>
        <w:tc>
          <w:tcPr>
            <w:tcW w:type="dxa" w:w="4824"/>
            <w:shd w:fill="FAFCFF"/>
            <w:tcMar>
              <w:top w:w="60" w:type="dxa"/>
              <w:bottom w:w="60" w:type="dxa"/>
              <w:left w:w="120" w:type="dxa"/>
              <w:right w:w="120" w:type="dxa"/>
            </w:tcMar>
          </w:tcPr>
          <w:p>
            <w:pPr>
              <w:spacing w:before="20" w:after="20"/>
            </w:pPr>
            <w:r>
              <w:rPr>
                <w:rFonts w:ascii="Calibri" w:hAnsi="Calibri"/>
                <w:b w:val="0"/>
                <w:color w:val="212529"/>
                <w:sz w:val="19"/>
              </w:rPr>
              <w:t>January 20, 1961</w:t>
            </w:r>
          </w:p>
        </w:tc>
      </w:tr>
      <w:tr>
        <w:tc>
          <w:tcPr>
            <w:tcW w:type="dxa" w:w="4824"/>
            <w:shd w:fill="EBF0F7"/>
            <w:tcMar>
              <w:top w:w="60" w:type="dxa"/>
              <w:bottom w:w="60" w:type="dxa"/>
              <w:left w:w="120" w:type="dxa"/>
              <w:right w:w="120" w:type="dxa"/>
            </w:tcMar>
          </w:tcPr>
          <w:p>
            <w:pPr>
              <w:spacing w:before="20" w:after="20"/>
            </w:pPr>
            <w:r>
              <w:rPr>
                <w:rFonts w:ascii="Arial" w:hAnsi="Arial"/>
                <w:b/>
                <w:color w:val="0F2043"/>
                <w:sz w:val="19"/>
              </w:rPr>
              <w:t>Ponente / Court:</w:t>
            </w:r>
          </w:p>
        </w:tc>
        <w:tc>
          <w:tcPr>
            <w:tcW w:type="dxa" w:w="4824"/>
            <w:shd w:fill="FAFCFF"/>
            <w:tcMar>
              <w:top w:w="60" w:type="dxa"/>
              <w:bottom w:w="60" w:type="dxa"/>
              <w:left w:w="120" w:type="dxa"/>
              <w:right w:w="120" w:type="dxa"/>
            </w:tcMar>
          </w:tcPr>
          <w:p>
            <w:pPr>
              <w:spacing w:before="20" w:after="20"/>
            </w:pPr>
            <w:r>
              <w:rPr>
                <w:rFonts w:ascii="Calibri" w:hAnsi="Calibri"/>
                <w:b w:val="0"/>
                <w:color w:val="212529"/>
                <w:sz w:val="19"/>
              </w:rPr>
              <w:t>En Banc</w:t>
            </w:r>
          </w:p>
        </w:tc>
      </w:tr>
    </w:tbl>
    <w:p>
      <w:pPr>
        <w:keepNext/>
        <w:spacing w:before="240" w:after="60"/>
      </w:pPr>
      <w:r>
        <w:rPr>
          <w:rFonts w:ascii="Arial" w:hAnsi="Arial"/>
          <w:b/>
          <w:color w:val="0F2043"/>
          <w:sz w:val="21"/>
        </w:rPr>
        <w:t>I. FACTS OF THE CASE</w:t>
      </w:r>
    </w:p>
    <w:tbl>
      <w:tblPr>
        <w:tblW w:type="auto" w:w="0"/>
        <w:jc w:val="center"/>
        <w:tblLook w:firstColumn="1" w:firstRow="1" w:lastColumn="0" w:lastRow="0" w:noHBand="0" w:noVBand="1" w:val="04A0"/>
      </w:tblPr>
      <w:tblGrid>
        <w:gridCol w:w="9648"/>
      </w:tblGrid>
      <w:tr>
        <w:tc>
          <w:tcPr>
            <w:tcW w:type="dxa" w:w="9648"/>
            <w:shd w:fill="F8F9FB"/>
            <w:tcMar>
              <w:top w:w="100" w:type="dxa"/>
              <w:bottom w:w="100" w:type="dxa"/>
              <w:left w:w="160" w:type="dxa"/>
              <w:right w:w="160" w:type="dxa"/>
            </w:tcMar>
          </w:tcPr>
          <w:p>
            <w:pPr>
              <w:spacing w:before="20" w:after="40"/>
            </w:pPr>
            <w:r>
              <w:rPr>
                <w:rFonts w:ascii="Arial" w:hAnsi="Arial"/>
                <w:b/>
                <w:color w:val="0F2043"/>
                <w:sz w:val="19"/>
              </w:rPr>
              <w:t>Material Facts of Controversy</w:t>
              <w:br/>
            </w:r>
          </w:p>
          <w:p>
            <w:pPr>
              <w:spacing w:before="20" w:after="40" w:line="276" w:lineRule="auto"/>
            </w:pPr>
            <w:r>
              <w:rPr>
                <w:rFonts w:ascii="Calibri" w:hAnsi="Calibri"/>
                <w:color w:val="212529"/>
                <w:sz w:val="19"/>
              </w:rPr>
              <w:t>The Roman Catholic Archbishop of Manila requested an exemption from compulsory coverage under the Social Security Act (R.A. No. 1161, as amended) for all Catholic religious, charitable, and educational institutions, and their lay personnel. The Archbishop argued that Section 8(j) of the SSS Act, which defines 'employment' as 'any service performed by an employee for his employer,' should be restricted through Ejusdem Generis and Noscitur a Sociis to purely commercial, industrial, and profit-making enterprises. The Social Security Commission denied the exemption, holding that the law makes no exception for non-profit or religious institutions.</w:t>
            </w:r>
          </w:p>
        </w:tc>
      </w:tr>
    </w:tbl>
    <w:p>
      <w:pPr>
        <w:keepNext/>
        <w:spacing w:before="240" w:after="60"/>
      </w:pPr>
      <w:r>
        <w:rPr>
          <w:rFonts w:ascii="Arial" w:hAnsi="Arial"/>
          <w:b/>
          <w:color w:val="0F2043"/>
          <w:sz w:val="21"/>
        </w:rPr>
        <w:t>II. FACTS RELEVANT TO STATUTORY CONSTRUCTION</w:t>
      </w:r>
    </w:p>
    <w:tbl>
      <w:tblPr>
        <w:tblW w:type="auto" w:w="0"/>
        <w:jc w:val="center"/>
        <w:tblLook w:firstColumn="1" w:firstRow="1" w:lastColumn="0" w:lastRow="0" w:noHBand="0" w:noVBand="1" w:val="04A0"/>
      </w:tblPr>
      <w:tblGrid>
        <w:gridCol w:w="9648"/>
      </w:tblGrid>
      <w:tr>
        <w:tc>
          <w:tcPr>
            <w:tcW w:type="dxa" w:w="9648"/>
            <w:shd w:fill="F8F9FB"/>
            <w:tcMar>
              <w:top w:w="100" w:type="dxa"/>
              <w:bottom w:w="100" w:type="dxa"/>
              <w:left w:w="160" w:type="dxa"/>
              <w:right w:w="160" w:type="dxa"/>
            </w:tcMar>
          </w:tcPr>
          <w:p>
            <w:pPr>
              <w:spacing w:before="20" w:after="40"/>
            </w:pPr>
            <w:r>
              <w:rPr>
                <w:rFonts w:ascii="Arial" w:hAnsi="Arial"/>
                <w:b/>
                <w:color w:val="0F2043"/>
                <w:sz w:val="19"/>
              </w:rPr>
              <w:t>Facts Giving Rise to Need for Interpretation</w:t>
              <w:br/>
            </w:r>
          </w:p>
          <w:p>
            <w:pPr>
              <w:spacing w:before="20" w:after="40" w:line="276" w:lineRule="auto"/>
            </w:pPr>
            <w:r>
              <w:rPr>
                <w:rFonts w:ascii="Calibri" w:hAnsi="Calibri"/>
                <w:b/>
                <w:color w:val="212529"/>
                <w:sz w:val="19"/>
              </w:rPr>
              <w:t xml:space="preserve">• What provision of law or rule became relevant? </w:t>
            </w:r>
            <w:r>
              <w:rPr>
                <w:rFonts w:ascii="Calibri" w:hAnsi="Calibri"/>
                <w:color w:val="212529"/>
                <w:sz w:val="19"/>
              </w:rPr>
              <w:t>1. Section 8(c) and 8(j), Republic Act No. 1161 (Social Security Act): Defines 'employer' as any person or entity carrying on any enterprise, and 'employment' as any service performed for an employer.</w:t>
              <w:br/>
              <w:t>2. Ubi Lex Non Distinguit, Nec Nos Distinguere Debemus (where the law does not distinguish, we should not distinguish): Since Section 8 does not distinguish between profit and non-profit employers, courts cannot distinguish.</w:t>
            </w:r>
          </w:p>
          <w:p>
            <w:pPr>
              <w:spacing w:before="20" w:after="40" w:line="276" w:lineRule="auto"/>
            </w:pPr>
            <w:r>
              <w:rPr>
                <w:rFonts w:ascii="Calibri" w:hAnsi="Calibri"/>
                <w:b/>
                <w:color w:val="212529"/>
                <w:sz w:val="19"/>
              </w:rPr>
              <w:t xml:space="preserve">• What circumstance made interpretation necessary? </w:t>
            </w:r>
            <w:r>
              <w:rPr>
                <w:rFonts w:ascii="Calibri" w:hAnsi="Calibri"/>
                <w:color w:val="212529"/>
                <w:sz w:val="19"/>
              </w:rPr>
              <w:t>The petitioner attempted to use Ejusdem Generis and Noscitur a Sociis to manufacture an unwritten religious exemption to a universal social welfare law.</w:t>
            </w:r>
          </w:p>
          <w:p>
            <w:pPr>
              <w:spacing w:before="20" w:after="40" w:line="276" w:lineRule="auto"/>
            </w:pPr>
            <w:r>
              <w:rPr>
                <w:rFonts w:ascii="Calibri" w:hAnsi="Calibri"/>
                <w:b/>
                <w:color w:val="212529"/>
                <w:sz w:val="19"/>
              </w:rPr>
              <w:t xml:space="preserve">• What competing interpretations were presented? </w:t>
            </w:r>
            <w:r>
              <w:rPr>
                <w:rFonts w:ascii="Calibri" w:hAnsi="Calibri"/>
                <w:color w:val="212529"/>
                <w:sz w:val="19"/>
              </w:rPr>
              <w:t>Petitioner argued for a favorable interpretation based on statutory intent, while Respondent contended for a literal or restrictive application.</w:t>
            </w:r>
          </w:p>
        </w:tc>
      </w:tr>
    </w:tbl>
    <w:p>
      <w:pPr>
        <w:keepNext/>
        <w:spacing w:before="240" w:after="60"/>
      </w:pPr>
      <w:r>
        <w:rPr>
          <w:rFonts w:ascii="Arial" w:hAnsi="Arial"/>
          <w:b/>
          <w:color w:val="0F2043"/>
          <w:sz w:val="21"/>
        </w:rPr>
        <w:t>III. ISSUES</w:t>
      </w:r>
    </w:p>
    <w:p>
      <w:pPr>
        <w:keepNext/>
        <w:spacing w:before="120" w:after="40"/>
      </w:pPr>
      <w:r>
        <w:rPr>
          <w:rFonts w:ascii="Arial" w:hAnsi="Arial"/>
          <w:b/>
          <w:color w:val="781E1E"/>
          <w:sz w:val="20"/>
        </w:rPr>
        <w:t>A. General Legal Issues</w:t>
      </w:r>
    </w:p>
    <w:p>
      <w:pPr>
        <w:spacing w:before="40" w:after="80" w:line="276" w:lineRule="auto"/>
      </w:pPr>
      <w:r>
        <w:rPr>
          <w:rFonts w:ascii="Calibri" w:hAnsi="Calibri"/>
          <w:i w:val="0"/>
          <w:color w:val="212529"/>
          <w:sz w:val="21"/>
        </w:rPr>
        <w:t>Whether or not religious, charitable, and non-profit institutions are exempt from compulsory SSS coverage under Republic Act No. 1161 through the application of Ejusdem Generis or Noscitur a Sociis.</w:t>
      </w:r>
    </w:p>
    <w:p>
      <w:pPr>
        <w:keepNext/>
        <w:spacing w:before="120" w:after="40"/>
      </w:pPr>
      <w:r>
        <w:rPr>
          <w:rFonts w:ascii="Arial" w:hAnsi="Arial"/>
          <w:b/>
          <w:color w:val="781E1E"/>
          <w:sz w:val="20"/>
        </w:rPr>
        <w:t>B. Statutory-Construction Issue/s</w:t>
      </w:r>
    </w:p>
    <w:tbl>
      <w:tblPr>
        <w:tblW w:type="auto" w:w="0"/>
        <w:jc w:val="center"/>
        <w:tblLook w:firstColumn="1" w:firstRow="1" w:lastColumn="0" w:lastRow="0" w:noHBand="0" w:noVBand="1" w:val="04A0"/>
      </w:tblPr>
      <w:tblGrid>
        <w:gridCol w:w="9648"/>
      </w:tblGrid>
      <w:tr>
        <w:tc>
          <w:tcPr>
            <w:tcW w:type="dxa" w:w="9648"/>
            <w:shd w:fill="EBF3FA"/>
            <w:tcMar>
              <w:top w:w="100" w:type="dxa"/>
              <w:bottom w:w="100" w:type="dxa"/>
              <w:left w:w="160" w:type="dxa"/>
              <w:right w:w="160" w:type="dxa"/>
            </w:tcMar>
          </w:tcPr>
          <w:p>
            <w:pPr>
              <w:spacing w:before="20" w:after="40"/>
            </w:pPr>
            <w:r>
              <w:rPr>
                <w:rFonts w:ascii="Arial" w:hAnsi="Arial"/>
                <w:b/>
                <w:color w:val="0F2043"/>
                <w:sz w:val="19"/>
              </w:rPr>
              <w:t>Standardized StatCon Issue Statement</w:t>
              <w:br/>
            </w:r>
          </w:p>
          <w:p>
            <w:pPr>
              <w:spacing w:before="20" w:after="40" w:line="276" w:lineRule="auto"/>
            </w:pPr>
            <w:r>
              <w:rPr>
                <w:rFonts w:ascii="Calibri" w:hAnsi="Calibri"/>
                <w:color w:val="212529"/>
                <w:sz w:val="19"/>
              </w:rPr>
              <w:t>Whether the subject statutory act, classification, or terminology under the governing statute/rule means, includes, or applies to the factual controversy in Roman Catholic Archbishop of Manila v. Social Security Commission, under the canon of Ubi lex non distinguit, nec nos distinguere debemus.</w:t>
            </w:r>
          </w:p>
        </w:tc>
      </w:tr>
    </w:tbl>
    <w:p>
      <w:pPr>
        <w:keepNext/>
        <w:spacing w:before="240" w:after="60"/>
      </w:pPr>
      <w:r>
        <w:rPr>
          <w:rFonts w:ascii="Arial" w:hAnsi="Arial"/>
          <w:b/>
          <w:color w:val="0F2043"/>
          <w:sz w:val="21"/>
        </w:rPr>
        <w:t>IV. PROVISION/S OF LAW CONSTRUED</w:t>
      </w:r>
    </w:p>
    <w:tbl>
      <w:tblPr>
        <w:tblW w:type="auto" w:w="0"/>
        <w:jc w:val="center"/>
        <w:tblLook w:firstColumn="1" w:firstRow="1" w:lastColumn="0" w:lastRow="0" w:noHBand="0" w:noVBand="1" w:val="04A0"/>
      </w:tblPr>
      <w:tblGrid>
        <w:gridCol w:w="9648"/>
      </w:tblGrid>
      <w:tr>
        <w:tc>
          <w:tcPr>
            <w:tcW w:type="dxa" w:w="9648"/>
            <w:shd w:fill="F8F9FB"/>
            <w:tcMar>
              <w:top w:w="100" w:type="dxa"/>
              <w:bottom w:w="100" w:type="dxa"/>
              <w:left w:w="160" w:type="dxa"/>
              <w:right w:w="160" w:type="dxa"/>
            </w:tcMar>
          </w:tcPr>
          <w:p>
            <w:pPr>
              <w:spacing w:before="20" w:after="40"/>
            </w:pPr>
            <w:r>
              <w:rPr>
                <w:rFonts w:ascii="Arial" w:hAnsi="Arial"/>
                <w:b/>
                <w:color w:val="0F2043"/>
                <w:sz w:val="19"/>
              </w:rPr>
              <w:t>Statutory / Constitutional Text &amp; Problem</w:t>
              <w:br/>
            </w:r>
          </w:p>
          <w:p>
            <w:pPr>
              <w:spacing w:before="20" w:after="40" w:line="276" w:lineRule="auto"/>
            </w:pPr>
            <w:r>
              <w:rPr>
                <w:rFonts w:ascii="Calibri" w:hAnsi="Calibri"/>
                <w:b/>
                <w:color w:val="212529"/>
                <w:sz w:val="19"/>
              </w:rPr>
              <w:t xml:space="preserve">• Quoted Provision: </w:t>
            </w:r>
            <w:r>
              <w:rPr>
                <w:rFonts w:ascii="Calibri" w:hAnsi="Calibri"/>
                <w:color w:val="212529"/>
                <w:sz w:val="19"/>
              </w:rPr>
              <w:t>1. Section 8(c) and 8(j), Republic Act No. 1161 (Social Security Act): Defines 'employer' as any person or entity carrying on any enterprise, and 'employment' as any service performed for an employer.</w:t>
              <w:br/>
              <w:t>2. Ubi Lex Non Distinguit, Nec Nos Distinguere Debemus (where the law does not distinguish, we should not distinguish): Since Section 8 does not distinguish between profit and non-profit employers, courts cannot distinguish.</w:t>
            </w:r>
          </w:p>
          <w:p>
            <w:pPr>
              <w:spacing w:before="20" w:after="40" w:line="276" w:lineRule="auto"/>
            </w:pPr>
            <w:r>
              <w:rPr>
                <w:rFonts w:ascii="Calibri" w:hAnsi="Calibri"/>
                <w:b/>
                <w:color w:val="212529"/>
                <w:sz w:val="19"/>
              </w:rPr>
              <w:t xml:space="preserve">• Interpretive Problem: </w:t>
            </w:r>
            <w:r>
              <w:rPr>
                <w:rFonts w:ascii="Calibri" w:hAnsi="Calibri"/>
                <w:color w:val="212529"/>
                <w:sz w:val="19"/>
              </w:rPr>
              <w:t>The statutory language makes no distinction or exception, presenting the problem of whether administrative or judicial distinctions can be legally imported.</w:t>
            </w:r>
          </w:p>
        </w:tc>
      </w:tr>
    </w:tbl>
    <w:p>
      <w:pPr>
        <w:keepNext/>
        <w:spacing w:before="240" w:after="60"/>
      </w:pPr>
      <w:r>
        <w:rPr>
          <w:rFonts w:ascii="Arial" w:hAnsi="Arial"/>
          <w:b/>
          <w:color w:val="0F2043"/>
          <w:sz w:val="21"/>
        </w:rPr>
        <w:t>V. RULING OF THE SUPREME COURT</w:t>
      </w:r>
    </w:p>
    <w:p>
      <w:pPr>
        <w:keepNext/>
        <w:spacing w:before="120" w:after="40"/>
      </w:pPr>
      <w:r>
        <w:rPr>
          <w:rFonts w:ascii="Arial" w:hAnsi="Arial"/>
          <w:b/>
          <w:color w:val="781E1E"/>
          <w:sz w:val="20"/>
        </w:rPr>
        <w:t>A. General Ruling</w:t>
      </w:r>
    </w:p>
    <w:p>
      <w:pPr>
        <w:spacing w:before="40" w:after="80" w:line="276" w:lineRule="auto"/>
      </w:pPr>
      <w:r>
        <w:rPr>
          <w:rFonts w:ascii="Calibri" w:hAnsi="Calibri"/>
          <w:i w:val="0"/>
          <w:color w:val="212529"/>
          <w:sz w:val="21"/>
        </w:rPr>
        <w:t>The Supreme Court AFFIRMED the resolution of the Social Security Commission, DECLARING religious and charitable institutions subject to compulsory SSS coverage.</w:t>
      </w:r>
    </w:p>
    <w:p>
      <w:pPr>
        <w:keepNext/>
        <w:spacing w:before="120" w:after="40"/>
      </w:pPr>
      <w:r>
        <w:rPr>
          <w:rFonts w:ascii="Arial" w:hAnsi="Arial"/>
          <w:b/>
          <w:color w:val="781E1E"/>
          <w:sz w:val="20"/>
        </w:rPr>
        <w:t>B. Ruling on the Statutory-Construction Issue</w:t>
      </w:r>
    </w:p>
    <w:tbl>
      <w:tblPr>
        <w:tblW w:type="auto" w:w="0"/>
        <w:jc w:val="center"/>
        <w:tblLook w:firstColumn="1" w:firstRow="1" w:lastColumn="0" w:lastRow="0" w:noHBand="0" w:noVBand="1" w:val="04A0"/>
      </w:tblPr>
      <w:tblGrid>
        <w:gridCol w:w="9648"/>
      </w:tblGrid>
      <w:tr>
        <w:tc>
          <w:tcPr>
            <w:tcW w:type="dxa" w:w="9648"/>
            <w:shd w:fill="F4FAF5"/>
            <w:tcMar>
              <w:top w:w="100" w:type="dxa"/>
              <w:bottom w:w="100" w:type="dxa"/>
              <w:left w:w="160" w:type="dxa"/>
              <w:right w:w="160" w:type="dxa"/>
            </w:tcMar>
          </w:tcPr>
          <w:p>
            <w:pPr>
              <w:spacing w:before="20" w:after="40"/>
            </w:pPr>
            <w:r>
              <w:rPr>
                <w:rFonts w:ascii="Arial" w:hAnsi="Arial"/>
                <w:b/>
                <w:color w:val="0F2043"/>
                <w:sz w:val="19"/>
              </w:rPr>
              <w:t>Statutory Meaning Established by Court</w:t>
              <w:br/>
            </w:r>
          </w:p>
          <w:p>
            <w:pPr>
              <w:spacing w:before="20" w:after="40" w:line="276" w:lineRule="auto"/>
            </w:pPr>
            <w:r>
              <w:rPr>
                <w:rFonts w:ascii="Calibri" w:hAnsi="Calibri"/>
                <w:color w:val="212529"/>
                <w:sz w:val="19"/>
              </w:rPr>
              <w:t>NO. Religious and non-profit institutions are NOT EXEMPT from compulsory SSS coverage. The statutory definition of 'employer' and 'employment' under R.A. No. 1161 is all-inclusive and admits of no implied religious exemptions.</w:t>
            </w:r>
          </w:p>
        </w:tc>
      </w:tr>
    </w:tbl>
    <w:p>
      <w:pPr>
        <w:keepNext/>
        <w:spacing w:before="240" w:after="60"/>
      </w:pPr>
      <w:r>
        <w:rPr>
          <w:rFonts w:ascii="Arial" w:hAnsi="Arial"/>
          <w:b/>
          <w:color w:val="0F2043"/>
          <w:sz w:val="21"/>
        </w:rPr>
        <w:t>VI. HOW THE COURT CONSTRUED THE LAW</w:t>
      </w:r>
    </w:p>
    <w:tbl>
      <w:tblPr>
        <w:tblW w:type="auto" w:w="0"/>
        <w:jc w:val="center"/>
        <w:tblLook w:firstColumn="1" w:firstRow="1" w:lastColumn="0" w:lastRow="0" w:noHBand="0" w:noVBand="1" w:val="04A0"/>
      </w:tblPr>
      <w:tblGrid>
        <w:gridCol w:w="9648"/>
      </w:tblGrid>
      <w:tr>
        <w:tc>
          <w:tcPr>
            <w:tcW w:type="dxa" w:w="9648"/>
            <w:shd w:fill="F8F9FB"/>
            <w:tcMar>
              <w:top w:w="100" w:type="dxa"/>
              <w:bottom w:w="100" w:type="dxa"/>
              <w:left w:w="160" w:type="dxa"/>
              <w:right w:w="160" w:type="dxa"/>
            </w:tcMar>
          </w:tcPr>
          <w:p>
            <w:pPr>
              <w:spacing w:before="20" w:after="40"/>
            </w:pPr>
            <w:r>
              <w:rPr>
                <w:rFonts w:ascii="Arial" w:hAnsi="Arial"/>
                <w:b/>
                <w:color w:val="0F2043"/>
                <w:sz w:val="19"/>
              </w:rPr>
              <w:t>Methodological &amp; Doctrinal Analysis</w:t>
              <w:br/>
            </w:r>
          </w:p>
          <w:p>
            <w:pPr>
              <w:spacing w:before="20" w:after="40" w:line="276" w:lineRule="auto"/>
            </w:pPr>
            <w:r>
              <w:rPr>
                <w:rFonts w:ascii="Calibri" w:hAnsi="Calibri"/>
                <w:b/>
                <w:color w:val="212529"/>
                <w:sz w:val="19"/>
              </w:rPr>
              <w:t xml:space="preserve">A. Why Was Construction Necessary? </w:t>
            </w:r>
            <w:r>
              <w:rPr>
                <w:rFonts w:ascii="Calibri" w:hAnsi="Calibri"/>
                <w:color w:val="212529"/>
                <w:sz w:val="19"/>
              </w:rPr>
              <w:t>Ambiguity in the application and scope of the statute: The petitioner attempted to use Ejusdem Generis and Noscitur a Sociis to manufacture an unwritten religious exemption to a universal social .</w:t>
            </w:r>
          </w:p>
          <w:p>
            <w:pPr>
              <w:spacing w:before="20" w:after="40" w:line="276" w:lineRule="auto"/>
            </w:pPr>
            <w:r>
              <w:rPr>
                <w:rFonts w:ascii="Calibri" w:hAnsi="Calibri"/>
                <w:b/>
                <w:color w:val="212529"/>
                <w:sz w:val="19"/>
              </w:rPr>
              <w:t xml:space="preserve">B. Purpose of Construction: </w:t>
            </w:r>
            <w:r>
              <w:rPr>
                <w:rFonts w:ascii="Calibri" w:hAnsi="Calibri"/>
                <w:color w:val="212529"/>
                <w:sz w:val="19"/>
              </w:rPr>
              <w:t>To ascertain and give full effect to the true intent, spirit, and purpose of the lawmaking body.</w:t>
            </w:r>
          </w:p>
          <w:p>
            <w:pPr>
              <w:spacing w:before="20" w:after="40" w:line="276" w:lineRule="auto"/>
            </w:pPr>
            <w:r>
              <w:rPr>
                <w:rFonts w:ascii="Calibri" w:hAnsi="Calibri"/>
                <w:b/>
                <w:color w:val="212529"/>
                <w:sz w:val="19"/>
              </w:rPr>
              <w:t xml:space="preserve">C. Method, Canon, or Rule Applied: </w:t>
            </w:r>
            <w:r>
              <w:rPr>
                <w:rFonts w:ascii="Calibri" w:hAnsi="Calibri"/>
                <w:color w:val="212529"/>
                <w:sz w:val="19"/>
              </w:rPr>
              <w:t>Ubi lex non distinguit, nec nos distinguere debemus</w:t>
              <w:br/>
              <w:t xml:space="preserve">   - Application: Universal Construction of Social Welfare Statutes: Where a social welfare statute employs all-inclusive language and provides specific exemptions, courts will not apply construction canons to create additional exemptions.</w:t>
              <w:br/>
              <w:t xml:space="preserve">   - Result: No. The law covers all employment without exception. Lay workers in churches and religious schools need disability and retirement protection just like workers in commercial factories. Where the law does not make an exception, courts cannot make one.</w:t>
            </w:r>
          </w:p>
          <w:p>
            <w:pPr>
              <w:spacing w:before="20" w:after="40" w:line="276" w:lineRule="auto"/>
            </w:pPr>
            <w:r>
              <w:rPr>
                <w:rFonts w:ascii="Calibri" w:hAnsi="Calibri"/>
                <w:b/>
                <w:color w:val="212529"/>
                <w:sz w:val="19"/>
              </w:rPr>
              <w:t xml:space="preserve">D. Other Sources Used: </w:t>
            </w:r>
            <w:r>
              <w:rPr>
                <w:rFonts w:ascii="Calibri" w:hAnsi="Calibri"/>
                <w:color w:val="212529"/>
                <w:sz w:val="19"/>
              </w:rPr>
              <w:t>Ordinary meaning of words, statute considered as a whole, legislative history, and established Supreme Court jurisprudence.</w:t>
            </w:r>
          </w:p>
        </w:tc>
      </w:tr>
    </w:tbl>
    <w:p>
      <w:pPr>
        <w:keepNext/>
        <w:spacing w:before="240" w:after="60"/>
      </w:pPr>
      <w:r>
        <w:rPr>
          <w:rFonts w:ascii="Arial" w:hAnsi="Arial"/>
          <w:b/>
          <w:color w:val="0F2043"/>
          <w:sz w:val="21"/>
        </w:rPr>
        <w:t>VII. RELEVANT STATUTORY-CONSTRUCTION CONCEPTS (A–L EVALUATION)</w:t>
      </w:r>
    </w:p>
    <w:tbl>
      <w:tblPr>
        <w:tblW w:type="auto" w:w="0"/>
        <w:jc w:val="center"/>
        <w:tblLook w:firstColumn="1" w:firstRow="1" w:lastColumn="0" w:lastRow="0" w:noHBand="0" w:noVBand="1" w:val="04A0"/>
      </w:tblPr>
      <w:tblGrid>
        <w:gridCol w:w="4824"/>
        <w:gridCol w:w="4824"/>
      </w:tblGrid>
      <w:tr>
        <w:tc>
          <w:tcPr>
            <w:tcW w:type="dxa" w:w="4824"/>
            <w:shd w:fill="EBF0F8"/>
            <w:tcMar>
              <w:top w:w="70" w:type="dxa"/>
              <w:bottom w:w="70" w:type="dxa"/>
              <w:left w:w="100" w:type="dxa"/>
              <w:right w:w="100" w:type="dxa"/>
            </w:tcMar>
          </w:tcPr>
          <w:p>
            <w:pPr>
              <w:spacing w:before="20" w:after="20"/>
            </w:pPr>
            <w:r>
              <w:rPr>
                <w:rFonts w:ascii="Arial" w:hAnsi="Arial"/>
                <w:b/>
                <w:color w:val="0F2043"/>
                <w:sz w:val="18"/>
              </w:rPr>
              <w:t>A. Situs of Statutory Construction</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Supreme Court of the Philippines, exercising its constitutional judicial power under Article VIII of the Constitution, serves as the ultimate situs and final arbiter for interpreting and construing the disputed provision.</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B. Purpose of Statutory Construction</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purpose of construction is to discover and effectuate the true legislative intent and will of the lawmaking body, preventing injustice and ensuring the statute operates harmoniously.</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C. When to Construe</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Construction became imperative because the text contained an ambiguity, competing interpretations, or conflicting statutory provisions that required judicial determination of legislative intent.</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D. Ambiguity or Vagueness</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controversy centered on the ambiguity, silence, or conflicting scope of the statutory language, which the Court resolved by examining legislative intent and governing maxims.</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E. Verba Legis Non Est Recedendum</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781E1E"/>
                <w:sz w:val="17"/>
              </w:rPr>
              <w:t xml:space="preserve"> [NOT APPLICABLE] </w:t>
            </w:r>
            <w:r>
              <w:rPr>
                <w:rFonts w:ascii="Calibri" w:hAnsi="Calibri"/>
                <w:color w:val="212529"/>
                <w:sz w:val="18"/>
              </w:rPr>
              <w:t>Not Applicable. The Court looked beyond literal words to discover the underlying legislative spirit, context, and intent.</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F. Absoluta Sententia Expositore Non Indigent</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781E1E"/>
                <w:sz w:val="17"/>
              </w:rPr>
              <w:t xml:space="preserve"> [NOT APPLICABLE] </w:t>
            </w:r>
            <w:r>
              <w:rPr>
                <w:rFonts w:ascii="Calibri" w:hAnsi="Calibri"/>
                <w:color w:val="212529"/>
                <w:sz w:val="18"/>
              </w:rPr>
              <w:t>Not Applicable. The statutory language required expository interpretation due to textual gaps, broad phrasing, or conflicting provisions.</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G. Legislative Intent</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Court analyzed the true intent and policy of the lawmaking authority, ensuring that the statutory purpose is preserved and not defeated by erroneous administrative or private interpretations.</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H. Strict or Liberal Construction</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781E1E"/>
                <w:sz w:val="17"/>
              </w:rPr>
              <w:t xml:space="preserve"> [NOT APPLICABLE] </w:t>
            </w:r>
            <w:r>
              <w:rPr>
                <w:rFonts w:ascii="Calibri" w:hAnsi="Calibri"/>
                <w:color w:val="212529"/>
                <w:sz w:val="18"/>
              </w:rPr>
              <w:t>Not Applicable. The Court applied standard ordinary rules of statutory interpretation without resorting to special strict or liberal construction doctrines.</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I. Prospective or Retrospective Construction</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781E1E"/>
                <w:sz w:val="17"/>
              </w:rPr>
              <w:t xml:space="preserve"> [NOT APPLICABLE] </w:t>
            </w:r>
            <w:r>
              <w:rPr>
                <w:rFonts w:ascii="Calibri" w:hAnsi="Calibri"/>
                <w:color w:val="212529"/>
                <w:sz w:val="18"/>
              </w:rPr>
              <w:t>Not Applicable. The case involved only the contemporaneous, prospective application of the governing law.</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J. Statutory Construction vs. Judicial Legislation</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Court underscored the constitutional boundary of judicial power: Courts are empowered solely to interpret (jus dicere), not to enact or amend laws (jus dare). Supplying unwritten terms or expanding clear prohibitions constitutes prohibited judicial legislation.</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K. Legis Interpretatio Legis Vim Obtinet</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Under Article 8 of the Civil Code, the Supreme Court's authoritative interpretation of the statute forms part of the legal system of the Philippines and acquires the force of law (*legis interpretatio legis vim obtinet*).</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L. Extent and Limits of the Power to Construe</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Court respected the constitutional limits of its authority by applying the law as written and refusing to invade the legislative domain under the guise of equity or expediency.</w:t>
            </w:r>
          </w:p>
        </w:tc>
      </w:tr>
    </w:tbl>
    <w:p>
      <w:pPr>
        <w:keepNext/>
        <w:spacing w:before="240" w:after="60"/>
      </w:pPr>
      <w:r>
        <w:rPr>
          <w:rFonts w:ascii="Arial" w:hAnsi="Arial"/>
          <w:b/>
          <w:color w:val="0F2043"/>
          <w:sz w:val="21"/>
        </w:rPr>
        <w:t>VIII. OTHER CANONS OR METHODS OF CONSTRUCTION</w:t>
      </w:r>
    </w:p>
    <w:tbl>
      <w:tblPr>
        <w:tblW w:type="auto" w:w="0"/>
        <w:jc w:val="center"/>
        <w:tblLook w:firstColumn="1" w:firstRow="1" w:lastColumn="0" w:lastRow="0" w:noHBand="0" w:noVBand="1" w:val="04A0"/>
      </w:tblPr>
      <w:tblGrid>
        <w:gridCol w:w="9648"/>
      </w:tblGrid>
      <w:tr>
        <w:tc>
          <w:tcPr>
            <w:tcW w:type="dxa" w:w="9648"/>
            <w:shd w:fill="F8F9FB"/>
            <w:tcMar>
              <w:top w:w="100" w:type="dxa"/>
              <w:bottom w:w="100" w:type="dxa"/>
              <w:left w:w="160" w:type="dxa"/>
              <w:right w:w="160" w:type="dxa"/>
            </w:tcMar>
          </w:tcPr>
          <w:p>
            <w:pPr>
              <w:spacing w:before="20" w:after="40"/>
            </w:pPr>
            <w:r>
              <w:rPr>
                <w:rFonts w:ascii="Arial" w:hAnsi="Arial"/>
                <w:b/>
                <w:color w:val="0F2043"/>
                <w:sz w:val="19"/>
              </w:rPr>
              <w:t>Secondary Rules &amp; Canons Applied</w:t>
              <w:br/>
            </w:r>
          </w:p>
          <w:p>
            <w:pPr>
              <w:spacing w:before="20" w:after="40" w:line="276" w:lineRule="auto"/>
            </w:pPr>
            <w:r>
              <w:rPr>
                <w:rFonts w:ascii="Calibri" w:hAnsi="Calibri"/>
                <w:b/>
                <w:color w:val="212529"/>
                <w:sz w:val="19"/>
              </w:rPr>
              <w:t xml:space="preserve">• Canon / Maxim: </w:t>
            </w:r>
            <w:r>
              <w:rPr>
                <w:rFonts w:ascii="Calibri" w:hAnsi="Calibri"/>
                <w:color w:val="212529"/>
                <w:sz w:val="19"/>
              </w:rPr>
              <w:t>• Expressio unius est exclusio alterius (express exemptions exclude religious institutions)</w:t>
              <w:br/>
              <w:t>• Salus populi est suprema lex (the welfare of workers is supreme)</w:t>
            </w:r>
          </w:p>
          <w:p>
            <w:pPr>
              <w:spacing w:before="20" w:after="40" w:line="276" w:lineRule="auto"/>
            </w:pPr>
            <w:r>
              <w:rPr>
                <w:rFonts w:ascii="Calibri" w:hAnsi="Calibri"/>
                <w:b/>
                <w:color w:val="212529"/>
                <w:sz w:val="19"/>
              </w:rPr>
              <w:t xml:space="preserve">• How Applied: </w:t>
            </w:r>
            <w:r>
              <w:rPr>
                <w:rFonts w:ascii="Calibri" w:hAnsi="Calibri"/>
                <w:color w:val="212529"/>
                <w:sz w:val="19"/>
              </w:rPr>
              <w:t>Applied as corroborative canons to reinforce the primary rule of construction.</w:t>
            </w:r>
          </w:p>
          <w:p>
            <w:pPr>
              <w:spacing w:before="20" w:after="40" w:line="276" w:lineRule="auto"/>
            </w:pPr>
            <w:r>
              <w:rPr>
                <w:rFonts w:ascii="Calibri" w:hAnsi="Calibri"/>
                <w:b/>
                <w:color w:val="212529"/>
                <w:sz w:val="19"/>
              </w:rPr>
              <w:t xml:space="preserve">• Effect on Interpretation: </w:t>
            </w:r>
            <w:r>
              <w:rPr>
                <w:rFonts w:ascii="Calibri" w:hAnsi="Calibri"/>
                <w:color w:val="212529"/>
                <w:sz w:val="19"/>
              </w:rPr>
              <w:t>Harmonized the statute and prevented an absurd or unjust result.</w:t>
            </w:r>
          </w:p>
        </w:tc>
      </w:tr>
    </w:tbl>
    <w:p>
      <w:pPr>
        <w:keepNext/>
        <w:spacing w:before="240" w:after="60"/>
      </w:pPr>
      <w:r>
        <w:rPr>
          <w:rFonts w:ascii="Arial" w:hAnsi="Arial"/>
          <w:b/>
          <w:color w:val="0F2043"/>
          <w:sz w:val="21"/>
        </w:rPr>
        <w:t>IX. THE CONSTRUCTION MADE BY THE COURT</w:t>
      </w:r>
    </w:p>
    <w:tbl>
      <w:tblPr>
        <w:tblW w:type="auto" w:w="0"/>
        <w:jc w:val="center"/>
        <w:tblLook w:firstColumn="1" w:firstRow="1" w:lastColumn="0" w:lastRow="0" w:noHBand="0" w:noVBand="1" w:val="04A0"/>
      </w:tblPr>
      <w:tblGrid>
        <w:gridCol w:w="9648"/>
      </w:tblGrid>
      <w:tr>
        <w:tc>
          <w:tcPr>
            <w:tcW w:type="dxa" w:w="9648"/>
            <w:shd w:fill="F9F8F5"/>
            <w:tcMar>
              <w:top w:w="100" w:type="dxa"/>
              <w:bottom w:w="100" w:type="dxa"/>
              <w:left w:w="160" w:type="dxa"/>
              <w:right w:w="160" w:type="dxa"/>
            </w:tcMar>
          </w:tcPr>
          <w:p>
            <w:pPr>
              <w:spacing w:before="20" w:after="40"/>
            </w:pPr>
            <w:r>
              <w:rPr>
                <w:rFonts w:ascii="Arial" w:hAnsi="Arial"/>
                <w:b/>
                <w:color w:val="0F2043"/>
                <w:sz w:val="19"/>
              </w:rPr>
              <w:t>Actual Judicial Construction &amp; Ratio</w:t>
              <w:br/>
            </w:r>
          </w:p>
          <w:p>
            <w:pPr>
              <w:spacing w:before="20" w:after="40" w:line="276" w:lineRule="auto"/>
            </w:pPr>
            <w:r>
              <w:rPr>
                <w:rFonts w:ascii="Calibri" w:hAnsi="Calibri"/>
                <w:b/>
                <w:color w:val="212529"/>
                <w:sz w:val="19"/>
              </w:rPr>
              <w:t xml:space="preserve">• Construction Summary: </w:t>
            </w:r>
            <w:r>
              <w:rPr>
                <w:rFonts w:ascii="Calibri" w:hAnsi="Calibri"/>
                <w:color w:val="212529"/>
                <w:sz w:val="19"/>
              </w:rPr>
              <w:t>The Court construed the disputed statutory provisions in Roman Catholic Archbishop of Manila v. Social Security Commission to mean and apply strictly in accordance with Ubi lex non distinguit, nec nos distinguere debemus, holding that No. The law covers all employment without exception. Lay workers in churches and religious schools need disability and retirement protection just like workers i.</w:t>
            </w:r>
          </w:p>
          <w:p>
            <w:pPr>
              <w:spacing w:before="20" w:after="40" w:line="276" w:lineRule="auto"/>
            </w:pPr>
            <w:r>
              <w:rPr>
                <w:rFonts w:ascii="Calibri" w:hAnsi="Calibri"/>
                <w:b/>
                <w:color w:val="212529"/>
                <w:sz w:val="19"/>
              </w:rPr>
              <w:t xml:space="preserve">• Principal Reasoning: </w:t>
            </w:r>
            <w:r>
              <w:rPr>
                <w:rFonts w:ascii="Calibri" w:hAnsi="Calibri"/>
                <w:color w:val="212529"/>
                <w:sz w:val="19"/>
              </w:rPr>
              <w:t>Churches employ janitors, teachers, and clerks who get sick, grow old, and retire. SSS is designed to protect all human workers. Because Congress created an explicit list of exemptions and chose not to include religious institutions, the Church cannot invent an exemption through interpretation canons.</w:t>
            </w:r>
          </w:p>
        </w:tc>
      </w:tr>
    </w:tbl>
    <w:tbl>
      <w:tblPr>
        <w:tblW w:type="auto" w:w="0"/>
        <w:jc w:val="center"/>
        <w:tblLook w:firstColumn="1" w:firstRow="1" w:lastColumn="0" w:lastRow="0" w:noHBand="0" w:noVBand="1" w:val="04A0"/>
      </w:tblPr>
      <w:tblGrid>
        <w:gridCol w:w="9648"/>
      </w:tblGrid>
      <w:tr>
        <w:tc>
          <w:tcPr>
            <w:tcW w:type="dxa" w:w="9648"/>
            <w:shd w:fill="EEF6F0"/>
            <w:tcMar>
              <w:top w:w="100" w:type="dxa"/>
              <w:bottom w:w="100" w:type="dxa"/>
              <w:left w:w="160" w:type="dxa"/>
              <w:right w:w="160" w:type="dxa"/>
            </w:tcMar>
          </w:tcPr>
          <w:p>
            <w:pPr>
              <w:spacing w:before="20" w:after="40"/>
            </w:pPr>
            <w:r>
              <w:rPr>
                <w:rFonts w:ascii="Arial" w:hAnsi="Arial"/>
                <w:b/>
                <w:color w:val="0D6E4B"/>
                <w:sz w:val="19"/>
              </w:rPr>
              <w:t>X. STATUTORY CONSTRUCTION OR JUDICIAL LEGISLATION?</w:t>
              <w:br/>
            </w:r>
          </w:p>
          <w:p>
            <w:pPr>
              <w:spacing w:before="20" w:after="60"/>
            </w:pPr>
            <w:r>
              <w:rPr>
                <w:rFonts w:ascii="Arial" w:hAnsi="Arial"/>
                <w:b/>
                <w:color w:val="0F2043"/>
                <w:sz w:val="19"/>
              </w:rPr>
              <w:t>☑ Proper statutory construction    ☐ Judicial legislation    ☐ Debatable</w:t>
            </w:r>
          </w:p>
          <w:p>
            <w:pPr>
              <w:spacing w:before="40" w:after="40" w:line="276" w:lineRule="auto"/>
            </w:pPr>
            <w:r>
              <w:rPr>
                <w:rFonts w:ascii="Calibri" w:hAnsi="Calibri"/>
                <w:b/>
                <w:color w:val="212529"/>
                <w:sz w:val="19"/>
              </w:rPr>
              <w:t>Explanation (3–5 sentences):</w:t>
              <w:br/>
            </w:r>
            <w:r>
              <w:rPr>
                <w:rFonts w:ascii="Calibri" w:hAnsi="Calibri"/>
                <w:color w:val="212529"/>
                <w:sz w:val="19"/>
              </w:rPr>
              <w:t>The Supreme Court acted within the legitimate bounds of its constitutional power to interpret the law (jus dicere). By applying Ubi lex non distinguit, nec nos distinguere debemus, the Court faithfully effectuated the legislative intent without creating new rules, modifying clear statutory text, or usurping congressional prerogative. The ruling reinforces the separation of powers and the doctrine that courts must enforce the law as enacted.</w:t>
            </w:r>
          </w:p>
        </w:tc>
      </w:tr>
    </w:tbl>
    <w:p>
      <w:pPr>
        <w:spacing w:before="80" w:after="40"/>
      </w:pPr>
    </w:p>
    <w:tbl>
      <w:tblPr>
        <w:tblW w:type="auto" w:w="0"/>
        <w:jc w:val="center"/>
        <w:tblLook w:firstColumn="1" w:firstRow="1" w:lastColumn="0" w:lastRow="0" w:noHBand="0" w:noVBand="1" w:val="04A0"/>
      </w:tblPr>
      <w:tblGrid>
        <w:gridCol w:w="9648"/>
      </w:tblGrid>
      <w:tr>
        <w:tc>
          <w:tcPr>
            <w:tcW w:type="dxa" w:w="9648"/>
            <w:shd w:fill="FBF6EE"/>
            <w:tcMar>
              <w:top w:w="100" w:type="dxa"/>
              <w:bottom w:w="100" w:type="dxa"/>
              <w:left w:w="160" w:type="dxa"/>
              <w:right w:w="160" w:type="dxa"/>
            </w:tcMar>
          </w:tcPr>
          <w:p>
            <w:pPr>
              <w:spacing w:before="20" w:after="40"/>
            </w:pPr>
            <w:r>
              <w:rPr>
                <w:rFonts w:ascii="Arial" w:hAnsi="Arial"/>
                <w:b/>
                <w:color w:val="8C3200"/>
                <w:sz w:val="19"/>
              </w:rPr>
              <w:t>XI. DOCTRINE (Statutory Construction Principle):</w:t>
              <w:br/>
            </w:r>
            <w:r>
              <w:rPr>
                <w:rFonts w:ascii="Calibri" w:hAnsi="Calibri"/>
                <w:color w:val="212529"/>
                <w:sz w:val="19"/>
              </w:rPr>
              <w:t>Universal Construction of Social Welfare Statutes: Where a social welfare statute employs all-inclusive language and provides specific exemptions, courts will not apply construction canons to create additional exemptions.</w:t>
              <w:br/>
              <w:br/>
            </w:r>
          </w:p>
          <w:p>
            <w:pPr>
              <w:spacing w:before="20" w:after="40"/>
            </w:pPr>
            <w:r>
              <w:rPr>
                <w:rFonts w:ascii="Arial" w:hAnsi="Arial"/>
                <w:b/>
                <w:color w:val="8C3200"/>
                <w:sz w:val="19"/>
              </w:rPr>
              <w:t>XII. ONE-SENTENCE TAKEAWAY:</w:t>
              <w:br/>
            </w:r>
            <w:r>
              <w:rPr>
                <w:rFonts w:ascii="Calibri" w:hAnsi="Calibri"/>
                <w:i/>
                <w:color w:val="212529"/>
                <w:sz w:val="19"/>
              </w:rPr>
              <w:t>This case is important in Statutory Construction because When a law protecting all working people lists specific exemptions, courts cannot invent a new exemption for religious employers.</w:t>
            </w:r>
          </w:p>
        </w:tc>
      </w:tr>
    </w:tbl>
    <w:p>
      <w:r>
        <w:br w:type="page"/>
      </w:r>
    </w:p>
    <w:p>
      <w:pPr>
        <w:keepNext/>
        <w:spacing w:before="320" w:after="80"/>
      </w:pPr>
      <w:r>
        <w:rPr>
          <w:rFonts w:ascii="Arial" w:hAnsi="Arial"/>
          <w:b/>
          <w:color w:val="0F2043"/>
          <w:sz w:val="26"/>
        </w:rPr>
        <w:t>42. JOSE ESCRIBANO V. HON. BERNARDO AVILA AND CITY FISCAL OF COTABATO</w:t>
      </w:r>
    </w:p>
    <w:p>
      <w:pPr>
        <w:spacing w:before="40" w:after="80" w:line="276" w:lineRule="auto"/>
      </w:pPr>
      <w:r>
        <w:rPr>
          <w:rFonts w:ascii="Calibri" w:hAnsi="Calibri"/>
          <w:b/>
          <w:color w:val="212529"/>
          <w:sz w:val="21"/>
        </w:rPr>
        <w:t xml:space="preserve">Citation: </w:t>
      </w:r>
      <w:r>
        <w:rPr>
          <w:rFonts w:ascii="Calibri" w:hAnsi="Calibri"/>
          <w:i/>
          <w:color w:val="212529"/>
          <w:sz w:val="21"/>
        </w:rPr>
        <w:t>G.R. No. L-30375 | September 12, 1978 | 85 SCRA 245 | Second Division | Ponente: J. Aquino</w:t>
      </w:r>
    </w:p>
    <w:p>
      <w:pPr>
        <w:keepNext/>
        <w:spacing w:before="200" w:after="40"/>
      </w:pPr>
      <w:r>
        <w:rPr>
          <w:rFonts w:ascii="Arial" w:hAnsi="Arial"/>
          <w:b/>
          <w:color w:val="781E1E"/>
          <w:sz w:val="22"/>
        </w:rPr>
        <w:t>LAYER A: ALAC DIGEST, RECITATION SCRIPT &amp; STATCON ANALYSIS</w:t>
      </w:r>
    </w:p>
    <w:p>
      <w:pPr>
        <w:keepNext/>
        <w:spacing w:before="200" w:after="40"/>
      </w:pPr>
      <w:r>
        <w:rPr>
          <w:rFonts w:ascii="Arial" w:hAnsi="Arial"/>
          <w:b/>
          <w:color w:val="781E1E"/>
          <w:sz w:val="22"/>
        </w:rPr>
        <w:t>I. PARTIES &amp; PROCEDURAL BACKGROUND</w:t>
      </w:r>
    </w:p>
    <w:p>
      <w:pPr>
        <w:spacing w:before="40" w:after="80" w:line="276" w:lineRule="auto"/>
      </w:pPr>
      <w:r>
        <w:rPr>
          <w:rFonts w:ascii="Calibri" w:hAnsi="Calibri"/>
          <w:b/>
          <w:color w:val="212529"/>
          <w:sz w:val="21"/>
        </w:rPr>
        <w:t xml:space="preserve">• Plaintiff/Petitioner: </w:t>
      </w:r>
      <w:r>
        <w:rPr>
          <w:rFonts w:ascii="Calibri" w:hAnsi="Calibri"/>
          <w:i w:val="0"/>
          <w:color w:val="212529"/>
          <w:sz w:val="21"/>
        </w:rPr>
        <w:t>Jose Escribano (Petitioner)</w:t>
      </w:r>
    </w:p>
    <w:p>
      <w:pPr>
        <w:spacing w:before="40" w:after="80" w:line="276" w:lineRule="auto"/>
      </w:pPr>
      <w:r>
        <w:rPr>
          <w:rFonts w:ascii="Calibri" w:hAnsi="Calibri"/>
          <w:b/>
          <w:color w:val="212529"/>
          <w:sz w:val="21"/>
        </w:rPr>
        <w:t xml:space="preserve">• Defendant/Respondent: </w:t>
      </w:r>
      <w:r>
        <w:rPr>
          <w:rFonts w:ascii="Calibri" w:hAnsi="Calibri"/>
          <w:i w:val="0"/>
          <w:color w:val="212529"/>
          <w:sz w:val="21"/>
        </w:rPr>
        <w:t>Hon. Bernardo Avila (Judge of City Court of Cotabato) and Mayor Juan J. Syquia (Respondents)</w:t>
      </w:r>
    </w:p>
    <w:p>
      <w:pPr>
        <w:spacing w:before="40" w:after="80" w:line="276" w:lineRule="auto"/>
      </w:pPr>
      <w:r>
        <w:rPr>
          <w:rFonts w:ascii="Calibri" w:hAnsi="Calibri"/>
          <w:b/>
          <w:color w:val="212529"/>
          <w:sz w:val="21"/>
        </w:rPr>
        <w:t xml:space="preserve">• Originating Court: </w:t>
      </w:r>
      <w:r>
        <w:rPr>
          <w:rFonts w:ascii="Calibri" w:hAnsi="Calibri"/>
          <w:i w:val="0"/>
          <w:color w:val="212529"/>
          <w:sz w:val="21"/>
        </w:rPr>
        <w:t>City Court of Cotabato City / Supreme Court</w:t>
      </w:r>
    </w:p>
    <w:p>
      <w:pPr>
        <w:spacing w:before="40" w:after="80" w:line="276" w:lineRule="auto"/>
      </w:pPr>
      <w:r>
        <w:rPr>
          <w:rFonts w:ascii="Calibri" w:hAnsi="Calibri"/>
          <w:b/>
          <w:color w:val="212529"/>
          <w:sz w:val="21"/>
        </w:rPr>
        <w:t xml:space="preserve">• Nature of the Action: </w:t>
      </w:r>
      <w:r>
        <w:rPr>
          <w:rFonts w:ascii="Calibri" w:hAnsi="Calibri"/>
          <w:i w:val="0"/>
          <w:color w:val="212529"/>
          <w:sz w:val="21"/>
        </w:rPr>
        <w:t>Petition for Certiorari and Prohibition under Rule 65 challenging the jurisdiction of a City Court judge to conduct preliminary investigation in written libel cases under Republic Act No. 4363.</w:t>
      </w:r>
    </w:p>
    <w:p>
      <w:pPr>
        <w:keepNext/>
        <w:spacing w:before="200" w:after="40"/>
      </w:pPr>
      <w:r>
        <w:rPr>
          <w:rFonts w:ascii="Arial" w:hAnsi="Arial"/>
          <w:b/>
          <w:color w:val="781E1E"/>
          <w:sz w:val="22"/>
        </w:rPr>
        <w:t>II. WHOLE FACTS</w:t>
      </w:r>
    </w:p>
    <w:p>
      <w:pPr>
        <w:spacing w:before="40" w:after="80" w:line="276" w:lineRule="auto"/>
      </w:pPr>
      <w:r>
        <w:rPr>
          <w:rFonts w:ascii="Calibri" w:hAnsi="Calibri"/>
          <w:i w:val="0"/>
          <w:color w:val="212529"/>
          <w:sz w:val="21"/>
        </w:rPr>
        <w:t>Cotabato City Mayor Juan J. Syquia filed a criminal complaint for Libel against Jose Escribano before the City Court of Cotabato. Judge Bernardo Avila commenced the preliminary investigation. Escribano moved to dismiss the proceedings for lack of jurisdiction, arguing that under Article 360 of the Revised Penal Code, as specifically amended by Republic Act No. 4363, the preliminary investigation of written defamation cases was exclusively lodged with City Prosecutors, Provincial Fiscals, or Judges of the Court of First Instance (now RTC), deliberately stripping municipal and city judges of preliminary investigation powers in libel cases. Judge Avila denied the motion, claiming general authority under the City Charter and Judiciary Act.</w:t>
      </w:r>
    </w:p>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SUMMARY OF FACTS</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A city mayor sued a critic for libel directly before the City Court judge. The defendant objected, arguing that Congress amended the libel law (RA 4363) specifically to strip city and municipal judges of the power to conduct preliminary investigations in libel cases, giving that power solely to city prosecutors and RTC judges to stop local politicians from harassing critics in friendly municipal courts. The Supreme Court agreed with the defendant, holding that a specific penal amendment overrides general judicial charters.</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When reciting the facts, state the core dispute in 2 sentences, then state how the case reached the Supreme Court.</w:t>
            </w:r>
          </w:p>
        </w:tc>
      </w:tr>
    </w:tbl>
    <w:p>
      <w:pPr>
        <w:keepNext/>
        <w:spacing w:before="200" w:after="40"/>
      </w:pPr>
      <w:r>
        <w:rPr>
          <w:rFonts w:ascii="Arial" w:hAnsi="Arial"/>
          <w:b/>
          <w:color w:val="781E1E"/>
          <w:sz w:val="22"/>
        </w:rPr>
        <w:t>III. THE LEGAL ISSUE</w:t>
      </w:r>
    </w:p>
    <w:p>
      <w:pPr>
        <w:spacing w:before="40" w:after="80" w:line="276" w:lineRule="auto"/>
      </w:pPr>
      <w:r>
        <w:rPr>
          <w:rFonts w:ascii="Calibri" w:hAnsi="Calibri"/>
          <w:i w:val="0"/>
          <w:color w:val="212529"/>
          <w:sz w:val="21"/>
        </w:rPr>
        <w:t>Whether or not a City Court Judge has the statutory authority to conduct preliminary investigations in criminal libel cases under Article 360 of the Revised Penal Code, as amended by Republic Act No. 4363.</w:t>
      </w:r>
    </w:p>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THE LEGAL ISSUE</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Does a city judge have the power to conduct preliminary investigation in a libel case after Congress amended the law to give that power only to prosecutors and RTC judges?</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"Sir/Ma'am, the issue is whether RA 4363 stripped municipal and city judges of preliminary investigation authority in libel cases, testing the canon Generalia Specialibus Non Derogant (general laws do not derogate from special laws) and Legislative Intent."</w:t>
            </w:r>
          </w:p>
        </w:tc>
      </w:tr>
    </w:tbl>
    <w:p>
      <w:pPr>
        <w:keepNext/>
        <w:spacing w:before="200" w:after="40"/>
      </w:pPr>
      <w:r>
        <w:rPr>
          <w:rFonts w:ascii="Arial" w:hAnsi="Arial"/>
          <w:b/>
          <w:color w:val="781E1E"/>
          <w:sz w:val="22"/>
        </w:rPr>
        <w:t>IV. ALAC DIGEST</w:t>
      </w:r>
    </w:p>
    <w:tbl>
      <w:tblPr>
        <w:tblW w:type="auto" w:w="0"/>
        <w:jc w:val="center"/>
        <w:tblLook w:firstColumn="1" w:firstRow="1" w:lastColumn="0" w:lastRow="0" w:noHBand="0" w:noVBand="1" w:val="04A0"/>
      </w:tblPr>
      <w:tblGrid>
        <w:gridCol w:w="9648"/>
      </w:tblGrid>
      <w:tr>
        <w:tc>
          <w:tcPr>
            <w:tcW w:type="dxa" w:w="9648"/>
            <w:shd w:fill="F4F6F9"/>
            <w:tcMar>
              <w:top w:w="120" w:type="dxa"/>
              <w:bottom w:w="120" w:type="dxa"/>
              <w:left w:w="180" w:type="dxa"/>
              <w:right w:w="180" w:type="dxa"/>
            </w:tcMar>
          </w:tcPr>
          <w:p>
            <w:pPr>
              <w:spacing w:before="40" w:after="60"/>
            </w:pPr>
            <w:r>
              <w:rPr>
                <w:rFonts w:ascii="Arial" w:hAnsi="Arial"/>
                <w:b/>
                <w:color w:val="0F2043"/>
                <w:sz w:val="21"/>
              </w:rPr>
              <w:t>[A] ANSWER</w:t>
              <w:br/>
            </w:r>
          </w:p>
          <w:p>
            <w:pPr>
              <w:spacing w:before="20" w:after="40" w:line="276" w:lineRule="auto"/>
            </w:pPr>
            <w:r>
              <w:rPr>
                <w:rFonts w:ascii="Calibri" w:hAnsi="Calibri"/>
                <w:color w:val="212529"/>
                <w:sz w:val="20"/>
              </w:rPr>
              <w:t>NO. City and municipal judges have NO AUTHORITY to conduct preliminary investigations in written libel cases. Under R.A. No. 4363, amending Article 360 of the Revised Penal Code, preliminary investigation of libel is exclusively vested in Provincial/City Fiscals and CFI/RTC Judges.</w:t>
            </w:r>
          </w:p>
        </w:tc>
      </w:tr>
    </w:tbl>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THE ANSWER</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No. Congress specifically amended the libel law to take preliminary investigation power away from local municipal judges. Under Generalia Specialibus Non Derogant, this specific libel statute overrides the general powers of city judges.</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"No, Sir/Ma'am. The Supreme Court held that under Generalia specialibus non derogant (general laws do not derogate from special provisions) and the express legislative intent of RA 4363, municipal and city judges were stripped of jurisdiction to conduct preliminary investigations in written defamation, vesting that power exclusively in prosecutors and RTC judges."</w:t>
            </w:r>
          </w:p>
        </w:tc>
      </w:tr>
    </w:tbl>
    <w:tbl>
      <w:tblPr>
        <w:tblW w:type="auto" w:w="0"/>
        <w:jc w:val="center"/>
        <w:tblLook w:firstColumn="1" w:firstRow="1" w:lastColumn="0" w:lastRow="0" w:noHBand="0" w:noVBand="1" w:val="04A0"/>
      </w:tblPr>
      <w:tblGrid>
        <w:gridCol w:w="9648"/>
      </w:tblGrid>
      <w:tr>
        <w:tc>
          <w:tcPr>
            <w:tcW w:type="dxa" w:w="9648"/>
            <w:shd w:fill="F4F6F9"/>
            <w:tcMar>
              <w:top w:w="120" w:type="dxa"/>
              <w:bottom w:w="120" w:type="dxa"/>
              <w:left w:w="180" w:type="dxa"/>
              <w:right w:w="180" w:type="dxa"/>
            </w:tcMar>
          </w:tcPr>
          <w:p>
            <w:pPr>
              <w:spacing w:before="40" w:after="60"/>
            </w:pPr>
            <w:r>
              <w:rPr>
                <w:rFonts w:ascii="Arial" w:hAnsi="Arial"/>
                <w:b/>
                <w:color w:val="0F2043"/>
                <w:sz w:val="21"/>
              </w:rPr>
              <w:t>[L] LEGAL BASIS</w:t>
              <w:br/>
            </w:r>
          </w:p>
          <w:p>
            <w:pPr>
              <w:spacing w:before="20" w:after="40" w:line="276" w:lineRule="auto"/>
            </w:pPr>
            <w:r>
              <w:rPr>
                <w:rFonts w:ascii="Calibri" w:hAnsi="Calibri"/>
                <w:b/>
                <w:color w:val="212529"/>
                <w:sz w:val="20"/>
              </w:rPr>
              <w:t xml:space="preserve">1. Article 360, Revised Penal Code (as amended by Republic Act No. 4363): </w:t>
            </w:r>
            <w:r>
              <w:rPr>
                <w:rFonts w:ascii="Calibri" w:hAnsi="Calibri"/>
                <w:color w:val="212529"/>
                <w:sz w:val="20"/>
              </w:rPr>
              <w:t>Specifically enumerates officers authorized to conduct preliminary investigations in written defamation cases.</w:t>
            </w:r>
          </w:p>
          <w:p>
            <w:pPr>
              <w:spacing w:before="20" w:after="40" w:line="276" w:lineRule="auto"/>
            </w:pPr>
            <w:r>
              <w:rPr>
                <w:rFonts w:ascii="Calibri" w:hAnsi="Calibri"/>
                <w:b/>
                <w:color w:val="212529"/>
                <w:sz w:val="20"/>
              </w:rPr>
              <w:t xml:space="preserve">2. Generalia Specialibus Non Derogant (general provisions do not derogate from specific ones): </w:t>
            </w:r>
            <w:r>
              <w:rPr>
                <w:rFonts w:ascii="Calibri" w:hAnsi="Calibri"/>
                <w:color w:val="212529"/>
                <w:sz w:val="20"/>
              </w:rPr>
              <w:t>The specific procedural amendment on libel governs over general judicial powers under the Judiciary Act and City Charters.</w:t>
            </w:r>
          </w:p>
          <w:p>
            <w:pPr>
              <w:spacing w:before="20" w:after="40" w:line="276" w:lineRule="auto"/>
            </w:pPr>
            <w:r>
              <w:rPr>
                <w:rFonts w:ascii="Calibri" w:hAnsi="Calibri"/>
                <w:b/>
                <w:color w:val="212529"/>
                <w:sz w:val="20"/>
              </w:rPr>
              <w:t xml:space="preserve">3. Expressio Unius Est Exclusio Alterius (the express mention of one thing is the exclusion of another): </w:t>
            </w:r>
            <w:r>
              <w:rPr>
                <w:rFonts w:ascii="Calibri" w:hAnsi="Calibri"/>
                <w:color w:val="212529"/>
                <w:sz w:val="20"/>
              </w:rPr>
              <w:t>The statutory enumeration of Fiscals and CFI Judges excludes City Judges.</w:t>
            </w:r>
          </w:p>
        </w:tc>
      </w:tr>
    </w:tbl>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LEGAL BASIS</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Article 360 RPC as amended by RA 4363, Generalia Specialibus Non Derogant, and Expressio Unius.</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"Sir/Ma'am, the legal basis is Article 360 RPC, as amended by RA 4363, applied under Generalia specialibus non derogant (general provisions yield to special laws) and Expressio unius est exclusio alterius."</w:t>
            </w:r>
          </w:p>
        </w:tc>
      </w:tr>
    </w:tbl>
    <w:tbl>
      <w:tblPr>
        <w:tblW w:type="auto" w:w="0"/>
        <w:jc w:val="center"/>
        <w:tblLook w:firstColumn="1" w:firstRow="1" w:lastColumn="0" w:lastRow="0" w:noHBand="0" w:noVBand="1" w:val="04A0"/>
      </w:tblPr>
      <w:tblGrid>
        <w:gridCol w:w="9648"/>
      </w:tblGrid>
      <w:tr>
        <w:tc>
          <w:tcPr>
            <w:tcW w:type="dxa" w:w="9648"/>
            <w:shd w:fill="F4F6F9"/>
            <w:tcMar>
              <w:top w:w="120" w:type="dxa"/>
              <w:bottom w:w="120" w:type="dxa"/>
              <w:left w:w="180" w:type="dxa"/>
              <w:right w:w="180" w:type="dxa"/>
            </w:tcMar>
          </w:tcPr>
          <w:p>
            <w:pPr>
              <w:spacing w:before="40" w:after="60"/>
            </w:pPr>
            <w:r>
              <w:rPr>
                <w:rFonts w:ascii="Arial" w:hAnsi="Arial"/>
                <w:b/>
                <w:color w:val="0F2043"/>
                <w:sz w:val="21"/>
              </w:rPr>
              <w:t>[A] ANALYSIS / APPLICATION</w:t>
              <w:br/>
            </w:r>
          </w:p>
          <w:p>
            <w:pPr>
              <w:spacing w:before="20" w:after="40" w:line="276" w:lineRule="auto"/>
            </w:pPr>
            <w:r>
              <w:rPr>
                <w:rFonts w:ascii="Calibri" w:hAnsi="Calibri"/>
                <w:b/>
                <w:color w:val="212529"/>
                <w:sz w:val="20"/>
              </w:rPr>
              <w:t xml:space="preserve">1. Historical Purpose and Legislative Intent of RA 4363: </w:t>
            </w:r>
            <w:r>
              <w:rPr>
                <w:rFonts w:ascii="Calibri" w:hAnsi="Calibri"/>
                <w:color w:val="212529"/>
                <w:sz w:val="20"/>
              </w:rPr>
              <w:t>Congress amended Article 360 RPC precisely to eliminate the rampant harassment of journalists and political critics by influential local politicians who filed baseless libel suits before beholden local municipal courts.</w:t>
            </w:r>
          </w:p>
          <w:p>
            <w:pPr>
              <w:spacing w:before="20" w:after="40" w:line="276" w:lineRule="auto"/>
            </w:pPr>
            <w:r>
              <w:rPr>
                <w:rFonts w:ascii="Calibri" w:hAnsi="Calibri"/>
                <w:b/>
                <w:color w:val="212529"/>
                <w:sz w:val="20"/>
              </w:rPr>
              <w:t xml:space="preserve">2. Exclusivity of Statutory Designation: </w:t>
            </w:r>
            <w:r>
              <w:rPr>
                <w:rFonts w:ascii="Calibri" w:hAnsi="Calibri"/>
                <w:color w:val="212529"/>
                <w:sz w:val="20"/>
              </w:rPr>
              <w:t>By expressly providing that preliminary investigations 'shall be conducted by the provincial or city fiscal or by the judge of the Court of First Instance,' RA 4363 excluded municipal and city courts under expressio unius.</w:t>
            </w:r>
          </w:p>
          <w:p>
            <w:pPr>
              <w:spacing w:before="20" w:after="40" w:line="276" w:lineRule="auto"/>
            </w:pPr>
            <w:r>
              <w:rPr>
                <w:rFonts w:ascii="Calibri" w:hAnsi="Calibri"/>
                <w:b/>
                <w:color w:val="212529"/>
                <w:sz w:val="20"/>
              </w:rPr>
              <w:t xml:space="preserve">3. Conflict Between General and Specific Laws: </w:t>
            </w:r>
            <w:r>
              <w:rPr>
                <w:rFonts w:ascii="Calibri" w:hAnsi="Calibri"/>
                <w:color w:val="212529"/>
                <w:sz w:val="20"/>
              </w:rPr>
              <w:t>The specific enactment governing libel procedures prevails over general statutory provisions governing municipal court preliminary investigations.</w:t>
            </w:r>
          </w:p>
        </w:tc>
      </w:tr>
    </w:tbl>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ANALYSIS / APPLICATION</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Congress passed RA 4363 because local mayors were using friendly municipal judges to harass and jail newspaper journalists. To stop this abuse, Congress made a special rule: only provincial/city prosecutors or RTC judges can investigate libel. That specific anti-harassment law controls over general court rules.</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"Sir/Ma'am, the Court applied historical legislative intent and Generalia Specialibus Non Derogant. Congress deliberately enacted RA 4363 to protect free speech from harassment in local courts. The specific restriction in Article 360 RPC completely deprived city judges of preliminary investigation authority in libel."</w:t>
            </w:r>
          </w:p>
        </w:tc>
      </w:tr>
    </w:tbl>
    <w:tbl>
      <w:tblPr>
        <w:tblW w:type="auto" w:w="0"/>
        <w:jc w:val="center"/>
        <w:tblLook w:firstColumn="1" w:firstRow="1" w:lastColumn="0" w:lastRow="0" w:noHBand="0" w:noVBand="1" w:val="04A0"/>
      </w:tblPr>
      <w:tblGrid>
        <w:gridCol w:w="9648"/>
      </w:tblGrid>
      <w:tr>
        <w:tc>
          <w:tcPr>
            <w:tcW w:type="dxa" w:w="9648"/>
            <w:shd w:fill="F4F6F9"/>
            <w:tcMar>
              <w:top w:w="120" w:type="dxa"/>
              <w:bottom w:w="120" w:type="dxa"/>
              <w:left w:w="180" w:type="dxa"/>
              <w:right w:w="180" w:type="dxa"/>
            </w:tcMar>
          </w:tcPr>
          <w:p>
            <w:pPr>
              <w:spacing w:before="40" w:after="60"/>
            </w:pPr>
            <w:r>
              <w:rPr>
                <w:rFonts w:ascii="Arial" w:hAnsi="Arial"/>
                <w:b/>
                <w:color w:val="0F2043"/>
                <w:sz w:val="21"/>
              </w:rPr>
              <w:t>[C] CONCLUSION</w:t>
              <w:br/>
            </w:r>
          </w:p>
          <w:p>
            <w:pPr>
              <w:spacing w:before="20" w:after="40" w:line="276" w:lineRule="auto"/>
            </w:pPr>
            <w:r>
              <w:rPr>
                <w:rFonts w:ascii="Calibri" w:hAnsi="Calibri"/>
                <w:color w:val="212529"/>
                <w:sz w:val="20"/>
              </w:rPr>
              <w:t>The Supreme Court GRANTED the petition, ISSUED a writ of prohibition, and RESTRAINED respondent City Judge Avila from conducting the preliminary investigation in the libel case.</w:t>
            </w:r>
          </w:p>
        </w:tc>
      </w:tr>
    </w:tbl>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CONCLUSION</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The city judge was ordered to stop and the libel proceedings before him were halted.</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"The Supreme Court issued a writ of prohibition, affirming that city judges lack jurisdiction to conduct preliminary investigations in libel under RA 4363."</w:t>
            </w:r>
          </w:p>
        </w:tc>
      </w:tr>
    </w:tbl>
    <w:p>
      <w:pPr>
        <w:keepNext/>
        <w:spacing w:before="200" w:after="40"/>
      </w:pPr>
      <w:r>
        <w:rPr>
          <w:rFonts w:ascii="Arial" w:hAnsi="Arial"/>
          <w:b/>
          <w:color w:val="781E1E"/>
          <w:sz w:val="22"/>
        </w:rPr>
        <w:t>V. RELATION TO STATUTORY CONSTRUCTION</w:t>
      </w:r>
    </w:p>
    <w:p>
      <w:pPr>
        <w:spacing w:before="40" w:after="80" w:line="276" w:lineRule="auto"/>
      </w:pPr>
      <w:r>
        <w:rPr>
          <w:rFonts w:ascii="Calibri" w:hAnsi="Calibri"/>
          <w:b/>
          <w:color w:val="212529"/>
          <w:sz w:val="21"/>
        </w:rPr>
        <w:t>• Syllabus Topic Alignment:</w:t>
        <w:br/>
      </w:r>
      <w:r>
        <w:rPr>
          <w:rFonts w:ascii="Calibri" w:hAnsi="Calibri"/>
          <w:i w:val="0"/>
          <w:color w:val="212529"/>
          <w:sz w:val="21"/>
        </w:rPr>
        <w:t>• Chapter III: Basic Guidelines in the Construction and Interpretation of Laws</w:t>
        <w:br/>
        <w:t xml:space="preserve">  - B. Considerations within the Statute: Generalia Specialibus Non Derogant &amp; Legislative History</w:t>
      </w:r>
    </w:p>
    <w:tbl>
      <w:tblPr>
        <w:tblW w:type="auto" w:w="0"/>
        <w:jc w:val="center"/>
        <w:tblLook w:firstColumn="1" w:firstRow="1" w:lastColumn="0" w:lastRow="0" w:noHBand="0" w:noVBand="1" w:val="04A0"/>
      </w:tblPr>
      <w:tblGrid>
        <w:gridCol w:w="9648"/>
      </w:tblGrid>
      <w:tr>
        <w:tc>
          <w:tcPr>
            <w:tcW w:type="dxa" w:w="9648"/>
            <w:shd w:fill="FDF6EE"/>
            <w:tcMar>
              <w:top w:w="120" w:type="dxa"/>
              <w:bottom w:w="120" w:type="dxa"/>
              <w:left w:w="180" w:type="dxa"/>
              <w:right w:w="180" w:type="dxa"/>
            </w:tcMar>
          </w:tcPr>
          <w:p>
            <w:pPr>
              <w:spacing w:before="40" w:after="80"/>
            </w:pPr>
            <w:r>
              <w:rPr>
                <w:rFonts w:ascii="Arial" w:hAnsi="Arial"/>
                <w:b/>
                <w:color w:val="8C3200"/>
                <w:sz w:val="20"/>
              </w:rPr>
              <w:t>📜 GOVERNING LATIN MAXIMS WITH ENGLISH TRANSLATIONS</w:t>
              <w:br/>
            </w:r>
          </w:p>
          <w:p>
            <w:pPr>
              <w:spacing w:before="40" w:after="60" w:line="276" w:lineRule="auto"/>
            </w:pPr>
            <w:r>
              <w:rPr>
                <w:rFonts w:ascii="Calibri" w:hAnsi="Calibri"/>
                <w:b/>
                <w:color w:val="8C3200"/>
                <w:sz w:val="20"/>
              </w:rPr>
              <w:t>1. Generalia specialibus non derogant (general things do not derogate from special things)</w:t>
              <w:br/>
            </w:r>
            <w:r>
              <w:rPr>
                <w:rFonts w:ascii="Calibri" w:hAnsi="Calibri"/>
                <w:b/>
                <w:color w:val="212529"/>
                <w:sz w:val="19"/>
              </w:rPr>
              <w:t xml:space="preserve">   • Literal English Translation: </w:t>
            </w:r>
            <w:r>
              <w:rPr>
                <w:rFonts w:ascii="Calibri" w:hAnsi="Calibri"/>
                <w:i/>
                <w:color w:val="212529"/>
                <w:sz w:val="19"/>
              </w:rPr>
              <w:t>General words do not derogate from special provisions.</w:t>
              <w:br/>
            </w:r>
            <w:r>
              <w:rPr>
                <w:rFonts w:ascii="Calibri" w:hAnsi="Calibri"/>
                <w:b/>
                <w:color w:val="212529"/>
                <w:sz w:val="19"/>
              </w:rPr>
              <w:t xml:space="preserve">   • Plain Legal Meaning &amp; StatCon Application: </w:t>
            </w:r>
            <w:r>
              <w:rPr>
                <w:rFonts w:ascii="Calibri" w:hAnsi="Calibri"/>
                <w:color w:val="212529"/>
                <w:sz w:val="19"/>
              </w:rPr>
              <w:t>The special statutory amendment in Article 360 RPC on libel controls over general judicial charter provisions.</w:t>
            </w:r>
          </w:p>
          <w:p>
            <w:pPr>
              <w:spacing w:before="40" w:after="60" w:line="276" w:lineRule="auto"/>
            </w:pPr>
            <w:r>
              <w:rPr>
                <w:rFonts w:ascii="Calibri" w:hAnsi="Calibri"/>
                <w:b/>
                <w:color w:val="8C3200"/>
                <w:sz w:val="20"/>
              </w:rPr>
              <w:t>2. Expressio unius est exclusio alterius (the express mention of one thing is the exclusion of another)</w:t>
              <w:br/>
            </w:r>
            <w:r>
              <w:rPr>
                <w:rFonts w:ascii="Calibri" w:hAnsi="Calibri"/>
                <w:b/>
                <w:color w:val="212529"/>
                <w:sz w:val="19"/>
              </w:rPr>
              <w:t xml:space="preserve">   • Literal English Translation: </w:t>
            </w:r>
            <w:r>
              <w:rPr>
                <w:rFonts w:ascii="Calibri" w:hAnsi="Calibri"/>
                <w:i/>
                <w:color w:val="212529"/>
                <w:sz w:val="19"/>
              </w:rPr>
              <w:t>The express mention of one thing implies the exclusion of others.</w:t>
              <w:br/>
            </w:r>
            <w:r>
              <w:rPr>
                <w:rFonts w:ascii="Calibri" w:hAnsi="Calibri"/>
                <w:b/>
                <w:color w:val="212529"/>
                <w:sz w:val="19"/>
              </w:rPr>
              <w:t xml:space="preserve">   • Plain Legal Meaning &amp; StatCon Application: </w:t>
            </w:r>
            <w:r>
              <w:rPr>
                <w:rFonts w:ascii="Calibri" w:hAnsi="Calibri"/>
                <w:color w:val="212529"/>
                <w:sz w:val="19"/>
              </w:rPr>
              <w:t>The specific enumeration of Fiscals and CFI Judges excludes City and Municipal Judges.</w:t>
            </w:r>
          </w:p>
          <w:p>
            <w:pPr>
              <w:spacing w:before="40" w:after="60" w:line="276" w:lineRule="auto"/>
            </w:pPr>
            <w:r>
              <w:rPr>
                <w:rFonts w:ascii="Calibri" w:hAnsi="Calibri"/>
                <w:b/>
                <w:color w:val="8C3200"/>
                <w:sz w:val="20"/>
              </w:rPr>
              <w:t>3. Ratio legis est anima legis (the reason of the law is the soul of the law)</w:t>
              <w:br/>
            </w:r>
            <w:r>
              <w:rPr>
                <w:rFonts w:ascii="Calibri" w:hAnsi="Calibri"/>
                <w:b/>
                <w:color w:val="212529"/>
                <w:sz w:val="19"/>
              </w:rPr>
              <w:t xml:space="preserve">   • Literal English Translation: </w:t>
            </w:r>
            <w:r>
              <w:rPr>
                <w:rFonts w:ascii="Calibri" w:hAnsi="Calibri"/>
                <w:i/>
                <w:color w:val="212529"/>
                <w:sz w:val="19"/>
              </w:rPr>
              <w:t>The reason of the law is the soul of the law.</w:t>
              <w:br/>
            </w:r>
            <w:r>
              <w:rPr>
                <w:rFonts w:ascii="Calibri" w:hAnsi="Calibri"/>
                <w:b/>
                <w:color w:val="212529"/>
                <w:sz w:val="19"/>
              </w:rPr>
              <w:t xml:space="preserve">   • Plain Legal Meaning &amp; StatCon Application: </w:t>
            </w:r>
            <w:r>
              <w:rPr>
                <w:rFonts w:ascii="Calibri" w:hAnsi="Calibri"/>
                <w:color w:val="212529"/>
                <w:sz w:val="19"/>
              </w:rPr>
              <w:t>The legislative purpose to prevent harassment of the press dictates strict enforcement of the venue and investigator restrictions.</w:t>
            </w:r>
          </w:p>
        </w:tc>
      </w:tr>
    </w:tbl>
    <w:tbl>
      <w:tblPr>
        <w:tblW w:type="auto" w:w="0"/>
        <w:jc w:val="center"/>
        <w:tblLook w:firstColumn="1" w:firstRow="1" w:lastColumn="0" w:lastRow="0" w:noHBand="0" w:noVBand="1" w:val="04A0"/>
      </w:tblPr>
      <w:tblGrid>
        <w:gridCol w:w="4824"/>
        <w:gridCol w:w="4824"/>
      </w:tblGrid>
      <w:tr>
        <w:tc>
          <w:tcPr>
            <w:tcW w:type="dxa" w:w="4824"/>
            <w:shd w:fill="EAEFF5"/>
            <w:tcMar>
              <w:top w:w="80" w:type="dxa"/>
              <w:bottom w:w="80" w:type="dxa"/>
              <w:left w:w="120" w:type="dxa"/>
              <w:right w:w="120" w:type="dxa"/>
            </w:tcMar>
          </w:tcPr>
          <w:p>
            <w:pPr>
              <w:spacing w:before="40" w:after="40"/>
            </w:pPr>
            <w:r>
              <w:rPr>
                <w:rFonts w:ascii="Arial" w:hAnsi="Arial"/>
                <w:b/>
                <w:color w:val="0F2043"/>
                <w:sz w:val="18"/>
              </w:rPr>
              <w:t>Syllabus Topic Alignment</w:t>
              <w:br/>
              <w:t>(StatCon_Syllabus_JPR.pdf)</w:t>
            </w:r>
          </w:p>
        </w:tc>
        <w:tc>
          <w:tcPr>
            <w:tcW w:type="dxa" w:w="4824"/>
            <w:shd w:fill="FAFAFA"/>
            <w:tcMar>
              <w:top w:w="80" w:type="dxa"/>
              <w:bottom w:w="80" w:type="dxa"/>
              <w:left w:w="120" w:type="dxa"/>
              <w:right w:w="120" w:type="dxa"/>
            </w:tcMar>
          </w:tcPr>
          <w:p>
            <w:pPr>
              <w:spacing w:before="40" w:after="40" w:line="276" w:lineRule="auto"/>
            </w:pPr>
            <w:r>
              <w:rPr>
                <w:rFonts w:ascii="Calibri" w:hAnsi="Calibri"/>
                <w:color w:val="212529"/>
                <w:sz w:val="19"/>
              </w:rPr>
              <w:t>• Chapter III: Basic Guidelines in the Construction and Interpretation of Laws</w:t>
              <w:br/>
              <w:t xml:space="preserve">  - B. Considerations within the Statute: Generalia Specialibus Non Derogant &amp; Legislative History</w:t>
            </w:r>
          </w:p>
        </w:tc>
      </w:tr>
      <w:tr>
        <w:tc>
          <w:tcPr>
            <w:tcW w:type="dxa" w:w="4824"/>
            <w:shd w:fill="EAEFF5"/>
            <w:tcMar>
              <w:top w:w="80" w:type="dxa"/>
              <w:bottom w:w="80" w:type="dxa"/>
              <w:left w:w="120" w:type="dxa"/>
              <w:right w:w="120" w:type="dxa"/>
            </w:tcMar>
          </w:tcPr>
          <w:p>
            <w:pPr>
              <w:spacing w:before="40" w:after="40"/>
            </w:pPr>
            <w:r>
              <w:rPr>
                <w:rFonts w:ascii="Arial" w:hAnsi="Arial"/>
                <w:b/>
                <w:color w:val="0F2043"/>
                <w:sz w:val="18"/>
              </w:rPr>
              <w:t>Governing Latin Maxims &amp; English</w:t>
            </w:r>
          </w:p>
        </w:tc>
        <w:tc>
          <w:tcPr>
            <w:tcW w:type="dxa" w:w="4824"/>
            <w:shd w:fill="FAFAFA"/>
            <w:tcMar>
              <w:top w:w="80" w:type="dxa"/>
              <w:bottom w:w="80" w:type="dxa"/>
              <w:left w:w="120" w:type="dxa"/>
              <w:right w:w="120" w:type="dxa"/>
            </w:tcMar>
          </w:tcPr>
          <w:p>
            <w:pPr>
              <w:spacing w:before="40" w:after="40" w:line="276" w:lineRule="auto"/>
            </w:pPr>
            <w:r>
              <w:rPr>
                <w:rFonts w:ascii="Calibri" w:hAnsi="Calibri"/>
                <w:color w:val="212529"/>
                <w:sz w:val="19"/>
              </w:rPr>
              <w:t>Primary:</w:t>
              <w:br/>
              <w:t>Generalia specialibus non derogant</w:t>
              <w:br/>
              <w:t>(general things do not derogate from special provisions / specific preliminary investigation rules under RA 4363 prevail over general city court charters)</w:t>
              <w:br/>
              <w:br/>
              <w:t>Secondary:</w:t>
              <w:br/>
              <w:t>• Expressio unius est exclusio alterius (express enumeration excludes city judges)</w:t>
              <w:br/>
              <w:t>• Ratio legis est anima legis (anti-harassment intent of libel amendments)</w:t>
            </w:r>
          </w:p>
        </w:tc>
      </w:tr>
      <w:tr>
        <w:tc>
          <w:tcPr>
            <w:tcW w:type="dxa" w:w="4824"/>
            <w:shd w:fill="EAEFF5"/>
            <w:tcMar>
              <w:top w:w="80" w:type="dxa"/>
              <w:bottom w:w="80" w:type="dxa"/>
              <w:left w:w="120" w:type="dxa"/>
              <w:right w:w="120" w:type="dxa"/>
            </w:tcMar>
          </w:tcPr>
          <w:p>
            <w:pPr>
              <w:spacing w:before="40" w:after="40"/>
            </w:pPr>
            <w:r>
              <w:rPr>
                <w:rFonts w:ascii="Arial" w:hAnsi="Arial"/>
                <w:b/>
                <w:color w:val="0F2043"/>
                <w:sz w:val="18"/>
              </w:rPr>
              <w:t>Case Violation in StatCon</w:t>
            </w:r>
          </w:p>
        </w:tc>
        <w:tc>
          <w:tcPr>
            <w:tcW w:type="dxa" w:w="4824"/>
            <w:shd w:fill="FAFAFA"/>
            <w:tcMar>
              <w:top w:w="80" w:type="dxa"/>
              <w:bottom w:w="80" w:type="dxa"/>
              <w:left w:w="120" w:type="dxa"/>
              <w:right w:w="120" w:type="dxa"/>
            </w:tcMar>
          </w:tcPr>
          <w:p>
            <w:pPr>
              <w:spacing w:before="40" w:after="40" w:line="276" w:lineRule="auto"/>
            </w:pPr>
            <w:r>
              <w:rPr>
                <w:rFonts w:ascii="Calibri" w:hAnsi="Calibri"/>
                <w:color w:val="212529"/>
                <w:sz w:val="19"/>
              </w:rPr>
              <w:t>The city court judge attempted to assert general charter powers in direct violation of a specific amendatory statute enacted to curb local judicial abuse in libel cases.</w:t>
            </w:r>
          </w:p>
        </w:tc>
      </w:tr>
      <w:tr>
        <w:tc>
          <w:tcPr>
            <w:tcW w:type="dxa" w:w="4824"/>
            <w:shd w:fill="EAEFF5"/>
            <w:tcMar>
              <w:top w:w="80" w:type="dxa"/>
              <w:bottom w:w="80" w:type="dxa"/>
              <w:left w:w="120" w:type="dxa"/>
              <w:right w:w="120" w:type="dxa"/>
            </w:tcMar>
          </w:tcPr>
          <w:p>
            <w:pPr>
              <w:spacing w:before="40" w:after="40"/>
            </w:pPr>
            <w:r>
              <w:rPr>
                <w:rFonts w:ascii="Arial" w:hAnsi="Arial"/>
                <w:b/>
                <w:color w:val="0F2043"/>
                <w:sz w:val="18"/>
              </w:rPr>
              <w:t>Doctrinal Execution / Principle</w:t>
            </w:r>
          </w:p>
        </w:tc>
        <w:tc>
          <w:tcPr>
            <w:tcW w:type="dxa" w:w="4824"/>
            <w:shd w:fill="FAFAFA"/>
            <w:tcMar>
              <w:top w:w="80" w:type="dxa"/>
              <w:bottom w:w="80" w:type="dxa"/>
              <w:left w:w="120" w:type="dxa"/>
              <w:right w:w="120" w:type="dxa"/>
            </w:tcMar>
          </w:tcPr>
          <w:p>
            <w:pPr>
              <w:spacing w:before="40" w:after="40" w:line="276" w:lineRule="auto"/>
            </w:pPr>
            <w:r>
              <w:rPr>
                <w:rFonts w:ascii="Calibri" w:hAnsi="Calibri"/>
                <w:color w:val="212529"/>
                <w:sz w:val="19"/>
              </w:rPr>
              <w:t>Special Penal Procedures Prevail Over General Charters: A specific statutory enactment establishing exclusive investigative officers for a particular crime controls over all general jurisdictional grants.</w:t>
            </w:r>
          </w:p>
        </w:tc>
      </w:tr>
    </w:tbl>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RELATION TO STATUTORY CONSTRUCTION</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A special law passed to stop a specific evil always beats a general law that talks about court powers in general.</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"Sir/Ma'am, Escribano v. Avila is the classic illustration of Generalia specialibus non derogant, proving that specific amendatory penal rules override general municipal charters."</w:t>
            </w:r>
          </w:p>
        </w:tc>
      </w:tr>
    </w:tbl>
    <w:p>
      <w:pPr>
        <w:spacing w:before="160" w:after="80"/>
      </w:pPr>
    </w:p>
    <w:tbl>
      <w:tblPr>
        <w:tblW w:type="auto" w:w="0"/>
        <w:jc w:val="center"/>
        <w:tblLook w:firstColumn="1" w:firstRow="1" w:lastColumn="0" w:lastRow="0" w:noHBand="0" w:noVBand="1" w:val="04A0"/>
      </w:tblPr>
      <w:tblGrid>
        <w:gridCol w:w="9648"/>
      </w:tblGrid>
      <w:tr>
        <w:tc>
          <w:tcPr>
            <w:tcW w:type="dxa" w:w="9648"/>
            <w:shd w:fill="1E3A5F"/>
            <w:tcMar>
              <w:top w:w="140" w:type="dxa"/>
              <w:bottom w:w="140" w:type="dxa"/>
              <w:left w:w="200" w:type="dxa"/>
              <w:right w:w="200" w:type="dxa"/>
            </w:tcMar>
          </w:tcPr>
          <w:p>
            <w:pPr>
              <w:spacing w:before="40" w:after="40"/>
              <w:jc w:val="center"/>
            </w:pPr>
            <w:r>
              <w:rPr>
                <w:rFonts w:ascii="Arial" w:hAnsi="Arial"/>
                <w:b/>
                <w:color w:val="FFD700"/>
                <w:sz w:val="22"/>
              </w:rPr>
              <w:t>⚖ STANDARDIZED CASE DIGEST: STATUTORY CONSTRUCTION FORMAT</w:t>
              <w:br/>
            </w:r>
            <w:r>
              <w:rPr>
                <w:rFonts w:ascii="Arial" w:hAnsi="Arial"/>
                <w:i/>
                <w:color w:val="DCEBFF"/>
                <w:sz w:val="18"/>
              </w:rPr>
              <w:t>(Complete 12-Section Academic &amp; Judicial Construction Analysis)</w:t>
            </w:r>
          </w:p>
        </w:tc>
      </w:tr>
    </w:tbl>
    <w:p>
      <w:pPr>
        <w:spacing w:before="80" w:after="80"/>
      </w:pPr>
    </w:p>
    <w:tbl>
      <w:tblPr>
        <w:tblW w:type="auto" w:w="0"/>
        <w:jc w:val="center"/>
        <w:tblLook w:firstColumn="1" w:firstRow="1" w:lastColumn="0" w:lastRow="0" w:noHBand="0" w:noVBand="1" w:val="04A0"/>
      </w:tblPr>
      <w:tblGrid>
        <w:gridCol w:w="4824"/>
        <w:gridCol w:w="4824"/>
      </w:tblGrid>
      <w:tr>
        <w:tc>
          <w:tcPr>
            <w:tcW w:type="dxa" w:w="4824"/>
            <w:shd w:fill="EBF0F7"/>
            <w:tcMar>
              <w:top w:w="60" w:type="dxa"/>
              <w:bottom w:w="60" w:type="dxa"/>
              <w:left w:w="120" w:type="dxa"/>
              <w:right w:w="120" w:type="dxa"/>
            </w:tcMar>
          </w:tcPr>
          <w:p>
            <w:pPr>
              <w:spacing w:before="20" w:after="20"/>
            </w:pPr>
            <w:r>
              <w:rPr>
                <w:rFonts w:ascii="Arial" w:hAnsi="Arial"/>
                <w:b/>
                <w:color w:val="0F2043"/>
                <w:sz w:val="19"/>
              </w:rPr>
              <w:t>Case Title:</w:t>
            </w:r>
          </w:p>
        </w:tc>
        <w:tc>
          <w:tcPr>
            <w:tcW w:type="dxa" w:w="4824"/>
            <w:shd w:fill="FAFCFF"/>
            <w:tcMar>
              <w:top w:w="60" w:type="dxa"/>
              <w:bottom w:w="60" w:type="dxa"/>
              <w:left w:w="120" w:type="dxa"/>
              <w:right w:w="120" w:type="dxa"/>
            </w:tcMar>
          </w:tcPr>
          <w:p>
            <w:pPr>
              <w:spacing w:before="20" w:after="20"/>
            </w:pPr>
            <w:r>
              <w:rPr>
                <w:rFonts w:ascii="Calibri" w:hAnsi="Calibri"/>
                <w:b/>
                <w:color w:val="212529"/>
                <w:sz w:val="19"/>
              </w:rPr>
              <w:t>Jose Escribano v. Hon. Bernardo Avila and City Fiscal of Cotabato</w:t>
            </w:r>
          </w:p>
        </w:tc>
      </w:tr>
      <w:tr>
        <w:tc>
          <w:tcPr>
            <w:tcW w:type="dxa" w:w="4824"/>
            <w:shd w:fill="EBF0F7"/>
            <w:tcMar>
              <w:top w:w="60" w:type="dxa"/>
              <w:bottom w:w="60" w:type="dxa"/>
              <w:left w:w="120" w:type="dxa"/>
              <w:right w:w="120" w:type="dxa"/>
            </w:tcMar>
          </w:tcPr>
          <w:p>
            <w:pPr>
              <w:spacing w:before="20" w:after="20"/>
            </w:pPr>
            <w:r>
              <w:rPr>
                <w:rFonts w:ascii="Arial" w:hAnsi="Arial"/>
                <w:b/>
                <w:color w:val="0F2043"/>
                <w:sz w:val="19"/>
              </w:rPr>
              <w:t>G.R. No. / Record:</w:t>
            </w:r>
          </w:p>
        </w:tc>
        <w:tc>
          <w:tcPr>
            <w:tcW w:type="dxa" w:w="4824"/>
            <w:shd w:fill="FAFCFF"/>
            <w:tcMar>
              <w:top w:w="60" w:type="dxa"/>
              <w:bottom w:w="60" w:type="dxa"/>
              <w:left w:w="120" w:type="dxa"/>
              <w:right w:w="120" w:type="dxa"/>
            </w:tcMar>
          </w:tcPr>
          <w:p>
            <w:pPr>
              <w:spacing w:before="20" w:after="20"/>
            </w:pPr>
            <w:r>
              <w:rPr>
                <w:rFonts w:ascii="Calibri" w:hAnsi="Calibri"/>
                <w:b w:val="0"/>
                <w:color w:val="212529"/>
                <w:sz w:val="19"/>
              </w:rPr>
              <w:t>G.R. No. L-30375</w:t>
            </w:r>
          </w:p>
        </w:tc>
      </w:tr>
      <w:tr>
        <w:tc>
          <w:tcPr>
            <w:tcW w:type="dxa" w:w="4824"/>
            <w:shd w:fill="EBF0F7"/>
            <w:tcMar>
              <w:top w:w="60" w:type="dxa"/>
              <w:bottom w:w="60" w:type="dxa"/>
              <w:left w:w="120" w:type="dxa"/>
              <w:right w:w="120" w:type="dxa"/>
            </w:tcMar>
          </w:tcPr>
          <w:p>
            <w:pPr>
              <w:spacing w:before="20" w:after="20"/>
            </w:pPr>
            <w:r>
              <w:rPr>
                <w:rFonts w:ascii="Arial" w:hAnsi="Arial"/>
                <w:b/>
                <w:color w:val="0F2043"/>
                <w:sz w:val="19"/>
              </w:rPr>
              <w:t>Date of Promulgation:</w:t>
            </w:r>
          </w:p>
        </w:tc>
        <w:tc>
          <w:tcPr>
            <w:tcW w:type="dxa" w:w="4824"/>
            <w:shd w:fill="FAFCFF"/>
            <w:tcMar>
              <w:top w:w="60" w:type="dxa"/>
              <w:bottom w:w="60" w:type="dxa"/>
              <w:left w:w="120" w:type="dxa"/>
              <w:right w:w="120" w:type="dxa"/>
            </w:tcMar>
          </w:tcPr>
          <w:p>
            <w:pPr>
              <w:spacing w:before="20" w:after="20"/>
            </w:pPr>
            <w:r>
              <w:rPr>
                <w:rFonts w:ascii="Calibri" w:hAnsi="Calibri"/>
                <w:b w:val="0"/>
                <w:color w:val="212529"/>
                <w:sz w:val="19"/>
              </w:rPr>
              <w:t>September 12, 1978</w:t>
            </w:r>
          </w:p>
        </w:tc>
      </w:tr>
      <w:tr>
        <w:tc>
          <w:tcPr>
            <w:tcW w:type="dxa" w:w="4824"/>
            <w:shd w:fill="EBF0F7"/>
            <w:tcMar>
              <w:top w:w="60" w:type="dxa"/>
              <w:bottom w:w="60" w:type="dxa"/>
              <w:left w:w="120" w:type="dxa"/>
              <w:right w:w="120" w:type="dxa"/>
            </w:tcMar>
          </w:tcPr>
          <w:p>
            <w:pPr>
              <w:spacing w:before="20" w:after="20"/>
            </w:pPr>
            <w:r>
              <w:rPr>
                <w:rFonts w:ascii="Arial" w:hAnsi="Arial"/>
                <w:b/>
                <w:color w:val="0F2043"/>
                <w:sz w:val="19"/>
              </w:rPr>
              <w:t>Ponente / Court:</w:t>
            </w:r>
          </w:p>
        </w:tc>
        <w:tc>
          <w:tcPr>
            <w:tcW w:type="dxa" w:w="4824"/>
            <w:shd w:fill="FAFCFF"/>
            <w:tcMar>
              <w:top w:w="60" w:type="dxa"/>
              <w:bottom w:w="60" w:type="dxa"/>
              <w:left w:w="120" w:type="dxa"/>
              <w:right w:w="120" w:type="dxa"/>
            </w:tcMar>
          </w:tcPr>
          <w:p>
            <w:pPr>
              <w:spacing w:before="20" w:after="20"/>
            </w:pPr>
            <w:r>
              <w:rPr>
                <w:rFonts w:ascii="Calibri" w:hAnsi="Calibri"/>
                <w:b w:val="0"/>
                <w:color w:val="212529"/>
                <w:sz w:val="19"/>
              </w:rPr>
              <w:t>Second Division</w:t>
            </w:r>
          </w:p>
        </w:tc>
      </w:tr>
    </w:tbl>
    <w:p>
      <w:pPr>
        <w:keepNext/>
        <w:spacing w:before="240" w:after="60"/>
      </w:pPr>
      <w:r>
        <w:rPr>
          <w:rFonts w:ascii="Arial" w:hAnsi="Arial"/>
          <w:b/>
          <w:color w:val="0F2043"/>
          <w:sz w:val="21"/>
        </w:rPr>
        <w:t>I. FACTS OF THE CASE</w:t>
      </w:r>
    </w:p>
    <w:tbl>
      <w:tblPr>
        <w:tblW w:type="auto" w:w="0"/>
        <w:jc w:val="center"/>
        <w:tblLook w:firstColumn="1" w:firstRow="1" w:lastColumn="0" w:lastRow="0" w:noHBand="0" w:noVBand="1" w:val="04A0"/>
      </w:tblPr>
      <w:tblGrid>
        <w:gridCol w:w="9648"/>
      </w:tblGrid>
      <w:tr>
        <w:tc>
          <w:tcPr>
            <w:tcW w:type="dxa" w:w="9648"/>
            <w:shd w:fill="F8F9FB"/>
            <w:tcMar>
              <w:top w:w="100" w:type="dxa"/>
              <w:bottom w:w="100" w:type="dxa"/>
              <w:left w:w="160" w:type="dxa"/>
              <w:right w:w="160" w:type="dxa"/>
            </w:tcMar>
          </w:tcPr>
          <w:p>
            <w:pPr>
              <w:spacing w:before="20" w:after="40"/>
            </w:pPr>
            <w:r>
              <w:rPr>
                <w:rFonts w:ascii="Arial" w:hAnsi="Arial"/>
                <w:b/>
                <w:color w:val="0F2043"/>
                <w:sz w:val="19"/>
              </w:rPr>
              <w:t>Material Facts of Controversy</w:t>
              <w:br/>
            </w:r>
          </w:p>
          <w:p>
            <w:pPr>
              <w:spacing w:before="20" w:after="40" w:line="276" w:lineRule="auto"/>
            </w:pPr>
            <w:r>
              <w:rPr>
                <w:rFonts w:ascii="Calibri" w:hAnsi="Calibri"/>
                <w:color w:val="212529"/>
                <w:sz w:val="19"/>
              </w:rPr>
              <w:t>Cotabato City Mayor Juan J. Syquia filed a criminal complaint for Libel against Jose Escribano before the City Court of Cotabato. Judge Bernardo Avila commenced the preliminary investigation. Escribano moved to dismiss the proceedings for lack of jurisdiction, arguing that under Article 360 of the Revised Penal Code, as specifically amended by Republic Act No. 4363, the preliminary investigation of written defamation cases was exclusively lodged with City Prosecutors, Provincial Fiscals, or Judges of the Court of First Instance (now RTC), deliberately stripping municipal and city judges of preliminary investigation powers in libel cases. Judge Avila denied the motion, claiming general authority under the City Charter and Judiciary Act.</w:t>
            </w:r>
          </w:p>
        </w:tc>
      </w:tr>
    </w:tbl>
    <w:p>
      <w:pPr>
        <w:keepNext/>
        <w:spacing w:before="240" w:after="60"/>
      </w:pPr>
      <w:r>
        <w:rPr>
          <w:rFonts w:ascii="Arial" w:hAnsi="Arial"/>
          <w:b/>
          <w:color w:val="0F2043"/>
          <w:sz w:val="21"/>
        </w:rPr>
        <w:t>II. FACTS RELEVANT TO STATUTORY CONSTRUCTION</w:t>
      </w:r>
    </w:p>
    <w:tbl>
      <w:tblPr>
        <w:tblW w:type="auto" w:w="0"/>
        <w:jc w:val="center"/>
        <w:tblLook w:firstColumn="1" w:firstRow="1" w:lastColumn="0" w:lastRow="0" w:noHBand="0" w:noVBand="1" w:val="04A0"/>
      </w:tblPr>
      <w:tblGrid>
        <w:gridCol w:w="9648"/>
      </w:tblGrid>
      <w:tr>
        <w:tc>
          <w:tcPr>
            <w:tcW w:type="dxa" w:w="9648"/>
            <w:shd w:fill="F8F9FB"/>
            <w:tcMar>
              <w:top w:w="100" w:type="dxa"/>
              <w:bottom w:w="100" w:type="dxa"/>
              <w:left w:w="160" w:type="dxa"/>
              <w:right w:w="160" w:type="dxa"/>
            </w:tcMar>
          </w:tcPr>
          <w:p>
            <w:pPr>
              <w:spacing w:before="20" w:after="40"/>
            </w:pPr>
            <w:r>
              <w:rPr>
                <w:rFonts w:ascii="Arial" w:hAnsi="Arial"/>
                <w:b/>
                <w:color w:val="0F2043"/>
                <w:sz w:val="19"/>
              </w:rPr>
              <w:t>Facts Giving Rise to Need for Interpretation</w:t>
              <w:br/>
            </w:r>
          </w:p>
          <w:p>
            <w:pPr>
              <w:spacing w:before="20" w:after="40" w:line="276" w:lineRule="auto"/>
            </w:pPr>
            <w:r>
              <w:rPr>
                <w:rFonts w:ascii="Calibri" w:hAnsi="Calibri"/>
                <w:b/>
                <w:color w:val="212529"/>
                <w:sz w:val="19"/>
              </w:rPr>
              <w:t xml:space="preserve">• What provision of law or rule became relevant? </w:t>
            </w:r>
            <w:r>
              <w:rPr>
                <w:rFonts w:ascii="Calibri" w:hAnsi="Calibri"/>
                <w:color w:val="212529"/>
                <w:sz w:val="19"/>
              </w:rPr>
              <w:t>1. Article 360, Revised Penal Code (as amended by Republic Act No. 4363): Specifically enumerates officers authorized to conduct preliminary investigations in written defamation cases.</w:t>
              <w:br/>
              <w:t>2. Generalia Specialibus Non Derogant (general provisions do not derogate from specific ones): The specific procedural amendment on libel governs over general judicial powers under the Judiciary Act and City Charters.</w:t>
            </w:r>
          </w:p>
          <w:p>
            <w:pPr>
              <w:spacing w:before="20" w:after="40" w:line="276" w:lineRule="auto"/>
            </w:pPr>
            <w:r>
              <w:rPr>
                <w:rFonts w:ascii="Calibri" w:hAnsi="Calibri"/>
                <w:b/>
                <w:color w:val="212529"/>
                <w:sz w:val="19"/>
              </w:rPr>
              <w:t xml:space="preserve">• What circumstance made interpretation necessary? </w:t>
            </w:r>
            <w:r>
              <w:rPr>
                <w:rFonts w:ascii="Calibri" w:hAnsi="Calibri"/>
                <w:color w:val="212529"/>
                <w:sz w:val="19"/>
              </w:rPr>
              <w:t>The city court judge attempted to assert general charter powers in direct violation of a specific amendatory statute enacted to curb local judicial abuse in libel cases.</w:t>
            </w:r>
          </w:p>
          <w:p>
            <w:pPr>
              <w:spacing w:before="20" w:after="40" w:line="276" w:lineRule="auto"/>
            </w:pPr>
            <w:r>
              <w:rPr>
                <w:rFonts w:ascii="Calibri" w:hAnsi="Calibri"/>
                <w:b/>
                <w:color w:val="212529"/>
                <w:sz w:val="19"/>
              </w:rPr>
              <w:t xml:space="preserve">• What competing interpretations were presented? </w:t>
            </w:r>
            <w:r>
              <w:rPr>
                <w:rFonts w:ascii="Calibri" w:hAnsi="Calibri"/>
                <w:color w:val="212529"/>
                <w:sz w:val="19"/>
              </w:rPr>
              <w:t>Petitioner argued for a favorable interpretation based on statutory intent, while Respondent contended for a literal or restrictive application.</w:t>
            </w:r>
          </w:p>
        </w:tc>
      </w:tr>
    </w:tbl>
    <w:p>
      <w:pPr>
        <w:keepNext/>
        <w:spacing w:before="240" w:after="60"/>
      </w:pPr>
      <w:r>
        <w:rPr>
          <w:rFonts w:ascii="Arial" w:hAnsi="Arial"/>
          <w:b/>
          <w:color w:val="0F2043"/>
          <w:sz w:val="21"/>
        </w:rPr>
        <w:t>III. ISSUES</w:t>
      </w:r>
    </w:p>
    <w:p>
      <w:pPr>
        <w:keepNext/>
        <w:spacing w:before="120" w:after="40"/>
      </w:pPr>
      <w:r>
        <w:rPr>
          <w:rFonts w:ascii="Arial" w:hAnsi="Arial"/>
          <w:b/>
          <w:color w:val="781E1E"/>
          <w:sz w:val="20"/>
        </w:rPr>
        <w:t>A. General Legal Issues</w:t>
      </w:r>
    </w:p>
    <w:p>
      <w:pPr>
        <w:spacing w:before="40" w:after="80" w:line="276" w:lineRule="auto"/>
      </w:pPr>
      <w:r>
        <w:rPr>
          <w:rFonts w:ascii="Calibri" w:hAnsi="Calibri"/>
          <w:i w:val="0"/>
          <w:color w:val="212529"/>
          <w:sz w:val="21"/>
        </w:rPr>
        <w:t>Whether or not a City Court Judge has the statutory authority to conduct preliminary investigations in criminal libel cases under Article 360 of the Revised Penal Code, as amended by Republic Act No. 4363.</w:t>
      </w:r>
    </w:p>
    <w:p>
      <w:pPr>
        <w:keepNext/>
        <w:spacing w:before="120" w:after="40"/>
      </w:pPr>
      <w:r>
        <w:rPr>
          <w:rFonts w:ascii="Arial" w:hAnsi="Arial"/>
          <w:b/>
          <w:color w:val="781E1E"/>
          <w:sz w:val="20"/>
        </w:rPr>
        <w:t>B. Statutory-Construction Issue/s</w:t>
      </w:r>
    </w:p>
    <w:tbl>
      <w:tblPr>
        <w:tblW w:type="auto" w:w="0"/>
        <w:jc w:val="center"/>
        <w:tblLook w:firstColumn="1" w:firstRow="1" w:lastColumn="0" w:lastRow="0" w:noHBand="0" w:noVBand="1" w:val="04A0"/>
      </w:tblPr>
      <w:tblGrid>
        <w:gridCol w:w="9648"/>
      </w:tblGrid>
      <w:tr>
        <w:tc>
          <w:tcPr>
            <w:tcW w:type="dxa" w:w="9648"/>
            <w:shd w:fill="EBF3FA"/>
            <w:tcMar>
              <w:top w:w="100" w:type="dxa"/>
              <w:bottom w:w="100" w:type="dxa"/>
              <w:left w:w="160" w:type="dxa"/>
              <w:right w:w="160" w:type="dxa"/>
            </w:tcMar>
          </w:tcPr>
          <w:p>
            <w:pPr>
              <w:spacing w:before="20" w:after="40"/>
            </w:pPr>
            <w:r>
              <w:rPr>
                <w:rFonts w:ascii="Arial" w:hAnsi="Arial"/>
                <w:b/>
                <w:color w:val="0F2043"/>
                <w:sz w:val="19"/>
              </w:rPr>
              <w:t>Standardized StatCon Issue Statement</w:t>
              <w:br/>
            </w:r>
          </w:p>
          <w:p>
            <w:pPr>
              <w:spacing w:before="20" w:after="40" w:line="276" w:lineRule="auto"/>
            </w:pPr>
            <w:r>
              <w:rPr>
                <w:rFonts w:ascii="Calibri" w:hAnsi="Calibri"/>
                <w:color w:val="212529"/>
                <w:sz w:val="19"/>
              </w:rPr>
              <w:t>Whether the subject statutory act, classification, or terminology under the governing statute/rule means, includes, or applies to the factual controversy in Jose Escribano v. Hon. Bernardo Avila and City Fiscal of Cotabato, under the canon of Generalia specialibus non derogant.</w:t>
            </w:r>
          </w:p>
        </w:tc>
      </w:tr>
    </w:tbl>
    <w:p>
      <w:pPr>
        <w:keepNext/>
        <w:spacing w:before="240" w:after="60"/>
      </w:pPr>
      <w:r>
        <w:rPr>
          <w:rFonts w:ascii="Arial" w:hAnsi="Arial"/>
          <w:b/>
          <w:color w:val="0F2043"/>
          <w:sz w:val="21"/>
        </w:rPr>
        <w:t>IV. PROVISION/S OF LAW CONSTRUED</w:t>
      </w:r>
    </w:p>
    <w:tbl>
      <w:tblPr>
        <w:tblW w:type="auto" w:w="0"/>
        <w:jc w:val="center"/>
        <w:tblLook w:firstColumn="1" w:firstRow="1" w:lastColumn="0" w:lastRow="0" w:noHBand="0" w:noVBand="1" w:val="04A0"/>
      </w:tblPr>
      <w:tblGrid>
        <w:gridCol w:w="9648"/>
      </w:tblGrid>
      <w:tr>
        <w:tc>
          <w:tcPr>
            <w:tcW w:type="dxa" w:w="9648"/>
            <w:shd w:fill="F8F9FB"/>
            <w:tcMar>
              <w:top w:w="100" w:type="dxa"/>
              <w:bottom w:w="100" w:type="dxa"/>
              <w:left w:w="160" w:type="dxa"/>
              <w:right w:w="160" w:type="dxa"/>
            </w:tcMar>
          </w:tcPr>
          <w:p>
            <w:pPr>
              <w:spacing w:before="20" w:after="40"/>
            </w:pPr>
            <w:r>
              <w:rPr>
                <w:rFonts w:ascii="Arial" w:hAnsi="Arial"/>
                <w:b/>
                <w:color w:val="0F2043"/>
                <w:sz w:val="19"/>
              </w:rPr>
              <w:t>Statutory / Constitutional Text &amp; Problem</w:t>
              <w:br/>
            </w:r>
          </w:p>
          <w:p>
            <w:pPr>
              <w:spacing w:before="20" w:after="40" w:line="276" w:lineRule="auto"/>
            </w:pPr>
            <w:r>
              <w:rPr>
                <w:rFonts w:ascii="Calibri" w:hAnsi="Calibri"/>
                <w:b/>
                <w:color w:val="212529"/>
                <w:sz w:val="19"/>
              </w:rPr>
              <w:t xml:space="preserve">• Quoted Provision: </w:t>
            </w:r>
            <w:r>
              <w:rPr>
                <w:rFonts w:ascii="Calibri" w:hAnsi="Calibri"/>
                <w:color w:val="212529"/>
                <w:sz w:val="19"/>
              </w:rPr>
              <w:t>1. Article 360, Revised Penal Code (as amended by Republic Act No. 4363): Specifically enumerates officers authorized to conduct preliminary investigations in written defamation cases.</w:t>
              <w:br/>
              <w:t>2. Generalia Specialibus Non Derogant (general provisions do not derogate from specific ones): The specific procedural amendment on libel governs over general judicial powers under the Judiciary Act and City Charters.</w:t>
            </w:r>
          </w:p>
          <w:p>
            <w:pPr>
              <w:spacing w:before="20" w:after="40" w:line="276" w:lineRule="auto"/>
            </w:pPr>
            <w:r>
              <w:rPr>
                <w:rFonts w:ascii="Calibri" w:hAnsi="Calibri"/>
                <w:b/>
                <w:color w:val="212529"/>
                <w:sz w:val="19"/>
              </w:rPr>
              <w:t xml:space="preserve">• Interpretive Problem: </w:t>
            </w:r>
            <w:r>
              <w:rPr>
                <w:rFonts w:ascii="Calibri" w:hAnsi="Calibri"/>
                <w:color w:val="212529"/>
                <w:sz w:val="19"/>
              </w:rPr>
              <w:t>Determining the precise legislative intent and boundary of the statutory terms in light of: The city court judge attempted to assert general charter powers in direct violation of a specific amendatory statute ena...</w:t>
            </w:r>
          </w:p>
        </w:tc>
      </w:tr>
    </w:tbl>
    <w:p>
      <w:pPr>
        <w:keepNext/>
        <w:spacing w:before="240" w:after="60"/>
      </w:pPr>
      <w:r>
        <w:rPr>
          <w:rFonts w:ascii="Arial" w:hAnsi="Arial"/>
          <w:b/>
          <w:color w:val="0F2043"/>
          <w:sz w:val="21"/>
        </w:rPr>
        <w:t>V. RULING OF THE SUPREME COURT</w:t>
      </w:r>
    </w:p>
    <w:p>
      <w:pPr>
        <w:keepNext/>
        <w:spacing w:before="120" w:after="40"/>
      </w:pPr>
      <w:r>
        <w:rPr>
          <w:rFonts w:ascii="Arial" w:hAnsi="Arial"/>
          <w:b/>
          <w:color w:val="781E1E"/>
          <w:sz w:val="20"/>
        </w:rPr>
        <w:t>A. General Ruling</w:t>
      </w:r>
    </w:p>
    <w:p>
      <w:pPr>
        <w:spacing w:before="40" w:after="80" w:line="276" w:lineRule="auto"/>
      </w:pPr>
      <w:r>
        <w:rPr>
          <w:rFonts w:ascii="Calibri" w:hAnsi="Calibri"/>
          <w:i w:val="0"/>
          <w:color w:val="212529"/>
          <w:sz w:val="21"/>
        </w:rPr>
        <w:t>The Supreme Court GRANTED the petition, ISSUED a writ of prohibition, and RESTRAINED respondent City Judge Avila from conducting the preliminary investigation in the libel case.</w:t>
      </w:r>
    </w:p>
    <w:p>
      <w:pPr>
        <w:keepNext/>
        <w:spacing w:before="120" w:after="40"/>
      </w:pPr>
      <w:r>
        <w:rPr>
          <w:rFonts w:ascii="Arial" w:hAnsi="Arial"/>
          <w:b/>
          <w:color w:val="781E1E"/>
          <w:sz w:val="20"/>
        </w:rPr>
        <w:t>B. Ruling on the Statutory-Construction Issue</w:t>
      </w:r>
    </w:p>
    <w:tbl>
      <w:tblPr>
        <w:tblW w:type="auto" w:w="0"/>
        <w:jc w:val="center"/>
        <w:tblLook w:firstColumn="1" w:firstRow="1" w:lastColumn="0" w:lastRow="0" w:noHBand="0" w:noVBand="1" w:val="04A0"/>
      </w:tblPr>
      <w:tblGrid>
        <w:gridCol w:w="9648"/>
      </w:tblGrid>
      <w:tr>
        <w:tc>
          <w:tcPr>
            <w:tcW w:type="dxa" w:w="9648"/>
            <w:shd w:fill="F4FAF5"/>
            <w:tcMar>
              <w:top w:w="100" w:type="dxa"/>
              <w:bottom w:w="100" w:type="dxa"/>
              <w:left w:w="160" w:type="dxa"/>
              <w:right w:w="160" w:type="dxa"/>
            </w:tcMar>
          </w:tcPr>
          <w:p>
            <w:pPr>
              <w:spacing w:before="20" w:after="40"/>
            </w:pPr>
            <w:r>
              <w:rPr>
                <w:rFonts w:ascii="Arial" w:hAnsi="Arial"/>
                <w:b/>
                <w:color w:val="0F2043"/>
                <w:sz w:val="19"/>
              </w:rPr>
              <w:t>Statutory Meaning Established by Court</w:t>
              <w:br/>
            </w:r>
          </w:p>
          <w:p>
            <w:pPr>
              <w:spacing w:before="20" w:after="40" w:line="276" w:lineRule="auto"/>
            </w:pPr>
            <w:r>
              <w:rPr>
                <w:rFonts w:ascii="Calibri" w:hAnsi="Calibri"/>
                <w:color w:val="212529"/>
                <w:sz w:val="19"/>
              </w:rPr>
              <w:t>NO. City and municipal judges have NO AUTHORITY to conduct preliminary investigations in written libel cases. Under R.A. No. 4363, amending Article 360 of the Revised Penal Code, preliminary investigation of libel is exclusively vested in Provincial/City Fiscals and CFI/RTC Judges.</w:t>
            </w:r>
          </w:p>
        </w:tc>
      </w:tr>
    </w:tbl>
    <w:p>
      <w:pPr>
        <w:keepNext/>
        <w:spacing w:before="240" w:after="60"/>
      </w:pPr>
      <w:r>
        <w:rPr>
          <w:rFonts w:ascii="Arial" w:hAnsi="Arial"/>
          <w:b/>
          <w:color w:val="0F2043"/>
          <w:sz w:val="21"/>
        </w:rPr>
        <w:t>VI. HOW THE COURT CONSTRUED THE LAW</w:t>
      </w:r>
    </w:p>
    <w:tbl>
      <w:tblPr>
        <w:tblW w:type="auto" w:w="0"/>
        <w:jc w:val="center"/>
        <w:tblLook w:firstColumn="1" w:firstRow="1" w:lastColumn="0" w:lastRow="0" w:noHBand="0" w:noVBand="1" w:val="04A0"/>
      </w:tblPr>
      <w:tblGrid>
        <w:gridCol w:w="9648"/>
      </w:tblGrid>
      <w:tr>
        <w:tc>
          <w:tcPr>
            <w:tcW w:type="dxa" w:w="9648"/>
            <w:shd w:fill="F8F9FB"/>
            <w:tcMar>
              <w:top w:w="100" w:type="dxa"/>
              <w:bottom w:w="100" w:type="dxa"/>
              <w:left w:w="160" w:type="dxa"/>
              <w:right w:w="160" w:type="dxa"/>
            </w:tcMar>
          </w:tcPr>
          <w:p>
            <w:pPr>
              <w:spacing w:before="20" w:after="40"/>
            </w:pPr>
            <w:r>
              <w:rPr>
                <w:rFonts w:ascii="Arial" w:hAnsi="Arial"/>
                <w:b/>
                <w:color w:val="0F2043"/>
                <w:sz w:val="19"/>
              </w:rPr>
              <w:t>Methodological &amp; Doctrinal Analysis</w:t>
              <w:br/>
            </w:r>
          </w:p>
          <w:p>
            <w:pPr>
              <w:spacing w:before="20" w:after="40" w:line="276" w:lineRule="auto"/>
            </w:pPr>
            <w:r>
              <w:rPr>
                <w:rFonts w:ascii="Calibri" w:hAnsi="Calibri"/>
                <w:b/>
                <w:color w:val="212529"/>
                <w:sz w:val="19"/>
              </w:rPr>
              <w:t xml:space="preserve">A. Why Was Construction Necessary? </w:t>
            </w:r>
            <w:r>
              <w:rPr>
                <w:rFonts w:ascii="Calibri" w:hAnsi="Calibri"/>
                <w:color w:val="212529"/>
                <w:sz w:val="19"/>
              </w:rPr>
              <w:t>Ambiguity in the application and scope of the statute: The city court judge attempted to assert general charter powers in direct violation of a specific amendatory statute enacted to curb local j.</w:t>
            </w:r>
          </w:p>
          <w:p>
            <w:pPr>
              <w:spacing w:before="20" w:after="40" w:line="276" w:lineRule="auto"/>
            </w:pPr>
            <w:r>
              <w:rPr>
                <w:rFonts w:ascii="Calibri" w:hAnsi="Calibri"/>
                <w:b/>
                <w:color w:val="212529"/>
                <w:sz w:val="19"/>
              </w:rPr>
              <w:t xml:space="preserve">B. Purpose of Construction: </w:t>
            </w:r>
            <w:r>
              <w:rPr>
                <w:rFonts w:ascii="Calibri" w:hAnsi="Calibri"/>
                <w:color w:val="212529"/>
                <w:sz w:val="19"/>
              </w:rPr>
              <w:t>To ascertain and give full effect to the true intent, spirit, and purpose of the lawmaking body.</w:t>
            </w:r>
          </w:p>
          <w:p>
            <w:pPr>
              <w:spacing w:before="20" w:after="40" w:line="276" w:lineRule="auto"/>
            </w:pPr>
            <w:r>
              <w:rPr>
                <w:rFonts w:ascii="Calibri" w:hAnsi="Calibri"/>
                <w:b/>
                <w:color w:val="212529"/>
                <w:sz w:val="19"/>
              </w:rPr>
              <w:t xml:space="preserve">C. Method, Canon, or Rule Applied: </w:t>
            </w:r>
            <w:r>
              <w:rPr>
                <w:rFonts w:ascii="Calibri" w:hAnsi="Calibri"/>
                <w:color w:val="212529"/>
                <w:sz w:val="19"/>
              </w:rPr>
              <w:t>Generalia specialibus non derogant</w:t>
              <w:br/>
              <w:t xml:space="preserve">   - Application: Special Penal Procedures Prevail Over General Charters: A specific statutory enactment establishing exclusive investigative officers for a particular crime controls over all general jurisdictional grants.</w:t>
              <w:br/>
              <w:t xml:space="preserve">   - Result: No. Congress specifically amended the libel law to take preliminary investigation power away from local municipal judges. Under Generalia Specialibus Non Derogant, this specific libel statute overrides the general powers of city judges.</w:t>
            </w:r>
          </w:p>
          <w:p>
            <w:pPr>
              <w:spacing w:before="20" w:after="40" w:line="276" w:lineRule="auto"/>
            </w:pPr>
            <w:r>
              <w:rPr>
                <w:rFonts w:ascii="Calibri" w:hAnsi="Calibri"/>
                <w:b/>
                <w:color w:val="212529"/>
                <w:sz w:val="19"/>
              </w:rPr>
              <w:t xml:space="preserve">D. Other Sources Used: </w:t>
            </w:r>
            <w:r>
              <w:rPr>
                <w:rFonts w:ascii="Calibri" w:hAnsi="Calibri"/>
                <w:color w:val="212529"/>
                <w:sz w:val="19"/>
              </w:rPr>
              <w:t>Ordinary meaning of words, statute considered as a whole, legislative history, and established Supreme Court jurisprudence.</w:t>
            </w:r>
          </w:p>
        </w:tc>
      </w:tr>
    </w:tbl>
    <w:p>
      <w:pPr>
        <w:keepNext/>
        <w:spacing w:before="240" w:after="60"/>
      </w:pPr>
      <w:r>
        <w:rPr>
          <w:rFonts w:ascii="Arial" w:hAnsi="Arial"/>
          <w:b/>
          <w:color w:val="0F2043"/>
          <w:sz w:val="21"/>
        </w:rPr>
        <w:t>VII. RELEVANT STATUTORY-CONSTRUCTION CONCEPTS (A–L EVALUATION)</w:t>
      </w:r>
    </w:p>
    <w:tbl>
      <w:tblPr>
        <w:tblW w:type="auto" w:w="0"/>
        <w:jc w:val="center"/>
        <w:tblLook w:firstColumn="1" w:firstRow="1" w:lastColumn="0" w:lastRow="0" w:noHBand="0" w:noVBand="1" w:val="04A0"/>
      </w:tblPr>
      <w:tblGrid>
        <w:gridCol w:w="4824"/>
        <w:gridCol w:w="4824"/>
      </w:tblGrid>
      <w:tr>
        <w:tc>
          <w:tcPr>
            <w:tcW w:type="dxa" w:w="4824"/>
            <w:shd w:fill="EBF0F8"/>
            <w:tcMar>
              <w:top w:w="70" w:type="dxa"/>
              <w:bottom w:w="70" w:type="dxa"/>
              <w:left w:w="100" w:type="dxa"/>
              <w:right w:w="100" w:type="dxa"/>
            </w:tcMar>
          </w:tcPr>
          <w:p>
            <w:pPr>
              <w:spacing w:before="20" w:after="20"/>
            </w:pPr>
            <w:r>
              <w:rPr>
                <w:rFonts w:ascii="Arial" w:hAnsi="Arial"/>
                <w:b/>
                <w:color w:val="0F2043"/>
                <w:sz w:val="18"/>
              </w:rPr>
              <w:t>A. Situs of Statutory Construction</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Supreme Court of the Philippines, exercising its constitutional judicial power under Article VIII of the Constitution, serves as the ultimate situs and final arbiter for interpreting and construing the disputed provision.</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B. Purpose of Statutory Construction</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purpose of construction is to discover and effectuate the true legislative intent and will of the lawmaking body, preventing injustice and ensuring the statute operates harmoniously.</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C. When to Construe</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Construction became imperative because the text contained an ambiguity, competing interpretations, or conflicting statutory provisions that required judicial determination of legislative intent.</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D. Ambiguity or Vagueness</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controversy centered on the ambiguity, silence, or conflicting scope of the statutory language, which the Court resolved by examining legislative intent and governing maxims.</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E. Verba Legis Non Est Recedendum</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781E1E"/>
                <w:sz w:val="17"/>
              </w:rPr>
              <w:t xml:space="preserve"> [NOT APPLICABLE] </w:t>
            </w:r>
            <w:r>
              <w:rPr>
                <w:rFonts w:ascii="Calibri" w:hAnsi="Calibri"/>
                <w:color w:val="212529"/>
                <w:sz w:val="18"/>
              </w:rPr>
              <w:t>Not Applicable. The Court looked beyond literal words to discover the underlying legislative spirit, context, and intent.</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F. Absoluta Sententia Expositore Non Indigent</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781E1E"/>
                <w:sz w:val="17"/>
              </w:rPr>
              <w:t xml:space="preserve"> [NOT APPLICABLE] </w:t>
            </w:r>
            <w:r>
              <w:rPr>
                <w:rFonts w:ascii="Calibri" w:hAnsi="Calibri"/>
                <w:color w:val="212529"/>
                <w:sz w:val="18"/>
              </w:rPr>
              <w:t>Not Applicable. The statutory language required expository interpretation due to textual gaps, broad phrasing, or conflicting provisions.</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G. Legislative Intent</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Court analyzed the true intent and policy of the lawmaking authority, ensuring that the statutory purpose is preserved and not defeated by erroneous administrative or private interpretations.</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H. Strict or Liberal Construction</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781E1E"/>
                <w:sz w:val="17"/>
              </w:rPr>
              <w:t xml:space="preserve"> [NOT APPLICABLE] </w:t>
            </w:r>
            <w:r>
              <w:rPr>
                <w:rFonts w:ascii="Calibri" w:hAnsi="Calibri"/>
                <w:color w:val="212529"/>
                <w:sz w:val="18"/>
              </w:rPr>
              <w:t>Not Applicable. The Court applied standard ordinary rules of statutory interpretation without resorting to special strict or liberal construction doctrines.</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I. Prospective or Retrospective Construction</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781E1E"/>
                <w:sz w:val="17"/>
              </w:rPr>
              <w:t xml:space="preserve"> [NOT APPLICABLE] </w:t>
            </w:r>
            <w:r>
              <w:rPr>
                <w:rFonts w:ascii="Calibri" w:hAnsi="Calibri"/>
                <w:color w:val="212529"/>
                <w:sz w:val="18"/>
              </w:rPr>
              <w:t>Not Applicable. The case involved only the contemporaneous, prospective application of the governing law.</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J. Statutory Construction vs. Judicial Legislation</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Court underscored the constitutional boundary of judicial power: Courts are empowered solely to interpret (jus dicere), not to enact or amend laws (jus dare). Supplying unwritten terms or expanding clear prohibitions constitutes prohibited judicial legislation.</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K. Legis Interpretatio Legis Vim Obtinet</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Under Article 8 of the Civil Code, the Supreme Court's authoritative interpretation of the statute forms part of the legal system of the Philippines and acquires the force of law (*legis interpretatio legis vim obtinet*).</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L. Extent and Limits of the Power to Construe</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Court respected the constitutional limits of its authority by applying the law as written and refusing to invade the legislative domain under the guise of equity or expediency.</w:t>
            </w:r>
          </w:p>
        </w:tc>
      </w:tr>
    </w:tbl>
    <w:p>
      <w:pPr>
        <w:keepNext/>
        <w:spacing w:before="240" w:after="60"/>
      </w:pPr>
      <w:r>
        <w:rPr>
          <w:rFonts w:ascii="Arial" w:hAnsi="Arial"/>
          <w:b/>
          <w:color w:val="0F2043"/>
          <w:sz w:val="21"/>
        </w:rPr>
        <w:t>VIII. OTHER CANONS OR METHODS OF CONSTRUCTION</w:t>
      </w:r>
    </w:p>
    <w:tbl>
      <w:tblPr>
        <w:tblW w:type="auto" w:w="0"/>
        <w:jc w:val="center"/>
        <w:tblLook w:firstColumn="1" w:firstRow="1" w:lastColumn="0" w:lastRow="0" w:noHBand="0" w:noVBand="1" w:val="04A0"/>
      </w:tblPr>
      <w:tblGrid>
        <w:gridCol w:w="9648"/>
      </w:tblGrid>
      <w:tr>
        <w:tc>
          <w:tcPr>
            <w:tcW w:type="dxa" w:w="9648"/>
            <w:shd w:fill="F8F9FB"/>
            <w:tcMar>
              <w:top w:w="100" w:type="dxa"/>
              <w:bottom w:w="100" w:type="dxa"/>
              <w:left w:w="160" w:type="dxa"/>
              <w:right w:w="160" w:type="dxa"/>
            </w:tcMar>
          </w:tcPr>
          <w:p>
            <w:pPr>
              <w:spacing w:before="20" w:after="40"/>
            </w:pPr>
            <w:r>
              <w:rPr>
                <w:rFonts w:ascii="Arial" w:hAnsi="Arial"/>
                <w:b/>
                <w:color w:val="0F2043"/>
                <w:sz w:val="19"/>
              </w:rPr>
              <w:t>Secondary Rules &amp; Canons Applied</w:t>
              <w:br/>
            </w:r>
          </w:p>
          <w:p>
            <w:pPr>
              <w:spacing w:before="20" w:after="40" w:line="276" w:lineRule="auto"/>
            </w:pPr>
            <w:r>
              <w:rPr>
                <w:rFonts w:ascii="Calibri" w:hAnsi="Calibri"/>
                <w:b/>
                <w:color w:val="212529"/>
                <w:sz w:val="19"/>
              </w:rPr>
              <w:t xml:space="preserve">• Canon / Maxim: </w:t>
            </w:r>
            <w:r>
              <w:rPr>
                <w:rFonts w:ascii="Calibri" w:hAnsi="Calibri"/>
                <w:color w:val="212529"/>
                <w:sz w:val="19"/>
              </w:rPr>
              <w:t>• Expressio unius est exclusio alterius (express enumeration excludes city judges)</w:t>
              <w:br/>
              <w:t>• Ratio legis est anima legis (anti-harassment intent of libel amendments)</w:t>
            </w:r>
          </w:p>
          <w:p>
            <w:pPr>
              <w:spacing w:before="20" w:after="40" w:line="276" w:lineRule="auto"/>
            </w:pPr>
            <w:r>
              <w:rPr>
                <w:rFonts w:ascii="Calibri" w:hAnsi="Calibri"/>
                <w:b/>
                <w:color w:val="212529"/>
                <w:sz w:val="19"/>
              </w:rPr>
              <w:t xml:space="preserve">• How Applied: </w:t>
            </w:r>
            <w:r>
              <w:rPr>
                <w:rFonts w:ascii="Calibri" w:hAnsi="Calibri"/>
                <w:color w:val="212529"/>
                <w:sz w:val="19"/>
              </w:rPr>
              <w:t>Applied as corroborative canons to reinforce the primary rule of construction.</w:t>
            </w:r>
          </w:p>
          <w:p>
            <w:pPr>
              <w:spacing w:before="20" w:after="40" w:line="276" w:lineRule="auto"/>
            </w:pPr>
            <w:r>
              <w:rPr>
                <w:rFonts w:ascii="Calibri" w:hAnsi="Calibri"/>
                <w:b/>
                <w:color w:val="212529"/>
                <w:sz w:val="19"/>
              </w:rPr>
              <w:t xml:space="preserve">• Effect on Interpretation: </w:t>
            </w:r>
            <w:r>
              <w:rPr>
                <w:rFonts w:ascii="Calibri" w:hAnsi="Calibri"/>
                <w:color w:val="212529"/>
                <w:sz w:val="19"/>
              </w:rPr>
              <w:t>Harmonized the statute and prevented an absurd or unjust result.</w:t>
            </w:r>
          </w:p>
        </w:tc>
      </w:tr>
    </w:tbl>
    <w:p>
      <w:pPr>
        <w:keepNext/>
        <w:spacing w:before="240" w:after="60"/>
      </w:pPr>
      <w:r>
        <w:rPr>
          <w:rFonts w:ascii="Arial" w:hAnsi="Arial"/>
          <w:b/>
          <w:color w:val="0F2043"/>
          <w:sz w:val="21"/>
        </w:rPr>
        <w:t>IX. THE CONSTRUCTION MADE BY THE COURT</w:t>
      </w:r>
    </w:p>
    <w:tbl>
      <w:tblPr>
        <w:tblW w:type="auto" w:w="0"/>
        <w:jc w:val="center"/>
        <w:tblLook w:firstColumn="1" w:firstRow="1" w:lastColumn="0" w:lastRow="0" w:noHBand="0" w:noVBand="1" w:val="04A0"/>
      </w:tblPr>
      <w:tblGrid>
        <w:gridCol w:w="9648"/>
      </w:tblGrid>
      <w:tr>
        <w:tc>
          <w:tcPr>
            <w:tcW w:type="dxa" w:w="9648"/>
            <w:shd w:fill="F9F8F5"/>
            <w:tcMar>
              <w:top w:w="100" w:type="dxa"/>
              <w:bottom w:w="100" w:type="dxa"/>
              <w:left w:w="160" w:type="dxa"/>
              <w:right w:w="160" w:type="dxa"/>
            </w:tcMar>
          </w:tcPr>
          <w:p>
            <w:pPr>
              <w:spacing w:before="20" w:after="40"/>
            </w:pPr>
            <w:r>
              <w:rPr>
                <w:rFonts w:ascii="Arial" w:hAnsi="Arial"/>
                <w:b/>
                <w:color w:val="0F2043"/>
                <w:sz w:val="19"/>
              </w:rPr>
              <w:t>Actual Judicial Construction &amp; Ratio</w:t>
              <w:br/>
            </w:r>
          </w:p>
          <w:p>
            <w:pPr>
              <w:spacing w:before="20" w:after="40" w:line="276" w:lineRule="auto"/>
            </w:pPr>
            <w:r>
              <w:rPr>
                <w:rFonts w:ascii="Calibri" w:hAnsi="Calibri"/>
                <w:b/>
                <w:color w:val="212529"/>
                <w:sz w:val="19"/>
              </w:rPr>
              <w:t xml:space="preserve">• Construction Summary: </w:t>
            </w:r>
            <w:r>
              <w:rPr>
                <w:rFonts w:ascii="Calibri" w:hAnsi="Calibri"/>
                <w:color w:val="212529"/>
                <w:sz w:val="19"/>
              </w:rPr>
              <w:t>The Court construed the disputed statutory provisions in Jose Escribano v. Hon. Bernardo Avila and City Fiscal of Cotabato to mean and apply strictly in accordance with Generalia specialibus non derogant, holding that No. Congress specifically amended the libel law to take preliminary investigation power away from local municipal judges. Under Generalia Specialibus Non Deroga.</w:t>
            </w:r>
          </w:p>
          <w:p>
            <w:pPr>
              <w:spacing w:before="20" w:after="40" w:line="276" w:lineRule="auto"/>
            </w:pPr>
            <w:r>
              <w:rPr>
                <w:rFonts w:ascii="Calibri" w:hAnsi="Calibri"/>
                <w:b/>
                <w:color w:val="212529"/>
                <w:sz w:val="19"/>
              </w:rPr>
              <w:t xml:space="preserve">• Principal Reasoning: </w:t>
            </w:r>
            <w:r>
              <w:rPr>
                <w:rFonts w:ascii="Calibri" w:hAnsi="Calibri"/>
                <w:color w:val="212529"/>
                <w:sz w:val="19"/>
              </w:rPr>
              <w:t>Congress passed RA 4363 because local mayors were using friendly municipal judges to harass and jail newspaper journalists. To stop this abuse, Congress made a special rule: only provincial/city prosecutors or RTC judges can investigate libel. That specific anti-harassment law controls over general court rules.</w:t>
            </w:r>
          </w:p>
        </w:tc>
      </w:tr>
    </w:tbl>
    <w:tbl>
      <w:tblPr>
        <w:tblW w:type="auto" w:w="0"/>
        <w:jc w:val="center"/>
        <w:tblLook w:firstColumn="1" w:firstRow="1" w:lastColumn="0" w:lastRow="0" w:noHBand="0" w:noVBand="1" w:val="04A0"/>
      </w:tblPr>
      <w:tblGrid>
        <w:gridCol w:w="9648"/>
      </w:tblGrid>
      <w:tr>
        <w:tc>
          <w:tcPr>
            <w:tcW w:type="dxa" w:w="9648"/>
            <w:shd w:fill="EEF6F0"/>
            <w:tcMar>
              <w:top w:w="100" w:type="dxa"/>
              <w:bottom w:w="100" w:type="dxa"/>
              <w:left w:w="160" w:type="dxa"/>
              <w:right w:w="160" w:type="dxa"/>
            </w:tcMar>
          </w:tcPr>
          <w:p>
            <w:pPr>
              <w:spacing w:before="20" w:after="40"/>
            </w:pPr>
            <w:r>
              <w:rPr>
                <w:rFonts w:ascii="Arial" w:hAnsi="Arial"/>
                <w:b/>
                <w:color w:val="0D6E4B"/>
                <w:sz w:val="19"/>
              </w:rPr>
              <w:t>X. STATUTORY CONSTRUCTION OR JUDICIAL LEGISLATION?</w:t>
              <w:br/>
            </w:r>
          </w:p>
          <w:p>
            <w:pPr>
              <w:spacing w:before="20" w:after="60"/>
            </w:pPr>
            <w:r>
              <w:rPr>
                <w:rFonts w:ascii="Arial" w:hAnsi="Arial"/>
                <w:b/>
                <w:color w:val="0F2043"/>
                <w:sz w:val="19"/>
              </w:rPr>
              <w:t>☑ Proper statutory construction    ☐ Judicial legislation    ☐ Debatable</w:t>
            </w:r>
          </w:p>
          <w:p>
            <w:pPr>
              <w:spacing w:before="40" w:after="40" w:line="276" w:lineRule="auto"/>
            </w:pPr>
            <w:r>
              <w:rPr>
                <w:rFonts w:ascii="Calibri" w:hAnsi="Calibri"/>
                <w:b/>
                <w:color w:val="212529"/>
                <w:sz w:val="19"/>
              </w:rPr>
              <w:t>Explanation (3–5 sentences):</w:t>
              <w:br/>
            </w:r>
            <w:r>
              <w:rPr>
                <w:rFonts w:ascii="Calibri" w:hAnsi="Calibri"/>
                <w:color w:val="212529"/>
                <w:sz w:val="19"/>
              </w:rPr>
              <w:t>The Supreme Court acted within the legitimate bounds of its constitutional power to interpret the law (jus dicere). By applying Generalia specialibus non derogant, the Court faithfully effectuated the legislative intent without creating new rules, modifying clear statutory text, or usurping congressional prerogative. The ruling reinforces the separation of powers and the doctrine that courts must enforce the law as enacted.</w:t>
            </w:r>
          </w:p>
        </w:tc>
      </w:tr>
    </w:tbl>
    <w:p>
      <w:pPr>
        <w:spacing w:before="80" w:after="40"/>
      </w:pPr>
    </w:p>
    <w:tbl>
      <w:tblPr>
        <w:tblW w:type="auto" w:w="0"/>
        <w:jc w:val="center"/>
        <w:tblLook w:firstColumn="1" w:firstRow="1" w:lastColumn="0" w:lastRow="0" w:noHBand="0" w:noVBand="1" w:val="04A0"/>
      </w:tblPr>
      <w:tblGrid>
        <w:gridCol w:w="9648"/>
      </w:tblGrid>
      <w:tr>
        <w:tc>
          <w:tcPr>
            <w:tcW w:type="dxa" w:w="9648"/>
            <w:shd w:fill="FBF6EE"/>
            <w:tcMar>
              <w:top w:w="100" w:type="dxa"/>
              <w:bottom w:w="100" w:type="dxa"/>
              <w:left w:w="160" w:type="dxa"/>
              <w:right w:w="160" w:type="dxa"/>
            </w:tcMar>
          </w:tcPr>
          <w:p>
            <w:pPr>
              <w:spacing w:before="20" w:after="40"/>
            </w:pPr>
            <w:r>
              <w:rPr>
                <w:rFonts w:ascii="Arial" w:hAnsi="Arial"/>
                <w:b/>
                <w:color w:val="8C3200"/>
                <w:sz w:val="19"/>
              </w:rPr>
              <w:t>XI. DOCTRINE (Statutory Construction Principle):</w:t>
              <w:br/>
            </w:r>
            <w:r>
              <w:rPr>
                <w:rFonts w:ascii="Calibri" w:hAnsi="Calibri"/>
                <w:color w:val="212529"/>
                <w:sz w:val="19"/>
              </w:rPr>
              <w:t>Special Penal Procedures Prevail Over General Charters: A specific statutory enactment establishing exclusive investigative officers for a particular crime controls over all general jurisdictional grants.</w:t>
              <w:br/>
              <w:br/>
            </w:r>
          </w:p>
          <w:p>
            <w:pPr>
              <w:spacing w:before="20" w:after="40"/>
            </w:pPr>
            <w:r>
              <w:rPr>
                <w:rFonts w:ascii="Arial" w:hAnsi="Arial"/>
                <w:b/>
                <w:color w:val="8C3200"/>
                <w:sz w:val="19"/>
              </w:rPr>
              <w:t>XII. ONE-SENTENCE TAKEAWAY:</w:t>
              <w:br/>
            </w:r>
            <w:r>
              <w:rPr>
                <w:rFonts w:ascii="Calibri" w:hAnsi="Calibri"/>
                <w:i/>
                <w:color w:val="212529"/>
                <w:sz w:val="19"/>
              </w:rPr>
              <w:t>This case is important in Statutory Construction because A special law passed to stop a specific evil always beats a general law that talks about court powers in general.</w:t>
            </w:r>
          </w:p>
        </w:tc>
      </w:tr>
    </w:tbl>
    <w:p>
      <w:r>
        <w:br w:type="page"/>
      </w:r>
    </w:p>
    <w:p>
      <w:pPr>
        <w:keepNext/>
        <w:spacing w:before="320" w:after="80"/>
      </w:pPr>
      <w:r>
        <w:rPr>
          <w:rFonts w:ascii="Arial" w:hAnsi="Arial"/>
          <w:b/>
          <w:color w:val="0F2043"/>
          <w:sz w:val="26"/>
        </w:rPr>
        <w:t>43. PEOPLE OF THE PHILIPPINES V. GUILLERMO MANANTAN</w:t>
      </w:r>
    </w:p>
    <w:p>
      <w:pPr>
        <w:spacing w:before="40" w:after="80" w:line="276" w:lineRule="auto"/>
      </w:pPr>
      <w:r>
        <w:rPr>
          <w:rFonts w:ascii="Calibri" w:hAnsi="Calibri"/>
          <w:b/>
          <w:color w:val="212529"/>
          <w:sz w:val="21"/>
        </w:rPr>
        <w:t xml:space="preserve">Citation: </w:t>
      </w:r>
      <w:r>
        <w:rPr>
          <w:rFonts w:ascii="Calibri" w:hAnsi="Calibri"/>
          <w:i/>
          <w:color w:val="212529"/>
          <w:sz w:val="21"/>
        </w:rPr>
        <w:t>G.R. No. L-14129 | July 31, 1962 | 5 SCRA 684 | En Banc | Ponente: J. Regala</w:t>
      </w:r>
    </w:p>
    <w:p>
      <w:pPr>
        <w:keepNext/>
        <w:spacing w:before="200" w:after="40"/>
      </w:pPr>
      <w:r>
        <w:rPr>
          <w:rFonts w:ascii="Arial" w:hAnsi="Arial"/>
          <w:b/>
          <w:color w:val="781E1E"/>
          <w:sz w:val="22"/>
        </w:rPr>
        <w:t>LAYER A: ALAC DIGEST, RECITATION SCRIPT &amp; STATCON ANALYSIS</w:t>
      </w:r>
    </w:p>
    <w:p>
      <w:pPr>
        <w:keepNext/>
        <w:spacing w:before="200" w:after="40"/>
      </w:pPr>
      <w:r>
        <w:rPr>
          <w:rFonts w:ascii="Arial" w:hAnsi="Arial"/>
          <w:b/>
          <w:color w:val="781E1E"/>
          <w:sz w:val="22"/>
        </w:rPr>
        <w:t>I. PARTIES &amp; PROCEDURAL BACKGROUND</w:t>
      </w:r>
    </w:p>
    <w:p>
      <w:pPr>
        <w:spacing w:before="40" w:after="80" w:line="276" w:lineRule="auto"/>
      </w:pPr>
      <w:r>
        <w:rPr>
          <w:rFonts w:ascii="Calibri" w:hAnsi="Calibri"/>
          <w:b/>
          <w:color w:val="212529"/>
          <w:sz w:val="21"/>
        </w:rPr>
        <w:t xml:space="preserve">• Plaintiff/Petitioner: </w:t>
      </w:r>
      <w:r>
        <w:rPr>
          <w:rFonts w:ascii="Calibri" w:hAnsi="Calibri"/>
          <w:i w:val="0"/>
          <w:color w:val="212529"/>
          <w:sz w:val="21"/>
        </w:rPr>
        <w:t>People of the Philippines (Appellant)</w:t>
      </w:r>
    </w:p>
    <w:p>
      <w:pPr>
        <w:spacing w:before="40" w:after="80" w:line="276" w:lineRule="auto"/>
      </w:pPr>
      <w:r>
        <w:rPr>
          <w:rFonts w:ascii="Calibri" w:hAnsi="Calibri"/>
          <w:b/>
          <w:color w:val="212529"/>
          <w:sz w:val="21"/>
        </w:rPr>
        <w:t xml:space="preserve">• Defendant/Respondent: </w:t>
      </w:r>
      <w:r>
        <w:rPr>
          <w:rFonts w:ascii="Calibri" w:hAnsi="Calibri"/>
          <w:i w:val="0"/>
          <w:color w:val="212529"/>
          <w:sz w:val="21"/>
        </w:rPr>
        <w:t>Guillermo Manantan (Appellee)</w:t>
      </w:r>
    </w:p>
    <w:p>
      <w:pPr>
        <w:spacing w:before="40" w:after="80" w:line="276" w:lineRule="auto"/>
      </w:pPr>
      <w:r>
        <w:rPr>
          <w:rFonts w:ascii="Calibri" w:hAnsi="Calibri"/>
          <w:b/>
          <w:color w:val="212529"/>
          <w:sz w:val="21"/>
        </w:rPr>
        <w:t xml:space="preserve">• Originating Court: </w:t>
      </w:r>
      <w:r>
        <w:rPr>
          <w:rFonts w:ascii="Calibri" w:hAnsi="Calibri"/>
          <w:i w:val="0"/>
          <w:color w:val="212529"/>
          <w:sz w:val="21"/>
        </w:rPr>
        <w:t>Court of First Instance of Pangasinan / Supreme Court En Banc</w:t>
      </w:r>
    </w:p>
    <w:p>
      <w:pPr>
        <w:spacing w:before="40" w:after="80" w:line="276" w:lineRule="auto"/>
      </w:pPr>
      <w:r>
        <w:rPr>
          <w:rFonts w:ascii="Calibri" w:hAnsi="Calibri"/>
          <w:b/>
          <w:color w:val="212529"/>
          <w:sz w:val="21"/>
        </w:rPr>
        <w:t xml:space="preserve">• Nature of the Action: </w:t>
      </w:r>
      <w:r>
        <w:rPr>
          <w:rFonts w:ascii="Calibri" w:hAnsi="Calibri"/>
          <w:i w:val="0"/>
          <w:color w:val="212529"/>
          <w:sz w:val="21"/>
        </w:rPr>
        <w:t>Appeal by the State from an order dismissing a criminal information for violation of Section 54 of the Revised Election Code (Electioneering by public officers).</w:t>
      </w:r>
    </w:p>
    <w:p>
      <w:pPr>
        <w:keepNext/>
        <w:spacing w:before="200" w:after="40"/>
      </w:pPr>
      <w:r>
        <w:rPr>
          <w:rFonts w:ascii="Arial" w:hAnsi="Arial"/>
          <w:b/>
          <w:color w:val="781E1E"/>
          <w:sz w:val="22"/>
        </w:rPr>
        <w:t>II. WHOLE FACTS</w:t>
      </w:r>
    </w:p>
    <w:p>
      <w:pPr>
        <w:spacing w:before="40" w:after="80" w:line="276" w:lineRule="auto"/>
      </w:pPr>
      <w:r>
        <w:rPr>
          <w:rFonts w:ascii="Calibri" w:hAnsi="Calibri"/>
          <w:i w:val="0"/>
          <w:color w:val="212529"/>
          <w:sz w:val="21"/>
        </w:rPr>
        <w:t>Guillermo Manantan, a Justice of the Peace (now Municipal Trial Court Judge) of Pangasinan, was criminally charged with illegal electioneering under Section 54 of the Revised Election Code, which prohibited 'any judge of first instance, justice of the peace, treasurer, or other public officer' from aiding any candidate. Manantan moved to dismiss the information, pointing out that in the earlier 1938 Election Code, the section explicitly included 'justice of the peace', but in Section 54 of the 1947 Revised Election Code, the legislature replaced the specific phrase with 'judge, fiscal, treasurer, etc.' Manantan argued that under Expressio Unius and Casus Omissus, the omission of the specific phrase 'justice of the peace' meant that justices of the peace were exempt from the electioneering ban.</w:t>
      </w:r>
    </w:p>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SUMMARY OF FACTS</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A municipal judge actively campaigned for a political candidate. When charged under the election law, he argued that while the old election law specifically listed 'justice of the peace', the new law replaced that phrase with the general word 'judge'. He claimed that under Expressio Unius and Casus Omissus, the disappearance of the exact words 'justice of the peace' meant municipal judges were free to campaign! The Supreme Court rejected this absurd excuse, holding that 'judge' is a broad term that includes all judges, and maxims cannot be used to defeat clear legislative intent.</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When reciting the facts, state the core dispute in 2 sentences, then state how the case reached the Supreme Court.</w:t>
            </w:r>
          </w:p>
        </w:tc>
      </w:tr>
    </w:tbl>
    <w:p>
      <w:pPr>
        <w:keepNext/>
        <w:spacing w:before="200" w:after="40"/>
      </w:pPr>
      <w:r>
        <w:rPr>
          <w:rFonts w:ascii="Arial" w:hAnsi="Arial"/>
          <w:b/>
          <w:color w:val="781E1E"/>
          <w:sz w:val="22"/>
        </w:rPr>
        <w:t>III. THE LEGAL ISSUE</w:t>
      </w:r>
    </w:p>
    <w:p>
      <w:pPr>
        <w:spacing w:before="40" w:after="80" w:line="276" w:lineRule="auto"/>
      </w:pPr>
      <w:r>
        <w:rPr>
          <w:rFonts w:ascii="Calibri" w:hAnsi="Calibri"/>
          <w:i w:val="0"/>
          <w:color w:val="212529"/>
          <w:sz w:val="21"/>
        </w:rPr>
        <w:t>Whether or not a Justice of the Peace is included within the term 'judge' in Section 54 of the Revised Election Code, and whether Casus Omissus and Expressio Unius apply to exempt him.</w:t>
      </w:r>
    </w:p>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THE LEGAL ISSUE</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Is a municipal trial judge included in the word 'judge' in the electioneering ban, or did the omission of the exact words 'justice of the peace' create a legal loophole?</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"Sir/Ma'am, the issue is whether a Justice of the Peace falls under the term 'judge' in Section 54 of the Revised Election Code, testing the proper limits of Casus Omissus and Expressio Unius Est Exclusio Alterius versus Legislative Intent (Ratio Legis)."</w:t>
            </w:r>
          </w:p>
        </w:tc>
      </w:tr>
    </w:tbl>
    <w:p>
      <w:pPr>
        <w:keepNext/>
        <w:spacing w:before="200" w:after="40"/>
      </w:pPr>
      <w:r>
        <w:rPr>
          <w:rFonts w:ascii="Arial" w:hAnsi="Arial"/>
          <w:b/>
          <w:color w:val="781E1E"/>
          <w:sz w:val="22"/>
        </w:rPr>
        <w:t>IV. ALAC DIGEST</w:t>
      </w:r>
    </w:p>
    <w:tbl>
      <w:tblPr>
        <w:tblW w:type="auto" w:w="0"/>
        <w:jc w:val="center"/>
        <w:tblLook w:firstColumn="1" w:firstRow="1" w:lastColumn="0" w:lastRow="0" w:noHBand="0" w:noVBand="1" w:val="04A0"/>
      </w:tblPr>
      <w:tblGrid>
        <w:gridCol w:w="9648"/>
      </w:tblGrid>
      <w:tr>
        <w:tc>
          <w:tcPr>
            <w:tcW w:type="dxa" w:w="9648"/>
            <w:shd w:fill="F4F6F9"/>
            <w:tcMar>
              <w:top w:w="120" w:type="dxa"/>
              <w:bottom w:w="120" w:type="dxa"/>
              <w:left w:w="180" w:type="dxa"/>
              <w:right w:w="180" w:type="dxa"/>
            </w:tcMar>
          </w:tcPr>
          <w:p>
            <w:pPr>
              <w:spacing w:before="40" w:after="60"/>
            </w:pPr>
            <w:r>
              <w:rPr>
                <w:rFonts w:ascii="Arial" w:hAnsi="Arial"/>
                <w:b/>
                <w:color w:val="0F2043"/>
                <w:sz w:val="21"/>
              </w:rPr>
              <w:t>[A] ANSWER</w:t>
              <w:br/>
            </w:r>
          </w:p>
          <w:p>
            <w:pPr>
              <w:spacing w:before="20" w:after="40" w:line="276" w:lineRule="auto"/>
            </w:pPr>
            <w:r>
              <w:rPr>
                <w:rFonts w:ascii="Calibri" w:hAnsi="Calibri"/>
                <w:color w:val="212529"/>
                <w:sz w:val="20"/>
              </w:rPr>
              <w:t>YES. A Justice of the Peace IS INCLUDED within the comprehensive term 'judge'. Expressio Unius and Casus Omissus CANNOT be applied to defeat the manifest legislative purpose of insulating the entire judiciary from partisan politics.</w:t>
            </w:r>
          </w:p>
        </w:tc>
      </w:tr>
    </w:tbl>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THE ANSWER</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Yes! A justice of the peace is obviously a judge. The legislature used the general word 'judge' to encompass ALL judges at every level. Maxims like Expressio Unius and Casus Omissus cannot be weaponized to defeat common sense and the soul of the law.</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"Yes, Sir/Ma'am. The Supreme Court held that 'judge' is a genus that includes Justices of the Peace. As Justice Regala established, Expressio unius est exclusio alterius and Casus Omissus are mere auxiliary aids that can never be used to defeat manifest legislative intent or create an absurd loophole in judicial neutrality."</w:t>
            </w:r>
          </w:p>
        </w:tc>
      </w:tr>
    </w:tbl>
    <w:tbl>
      <w:tblPr>
        <w:tblW w:type="auto" w:w="0"/>
        <w:jc w:val="center"/>
        <w:tblLook w:firstColumn="1" w:firstRow="1" w:lastColumn="0" w:lastRow="0" w:noHBand="0" w:noVBand="1" w:val="04A0"/>
      </w:tblPr>
      <w:tblGrid>
        <w:gridCol w:w="9648"/>
      </w:tblGrid>
      <w:tr>
        <w:tc>
          <w:tcPr>
            <w:tcW w:type="dxa" w:w="9648"/>
            <w:shd w:fill="F4F6F9"/>
            <w:tcMar>
              <w:top w:w="120" w:type="dxa"/>
              <w:bottom w:w="120" w:type="dxa"/>
              <w:left w:w="180" w:type="dxa"/>
              <w:right w:w="180" w:type="dxa"/>
            </w:tcMar>
          </w:tcPr>
          <w:p>
            <w:pPr>
              <w:spacing w:before="40" w:after="60"/>
            </w:pPr>
            <w:r>
              <w:rPr>
                <w:rFonts w:ascii="Arial" w:hAnsi="Arial"/>
                <w:b/>
                <w:color w:val="0F2043"/>
                <w:sz w:val="21"/>
              </w:rPr>
              <w:t>[L] LEGAL BASIS</w:t>
              <w:br/>
            </w:r>
          </w:p>
          <w:p>
            <w:pPr>
              <w:spacing w:before="20" w:after="40" w:line="276" w:lineRule="auto"/>
            </w:pPr>
            <w:r>
              <w:rPr>
                <w:rFonts w:ascii="Calibri" w:hAnsi="Calibri"/>
                <w:b/>
                <w:color w:val="212529"/>
                <w:sz w:val="20"/>
              </w:rPr>
              <w:t xml:space="preserve">1. Section 54, Republic Act No. 180 (Revised Election Code of 1947): </w:t>
            </w:r>
            <w:r>
              <w:rPr>
                <w:rFonts w:ascii="Calibri" w:hAnsi="Calibri"/>
                <w:color w:val="212529"/>
                <w:sz w:val="20"/>
              </w:rPr>
              <w:t>Prohibits judges, fiscals, treasurers, and police officers from engaging in partisan political activity.</w:t>
            </w:r>
          </w:p>
          <w:p>
            <w:pPr>
              <w:spacing w:before="20" w:after="40" w:line="276" w:lineRule="auto"/>
            </w:pPr>
            <w:r>
              <w:rPr>
                <w:rFonts w:ascii="Calibri" w:hAnsi="Calibri"/>
                <w:b/>
                <w:color w:val="212529"/>
                <w:sz w:val="20"/>
              </w:rPr>
              <w:t xml:space="preserve">2. Limits of Expressio Unius Est Exclusio Alterius (the express mention of one is the exclusion of another): </w:t>
            </w:r>
            <w:r>
              <w:rPr>
                <w:rFonts w:ascii="Calibri" w:hAnsi="Calibri"/>
                <w:color w:val="212529"/>
                <w:sz w:val="20"/>
              </w:rPr>
              <w:t>The maxim cannot be applied where the legislative intent to include the broader class is obvious.</w:t>
            </w:r>
          </w:p>
          <w:p>
            <w:pPr>
              <w:spacing w:before="20" w:after="40" w:line="276" w:lineRule="auto"/>
            </w:pPr>
            <w:r>
              <w:rPr>
                <w:rFonts w:ascii="Calibri" w:hAnsi="Calibri"/>
                <w:b/>
                <w:color w:val="212529"/>
                <w:sz w:val="20"/>
              </w:rPr>
              <w:t xml:space="preserve">3. Inapplicability of Casus Omissus (omitted case): </w:t>
            </w:r>
            <w:r>
              <w:rPr>
                <w:rFonts w:ascii="Calibri" w:hAnsi="Calibri"/>
                <w:color w:val="212529"/>
                <w:sz w:val="20"/>
              </w:rPr>
              <w:t>Casus Omissus applies only when the omission is clear; it does not apply when the legislature substitutes a broader generic term ('judge') for specific sub-categories.</w:t>
            </w:r>
          </w:p>
          <w:p>
            <w:pPr>
              <w:spacing w:before="20" w:after="40" w:line="276" w:lineRule="auto"/>
            </w:pPr>
            <w:r>
              <w:rPr>
                <w:rFonts w:ascii="Calibri" w:hAnsi="Calibri"/>
                <w:b/>
                <w:color w:val="212529"/>
                <w:sz w:val="20"/>
              </w:rPr>
              <w:t xml:space="preserve">4. Ratio Legis Est Anima Legis (the reason of the law is the soul of the law): </w:t>
            </w:r>
            <w:r>
              <w:rPr>
                <w:rFonts w:ascii="Calibri" w:hAnsi="Calibri"/>
                <w:color w:val="212529"/>
                <w:sz w:val="20"/>
              </w:rPr>
              <w:t>The purpose of the electioneering ban is absolute judicial neutrality.</w:t>
            </w:r>
          </w:p>
        </w:tc>
      </w:tr>
    </w:tbl>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LEGAL BASIS</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Section 54 RA 180, Limits of Expressio Unius and Casus Omissus, and Ratio Legis.</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"Sir/Ma'am, the legal basis is Section 54 of the Revised Election Code, interpreted through the rule on the Limits of Expressio Unius and Casus Omissus, subordinated to Ratio legis est anima legis (the reason of the law is its soul)."</w:t>
            </w:r>
          </w:p>
        </w:tc>
      </w:tr>
    </w:tbl>
    <w:tbl>
      <w:tblPr>
        <w:tblW w:type="auto" w:w="0"/>
        <w:jc w:val="center"/>
        <w:tblLook w:firstColumn="1" w:firstRow="1" w:lastColumn="0" w:lastRow="0" w:noHBand="0" w:noVBand="1" w:val="04A0"/>
      </w:tblPr>
      <w:tblGrid>
        <w:gridCol w:w="9648"/>
      </w:tblGrid>
      <w:tr>
        <w:tc>
          <w:tcPr>
            <w:tcW w:type="dxa" w:w="9648"/>
            <w:shd w:fill="F4F6F9"/>
            <w:tcMar>
              <w:top w:w="120" w:type="dxa"/>
              <w:bottom w:w="120" w:type="dxa"/>
              <w:left w:w="180" w:type="dxa"/>
              <w:right w:w="180" w:type="dxa"/>
            </w:tcMar>
          </w:tcPr>
          <w:p>
            <w:pPr>
              <w:spacing w:before="40" w:after="60"/>
            </w:pPr>
            <w:r>
              <w:rPr>
                <w:rFonts w:ascii="Arial" w:hAnsi="Arial"/>
                <w:b/>
                <w:color w:val="0F2043"/>
                <w:sz w:val="21"/>
              </w:rPr>
              <w:t>[A] ANALYSIS / APPLICATION</w:t>
              <w:br/>
            </w:r>
          </w:p>
          <w:p>
            <w:pPr>
              <w:spacing w:before="20" w:after="40" w:line="276" w:lineRule="auto"/>
            </w:pPr>
            <w:r>
              <w:rPr>
                <w:rFonts w:ascii="Calibri" w:hAnsi="Calibri"/>
                <w:b/>
                <w:color w:val="212529"/>
                <w:sz w:val="20"/>
              </w:rPr>
              <w:t xml:space="preserve">1. Legislative Evolution of Section 54: </w:t>
            </w:r>
            <w:r>
              <w:rPr>
                <w:rFonts w:ascii="Calibri" w:hAnsi="Calibri"/>
                <w:color w:val="212529"/>
                <w:sz w:val="20"/>
              </w:rPr>
              <w:t>The legislature did not intend to exempt justices of the peace. Instead, it simplified the statutory language by using the comprehensive term 'judge' to cover Judges of First Instance, Municipal Judges, and Justices of the Peace alike.</w:t>
            </w:r>
          </w:p>
          <w:p>
            <w:pPr>
              <w:spacing w:before="20" w:after="40" w:line="276" w:lineRule="auto"/>
            </w:pPr>
            <w:r>
              <w:rPr>
                <w:rFonts w:ascii="Calibri" w:hAnsi="Calibri"/>
                <w:b/>
                <w:color w:val="212529"/>
                <w:sz w:val="20"/>
              </w:rPr>
              <w:t xml:space="preserve">2. Auxiliary Nature of Interpretation Maxims: </w:t>
            </w:r>
            <w:r>
              <w:rPr>
                <w:rFonts w:ascii="Calibri" w:hAnsi="Calibri"/>
                <w:color w:val="212529"/>
                <w:sz w:val="20"/>
              </w:rPr>
              <w:t>Canons like Expressio Unius and Casus Omissus are servants of legislative intent, not its masters. They cannot be used to subvert the primary purpose of the statute.</w:t>
            </w:r>
          </w:p>
          <w:p>
            <w:pPr>
              <w:spacing w:before="20" w:after="40" w:line="276" w:lineRule="auto"/>
            </w:pPr>
            <w:r>
              <w:rPr>
                <w:rFonts w:ascii="Calibri" w:hAnsi="Calibri"/>
                <w:b/>
                <w:color w:val="212529"/>
                <w:sz w:val="20"/>
              </w:rPr>
              <w:t xml:space="preserve">3. Absurdity of Exempting Lower Judges: </w:t>
            </w:r>
            <w:r>
              <w:rPr>
                <w:rFonts w:ascii="Calibri" w:hAnsi="Calibri"/>
                <w:color w:val="212529"/>
                <w:sz w:val="20"/>
              </w:rPr>
              <w:t>It would be grotesque and absurd to prohibit high court judges from electioneering while allowing grassroots municipal judges—who interact daily with voters—to act as partisan political ward leaders.</w:t>
            </w:r>
          </w:p>
        </w:tc>
      </w:tr>
    </w:tbl>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ANALYSIS / APPLICATION</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Why would Congress ban high court judges from campaigning but allow local municipal judges to campaign? That would be completely absurd. The legislature changed the wording to 'judge' to cover every single judge in the country. Legal maxims cannot be used as clever tricks to destroy the purpose of the law.</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"Sir/Ma'am, the Court delivered a landmark ruling on the limits of statutory maxims. Canons like Expressio Unius are mere tools. Since the term 'judge' encompasses all judicial officers, Casus Omissus cannot be applied to manufacture an absurd exemption that destroys judicial impartiality."</w:t>
            </w:r>
          </w:p>
        </w:tc>
      </w:tr>
    </w:tbl>
    <w:tbl>
      <w:tblPr>
        <w:tblW w:type="auto" w:w="0"/>
        <w:jc w:val="center"/>
        <w:tblLook w:firstColumn="1" w:firstRow="1" w:lastColumn="0" w:lastRow="0" w:noHBand="0" w:noVBand="1" w:val="04A0"/>
      </w:tblPr>
      <w:tblGrid>
        <w:gridCol w:w="9648"/>
      </w:tblGrid>
      <w:tr>
        <w:tc>
          <w:tcPr>
            <w:tcW w:type="dxa" w:w="9648"/>
            <w:shd w:fill="F4F6F9"/>
            <w:tcMar>
              <w:top w:w="120" w:type="dxa"/>
              <w:bottom w:w="120" w:type="dxa"/>
              <w:left w:w="180" w:type="dxa"/>
              <w:right w:w="180" w:type="dxa"/>
            </w:tcMar>
          </w:tcPr>
          <w:p>
            <w:pPr>
              <w:spacing w:before="40" w:after="60"/>
            </w:pPr>
            <w:r>
              <w:rPr>
                <w:rFonts w:ascii="Arial" w:hAnsi="Arial"/>
                <w:b/>
                <w:color w:val="0F2043"/>
                <w:sz w:val="21"/>
              </w:rPr>
              <w:t>[C] CONCLUSION</w:t>
              <w:br/>
            </w:r>
          </w:p>
          <w:p>
            <w:pPr>
              <w:spacing w:before="20" w:after="40" w:line="276" w:lineRule="auto"/>
            </w:pPr>
            <w:r>
              <w:rPr>
                <w:rFonts w:ascii="Calibri" w:hAnsi="Calibri"/>
                <w:color w:val="212529"/>
                <w:sz w:val="20"/>
              </w:rPr>
              <w:t>The Supreme Court REVERSED the dismissal order, REINSTATED the criminal information against Justice of the Peace Guillermo Manantan, and REMANDED the case for trial.</w:t>
            </w:r>
          </w:p>
        </w:tc>
      </w:tr>
    </w:tbl>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CONCLUSION</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The dismissal was reversed and the judge was ordered to face criminal trial for illegal campaigning.</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"The Supreme Court reversed the dismissal, ruling that all judges, including justices of the peace, are barred from electioneering under Section 54."</w:t>
            </w:r>
          </w:p>
        </w:tc>
      </w:tr>
    </w:tbl>
    <w:p>
      <w:pPr>
        <w:keepNext/>
        <w:spacing w:before="200" w:after="40"/>
      </w:pPr>
      <w:r>
        <w:rPr>
          <w:rFonts w:ascii="Arial" w:hAnsi="Arial"/>
          <w:b/>
          <w:color w:val="781E1E"/>
          <w:sz w:val="22"/>
        </w:rPr>
        <w:t>V. RELATION TO STATUTORY CONSTRUCTION</w:t>
      </w:r>
    </w:p>
    <w:p>
      <w:pPr>
        <w:spacing w:before="40" w:after="80" w:line="276" w:lineRule="auto"/>
      </w:pPr>
      <w:r>
        <w:rPr>
          <w:rFonts w:ascii="Calibri" w:hAnsi="Calibri"/>
          <w:b/>
          <w:color w:val="212529"/>
          <w:sz w:val="21"/>
        </w:rPr>
        <w:t>• Syllabus Topic Alignment:</w:t>
        <w:br/>
      </w:r>
      <w:r>
        <w:rPr>
          <w:rFonts w:ascii="Calibri" w:hAnsi="Calibri"/>
          <w:i w:val="0"/>
          <w:color w:val="212529"/>
          <w:sz w:val="21"/>
        </w:rPr>
        <w:t>• Chapter III: Basic Guidelines in the Construction and Interpretation of Laws</w:t>
        <w:br/>
        <w:t xml:space="preserve">  - B. Considerations within the Statute: Subordination of Expressio Unius &amp; Casus Omissus to Legislative Intent</w:t>
      </w:r>
    </w:p>
    <w:tbl>
      <w:tblPr>
        <w:tblW w:type="auto" w:w="0"/>
        <w:jc w:val="center"/>
        <w:tblLook w:firstColumn="1" w:firstRow="1" w:lastColumn="0" w:lastRow="0" w:noHBand="0" w:noVBand="1" w:val="04A0"/>
      </w:tblPr>
      <w:tblGrid>
        <w:gridCol w:w="9648"/>
      </w:tblGrid>
      <w:tr>
        <w:tc>
          <w:tcPr>
            <w:tcW w:type="dxa" w:w="9648"/>
            <w:shd w:fill="FDF6EE"/>
            <w:tcMar>
              <w:top w:w="120" w:type="dxa"/>
              <w:bottom w:w="120" w:type="dxa"/>
              <w:left w:w="180" w:type="dxa"/>
              <w:right w:w="180" w:type="dxa"/>
            </w:tcMar>
          </w:tcPr>
          <w:p>
            <w:pPr>
              <w:spacing w:before="40" w:after="80"/>
            </w:pPr>
            <w:r>
              <w:rPr>
                <w:rFonts w:ascii="Arial" w:hAnsi="Arial"/>
                <w:b/>
                <w:color w:val="8C3200"/>
                <w:sz w:val="20"/>
              </w:rPr>
              <w:t>📜 GOVERNING LATIN MAXIMS WITH ENGLISH TRANSLATIONS</w:t>
              <w:br/>
            </w:r>
          </w:p>
          <w:p>
            <w:pPr>
              <w:spacing w:before="40" w:after="60" w:line="276" w:lineRule="auto"/>
            </w:pPr>
            <w:r>
              <w:rPr>
                <w:rFonts w:ascii="Calibri" w:hAnsi="Calibri"/>
                <w:b/>
                <w:color w:val="8C3200"/>
                <w:sz w:val="20"/>
              </w:rPr>
              <w:t>1. Ratio legis est anima legis (the reason of the law is the soul of the law)</w:t>
              <w:br/>
            </w:r>
            <w:r>
              <w:rPr>
                <w:rFonts w:ascii="Calibri" w:hAnsi="Calibri"/>
                <w:b/>
                <w:color w:val="212529"/>
                <w:sz w:val="19"/>
              </w:rPr>
              <w:t xml:space="preserve">   • Literal English Translation: </w:t>
            </w:r>
            <w:r>
              <w:rPr>
                <w:rFonts w:ascii="Calibri" w:hAnsi="Calibri"/>
                <w:i/>
                <w:color w:val="212529"/>
                <w:sz w:val="19"/>
              </w:rPr>
              <w:t>The reason of the law is the soul of the law.</w:t>
              <w:br/>
            </w:r>
            <w:r>
              <w:rPr>
                <w:rFonts w:ascii="Calibri" w:hAnsi="Calibri"/>
                <w:b/>
                <w:color w:val="212529"/>
                <w:sz w:val="19"/>
              </w:rPr>
              <w:t xml:space="preserve">   • Plain Legal Meaning &amp; StatCon Application: </w:t>
            </w:r>
            <w:r>
              <w:rPr>
                <w:rFonts w:ascii="Calibri" w:hAnsi="Calibri"/>
                <w:color w:val="212529"/>
                <w:sz w:val="19"/>
              </w:rPr>
              <w:t>The absolute policy of preserving judicial impartiality overrides formalistic linguistic arguments.</w:t>
            </w:r>
          </w:p>
          <w:p>
            <w:pPr>
              <w:spacing w:before="40" w:after="60" w:line="276" w:lineRule="auto"/>
            </w:pPr>
            <w:r>
              <w:rPr>
                <w:rFonts w:ascii="Calibri" w:hAnsi="Calibri"/>
                <w:b/>
                <w:color w:val="8C3200"/>
                <w:sz w:val="20"/>
              </w:rPr>
              <w:t>2. Expressio unius est exclusio alterius (the express mention of one thing is the exclusion of another)</w:t>
              <w:br/>
            </w:r>
            <w:r>
              <w:rPr>
                <w:rFonts w:ascii="Calibri" w:hAnsi="Calibri"/>
                <w:b/>
                <w:color w:val="212529"/>
                <w:sz w:val="19"/>
              </w:rPr>
              <w:t xml:space="preserve">   • Literal English Translation: </w:t>
            </w:r>
            <w:r>
              <w:rPr>
                <w:rFonts w:ascii="Calibri" w:hAnsi="Calibri"/>
                <w:i/>
                <w:color w:val="212529"/>
                <w:sz w:val="19"/>
              </w:rPr>
              <w:t>The express mention of one thing implies the exclusion of others.</w:t>
              <w:br/>
            </w:r>
            <w:r>
              <w:rPr>
                <w:rFonts w:ascii="Calibri" w:hAnsi="Calibri"/>
                <w:b/>
                <w:color w:val="212529"/>
                <w:sz w:val="19"/>
              </w:rPr>
              <w:t xml:space="preserve">   • Plain Legal Meaning &amp; StatCon Application: </w:t>
            </w:r>
            <w:r>
              <w:rPr>
                <w:rFonts w:ascii="Calibri" w:hAnsi="Calibri"/>
                <w:color w:val="212529"/>
                <w:sz w:val="19"/>
              </w:rPr>
              <w:t>The maxim is not a rigid rule of law and cannot defeat the manifest purpose of the legislature.</w:t>
            </w:r>
          </w:p>
          <w:p>
            <w:pPr>
              <w:spacing w:before="40" w:after="60" w:line="276" w:lineRule="auto"/>
            </w:pPr>
            <w:r>
              <w:rPr>
                <w:rFonts w:ascii="Calibri" w:hAnsi="Calibri"/>
                <w:b/>
                <w:color w:val="8C3200"/>
                <w:sz w:val="20"/>
              </w:rPr>
              <w:t>3. Casus omissus pro omisso habendus est (a person, object or thing omitted must be held to be intentionally omitted)</w:t>
              <w:br/>
            </w:r>
            <w:r>
              <w:rPr>
                <w:rFonts w:ascii="Calibri" w:hAnsi="Calibri"/>
                <w:b/>
                <w:color w:val="212529"/>
                <w:sz w:val="19"/>
              </w:rPr>
              <w:t xml:space="preserve">   • Literal English Translation: </w:t>
            </w:r>
            <w:r>
              <w:rPr>
                <w:rFonts w:ascii="Calibri" w:hAnsi="Calibri"/>
                <w:i/>
                <w:color w:val="212529"/>
                <w:sz w:val="19"/>
              </w:rPr>
              <w:t>A case omitted is to be held as intentionally omitted.</w:t>
              <w:br/>
            </w:r>
            <w:r>
              <w:rPr>
                <w:rFonts w:ascii="Calibri" w:hAnsi="Calibri"/>
                <w:b/>
                <w:color w:val="212529"/>
                <w:sz w:val="19"/>
              </w:rPr>
              <w:t xml:space="preserve">   • Plain Legal Meaning &amp; StatCon Application: </w:t>
            </w:r>
            <w:r>
              <w:rPr>
                <w:rFonts w:ascii="Calibri" w:hAnsi="Calibri"/>
                <w:color w:val="212529"/>
                <w:sz w:val="19"/>
              </w:rPr>
              <w:t>The doctrine cannot be applied where a generic term ('judge') was intended to absorb specific classifications.</w:t>
            </w:r>
          </w:p>
          <w:p>
            <w:pPr>
              <w:spacing w:before="40" w:after="60" w:line="276" w:lineRule="auto"/>
            </w:pPr>
            <w:r>
              <w:rPr>
                <w:rFonts w:ascii="Calibri" w:hAnsi="Calibri"/>
                <w:b/>
                <w:color w:val="8C3200"/>
                <w:sz w:val="20"/>
              </w:rPr>
              <w:t>4. Lex non intendit aliquid impossibile aut absurdum (the law does not intend anything impossible or absurd)</w:t>
              <w:br/>
            </w:r>
            <w:r>
              <w:rPr>
                <w:rFonts w:ascii="Calibri" w:hAnsi="Calibri"/>
                <w:b/>
                <w:color w:val="212529"/>
                <w:sz w:val="19"/>
              </w:rPr>
              <w:t xml:space="preserve">   • Literal English Translation: </w:t>
            </w:r>
            <w:r>
              <w:rPr>
                <w:rFonts w:ascii="Calibri" w:hAnsi="Calibri"/>
                <w:i/>
                <w:color w:val="212529"/>
                <w:sz w:val="19"/>
              </w:rPr>
              <w:t>The law does not intend anything impossible or absurd.</w:t>
              <w:br/>
            </w:r>
            <w:r>
              <w:rPr>
                <w:rFonts w:ascii="Calibri" w:hAnsi="Calibri"/>
                <w:b/>
                <w:color w:val="212529"/>
                <w:sz w:val="19"/>
              </w:rPr>
              <w:t xml:space="preserve">   • Plain Legal Meaning &amp; StatCon Application: </w:t>
            </w:r>
            <w:r>
              <w:rPr>
                <w:rFonts w:ascii="Calibri" w:hAnsi="Calibri"/>
                <w:color w:val="212529"/>
                <w:sz w:val="19"/>
              </w:rPr>
              <w:t>It is absurd to insulate superior judges from politics while freeing grassroots judges to electioneer.</w:t>
            </w:r>
          </w:p>
        </w:tc>
      </w:tr>
    </w:tbl>
    <w:tbl>
      <w:tblPr>
        <w:tblW w:type="auto" w:w="0"/>
        <w:jc w:val="center"/>
        <w:tblLook w:firstColumn="1" w:firstRow="1" w:lastColumn="0" w:lastRow="0" w:noHBand="0" w:noVBand="1" w:val="04A0"/>
      </w:tblPr>
      <w:tblGrid>
        <w:gridCol w:w="4824"/>
        <w:gridCol w:w="4824"/>
      </w:tblGrid>
      <w:tr>
        <w:tc>
          <w:tcPr>
            <w:tcW w:type="dxa" w:w="4824"/>
            <w:shd w:fill="EAEFF5"/>
            <w:tcMar>
              <w:top w:w="80" w:type="dxa"/>
              <w:bottom w:w="80" w:type="dxa"/>
              <w:left w:w="120" w:type="dxa"/>
              <w:right w:w="120" w:type="dxa"/>
            </w:tcMar>
          </w:tcPr>
          <w:p>
            <w:pPr>
              <w:spacing w:before="40" w:after="40"/>
            </w:pPr>
            <w:r>
              <w:rPr>
                <w:rFonts w:ascii="Arial" w:hAnsi="Arial"/>
                <w:b/>
                <w:color w:val="0F2043"/>
                <w:sz w:val="18"/>
              </w:rPr>
              <w:t>Syllabus Topic Alignment</w:t>
              <w:br/>
              <w:t>(StatCon_Syllabus_JPR.pdf)</w:t>
            </w:r>
          </w:p>
        </w:tc>
        <w:tc>
          <w:tcPr>
            <w:tcW w:type="dxa" w:w="4824"/>
            <w:shd w:fill="FAFAFA"/>
            <w:tcMar>
              <w:top w:w="80" w:type="dxa"/>
              <w:bottom w:w="80" w:type="dxa"/>
              <w:left w:w="120" w:type="dxa"/>
              <w:right w:w="120" w:type="dxa"/>
            </w:tcMar>
          </w:tcPr>
          <w:p>
            <w:pPr>
              <w:spacing w:before="40" w:after="40" w:line="276" w:lineRule="auto"/>
            </w:pPr>
            <w:r>
              <w:rPr>
                <w:rFonts w:ascii="Calibri" w:hAnsi="Calibri"/>
                <w:color w:val="212529"/>
                <w:sz w:val="19"/>
              </w:rPr>
              <w:t>• Chapter III: Basic Guidelines in the Construction and Interpretation of Laws</w:t>
              <w:br/>
              <w:t xml:space="preserve">  - B. Considerations within the Statute: Subordination of Expressio Unius &amp; Casus Omissus to Legislative Intent</w:t>
            </w:r>
          </w:p>
        </w:tc>
      </w:tr>
      <w:tr>
        <w:tc>
          <w:tcPr>
            <w:tcW w:type="dxa" w:w="4824"/>
            <w:shd w:fill="EAEFF5"/>
            <w:tcMar>
              <w:top w:w="80" w:type="dxa"/>
              <w:bottom w:w="80" w:type="dxa"/>
              <w:left w:w="120" w:type="dxa"/>
              <w:right w:w="120" w:type="dxa"/>
            </w:tcMar>
          </w:tcPr>
          <w:p>
            <w:pPr>
              <w:spacing w:before="40" w:after="40"/>
            </w:pPr>
            <w:r>
              <w:rPr>
                <w:rFonts w:ascii="Arial" w:hAnsi="Arial"/>
                <w:b/>
                <w:color w:val="0F2043"/>
                <w:sz w:val="18"/>
              </w:rPr>
              <w:t>Governing Latin Maxims &amp; English</w:t>
            </w:r>
          </w:p>
        </w:tc>
        <w:tc>
          <w:tcPr>
            <w:tcW w:type="dxa" w:w="4824"/>
            <w:shd w:fill="FAFAFA"/>
            <w:tcMar>
              <w:top w:w="80" w:type="dxa"/>
              <w:bottom w:w="80" w:type="dxa"/>
              <w:left w:w="120" w:type="dxa"/>
              <w:right w:w="120" w:type="dxa"/>
            </w:tcMar>
          </w:tcPr>
          <w:p>
            <w:pPr>
              <w:spacing w:before="40" w:after="40" w:line="276" w:lineRule="auto"/>
            </w:pPr>
            <w:r>
              <w:rPr>
                <w:rFonts w:ascii="Calibri" w:hAnsi="Calibri"/>
                <w:color w:val="212529"/>
                <w:sz w:val="19"/>
              </w:rPr>
              <w:t>Primary:</w:t>
              <w:br/>
              <w:t>Ratio legis est anima legis</w:t>
              <w:br/>
              <w:t>(the reason of the law is the soul of the law / statutory maxims like Expressio Unius and Casus Omissus must yield to legislative intent)</w:t>
              <w:br/>
              <w:br/>
              <w:t>Secondary:</w:t>
              <w:br/>
              <w:t>• Expressio unius est exclusio alterius (subordinated to statutory purpose)</w:t>
              <w:br/>
              <w:t>• Casus omissus pro omisso habendus est (inapplicable where generic term applies)</w:t>
              <w:br/>
              <w:t>• Lex non intendit absurdum (the law rejects absurd loopholes)</w:t>
            </w:r>
          </w:p>
        </w:tc>
      </w:tr>
      <w:tr>
        <w:tc>
          <w:tcPr>
            <w:tcW w:type="dxa" w:w="4824"/>
            <w:shd w:fill="EAEFF5"/>
            <w:tcMar>
              <w:top w:w="80" w:type="dxa"/>
              <w:bottom w:w="80" w:type="dxa"/>
              <w:left w:w="120" w:type="dxa"/>
              <w:right w:w="120" w:type="dxa"/>
            </w:tcMar>
          </w:tcPr>
          <w:p>
            <w:pPr>
              <w:spacing w:before="40" w:after="40"/>
            </w:pPr>
            <w:r>
              <w:rPr>
                <w:rFonts w:ascii="Arial" w:hAnsi="Arial"/>
                <w:b/>
                <w:color w:val="0F2043"/>
                <w:sz w:val="18"/>
              </w:rPr>
              <w:t>Case Violation in StatCon</w:t>
            </w:r>
          </w:p>
        </w:tc>
        <w:tc>
          <w:tcPr>
            <w:tcW w:type="dxa" w:w="4824"/>
            <w:shd w:fill="FAFAFA"/>
            <w:tcMar>
              <w:top w:w="80" w:type="dxa"/>
              <w:bottom w:w="80" w:type="dxa"/>
              <w:left w:w="120" w:type="dxa"/>
              <w:right w:w="120" w:type="dxa"/>
            </w:tcMar>
          </w:tcPr>
          <w:p>
            <w:pPr>
              <w:spacing w:before="40" w:after="40" w:line="276" w:lineRule="auto"/>
            </w:pPr>
            <w:r>
              <w:rPr>
                <w:rFonts w:ascii="Calibri" w:hAnsi="Calibri"/>
                <w:color w:val="212529"/>
                <w:sz w:val="19"/>
              </w:rPr>
              <w:t>The trial court allowed the defendant to use statutory construction maxims as mechanical loopholes to subvert the constitutional and statutory policy of judicial neutrality.</w:t>
            </w:r>
          </w:p>
        </w:tc>
      </w:tr>
      <w:tr>
        <w:tc>
          <w:tcPr>
            <w:tcW w:type="dxa" w:w="4824"/>
            <w:shd w:fill="EAEFF5"/>
            <w:tcMar>
              <w:top w:w="80" w:type="dxa"/>
              <w:bottom w:w="80" w:type="dxa"/>
              <w:left w:w="120" w:type="dxa"/>
              <w:right w:w="120" w:type="dxa"/>
            </w:tcMar>
          </w:tcPr>
          <w:p>
            <w:pPr>
              <w:spacing w:before="40" w:after="40"/>
            </w:pPr>
            <w:r>
              <w:rPr>
                <w:rFonts w:ascii="Arial" w:hAnsi="Arial"/>
                <w:b/>
                <w:color w:val="0F2043"/>
                <w:sz w:val="18"/>
              </w:rPr>
              <w:t>Doctrinal Execution / Principle</w:t>
            </w:r>
          </w:p>
        </w:tc>
        <w:tc>
          <w:tcPr>
            <w:tcW w:type="dxa" w:w="4824"/>
            <w:shd w:fill="FAFAFA"/>
            <w:tcMar>
              <w:top w:w="80" w:type="dxa"/>
              <w:bottom w:w="80" w:type="dxa"/>
              <w:left w:w="120" w:type="dxa"/>
              <w:right w:w="120" w:type="dxa"/>
            </w:tcMar>
          </w:tcPr>
          <w:p>
            <w:pPr>
              <w:spacing w:before="40" w:after="40" w:line="276" w:lineRule="auto"/>
            </w:pPr>
            <w:r>
              <w:rPr>
                <w:rFonts w:ascii="Calibri" w:hAnsi="Calibri"/>
                <w:color w:val="212529"/>
                <w:sz w:val="19"/>
              </w:rPr>
              <w:t>Subordination of Maxims to Legislative Purpose: Canons of statutory construction are mere aids to discover legislative intent; they must never be applied rigidly to defeat the obvious purpose of the enactment.</w:t>
            </w:r>
          </w:p>
        </w:tc>
      </w:tr>
    </w:tbl>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RELATION TO STATUTORY CONSTRUCTION</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Legal maxims are just helping tools; they cannot be used like magic spells to create ridiculous loopholes that ruin the purpose of the law.</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"Sir/Ma'am, People v. Manantan is the premier landmark case on the subordination of Expressio Unius and Casus Omissus to Ratio Legis—maxims cannot defeat legislative intent."</w:t>
            </w:r>
          </w:p>
        </w:tc>
      </w:tr>
    </w:tbl>
    <w:p>
      <w:pPr>
        <w:spacing w:before="160" w:after="80"/>
      </w:pPr>
    </w:p>
    <w:tbl>
      <w:tblPr>
        <w:tblW w:type="auto" w:w="0"/>
        <w:jc w:val="center"/>
        <w:tblLook w:firstColumn="1" w:firstRow="1" w:lastColumn="0" w:lastRow="0" w:noHBand="0" w:noVBand="1" w:val="04A0"/>
      </w:tblPr>
      <w:tblGrid>
        <w:gridCol w:w="9648"/>
      </w:tblGrid>
      <w:tr>
        <w:tc>
          <w:tcPr>
            <w:tcW w:type="dxa" w:w="9648"/>
            <w:shd w:fill="1E3A5F"/>
            <w:tcMar>
              <w:top w:w="140" w:type="dxa"/>
              <w:bottom w:w="140" w:type="dxa"/>
              <w:left w:w="200" w:type="dxa"/>
              <w:right w:w="200" w:type="dxa"/>
            </w:tcMar>
          </w:tcPr>
          <w:p>
            <w:pPr>
              <w:spacing w:before="40" w:after="40"/>
              <w:jc w:val="center"/>
            </w:pPr>
            <w:r>
              <w:rPr>
                <w:rFonts w:ascii="Arial" w:hAnsi="Arial"/>
                <w:b/>
                <w:color w:val="FFD700"/>
                <w:sz w:val="22"/>
              </w:rPr>
              <w:t>⚖ STANDARDIZED CASE DIGEST: STATUTORY CONSTRUCTION FORMAT</w:t>
              <w:br/>
            </w:r>
            <w:r>
              <w:rPr>
                <w:rFonts w:ascii="Arial" w:hAnsi="Arial"/>
                <w:i/>
                <w:color w:val="DCEBFF"/>
                <w:sz w:val="18"/>
              </w:rPr>
              <w:t>(Complete 12-Section Academic &amp; Judicial Construction Analysis)</w:t>
            </w:r>
          </w:p>
        </w:tc>
      </w:tr>
    </w:tbl>
    <w:p>
      <w:pPr>
        <w:spacing w:before="80" w:after="80"/>
      </w:pPr>
    </w:p>
    <w:tbl>
      <w:tblPr>
        <w:tblW w:type="auto" w:w="0"/>
        <w:jc w:val="center"/>
        <w:tblLook w:firstColumn="1" w:firstRow="1" w:lastColumn="0" w:lastRow="0" w:noHBand="0" w:noVBand="1" w:val="04A0"/>
      </w:tblPr>
      <w:tblGrid>
        <w:gridCol w:w="4824"/>
        <w:gridCol w:w="4824"/>
      </w:tblGrid>
      <w:tr>
        <w:tc>
          <w:tcPr>
            <w:tcW w:type="dxa" w:w="4824"/>
            <w:shd w:fill="EBF0F7"/>
            <w:tcMar>
              <w:top w:w="60" w:type="dxa"/>
              <w:bottom w:w="60" w:type="dxa"/>
              <w:left w:w="120" w:type="dxa"/>
              <w:right w:w="120" w:type="dxa"/>
            </w:tcMar>
          </w:tcPr>
          <w:p>
            <w:pPr>
              <w:spacing w:before="20" w:after="20"/>
            </w:pPr>
            <w:r>
              <w:rPr>
                <w:rFonts w:ascii="Arial" w:hAnsi="Arial"/>
                <w:b/>
                <w:color w:val="0F2043"/>
                <w:sz w:val="19"/>
              </w:rPr>
              <w:t>Case Title:</w:t>
            </w:r>
          </w:p>
        </w:tc>
        <w:tc>
          <w:tcPr>
            <w:tcW w:type="dxa" w:w="4824"/>
            <w:shd w:fill="FAFCFF"/>
            <w:tcMar>
              <w:top w:w="60" w:type="dxa"/>
              <w:bottom w:w="60" w:type="dxa"/>
              <w:left w:w="120" w:type="dxa"/>
              <w:right w:w="120" w:type="dxa"/>
            </w:tcMar>
          </w:tcPr>
          <w:p>
            <w:pPr>
              <w:spacing w:before="20" w:after="20"/>
            </w:pPr>
            <w:r>
              <w:rPr>
                <w:rFonts w:ascii="Calibri" w:hAnsi="Calibri"/>
                <w:b/>
                <w:color w:val="212529"/>
                <w:sz w:val="19"/>
              </w:rPr>
              <w:t>People of the Philippines v. Guillermo Manantan</w:t>
            </w:r>
          </w:p>
        </w:tc>
      </w:tr>
      <w:tr>
        <w:tc>
          <w:tcPr>
            <w:tcW w:type="dxa" w:w="4824"/>
            <w:shd w:fill="EBF0F7"/>
            <w:tcMar>
              <w:top w:w="60" w:type="dxa"/>
              <w:bottom w:w="60" w:type="dxa"/>
              <w:left w:w="120" w:type="dxa"/>
              <w:right w:w="120" w:type="dxa"/>
            </w:tcMar>
          </w:tcPr>
          <w:p>
            <w:pPr>
              <w:spacing w:before="20" w:after="20"/>
            </w:pPr>
            <w:r>
              <w:rPr>
                <w:rFonts w:ascii="Arial" w:hAnsi="Arial"/>
                <w:b/>
                <w:color w:val="0F2043"/>
                <w:sz w:val="19"/>
              </w:rPr>
              <w:t>G.R. No. / Record:</w:t>
            </w:r>
          </w:p>
        </w:tc>
        <w:tc>
          <w:tcPr>
            <w:tcW w:type="dxa" w:w="4824"/>
            <w:shd w:fill="FAFCFF"/>
            <w:tcMar>
              <w:top w:w="60" w:type="dxa"/>
              <w:bottom w:w="60" w:type="dxa"/>
              <w:left w:w="120" w:type="dxa"/>
              <w:right w:w="120" w:type="dxa"/>
            </w:tcMar>
          </w:tcPr>
          <w:p>
            <w:pPr>
              <w:spacing w:before="20" w:after="20"/>
            </w:pPr>
            <w:r>
              <w:rPr>
                <w:rFonts w:ascii="Calibri" w:hAnsi="Calibri"/>
                <w:b w:val="0"/>
                <w:color w:val="212529"/>
                <w:sz w:val="19"/>
              </w:rPr>
              <w:t>G.R. No. L-14129</w:t>
            </w:r>
          </w:p>
        </w:tc>
      </w:tr>
      <w:tr>
        <w:tc>
          <w:tcPr>
            <w:tcW w:type="dxa" w:w="4824"/>
            <w:shd w:fill="EBF0F7"/>
            <w:tcMar>
              <w:top w:w="60" w:type="dxa"/>
              <w:bottom w:w="60" w:type="dxa"/>
              <w:left w:w="120" w:type="dxa"/>
              <w:right w:w="120" w:type="dxa"/>
            </w:tcMar>
          </w:tcPr>
          <w:p>
            <w:pPr>
              <w:spacing w:before="20" w:after="20"/>
            </w:pPr>
            <w:r>
              <w:rPr>
                <w:rFonts w:ascii="Arial" w:hAnsi="Arial"/>
                <w:b/>
                <w:color w:val="0F2043"/>
                <w:sz w:val="19"/>
              </w:rPr>
              <w:t>Date of Promulgation:</w:t>
            </w:r>
          </w:p>
        </w:tc>
        <w:tc>
          <w:tcPr>
            <w:tcW w:type="dxa" w:w="4824"/>
            <w:shd w:fill="FAFCFF"/>
            <w:tcMar>
              <w:top w:w="60" w:type="dxa"/>
              <w:bottom w:w="60" w:type="dxa"/>
              <w:left w:w="120" w:type="dxa"/>
              <w:right w:w="120" w:type="dxa"/>
            </w:tcMar>
          </w:tcPr>
          <w:p>
            <w:pPr>
              <w:spacing w:before="20" w:after="20"/>
            </w:pPr>
            <w:r>
              <w:rPr>
                <w:rFonts w:ascii="Calibri" w:hAnsi="Calibri"/>
                <w:b w:val="0"/>
                <w:color w:val="212529"/>
                <w:sz w:val="19"/>
              </w:rPr>
              <w:t>July 31, 1962</w:t>
            </w:r>
          </w:p>
        </w:tc>
      </w:tr>
      <w:tr>
        <w:tc>
          <w:tcPr>
            <w:tcW w:type="dxa" w:w="4824"/>
            <w:shd w:fill="EBF0F7"/>
            <w:tcMar>
              <w:top w:w="60" w:type="dxa"/>
              <w:bottom w:w="60" w:type="dxa"/>
              <w:left w:w="120" w:type="dxa"/>
              <w:right w:w="120" w:type="dxa"/>
            </w:tcMar>
          </w:tcPr>
          <w:p>
            <w:pPr>
              <w:spacing w:before="20" w:after="20"/>
            </w:pPr>
            <w:r>
              <w:rPr>
                <w:rFonts w:ascii="Arial" w:hAnsi="Arial"/>
                <w:b/>
                <w:color w:val="0F2043"/>
                <w:sz w:val="19"/>
              </w:rPr>
              <w:t>Ponente / Court:</w:t>
            </w:r>
          </w:p>
        </w:tc>
        <w:tc>
          <w:tcPr>
            <w:tcW w:type="dxa" w:w="4824"/>
            <w:shd w:fill="FAFCFF"/>
            <w:tcMar>
              <w:top w:w="60" w:type="dxa"/>
              <w:bottom w:w="60" w:type="dxa"/>
              <w:left w:w="120" w:type="dxa"/>
              <w:right w:w="120" w:type="dxa"/>
            </w:tcMar>
          </w:tcPr>
          <w:p>
            <w:pPr>
              <w:spacing w:before="20" w:after="20"/>
            </w:pPr>
            <w:r>
              <w:rPr>
                <w:rFonts w:ascii="Calibri" w:hAnsi="Calibri"/>
                <w:b w:val="0"/>
                <w:color w:val="212529"/>
                <w:sz w:val="19"/>
              </w:rPr>
              <w:t>En Banc</w:t>
            </w:r>
          </w:p>
        </w:tc>
      </w:tr>
    </w:tbl>
    <w:p>
      <w:pPr>
        <w:keepNext/>
        <w:spacing w:before="240" w:after="60"/>
      </w:pPr>
      <w:r>
        <w:rPr>
          <w:rFonts w:ascii="Arial" w:hAnsi="Arial"/>
          <w:b/>
          <w:color w:val="0F2043"/>
          <w:sz w:val="21"/>
        </w:rPr>
        <w:t>I. FACTS OF THE CASE</w:t>
      </w:r>
    </w:p>
    <w:tbl>
      <w:tblPr>
        <w:tblW w:type="auto" w:w="0"/>
        <w:jc w:val="center"/>
        <w:tblLook w:firstColumn="1" w:firstRow="1" w:lastColumn="0" w:lastRow="0" w:noHBand="0" w:noVBand="1" w:val="04A0"/>
      </w:tblPr>
      <w:tblGrid>
        <w:gridCol w:w="9648"/>
      </w:tblGrid>
      <w:tr>
        <w:tc>
          <w:tcPr>
            <w:tcW w:type="dxa" w:w="9648"/>
            <w:shd w:fill="F8F9FB"/>
            <w:tcMar>
              <w:top w:w="100" w:type="dxa"/>
              <w:bottom w:w="100" w:type="dxa"/>
              <w:left w:w="160" w:type="dxa"/>
              <w:right w:w="160" w:type="dxa"/>
            </w:tcMar>
          </w:tcPr>
          <w:p>
            <w:pPr>
              <w:spacing w:before="20" w:after="40"/>
            </w:pPr>
            <w:r>
              <w:rPr>
                <w:rFonts w:ascii="Arial" w:hAnsi="Arial"/>
                <w:b/>
                <w:color w:val="0F2043"/>
                <w:sz w:val="19"/>
              </w:rPr>
              <w:t>Material Facts of Controversy</w:t>
              <w:br/>
            </w:r>
          </w:p>
          <w:p>
            <w:pPr>
              <w:spacing w:before="20" w:after="40" w:line="276" w:lineRule="auto"/>
            </w:pPr>
            <w:r>
              <w:rPr>
                <w:rFonts w:ascii="Calibri" w:hAnsi="Calibri"/>
                <w:color w:val="212529"/>
                <w:sz w:val="19"/>
              </w:rPr>
              <w:t>Guillermo Manantan, a Justice of the Peace (now Municipal Trial Court Judge) of Pangasinan, was criminally charged with illegal electioneering under Section 54 of the Revised Election Code, which prohibited 'any judge of first instance, justice of the peace, treasurer, or other public officer' from aiding any candidate. Manantan moved to dismiss the information, pointing out that in the earlier 1938 Election Code, the section explicitly included 'justice of the peace', but in Section 54 of the 1947 Revised Election Code, the legislature replaced the specific phrase with 'judge, fiscal, treasurer, etc.' Manantan argued that under Expressio Unius and Casus Omissus, the omission of the specific phrase 'justice of the peace' meant that justices of the peace were exempt from the electioneering ban.</w:t>
            </w:r>
          </w:p>
        </w:tc>
      </w:tr>
    </w:tbl>
    <w:p>
      <w:pPr>
        <w:keepNext/>
        <w:spacing w:before="240" w:after="60"/>
      </w:pPr>
      <w:r>
        <w:rPr>
          <w:rFonts w:ascii="Arial" w:hAnsi="Arial"/>
          <w:b/>
          <w:color w:val="0F2043"/>
          <w:sz w:val="21"/>
        </w:rPr>
        <w:t>II. FACTS RELEVANT TO STATUTORY CONSTRUCTION</w:t>
      </w:r>
    </w:p>
    <w:tbl>
      <w:tblPr>
        <w:tblW w:type="auto" w:w="0"/>
        <w:jc w:val="center"/>
        <w:tblLook w:firstColumn="1" w:firstRow="1" w:lastColumn="0" w:lastRow="0" w:noHBand="0" w:noVBand="1" w:val="04A0"/>
      </w:tblPr>
      <w:tblGrid>
        <w:gridCol w:w="9648"/>
      </w:tblGrid>
      <w:tr>
        <w:tc>
          <w:tcPr>
            <w:tcW w:type="dxa" w:w="9648"/>
            <w:shd w:fill="F8F9FB"/>
            <w:tcMar>
              <w:top w:w="100" w:type="dxa"/>
              <w:bottom w:w="100" w:type="dxa"/>
              <w:left w:w="160" w:type="dxa"/>
              <w:right w:w="160" w:type="dxa"/>
            </w:tcMar>
          </w:tcPr>
          <w:p>
            <w:pPr>
              <w:spacing w:before="20" w:after="40"/>
            </w:pPr>
            <w:r>
              <w:rPr>
                <w:rFonts w:ascii="Arial" w:hAnsi="Arial"/>
                <w:b/>
                <w:color w:val="0F2043"/>
                <w:sz w:val="19"/>
              </w:rPr>
              <w:t>Facts Giving Rise to Need for Interpretation</w:t>
              <w:br/>
            </w:r>
          </w:p>
          <w:p>
            <w:pPr>
              <w:spacing w:before="20" w:after="40" w:line="276" w:lineRule="auto"/>
            </w:pPr>
            <w:r>
              <w:rPr>
                <w:rFonts w:ascii="Calibri" w:hAnsi="Calibri"/>
                <w:b/>
                <w:color w:val="212529"/>
                <w:sz w:val="19"/>
              </w:rPr>
              <w:t xml:space="preserve">• What provision of law or rule became relevant? </w:t>
            </w:r>
            <w:r>
              <w:rPr>
                <w:rFonts w:ascii="Calibri" w:hAnsi="Calibri"/>
                <w:color w:val="212529"/>
                <w:sz w:val="19"/>
              </w:rPr>
              <w:t>1. Section 54, Republic Act No. 180 (Revised Election Code of 1947): Prohibits judges, fiscals, treasurers, and police officers from engaging in partisan political activity.</w:t>
              <w:br/>
              <w:t>2. Limits of Expressio Unius Est Exclusio Alterius (the express mention of one is the exclusion of another): The maxim cannot be applied where the legislative intent to include the broader class is obvious.</w:t>
            </w:r>
          </w:p>
          <w:p>
            <w:pPr>
              <w:spacing w:before="20" w:after="40" w:line="276" w:lineRule="auto"/>
            </w:pPr>
            <w:r>
              <w:rPr>
                <w:rFonts w:ascii="Calibri" w:hAnsi="Calibri"/>
                <w:b/>
                <w:color w:val="212529"/>
                <w:sz w:val="19"/>
              </w:rPr>
              <w:t xml:space="preserve">• What circumstance made interpretation necessary? </w:t>
            </w:r>
            <w:r>
              <w:rPr>
                <w:rFonts w:ascii="Calibri" w:hAnsi="Calibri"/>
                <w:color w:val="212529"/>
                <w:sz w:val="19"/>
              </w:rPr>
              <w:t>The trial court allowed the defendant to use statutory construction maxims as mechanical loopholes to subvert the constitutional and statutory policy of judicial neutrality.</w:t>
            </w:r>
          </w:p>
          <w:p>
            <w:pPr>
              <w:spacing w:before="20" w:after="40" w:line="276" w:lineRule="auto"/>
            </w:pPr>
            <w:r>
              <w:rPr>
                <w:rFonts w:ascii="Calibri" w:hAnsi="Calibri"/>
                <w:b/>
                <w:color w:val="212529"/>
                <w:sz w:val="19"/>
              </w:rPr>
              <w:t xml:space="preserve">• What competing interpretations were presented? </w:t>
            </w:r>
            <w:r>
              <w:rPr>
                <w:rFonts w:ascii="Calibri" w:hAnsi="Calibri"/>
                <w:color w:val="212529"/>
                <w:sz w:val="19"/>
              </w:rPr>
              <w:t>Petitioner argued for a favorable interpretation based on statutory intent, while Respondent contended for a literal or restrictive application.</w:t>
            </w:r>
          </w:p>
        </w:tc>
      </w:tr>
    </w:tbl>
    <w:p>
      <w:pPr>
        <w:keepNext/>
        <w:spacing w:before="240" w:after="60"/>
      </w:pPr>
      <w:r>
        <w:rPr>
          <w:rFonts w:ascii="Arial" w:hAnsi="Arial"/>
          <w:b/>
          <w:color w:val="0F2043"/>
          <w:sz w:val="21"/>
        </w:rPr>
        <w:t>III. ISSUES</w:t>
      </w:r>
    </w:p>
    <w:p>
      <w:pPr>
        <w:keepNext/>
        <w:spacing w:before="120" w:after="40"/>
      </w:pPr>
      <w:r>
        <w:rPr>
          <w:rFonts w:ascii="Arial" w:hAnsi="Arial"/>
          <w:b/>
          <w:color w:val="781E1E"/>
          <w:sz w:val="20"/>
        </w:rPr>
        <w:t>A. General Legal Issues</w:t>
      </w:r>
    </w:p>
    <w:p>
      <w:pPr>
        <w:spacing w:before="40" w:after="80" w:line="276" w:lineRule="auto"/>
      </w:pPr>
      <w:r>
        <w:rPr>
          <w:rFonts w:ascii="Calibri" w:hAnsi="Calibri"/>
          <w:i w:val="0"/>
          <w:color w:val="212529"/>
          <w:sz w:val="21"/>
        </w:rPr>
        <w:t>Whether or not a Justice of the Peace is included within the term 'judge' in Section 54 of the Revised Election Code, and whether Casus Omissus and Expressio Unius apply to exempt him.</w:t>
      </w:r>
    </w:p>
    <w:p>
      <w:pPr>
        <w:keepNext/>
        <w:spacing w:before="120" w:after="40"/>
      </w:pPr>
      <w:r>
        <w:rPr>
          <w:rFonts w:ascii="Arial" w:hAnsi="Arial"/>
          <w:b/>
          <w:color w:val="781E1E"/>
          <w:sz w:val="20"/>
        </w:rPr>
        <w:t>B. Statutory-Construction Issue/s</w:t>
      </w:r>
    </w:p>
    <w:tbl>
      <w:tblPr>
        <w:tblW w:type="auto" w:w="0"/>
        <w:jc w:val="center"/>
        <w:tblLook w:firstColumn="1" w:firstRow="1" w:lastColumn="0" w:lastRow="0" w:noHBand="0" w:noVBand="1" w:val="04A0"/>
      </w:tblPr>
      <w:tblGrid>
        <w:gridCol w:w="9648"/>
      </w:tblGrid>
      <w:tr>
        <w:tc>
          <w:tcPr>
            <w:tcW w:type="dxa" w:w="9648"/>
            <w:shd w:fill="EBF3FA"/>
            <w:tcMar>
              <w:top w:w="100" w:type="dxa"/>
              <w:bottom w:w="100" w:type="dxa"/>
              <w:left w:w="160" w:type="dxa"/>
              <w:right w:w="160" w:type="dxa"/>
            </w:tcMar>
          </w:tcPr>
          <w:p>
            <w:pPr>
              <w:spacing w:before="20" w:after="40"/>
            </w:pPr>
            <w:r>
              <w:rPr>
                <w:rFonts w:ascii="Arial" w:hAnsi="Arial"/>
                <w:b/>
                <w:color w:val="0F2043"/>
                <w:sz w:val="19"/>
              </w:rPr>
              <w:t>Standardized StatCon Issue Statement</w:t>
              <w:br/>
            </w:r>
          </w:p>
          <w:p>
            <w:pPr>
              <w:spacing w:before="20" w:after="40" w:line="276" w:lineRule="auto"/>
            </w:pPr>
            <w:r>
              <w:rPr>
                <w:rFonts w:ascii="Calibri" w:hAnsi="Calibri"/>
                <w:color w:val="212529"/>
                <w:sz w:val="19"/>
              </w:rPr>
              <w:t>Whether the subject statutory act, classification, or terminology under the governing statute/rule means, includes, or applies to the factual controversy in People of the Philippines v. Guillermo Manantan, under the canon of Ratio legis est anima legis.</w:t>
            </w:r>
          </w:p>
        </w:tc>
      </w:tr>
    </w:tbl>
    <w:p>
      <w:pPr>
        <w:keepNext/>
        <w:spacing w:before="240" w:after="60"/>
      </w:pPr>
      <w:r>
        <w:rPr>
          <w:rFonts w:ascii="Arial" w:hAnsi="Arial"/>
          <w:b/>
          <w:color w:val="0F2043"/>
          <w:sz w:val="21"/>
        </w:rPr>
        <w:t>IV. PROVISION/S OF LAW CONSTRUED</w:t>
      </w:r>
    </w:p>
    <w:tbl>
      <w:tblPr>
        <w:tblW w:type="auto" w:w="0"/>
        <w:jc w:val="center"/>
        <w:tblLook w:firstColumn="1" w:firstRow="1" w:lastColumn="0" w:lastRow="0" w:noHBand="0" w:noVBand="1" w:val="04A0"/>
      </w:tblPr>
      <w:tblGrid>
        <w:gridCol w:w="9648"/>
      </w:tblGrid>
      <w:tr>
        <w:tc>
          <w:tcPr>
            <w:tcW w:type="dxa" w:w="9648"/>
            <w:shd w:fill="F8F9FB"/>
            <w:tcMar>
              <w:top w:w="100" w:type="dxa"/>
              <w:bottom w:w="100" w:type="dxa"/>
              <w:left w:w="160" w:type="dxa"/>
              <w:right w:w="160" w:type="dxa"/>
            </w:tcMar>
          </w:tcPr>
          <w:p>
            <w:pPr>
              <w:spacing w:before="20" w:after="40"/>
            </w:pPr>
            <w:r>
              <w:rPr>
                <w:rFonts w:ascii="Arial" w:hAnsi="Arial"/>
                <w:b/>
                <w:color w:val="0F2043"/>
                <w:sz w:val="19"/>
              </w:rPr>
              <w:t>Statutory / Constitutional Text &amp; Problem</w:t>
              <w:br/>
            </w:r>
          </w:p>
          <w:p>
            <w:pPr>
              <w:spacing w:before="20" w:after="40" w:line="276" w:lineRule="auto"/>
            </w:pPr>
            <w:r>
              <w:rPr>
                <w:rFonts w:ascii="Calibri" w:hAnsi="Calibri"/>
                <w:b/>
                <w:color w:val="212529"/>
                <w:sz w:val="19"/>
              </w:rPr>
              <w:t xml:space="preserve">• Quoted Provision: </w:t>
            </w:r>
            <w:r>
              <w:rPr>
                <w:rFonts w:ascii="Calibri" w:hAnsi="Calibri"/>
                <w:color w:val="212529"/>
                <w:sz w:val="19"/>
              </w:rPr>
              <w:t>1. Section 54, Republic Act No. 180 (Revised Election Code of 1947): Prohibits judges, fiscals, treasurers, and police officers from engaging in partisan political activity.</w:t>
              <w:br/>
              <w:t>2. Limits of Expressio Unius Est Exclusio Alterius (the express mention of one is the exclusion of another): The maxim cannot be applied where the legislative intent to include the broader class is obvious.</w:t>
            </w:r>
          </w:p>
          <w:p>
            <w:pPr>
              <w:spacing w:before="20" w:after="40" w:line="276" w:lineRule="auto"/>
            </w:pPr>
            <w:r>
              <w:rPr>
                <w:rFonts w:ascii="Calibri" w:hAnsi="Calibri"/>
                <w:b/>
                <w:color w:val="212529"/>
                <w:sz w:val="19"/>
              </w:rPr>
              <w:t xml:space="preserve">• Interpretive Problem: </w:t>
            </w:r>
            <w:r>
              <w:rPr>
                <w:rFonts w:ascii="Calibri" w:hAnsi="Calibri"/>
                <w:color w:val="212529"/>
                <w:sz w:val="19"/>
              </w:rPr>
              <w:t>The statute explicitly enumerates specific items or exceptions, raising whether non-enumerated items are excluded by necessary implication.</w:t>
            </w:r>
          </w:p>
        </w:tc>
      </w:tr>
    </w:tbl>
    <w:p>
      <w:pPr>
        <w:keepNext/>
        <w:spacing w:before="240" w:after="60"/>
      </w:pPr>
      <w:r>
        <w:rPr>
          <w:rFonts w:ascii="Arial" w:hAnsi="Arial"/>
          <w:b/>
          <w:color w:val="0F2043"/>
          <w:sz w:val="21"/>
        </w:rPr>
        <w:t>V. RULING OF THE SUPREME COURT</w:t>
      </w:r>
    </w:p>
    <w:p>
      <w:pPr>
        <w:keepNext/>
        <w:spacing w:before="120" w:after="40"/>
      </w:pPr>
      <w:r>
        <w:rPr>
          <w:rFonts w:ascii="Arial" w:hAnsi="Arial"/>
          <w:b/>
          <w:color w:val="781E1E"/>
          <w:sz w:val="20"/>
        </w:rPr>
        <w:t>A. General Ruling</w:t>
      </w:r>
    </w:p>
    <w:p>
      <w:pPr>
        <w:spacing w:before="40" w:after="80" w:line="276" w:lineRule="auto"/>
      </w:pPr>
      <w:r>
        <w:rPr>
          <w:rFonts w:ascii="Calibri" w:hAnsi="Calibri"/>
          <w:i w:val="0"/>
          <w:color w:val="212529"/>
          <w:sz w:val="21"/>
        </w:rPr>
        <w:t>The Supreme Court REVERSED the dismissal order, REINSTATED the criminal information against Justice of the Peace Guillermo Manantan, and REMANDED the case for trial.</w:t>
      </w:r>
    </w:p>
    <w:p>
      <w:pPr>
        <w:keepNext/>
        <w:spacing w:before="120" w:after="40"/>
      </w:pPr>
      <w:r>
        <w:rPr>
          <w:rFonts w:ascii="Arial" w:hAnsi="Arial"/>
          <w:b/>
          <w:color w:val="781E1E"/>
          <w:sz w:val="20"/>
        </w:rPr>
        <w:t>B. Ruling on the Statutory-Construction Issue</w:t>
      </w:r>
    </w:p>
    <w:tbl>
      <w:tblPr>
        <w:tblW w:type="auto" w:w="0"/>
        <w:jc w:val="center"/>
        <w:tblLook w:firstColumn="1" w:firstRow="1" w:lastColumn="0" w:lastRow="0" w:noHBand="0" w:noVBand="1" w:val="04A0"/>
      </w:tblPr>
      <w:tblGrid>
        <w:gridCol w:w="9648"/>
      </w:tblGrid>
      <w:tr>
        <w:tc>
          <w:tcPr>
            <w:tcW w:type="dxa" w:w="9648"/>
            <w:shd w:fill="F4FAF5"/>
            <w:tcMar>
              <w:top w:w="100" w:type="dxa"/>
              <w:bottom w:w="100" w:type="dxa"/>
              <w:left w:w="160" w:type="dxa"/>
              <w:right w:w="160" w:type="dxa"/>
            </w:tcMar>
          </w:tcPr>
          <w:p>
            <w:pPr>
              <w:spacing w:before="20" w:after="40"/>
            </w:pPr>
            <w:r>
              <w:rPr>
                <w:rFonts w:ascii="Arial" w:hAnsi="Arial"/>
                <w:b/>
                <w:color w:val="0F2043"/>
                <w:sz w:val="19"/>
              </w:rPr>
              <w:t>Statutory Meaning Established by Court</w:t>
              <w:br/>
            </w:r>
          </w:p>
          <w:p>
            <w:pPr>
              <w:spacing w:before="20" w:after="40" w:line="276" w:lineRule="auto"/>
            </w:pPr>
            <w:r>
              <w:rPr>
                <w:rFonts w:ascii="Calibri" w:hAnsi="Calibri"/>
                <w:color w:val="212529"/>
                <w:sz w:val="19"/>
              </w:rPr>
              <w:t>YES. A Justice of the Peace IS INCLUDED within the comprehensive term 'judge'. Expressio Unius and Casus Omissus CANNOT be applied to defeat the manifest legislative purpose of insulating the entire judiciary from partisan politics.</w:t>
            </w:r>
          </w:p>
        </w:tc>
      </w:tr>
    </w:tbl>
    <w:p>
      <w:pPr>
        <w:keepNext/>
        <w:spacing w:before="240" w:after="60"/>
      </w:pPr>
      <w:r>
        <w:rPr>
          <w:rFonts w:ascii="Arial" w:hAnsi="Arial"/>
          <w:b/>
          <w:color w:val="0F2043"/>
          <w:sz w:val="21"/>
        </w:rPr>
        <w:t>VI. HOW THE COURT CONSTRUED THE LAW</w:t>
      </w:r>
    </w:p>
    <w:tbl>
      <w:tblPr>
        <w:tblW w:type="auto" w:w="0"/>
        <w:jc w:val="center"/>
        <w:tblLook w:firstColumn="1" w:firstRow="1" w:lastColumn="0" w:lastRow="0" w:noHBand="0" w:noVBand="1" w:val="04A0"/>
      </w:tblPr>
      <w:tblGrid>
        <w:gridCol w:w="9648"/>
      </w:tblGrid>
      <w:tr>
        <w:tc>
          <w:tcPr>
            <w:tcW w:type="dxa" w:w="9648"/>
            <w:shd w:fill="F8F9FB"/>
            <w:tcMar>
              <w:top w:w="100" w:type="dxa"/>
              <w:bottom w:w="100" w:type="dxa"/>
              <w:left w:w="160" w:type="dxa"/>
              <w:right w:w="160" w:type="dxa"/>
            </w:tcMar>
          </w:tcPr>
          <w:p>
            <w:pPr>
              <w:spacing w:before="20" w:after="40"/>
            </w:pPr>
            <w:r>
              <w:rPr>
                <w:rFonts w:ascii="Arial" w:hAnsi="Arial"/>
                <w:b/>
                <w:color w:val="0F2043"/>
                <w:sz w:val="19"/>
              </w:rPr>
              <w:t>Methodological &amp; Doctrinal Analysis</w:t>
              <w:br/>
            </w:r>
          </w:p>
          <w:p>
            <w:pPr>
              <w:spacing w:before="20" w:after="40" w:line="276" w:lineRule="auto"/>
            </w:pPr>
            <w:r>
              <w:rPr>
                <w:rFonts w:ascii="Calibri" w:hAnsi="Calibri"/>
                <w:b/>
                <w:color w:val="212529"/>
                <w:sz w:val="19"/>
              </w:rPr>
              <w:t xml:space="preserve">A. Why Was Construction Necessary? </w:t>
            </w:r>
            <w:r>
              <w:rPr>
                <w:rFonts w:ascii="Calibri" w:hAnsi="Calibri"/>
                <w:color w:val="212529"/>
                <w:sz w:val="19"/>
              </w:rPr>
              <w:t>Ambiguity in the application and scope of the statute: The trial court allowed the defendant to use statutory construction maxims as mechanical loopholes to subvert the constitutional and statuto.</w:t>
            </w:r>
          </w:p>
          <w:p>
            <w:pPr>
              <w:spacing w:before="20" w:after="40" w:line="276" w:lineRule="auto"/>
            </w:pPr>
            <w:r>
              <w:rPr>
                <w:rFonts w:ascii="Calibri" w:hAnsi="Calibri"/>
                <w:b/>
                <w:color w:val="212529"/>
                <w:sz w:val="19"/>
              </w:rPr>
              <w:t xml:space="preserve">B. Purpose of Construction: </w:t>
            </w:r>
            <w:r>
              <w:rPr>
                <w:rFonts w:ascii="Calibri" w:hAnsi="Calibri"/>
                <w:color w:val="212529"/>
                <w:sz w:val="19"/>
              </w:rPr>
              <w:t>To ascertain and give full effect to the true intent, spirit, and purpose of the lawmaking body.</w:t>
            </w:r>
          </w:p>
          <w:p>
            <w:pPr>
              <w:spacing w:before="20" w:after="40" w:line="276" w:lineRule="auto"/>
            </w:pPr>
            <w:r>
              <w:rPr>
                <w:rFonts w:ascii="Calibri" w:hAnsi="Calibri"/>
                <w:b/>
                <w:color w:val="212529"/>
                <w:sz w:val="19"/>
              </w:rPr>
              <w:t xml:space="preserve">C. Method, Canon, or Rule Applied: </w:t>
            </w:r>
            <w:r>
              <w:rPr>
                <w:rFonts w:ascii="Calibri" w:hAnsi="Calibri"/>
                <w:color w:val="212529"/>
                <w:sz w:val="19"/>
              </w:rPr>
              <w:t>Ratio legis est anima legis</w:t>
              <w:br/>
              <w:t xml:space="preserve">   - Application: Subordination of Maxims to Legislative Purpose: Canons of statutory construction are mere aids to discover legislative intent; they must never be applied rigidly to defeat the obvious purpose of the enactment.</w:t>
              <w:br/>
              <w:t xml:space="preserve">   - Result: Yes! A justice of the peace is obviously a judge. The legislature used the general word 'judge' to encompass ALL judges at every level. Maxims like Expressio Unius and Casus Omissus cannot be weaponized to defeat common sense and the soul of the law.</w:t>
            </w:r>
          </w:p>
          <w:p>
            <w:pPr>
              <w:spacing w:before="20" w:after="40" w:line="276" w:lineRule="auto"/>
            </w:pPr>
            <w:r>
              <w:rPr>
                <w:rFonts w:ascii="Calibri" w:hAnsi="Calibri"/>
                <w:b/>
                <w:color w:val="212529"/>
                <w:sz w:val="19"/>
              </w:rPr>
              <w:t xml:space="preserve">D. Other Sources Used: </w:t>
            </w:r>
            <w:r>
              <w:rPr>
                <w:rFonts w:ascii="Calibri" w:hAnsi="Calibri"/>
                <w:color w:val="212529"/>
                <w:sz w:val="19"/>
              </w:rPr>
              <w:t>Ordinary meaning of words, statute considered as a whole, legislative history, and established Supreme Court jurisprudence.</w:t>
            </w:r>
          </w:p>
        </w:tc>
      </w:tr>
    </w:tbl>
    <w:p>
      <w:pPr>
        <w:keepNext/>
        <w:spacing w:before="240" w:after="60"/>
      </w:pPr>
      <w:r>
        <w:rPr>
          <w:rFonts w:ascii="Arial" w:hAnsi="Arial"/>
          <w:b/>
          <w:color w:val="0F2043"/>
          <w:sz w:val="21"/>
        </w:rPr>
        <w:t>VII. RELEVANT STATUTORY-CONSTRUCTION CONCEPTS (A–L EVALUATION)</w:t>
      </w:r>
    </w:p>
    <w:tbl>
      <w:tblPr>
        <w:tblW w:type="auto" w:w="0"/>
        <w:jc w:val="center"/>
        <w:tblLook w:firstColumn="1" w:firstRow="1" w:lastColumn="0" w:lastRow="0" w:noHBand="0" w:noVBand="1" w:val="04A0"/>
      </w:tblPr>
      <w:tblGrid>
        <w:gridCol w:w="4824"/>
        <w:gridCol w:w="4824"/>
      </w:tblGrid>
      <w:tr>
        <w:tc>
          <w:tcPr>
            <w:tcW w:type="dxa" w:w="4824"/>
            <w:shd w:fill="EBF0F8"/>
            <w:tcMar>
              <w:top w:w="70" w:type="dxa"/>
              <w:bottom w:w="70" w:type="dxa"/>
              <w:left w:w="100" w:type="dxa"/>
              <w:right w:w="100" w:type="dxa"/>
            </w:tcMar>
          </w:tcPr>
          <w:p>
            <w:pPr>
              <w:spacing w:before="20" w:after="20"/>
            </w:pPr>
            <w:r>
              <w:rPr>
                <w:rFonts w:ascii="Arial" w:hAnsi="Arial"/>
                <w:b/>
                <w:color w:val="0F2043"/>
                <w:sz w:val="18"/>
              </w:rPr>
              <w:t>A. Situs of Statutory Construction</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Supreme Court of the Philippines, exercising its constitutional judicial power under Article VIII of the Constitution, serves as the ultimate situs and final arbiter for interpreting and construing the disputed provision.</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B. Purpose of Statutory Construction</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purpose of construction is to discover and effectuate the true legislative intent and will of the lawmaking body, preventing injustice and ensuring the statute operates harmoniously.</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C. When to Construe</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Construction became imperative because the text contained an ambiguity, competing interpretations, or conflicting statutory provisions that required judicial determination of legislative intent.</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D. Ambiguity or Vagueness</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controversy centered on the ambiguity, silence, or conflicting scope of the statutory language, which the Court resolved by examining legislative intent and governing maxims.</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E. Verba Legis Non Est Recedendum</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781E1E"/>
                <w:sz w:val="17"/>
              </w:rPr>
              <w:t xml:space="preserve"> [NOT APPLICABLE] </w:t>
            </w:r>
            <w:r>
              <w:rPr>
                <w:rFonts w:ascii="Calibri" w:hAnsi="Calibri"/>
                <w:color w:val="212529"/>
                <w:sz w:val="18"/>
              </w:rPr>
              <w:t>Not Applicable. The Court looked beyond literal words to discover the underlying legislative spirit, context, and intent.</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F. Absoluta Sententia Expositore Non Indigent</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781E1E"/>
                <w:sz w:val="17"/>
              </w:rPr>
              <w:t xml:space="preserve"> [NOT APPLICABLE] </w:t>
            </w:r>
            <w:r>
              <w:rPr>
                <w:rFonts w:ascii="Calibri" w:hAnsi="Calibri"/>
                <w:color w:val="212529"/>
                <w:sz w:val="18"/>
              </w:rPr>
              <w:t>Not Applicable. The statutory language required expository interpretation due to textual gaps, broad phrasing, or conflicting provisions.</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G. Legislative Intent</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Court analyzed the true intent and policy of the lawmaking authority, ensuring that the statutory purpose is preserved and not defeated by erroneous administrative or private interpretations.</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H. Strict or Liberal Construction</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781E1E"/>
                <w:sz w:val="17"/>
              </w:rPr>
              <w:t xml:space="preserve"> [NOT APPLICABLE] </w:t>
            </w:r>
            <w:r>
              <w:rPr>
                <w:rFonts w:ascii="Calibri" w:hAnsi="Calibri"/>
                <w:color w:val="212529"/>
                <w:sz w:val="18"/>
              </w:rPr>
              <w:t>Not Applicable. The Court applied standard ordinary rules of statutory interpretation without resorting to special strict or liberal construction doctrines.</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I. Prospective or Retrospective Construction</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781E1E"/>
                <w:sz w:val="17"/>
              </w:rPr>
              <w:t xml:space="preserve"> [NOT APPLICABLE] </w:t>
            </w:r>
            <w:r>
              <w:rPr>
                <w:rFonts w:ascii="Calibri" w:hAnsi="Calibri"/>
                <w:color w:val="212529"/>
                <w:sz w:val="18"/>
              </w:rPr>
              <w:t>Not Applicable. The case involved only the contemporaneous, prospective application of the governing law.</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J. Statutory Construction vs. Judicial Legislation</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Court underscored the constitutional boundary of judicial power: Courts are empowered solely to interpret (jus dicere), not to enact or amend laws (jus dare). Supplying unwritten terms or expanding clear prohibitions constitutes prohibited judicial legislation.</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K. Legis Interpretatio Legis Vim Obtinet</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Under Article 8 of the Civil Code, the Supreme Court's authoritative interpretation of the statute forms part of the legal system of the Philippines and acquires the force of law (*legis interpretatio legis vim obtinet*).</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L. Extent and Limits of the Power to Construe</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Court respected the constitutional limits of its authority by applying the law as written and refusing to invade the legislative domain under the guise of equity or expediency.</w:t>
            </w:r>
          </w:p>
        </w:tc>
      </w:tr>
    </w:tbl>
    <w:p>
      <w:pPr>
        <w:keepNext/>
        <w:spacing w:before="240" w:after="60"/>
      </w:pPr>
      <w:r>
        <w:rPr>
          <w:rFonts w:ascii="Arial" w:hAnsi="Arial"/>
          <w:b/>
          <w:color w:val="0F2043"/>
          <w:sz w:val="21"/>
        </w:rPr>
        <w:t>VIII. OTHER CANONS OR METHODS OF CONSTRUCTION</w:t>
      </w:r>
    </w:p>
    <w:tbl>
      <w:tblPr>
        <w:tblW w:type="auto" w:w="0"/>
        <w:jc w:val="center"/>
        <w:tblLook w:firstColumn="1" w:firstRow="1" w:lastColumn="0" w:lastRow="0" w:noHBand="0" w:noVBand="1" w:val="04A0"/>
      </w:tblPr>
      <w:tblGrid>
        <w:gridCol w:w="9648"/>
      </w:tblGrid>
      <w:tr>
        <w:tc>
          <w:tcPr>
            <w:tcW w:type="dxa" w:w="9648"/>
            <w:shd w:fill="F8F9FB"/>
            <w:tcMar>
              <w:top w:w="100" w:type="dxa"/>
              <w:bottom w:w="100" w:type="dxa"/>
              <w:left w:w="160" w:type="dxa"/>
              <w:right w:w="160" w:type="dxa"/>
            </w:tcMar>
          </w:tcPr>
          <w:p>
            <w:pPr>
              <w:spacing w:before="20" w:after="40"/>
            </w:pPr>
            <w:r>
              <w:rPr>
                <w:rFonts w:ascii="Arial" w:hAnsi="Arial"/>
                <w:b/>
                <w:color w:val="0F2043"/>
                <w:sz w:val="19"/>
              </w:rPr>
              <w:t>Secondary Rules &amp; Canons Applied</w:t>
              <w:br/>
            </w:r>
          </w:p>
          <w:p>
            <w:pPr>
              <w:spacing w:before="20" w:after="40" w:line="276" w:lineRule="auto"/>
            </w:pPr>
            <w:r>
              <w:rPr>
                <w:rFonts w:ascii="Calibri" w:hAnsi="Calibri"/>
                <w:b/>
                <w:color w:val="212529"/>
                <w:sz w:val="19"/>
              </w:rPr>
              <w:t xml:space="preserve">• Canon / Maxim: </w:t>
            </w:r>
            <w:r>
              <w:rPr>
                <w:rFonts w:ascii="Calibri" w:hAnsi="Calibri"/>
                <w:color w:val="212529"/>
                <w:sz w:val="19"/>
              </w:rPr>
              <w:t>• Expressio unius est exclusio alterius (subordinated to statutory purpose)</w:t>
              <w:br/>
              <w:t>• Casus omissus pro omisso habendus est (inapplicable where generic term applies)</w:t>
              <w:br/>
              <w:t>• Lex non intendit absurdum (the law rejects absurd loopholes)</w:t>
            </w:r>
          </w:p>
          <w:p>
            <w:pPr>
              <w:spacing w:before="20" w:after="40" w:line="276" w:lineRule="auto"/>
            </w:pPr>
            <w:r>
              <w:rPr>
                <w:rFonts w:ascii="Calibri" w:hAnsi="Calibri"/>
                <w:b/>
                <w:color w:val="212529"/>
                <w:sz w:val="19"/>
              </w:rPr>
              <w:t xml:space="preserve">• How Applied: </w:t>
            </w:r>
            <w:r>
              <w:rPr>
                <w:rFonts w:ascii="Calibri" w:hAnsi="Calibri"/>
                <w:color w:val="212529"/>
                <w:sz w:val="19"/>
              </w:rPr>
              <w:t>Applied as corroborative canons to reinforce the primary rule of construction.</w:t>
            </w:r>
          </w:p>
          <w:p>
            <w:pPr>
              <w:spacing w:before="20" w:after="40" w:line="276" w:lineRule="auto"/>
            </w:pPr>
            <w:r>
              <w:rPr>
                <w:rFonts w:ascii="Calibri" w:hAnsi="Calibri"/>
                <w:b/>
                <w:color w:val="212529"/>
                <w:sz w:val="19"/>
              </w:rPr>
              <w:t xml:space="preserve">• Effect on Interpretation: </w:t>
            </w:r>
            <w:r>
              <w:rPr>
                <w:rFonts w:ascii="Calibri" w:hAnsi="Calibri"/>
                <w:color w:val="212529"/>
                <w:sz w:val="19"/>
              </w:rPr>
              <w:t>Harmonized the statute and prevented an absurd or unjust result.</w:t>
            </w:r>
          </w:p>
        </w:tc>
      </w:tr>
    </w:tbl>
    <w:p>
      <w:pPr>
        <w:keepNext/>
        <w:spacing w:before="240" w:after="60"/>
      </w:pPr>
      <w:r>
        <w:rPr>
          <w:rFonts w:ascii="Arial" w:hAnsi="Arial"/>
          <w:b/>
          <w:color w:val="0F2043"/>
          <w:sz w:val="21"/>
        </w:rPr>
        <w:t>IX. THE CONSTRUCTION MADE BY THE COURT</w:t>
      </w:r>
    </w:p>
    <w:tbl>
      <w:tblPr>
        <w:tblW w:type="auto" w:w="0"/>
        <w:jc w:val="center"/>
        <w:tblLook w:firstColumn="1" w:firstRow="1" w:lastColumn="0" w:lastRow="0" w:noHBand="0" w:noVBand="1" w:val="04A0"/>
      </w:tblPr>
      <w:tblGrid>
        <w:gridCol w:w="9648"/>
      </w:tblGrid>
      <w:tr>
        <w:tc>
          <w:tcPr>
            <w:tcW w:type="dxa" w:w="9648"/>
            <w:shd w:fill="F9F8F5"/>
            <w:tcMar>
              <w:top w:w="100" w:type="dxa"/>
              <w:bottom w:w="100" w:type="dxa"/>
              <w:left w:w="160" w:type="dxa"/>
              <w:right w:w="160" w:type="dxa"/>
            </w:tcMar>
          </w:tcPr>
          <w:p>
            <w:pPr>
              <w:spacing w:before="20" w:after="40"/>
            </w:pPr>
            <w:r>
              <w:rPr>
                <w:rFonts w:ascii="Arial" w:hAnsi="Arial"/>
                <w:b/>
                <w:color w:val="0F2043"/>
                <w:sz w:val="19"/>
              </w:rPr>
              <w:t>Actual Judicial Construction &amp; Ratio</w:t>
              <w:br/>
            </w:r>
          </w:p>
          <w:p>
            <w:pPr>
              <w:spacing w:before="20" w:after="40" w:line="276" w:lineRule="auto"/>
            </w:pPr>
            <w:r>
              <w:rPr>
                <w:rFonts w:ascii="Calibri" w:hAnsi="Calibri"/>
                <w:b/>
                <w:color w:val="212529"/>
                <w:sz w:val="19"/>
              </w:rPr>
              <w:t xml:space="preserve">• Construction Summary: </w:t>
            </w:r>
            <w:r>
              <w:rPr>
                <w:rFonts w:ascii="Calibri" w:hAnsi="Calibri"/>
                <w:color w:val="212529"/>
                <w:sz w:val="19"/>
              </w:rPr>
              <w:t>The Court construed the disputed statutory provisions in People of the Philippines v. Guillermo Manantan to mean and apply strictly in accordance with Ratio legis est anima legis, holding that Yes! A justice of the peace is obviously a judge. The legislature used the general word 'judge' to encompass ALL judges at every level. Maxims like Expressio Un.</w:t>
            </w:r>
          </w:p>
          <w:p>
            <w:pPr>
              <w:spacing w:before="20" w:after="40" w:line="276" w:lineRule="auto"/>
            </w:pPr>
            <w:r>
              <w:rPr>
                <w:rFonts w:ascii="Calibri" w:hAnsi="Calibri"/>
                <w:b/>
                <w:color w:val="212529"/>
                <w:sz w:val="19"/>
              </w:rPr>
              <w:t xml:space="preserve">• Principal Reasoning: </w:t>
            </w:r>
            <w:r>
              <w:rPr>
                <w:rFonts w:ascii="Calibri" w:hAnsi="Calibri"/>
                <w:color w:val="212529"/>
                <w:sz w:val="19"/>
              </w:rPr>
              <w:t>Why would Congress ban high court judges from campaigning but allow local municipal judges to campaign? That would be completely absurd. The legislature changed the wording to 'judge' to cover every single judge in the country. Legal maxims cannot be used as clever tricks to destroy the purpose of the law.</w:t>
            </w:r>
          </w:p>
        </w:tc>
      </w:tr>
    </w:tbl>
    <w:tbl>
      <w:tblPr>
        <w:tblW w:type="auto" w:w="0"/>
        <w:jc w:val="center"/>
        <w:tblLook w:firstColumn="1" w:firstRow="1" w:lastColumn="0" w:lastRow="0" w:noHBand="0" w:noVBand="1" w:val="04A0"/>
      </w:tblPr>
      <w:tblGrid>
        <w:gridCol w:w="9648"/>
      </w:tblGrid>
      <w:tr>
        <w:tc>
          <w:tcPr>
            <w:tcW w:type="dxa" w:w="9648"/>
            <w:shd w:fill="EEF6F0"/>
            <w:tcMar>
              <w:top w:w="100" w:type="dxa"/>
              <w:bottom w:w="100" w:type="dxa"/>
              <w:left w:w="160" w:type="dxa"/>
              <w:right w:w="160" w:type="dxa"/>
            </w:tcMar>
          </w:tcPr>
          <w:p>
            <w:pPr>
              <w:spacing w:before="20" w:after="40"/>
            </w:pPr>
            <w:r>
              <w:rPr>
                <w:rFonts w:ascii="Arial" w:hAnsi="Arial"/>
                <w:b/>
                <w:color w:val="0D6E4B"/>
                <w:sz w:val="19"/>
              </w:rPr>
              <w:t>X. STATUTORY CONSTRUCTION OR JUDICIAL LEGISLATION?</w:t>
              <w:br/>
            </w:r>
          </w:p>
          <w:p>
            <w:pPr>
              <w:spacing w:before="20" w:after="60"/>
            </w:pPr>
            <w:r>
              <w:rPr>
                <w:rFonts w:ascii="Arial" w:hAnsi="Arial"/>
                <w:b/>
                <w:color w:val="0F2043"/>
                <w:sz w:val="19"/>
              </w:rPr>
              <w:t>☑ Proper statutory construction    ☐ Judicial legislation    ☐ Debatable</w:t>
            </w:r>
          </w:p>
          <w:p>
            <w:pPr>
              <w:spacing w:before="40" w:after="40" w:line="276" w:lineRule="auto"/>
            </w:pPr>
            <w:r>
              <w:rPr>
                <w:rFonts w:ascii="Calibri" w:hAnsi="Calibri"/>
                <w:b/>
                <w:color w:val="212529"/>
                <w:sz w:val="19"/>
              </w:rPr>
              <w:t>Explanation (3–5 sentences):</w:t>
              <w:br/>
            </w:r>
            <w:r>
              <w:rPr>
                <w:rFonts w:ascii="Calibri" w:hAnsi="Calibri"/>
                <w:color w:val="212529"/>
                <w:sz w:val="19"/>
              </w:rPr>
              <w:t>The Supreme Court acted within the legitimate bounds of its constitutional power to interpret the law (jus dicere). By applying Ratio legis est anima legis, the Court faithfully effectuated the legislative intent without creating new rules, modifying clear statutory text, or usurping congressional prerogative. The ruling reinforces the separation of powers and the doctrine that courts must enforce the law as enacted.</w:t>
            </w:r>
          </w:p>
        </w:tc>
      </w:tr>
    </w:tbl>
    <w:p>
      <w:pPr>
        <w:spacing w:before="80" w:after="40"/>
      </w:pPr>
    </w:p>
    <w:tbl>
      <w:tblPr>
        <w:tblW w:type="auto" w:w="0"/>
        <w:jc w:val="center"/>
        <w:tblLook w:firstColumn="1" w:firstRow="1" w:lastColumn="0" w:lastRow="0" w:noHBand="0" w:noVBand="1" w:val="04A0"/>
      </w:tblPr>
      <w:tblGrid>
        <w:gridCol w:w="9648"/>
      </w:tblGrid>
      <w:tr>
        <w:tc>
          <w:tcPr>
            <w:tcW w:type="dxa" w:w="9648"/>
            <w:shd w:fill="FBF6EE"/>
            <w:tcMar>
              <w:top w:w="100" w:type="dxa"/>
              <w:bottom w:w="100" w:type="dxa"/>
              <w:left w:w="160" w:type="dxa"/>
              <w:right w:w="160" w:type="dxa"/>
            </w:tcMar>
          </w:tcPr>
          <w:p>
            <w:pPr>
              <w:spacing w:before="20" w:after="40"/>
            </w:pPr>
            <w:r>
              <w:rPr>
                <w:rFonts w:ascii="Arial" w:hAnsi="Arial"/>
                <w:b/>
                <w:color w:val="8C3200"/>
                <w:sz w:val="19"/>
              </w:rPr>
              <w:t>XI. DOCTRINE (Statutory Construction Principle):</w:t>
              <w:br/>
            </w:r>
            <w:r>
              <w:rPr>
                <w:rFonts w:ascii="Calibri" w:hAnsi="Calibri"/>
                <w:color w:val="212529"/>
                <w:sz w:val="19"/>
              </w:rPr>
              <w:t>Subordination of Maxims to Legislative Purpose: Canons of statutory construction are mere aids to discover legislative intent; they must never be applied rigidly to defeat the obvious purpose of the enactment.</w:t>
              <w:br/>
              <w:br/>
            </w:r>
          </w:p>
          <w:p>
            <w:pPr>
              <w:spacing w:before="20" w:after="40"/>
            </w:pPr>
            <w:r>
              <w:rPr>
                <w:rFonts w:ascii="Arial" w:hAnsi="Arial"/>
                <w:b/>
                <w:color w:val="8C3200"/>
                <w:sz w:val="19"/>
              </w:rPr>
              <w:t>XII. ONE-SENTENCE TAKEAWAY:</w:t>
              <w:br/>
            </w:r>
            <w:r>
              <w:rPr>
                <w:rFonts w:ascii="Calibri" w:hAnsi="Calibri"/>
                <w:i/>
                <w:color w:val="212529"/>
                <w:sz w:val="19"/>
              </w:rPr>
              <w:t>This case is important in Statutory Construction because Legal maxims are just helping tools; they cannot be used like magic spells to create ridiculous loopholes that ruin the purpose of the law.</w:t>
            </w:r>
          </w:p>
        </w:tc>
      </w:tr>
    </w:tbl>
    <w:p>
      <w:r>
        <w:br w:type="page"/>
      </w:r>
    </w:p>
    <w:p>
      <w:pPr>
        <w:keepNext/>
        <w:spacing w:before="320" w:after="80"/>
      </w:pPr>
      <w:r>
        <w:rPr>
          <w:rFonts w:ascii="Arial" w:hAnsi="Arial"/>
          <w:b/>
          <w:color w:val="0F2043"/>
          <w:sz w:val="26"/>
        </w:rPr>
        <w:t>44. PHILIPPINE ECONOMIC ZONE AUTHORITY (PEZA) V. GREEN ASIA CONSTRUCTION &amp; DEVELOPMENT CORPORATION</w:t>
      </w:r>
    </w:p>
    <w:p>
      <w:pPr>
        <w:spacing w:before="40" w:after="80" w:line="276" w:lineRule="auto"/>
      </w:pPr>
      <w:r>
        <w:rPr>
          <w:rFonts w:ascii="Calibri" w:hAnsi="Calibri"/>
          <w:b/>
          <w:color w:val="212529"/>
          <w:sz w:val="21"/>
        </w:rPr>
        <w:t xml:space="preserve">Citation: </w:t>
      </w:r>
      <w:r>
        <w:rPr>
          <w:rFonts w:ascii="Calibri" w:hAnsi="Calibri"/>
          <w:i/>
          <w:color w:val="212529"/>
          <w:sz w:val="21"/>
        </w:rPr>
        <w:t>G.R. No. 188866 | October 19, 2011 | 659 SCRA 756 | Second Division | Ponente: J. Sereno</w:t>
      </w:r>
    </w:p>
    <w:p>
      <w:pPr>
        <w:keepNext/>
        <w:spacing w:before="200" w:after="40"/>
      </w:pPr>
      <w:r>
        <w:rPr>
          <w:rFonts w:ascii="Arial" w:hAnsi="Arial"/>
          <w:b/>
          <w:color w:val="781E1E"/>
          <w:sz w:val="22"/>
        </w:rPr>
        <w:t>LAYER A: ALAC DIGEST, RECITATION SCRIPT &amp; STATCON ANALYSIS</w:t>
      </w:r>
    </w:p>
    <w:p>
      <w:pPr>
        <w:keepNext/>
        <w:spacing w:before="200" w:after="40"/>
      </w:pPr>
      <w:r>
        <w:rPr>
          <w:rFonts w:ascii="Arial" w:hAnsi="Arial"/>
          <w:b/>
          <w:color w:val="781E1E"/>
          <w:sz w:val="22"/>
        </w:rPr>
        <w:t>I. PARTIES &amp; PROCEDURAL BACKGROUND</w:t>
      </w:r>
    </w:p>
    <w:p>
      <w:pPr>
        <w:spacing w:before="40" w:after="80" w:line="276" w:lineRule="auto"/>
      </w:pPr>
      <w:r>
        <w:rPr>
          <w:rFonts w:ascii="Calibri" w:hAnsi="Calibri"/>
          <w:b/>
          <w:color w:val="212529"/>
          <w:sz w:val="21"/>
        </w:rPr>
        <w:t xml:space="preserve">• Plaintiff/Petitioner: </w:t>
      </w:r>
      <w:r>
        <w:rPr>
          <w:rFonts w:ascii="Calibri" w:hAnsi="Calibri"/>
          <w:i w:val="0"/>
          <w:color w:val="212529"/>
          <w:sz w:val="21"/>
        </w:rPr>
        <w:t>Philippine Economic Zone Authority (PEZA) (Petitioner)</w:t>
      </w:r>
    </w:p>
    <w:p>
      <w:pPr>
        <w:spacing w:before="40" w:after="80" w:line="276" w:lineRule="auto"/>
      </w:pPr>
      <w:r>
        <w:rPr>
          <w:rFonts w:ascii="Calibri" w:hAnsi="Calibri"/>
          <w:b/>
          <w:color w:val="212529"/>
          <w:sz w:val="21"/>
        </w:rPr>
        <w:t xml:space="preserve">• Defendant/Respondent: </w:t>
      </w:r>
      <w:r>
        <w:rPr>
          <w:rFonts w:ascii="Calibri" w:hAnsi="Calibri"/>
          <w:i w:val="0"/>
          <w:color w:val="212529"/>
          <w:sz w:val="21"/>
        </w:rPr>
        <w:t>Green Asia Construction &amp; Development Corporation (Respondent)</w:t>
      </w:r>
    </w:p>
    <w:p>
      <w:pPr>
        <w:spacing w:before="40" w:after="80" w:line="276" w:lineRule="auto"/>
      </w:pPr>
      <w:r>
        <w:rPr>
          <w:rFonts w:ascii="Calibri" w:hAnsi="Calibri"/>
          <w:b/>
          <w:color w:val="212529"/>
          <w:sz w:val="21"/>
        </w:rPr>
        <w:t xml:space="preserve">• Originating Court: </w:t>
      </w:r>
      <w:r>
        <w:rPr>
          <w:rFonts w:ascii="Calibri" w:hAnsi="Calibri"/>
          <w:i w:val="0"/>
          <w:color w:val="212529"/>
          <w:sz w:val="21"/>
        </w:rPr>
        <w:t>Construction Industry Arbitration Commission (CIAC) / Court of Appeals</w:t>
      </w:r>
    </w:p>
    <w:p>
      <w:pPr>
        <w:spacing w:before="40" w:after="80" w:line="276" w:lineRule="auto"/>
      </w:pPr>
      <w:r>
        <w:rPr>
          <w:rFonts w:ascii="Calibri" w:hAnsi="Calibri"/>
          <w:b/>
          <w:color w:val="212529"/>
          <w:sz w:val="21"/>
        </w:rPr>
        <w:t xml:space="preserve">• Nature of the Action: </w:t>
      </w:r>
      <w:r>
        <w:rPr>
          <w:rFonts w:ascii="Calibri" w:hAnsi="Calibri"/>
          <w:i w:val="0"/>
          <w:color w:val="212529"/>
          <w:sz w:val="21"/>
        </w:rPr>
        <w:t>Petition for Review on Certiorari under Rule 45 assailing the jurisdiction of the CIAC over infrastructure disputes involving government economic zone authorities under Executive Order No. 1008.</w:t>
      </w:r>
    </w:p>
    <w:p>
      <w:pPr>
        <w:keepNext/>
        <w:spacing w:before="200" w:after="40"/>
      </w:pPr>
      <w:r>
        <w:rPr>
          <w:rFonts w:ascii="Arial" w:hAnsi="Arial"/>
          <w:b/>
          <w:color w:val="781E1E"/>
          <w:sz w:val="22"/>
        </w:rPr>
        <w:t>II. WHOLE FACTS</w:t>
      </w:r>
    </w:p>
    <w:p>
      <w:pPr>
        <w:spacing w:before="40" w:after="80" w:line="276" w:lineRule="auto"/>
      </w:pPr>
      <w:r>
        <w:rPr>
          <w:rFonts w:ascii="Calibri" w:hAnsi="Calibri"/>
          <w:i w:val="0"/>
          <w:color w:val="212529"/>
          <w:sz w:val="21"/>
        </w:rPr>
        <w:t>PEZA entered into a construction contract with Green Asia Construction for the development of roads and drainage in the Baguio City Economic Zone. Disputes arose regarding price adjustments and time extensions. Green Asia filed a Request for Adjudication before the Construction Industry Arbitration Commission (CIAC) pursuant to Executive Order No. 1008 (Construction Industry Arbitration Law). PEZA contested CIAC's jurisdiction, arguing that as a government instrumentality created by special charter (R.A. No. 7916), its public contracts are exempt from CIAC arbitration unless its charter expressly provides for arbitration.</w:t>
      </w:r>
    </w:p>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SUMMARY OF FACTS</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A government agency (PEZA) hired a contractor to build roads in an economic zone. When a payment dispute arose, the builder brought the case before the Construction Industry Arbitration Commission (CIAC). PEZA claimed that because it is a special government agency, it is exempt from CIAC arbitration. The Supreme Court ruled that under EO 1008, CIAC has broad and exclusive jurisdiction over ALL construction disputes in the Philippines, whether involving private companies or government agencies.</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When reciting the facts, state the core dispute in 2 sentences, then state how the case reached the Supreme Court.</w:t>
            </w:r>
          </w:p>
        </w:tc>
      </w:tr>
    </w:tbl>
    <w:p>
      <w:pPr>
        <w:keepNext/>
        <w:spacing w:before="200" w:after="40"/>
      </w:pPr>
      <w:r>
        <w:rPr>
          <w:rFonts w:ascii="Arial" w:hAnsi="Arial"/>
          <w:b/>
          <w:color w:val="781E1E"/>
          <w:sz w:val="22"/>
        </w:rPr>
        <w:t>III. THE LEGAL ISSUE</w:t>
      </w:r>
    </w:p>
    <w:p>
      <w:pPr>
        <w:spacing w:before="40" w:after="80" w:line="276" w:lineRule="auto"/>
      </w:pPr>
      <w:r>
        <w:rPr>
          <w:rFonts w:ascii="Calibri" w:hAnsi="Calibri"/>
          <w:i w:val="0"/>
          <w:color w:val="212529"/>
          <w:sz w:val="21"/>
        </w:rPr>
        <w:t>Whether or not the Construction Industry Arbitration Commission (CIAC) has jurisdiction under E.O. No. 1008 over construction contract disputes involving government corporate entities like PEZA.</w:t>
      </w:r>
    </w:p>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THE LEGAL ISSUE</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Does the Construction Arbitration Commission (CIAC) have the legal power to resolve construction disputes involving government agencies?</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"Sir/Ma'am, the issue is whether EO 1008 confers comprehensive jurisdiction on the CIAC over government construction contracts, testing the canon Ubi Lex Non Distinguit Nec Nos Distinguere Debemus (where the law does not distinguish, we should not distinguish) and Legislative Intent."</w:t>
            </w:r>
          </w:p>
        </w:tc>
      </w:tr>
    </w:tbl>
    <w:p>
      <w:pPr>
        <w:keepNext/>
        <w:spacing w:before="200" w:after="40"/>
      </w:pPr>
      <w:r>
        <w:rPr>
          <w:rFonts w:ascii="Arial" w:hAnsi="Arial"/>
          <w:b/>
          <w:color w:val="781E1E"/>
          <w:sz w:val="22"/>
        </w:rPr>
        <w:t>IV. ALAC DIGEST</w:t>
      </w:r>
    </w:p>
    <w:tbl>
      <w:tblPr>
        <w:tblW w:type="auto" w:w="0"/>
        <w:jc w:val="center"/>
        <w:tblLook w:firstColumn="1" w:firstRow="1" w:lastColumn="0" w:lastRow="0" w:noHBand="0" w:noVBand="1" w:val="04A0"/>
      </w:tblPr>
      <w:tblGrid>
        <w:gridCol w:w="9648"/>
      </w:tblGrid>
      <w:tr>
        <w:tc>
          <w:tcPr>
            <w:tcW w:type="dxa" w:w="9648"/>
            <w:shd w:fill="F4F6F9"/>
            <w:tcMar>
              <w:top w:w="120" w:type="dxa"/>
              <w:bottom w:w="120" w:type="dxa"/>
              <w:left w:w="180" w:type="dxa"/>
              <w:right w:w="180" w:type="dxa"/>
            </w:tcMar>
          </w:tcPr>
          <w:p>
            <w:pPr>
              <w:spacing w:before="40" w:after="60"/>
            </w:pPr>
            <w:r>
              <w:rPr>
                <w:rFonts w:ascii="Arial" w:hAnsi="Arial"/>
                <w:b/>
                <w:color w:val="0F2043"/>
                <w:sz w:val="21"/>
              </w:rPr>
              <w:t>[A] ANSWER</w:t>
              <w:br/>
            </w:r>
          </w:p>
          <w:p>
            <w:pPr>
              <w:spacing w:before="20" w:after="40" w:line="276" w:lineRule="auto"/>
            </w:pPr>
            <w:r>
              <w:rPr>
                <w:rFonts w:ascii="Calibri" w:hAnsi="Calibri"/>
                <w:color w:val="212529"/>
                <w:sz w:val="20"/>
              </w:rPr>
              <w:t>YES. CIAC has ORIGINAL AND EXCLUSIVE JURISDICTION over all construction disputes in the Philippines, including those involving government entities like PEZA. E.O. No. 1008 makes no distinction between private and government contracts.</w:t>
            </w:r>
          </w:p>
        </w:tc>
      </w:tr>
    </w:tbl>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THE ANSWER</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Yes. The arbitration law covers all construction contracts in the country without distinguishing between private owners and government agencies. Where the law does not distinguish, courts cannot create an exemption for PEZA.</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"Yes, Sir/Ma'am. Under Ubi lex non distinguit nec nos distinguere debemus (where the law makes no distinction, we ought not to distinguish), the Supreme Court held that EO 1008 confers broad jurisdiction on CIAC over all construction disputes, whether government or private, fostering the legislative policy of swift commercial arbitration."</w:t>
            </w:r>
          </w:p>
        </w:tc>
      </w:tr>
    </w:tbl>
    <w:tbl>
      <w:tblPr>
        <w:tblW w:type="auto" w:w="0"/>
        <w:jc w:val="center"/>
        <w:tblLook w:firstColumn="1" w:firstRow="1" w:lastColumn="0" w:lastRow="0" w:noHBand="0" w:noVBand="1" w:val="04A0"/>
      </w:tblPr>
      <w:tblGrid>
        <w:gridCol w:w="9648"/>
      </w:tblGrid>
      <w:tr>
        <w:tc>
          <w:tcPr>
            <w:tcW w:type="dxa" w:w="9648"/>
            <w:shd w:fill="F4F6F9"/>
            <w:tcMar>
              <w:top w:w="120" w:type="dxa"/>
              <w:bottom w:w="120" w:type="dxa"/>
              <w:left w:w="180" w:type="dxa"/>
              <w:right w:w="180" w:type="dxa"/>
            </w:tcMar>
          </w:tcPr>
          <w:p>
            <w:pPr>
              <w:spacing w:before="40" w:after="60"/>
            </w:pPr>
            <w:r>
              <w:rPr>
                <w:rFonts w:ascii="Arial" w:hAnsi="Arial"/>
                <w:b/>
                <w:color w:val="0F2043"/>
                <w:sz w:val="21"/>
              </w:rPr>
              <w:t>[L] LEGAL BASIS</w:t>
              <w:br/>
            </w:r>
          </w:p>
          <w:p>
            <w:pPr>
              <w:spacing w:before="20" w:after="40" w:line="276" w:lineRule="auto"/>
            </w:pPr>
            <w:r>
              <w:rPr>
                <w:rFonts w:ascii="Calibri" w:hAnsi="Calibri"/>
                <w:b/>
                <w:color w:val="212529"/>
                <w:sz w:val="20"/>
              </w:rPr>
              <w:t xml:space="preserve">1. Section 4, Executive Order No. 1008 (Construction Industry Arbitration Law): </w:t>
            </w:r>
            <w:r>
              <w:rPr>
                <w:rFonts w:ascii="Calibri" w:hAnsi="Calibri"/>
                <w:color w:val="212529"/>
                <w:sz w:val="20"/>
              </w:rPr>
              <w:t>Vests CIAC with original and exclusive jurisdiction over disputes arising from construction contracts, whether private or government.</w:t>
            </w:r>
          </w:p>
          <w:p>
            <w:pPr>
              <w:spacing w:before="20" w:after="40" w:line="276" w:lineRule="auto"/>
            </w:pPr>
            <w:r>
              <w:rPr>
                <w:rFonts w:ascii="Calibri" w:hAnsi="Calibri"/>
                <w:b/>
                <w:color w:val="212529"/>
                <w:sz w:val="20"/>
              </w:rPr>
              <w:t xml:space="preserve">2. Ubi Lex Non Distinguit, Nec Nos Distinguere Debemus (where the law does not distinguish, we should not distinguish): </w:t>
            </w:r>
            <w:r>
              <w:rPr>
                <w:rFonts w:ascii="Calibri" w:hAnsi="Calibri"/>
                <w:color w:val="212529"/>
                <w:sz w:val="20"/>
              </w:rPr>
              <w:t>Since EO 1008 covers all construction contracts without qualification, government agencies cannot claim implied exemption.</w:t>
            </w:r>
          </w:p>
          <w:p>
            <w:pPr>
              <w:spacing w:before="20" w:after="40" w:line="276" w:lineRule="auto"/>
            </w:pPr>
            <w:r>
              <w:rPr>
                <w:rFonts w:ascii="Calibri" w:hAnsi="Calibri"/>
                <w:b/>
                <w:color w:val="212529"/>
                <w:sz w:val="20"/>
              </w:rPr>
              <w:t xml:space="preserve">3. In Pari Materia (on the same subject matter): </w:t>
            </w:r>
            <w:r>
              <w:rPr>
                <w:rFonts w:ascii="Calibri" w:hAnsi="Calibri"/>
                <w:color w:val="212529"/>
                <w:sz w:val="20"/>
              </w:rPr>
              <w:t>EO 1008 must be harmonized with PEZA's charter (RA 7916) and Alternative Dispute Resolution laws.</w:t>
            </w:r>
          </w:p>
        </w:tc>
      </w:tr>
    </w:tbl>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LEGAL BASIS</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Section 4 EO 1008, Ubi Lex Non Distinguit, and In Pari Materia.</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"Sir/Ma'am, the legal basis is Section 4 of EO 1008, applied under Ubi lex non distinguit nec nos distinguere debemus (where the law does not distinguish, we must not distinguish) and the doctrine of In Pari Materia."</w:t>
            </w:r>
          </w:p>
        </w:tc>
      </w:tr>
    </w:tbl>
    <w:tbl>
      <w:tblPr>
        <w:tblW w:type="auto" w:w="0"/>
        <w:jc w:val="center"/>
        <w:tblLook w:firstColumn="1" w:firstRow="1" w:lastColumn="0" w:lastRow="0" w:noHBand="0" w:noVBand="1" w:val="04A0"/>
      </w:tblPr>
      <w:tblGrid>
        <w:gridCol w:w="9648"/>
      </w:tblGrid>
      <w:tr>
        <w:tc>
          <w:tcPr>
            <w:tcW w:type="dxa" w:w="9648"/>
            <w:shd w:fill="F4F6F9"/>
            <w:tcMar>
              <w:top w:w="120" w:type="dxa"/>
              <w:bottom w:w="120" w:type="dxa"/>
              <w:left w:w="180" w:type="dxa"/>
              <w:right w:w="180" w:type="dxa"/>
            </w:tcMar>
          </w:tcPr>
          <w:p>
            <w:pPr>
              <w:spacing w:before="40" w:after="60"/>
            </w:pPr>
            <w:r>
              <w:rPr>
                <w:rFonts w:ascii="Arial" w:hAnsi="Arial"/>
                <w:b/>
                <w:color w:val="0F2043"/>
                <w:sz w:val="21"/>
              </w:rPr>
              <w:t>[A] ANALYSIS / APPLICATION</w:t>
              <w:br/>
            </w:r>
          </w:p>
          <w:p>
            <w:pPr>
              <w:spacing w:before="20" w:after="40" w:line="276" w:lineRule="auto"/>
            </w:pPr>
            <w:r>
              <w:rPr>
                <w:rFonts w:ascii="Calibri" w:hAnsi="Calibri"/>
                <w:b/>
                <w:color w:val="212529"/>
                <w:sz w:val="20"/>
              </w:rPr>
              <w:t xml:space="preserve">1. Broad Scope of CIAC Jurisdiction: </w:t>
            </w:r>
            <w:r>
              <w:rPr>
                <w:rFonts w:ascii="Calibri" w:hAnsi="Calibri"/>
                <w:color w:val="212529"/>
                <w:sz w:val="20"/>
              </w:rPr>
              <w:t>Section 4 of E.O. No. 1008 clearly and unambiguously states that CIAC has jurisdiction over construction disputes arising from contracts entered into by parties in the Philippines, including government agencies.</w:t>
            </w:r>
          </w:p>
          <w:p>
            <w:pPr>
              <w:spacing w:before="20" w:after="40" w:line="276" w:lineRule="auto"/>
            </w:pPr>
            <w:r>
              <w:rPr>
                <w:rFonts w:ascii="Calibri" w:hAnsi="Calibri"/>
                <w:b/>
                <w:color w:val="212529"/>
                <w:sz w:val="20"/>
              </w:rPr>
              <w:t xml:space="preserve">2. Legislative Policy Favoring ADR: </w:t>
            </w:r>
            <w:r>
              <w:rPr>
                <w:rFonts w:ascii="Calibri" w:hAnsi="Calibri"/>
                <w:color w:val="212529"/>
                <w:sz w:val="20"/>
              </w:rPr>
              <w:t>The statutory policy of the state is to encourage alternative dispute resolution to decongest judicial courts and achieve speedy, technical resolution of complex infrastructure disputes.</w:t>
            </w:r>
          </w:p>
          <w:p>
            <w:pPr>
              <w:spacing w:before="20" w:after="40" w:line="276" w:lineRule="auto"/>
            </w:pPr>
            <w:r>
              <w:rPr>
                <w:rFonts w:ascii="Calibri" w:hAnsi="Calibri"/>
                <w:b/>
                <w:color w:val="212529"/>
                <w:sz w:val="20"/>
              </w:rPr>
              <w:t xml:space="preserve">3. Government Subject to Arbitration: </w:t>
            </w:r>
            <w:r>
              <w:rPr>
                <w:rFonts w:ascii="Calibri" w:hAnsi="Calibri"/>
                <w:color w:val="212529"/>
                <w:sz w:val="20"/>
              </w:rPr>
              <w:t>When a government entity enters into a commercial construction contract with an arbitration clause, it steps down to the level of an ordinary contracting party and is bound by CIAC jurisdiction.</w:t>
            </w:r>
          </w:p>
        </w:tc>
      </w:tr>
    </w:tbl>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ANALYSIS / APPLICATION</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The construction arbitration law was passed to solve construction fights quickly using technical experts instead of clogging courtrooms. The law says 'all construction disputes'. It does not say 'except government projects'. Because the law makes no distinction, government agencies must submit to arbitration just like everyone else.</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"Sir/Ma'am, the Court applied Ubi Lex Non Distinguit and purposive ADR construction. EO 1008 was designed to cover all construction disputes nationwide. PEZA cannot claim an unwritten sovereign immunity exception when it engages in infrastructure contracts."</w:t>
            </w:r>
          </w:p>
        </w:tc>
      </w:tr>
    </w:tbl>
    <w:tbl>
      <w:tblPr>
        <w:tblW w:type="auto" w:w="0"/>
        <w:jc w:val="center"/>
        <w:tblLook w:firstColumn="1" w:firstRow="1" w:lastColumn="0" w:lastRow="0" w:noHBand="0" w:noVBand="1" w:val="04A0"/>
      </w:tblPr>
      <w:tblGrid>
        <w:gridCol w:w="9648"/>
      </w:tblGrid>
      <w:tr>
        <w:tc>
          <w:tcPr>
            <w:tcW w:type="dxa" w:w="9648"/>
            <w:shd w:fill="F4F6F9"/>
            <w:tcMar>
              <w:top w:w="120" w:type="dxa"/>
              <w:bottom w:w="120" w:type="dxa"/>
              <w:left w:w="180" w:type="dxa"/>
              <w:right w:w="180" w:type="dxa"/>
            </w:tcMar>
          </w:tcPr>
          <w:p>
            <w:pPr>
              <w:spacing w:before="40" w:after="60"/>
            </w:pPr>
            <w:r>
              <w:rPr>
                <w:rFonts w:ascii="Arial" w:hAnsi="Arial"/>
                <w:b/>
                <w:color w:val="0F2043"/>
                <w:sz w:val="21"/>
              </w:rPr>
              <w:t>[C] CONCLUSION</w:t>
              <w:br/>
            </w:r>
          </w:p>
          <w:p>
            <w:pPr>
              <w:spacing w:before="20" w:after="40" w:line="276" w:lineRule="auto"/>
            </w:pPr>
            <w:r>
              <w:rPr>
                <w:rFonts w:ascii="Calibri" w:hAnsi="Calibri"/>
                <w:color w:val="212529"/>
                <w:sz w:val="20"/>
              </w:rPr>
              <w:t>The Supreme Court DENIED PEZA's petition, AFFIRMED the CIAC's jurisdiction, and ORDERED the arbitration proceedings to continue on the merits.</w:t>
            </w:r>
          </w:p>
        </w:tc>
      </w:tr>
    </w:tbl>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CONCLUSION</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PEZA's challenge was rejected and CIAC was confirmed to have full power over the dispute.</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"The Supreme Court affirmed CIAC jurisdiction over government construction disputes under Ubi Lex Non Distinguit."</w:t>
            </w:r>
          </w:p>
        </w:tc>
      </w:tr>
    </w:tbl>
    <w:p>
      <w:pPr>
        <w:keepNext/>
        <w:spacing w:before="200" w:after="40"/>
      </w:pPr>
      <w:r>
        <w:rPr>
          <w:rFonts w:ascii="Arial" w:hAnsi="Arial"/>
          <w:b/>
          <w:color w:val="781E1E"/>
          <w:sz w:val="22"/>
        </w:rPr>
        <w:t>V. RELATION TO STATUTORY CONSTRUCTION</w:t>
      </w:r>
    </w:p>
    <w:p>
      <w:pPr>
        <w:spacing w:before="40" w:after="80" w:line="276" w:lineRule="auto"/>
      </w:pPr>
      <w:r>
        <w:rPr>
          <w:rFonts w:ascii="Calibri" w:hAnsi="Calibri"/>
          <w:b/>
          <w:color w:val="212529"/>
          <w:sz w:val="21"/>
        </w:rPr>
        <w:t>• Syllabus Topic Alignment:</w:t>
        <w:br/>
      </w:r>
      <w:r>
        <w:rPr>
          <w:rFonts w:ascii="Calibri" w:hAnsi="Calibri"/>
          <w:i w:val="0"/>
          <w:color w:val="212529"/>
          <w:sz w:val="21"/>
        </w:rPr>
        <w:t>• Chapter III: Basic Guidelines in the Construction and Interpretation of Laws</w:t>
        <w:br/>
        <w:t xml:space="preserve">  - C. Considerations outside the Statute: Ubi Lex Non Distinguit &amp; State Policy on Alternative Dispute Resolution</w:t>
      </w:r>
    </w:p>
    <w:tbl>
      <w:tblPr>
        <w:tblW w:type="auto" w:w="0"/>
        <w:jc w:val="center"/>
        <w:tblLook w:firstColumn="1" w:firstRow="1" w:lastColumn="0" w:lastRow="0" w:noHBand="0" w:noVBand="1" w:val="04A0"/>
      </w:tblPr>
      <w:tblGrid>
        <w:gridCol w:w="9648"/>
      </w:tblGrid>
      <w:tr>
        <w:tc>
          <w:tcPr>
            <w:tcW w:type="dxa" w:w="9648"/>
            <w:shd w:fill="FDF6EE"/>
            <w:tcMar>
              <w:top w:w="120" w:type="dxa"/>
              <w:bottom w:w="120" w:type="dxa"/>
              <w:left w:w="180" w:type="dxa"/>
              <w:right w:w="180" w:type="dxa"/>
            </w:tcMar>
          </w:tcPr>
          <w:p>
            <w:pPr>
              <w:spacing w:before="40" w:after="80"/>
            </w:pPr>
            <w:r>
              <w:rPr>
                <w:rFonts w:ascii="Arial" w:hAnsi="Arial"/>
                <w:b/>
                <w:color w:val="8C3200"/>
                <w:sz w:val="20"/>
              </w:rPr>
              <w:t>📜 GOVERNING LATIN MAXIMS WITH ENGLISH TRANSLATIONS</w:t>
              <w:br/>
            </w:r>
          </w:p>
          <w:p>
            <w:pPr>
              <w:spacing w:before="40" w:after="60" w:line="276" w:lineRule="auto"/>
            </w:pPr>
            <w:r>
              <w:rPr>
                <w:rFonts w:ascii="Calibri" w:hAnsi="Calibri"/>
                <w:b/>
                <w:color w:val="8C3200"/>
                <w:sz w:val="20"/>
              </w:rPr>
              <w:t>1. Ubi lex non distinguit, nec nos distinguere debemus (where the law does not distinguish, we should not distinguish)</w:t>
              <w:br/>
            </w:r>
            <w:r>
              <w:rPr>
                <w:rFonts w:ascii="Calibri" w:hAnsi="Calibri"/>
                <w:b/>
                <w:color w:val="212529"/>
                <w:sz w:val="19"/>
              </w:rPr>
              <w:t xml:space="preserve">   • Literal English Translation: </w:t>
            </w:r>
            <w:r>
              <w:rPr>
                <w:rFonts w:ascii="Calibri" w:hAnsi="Calibri"/>
                <w:i/>
                <w:color w:val="212529"/>
                <w:sz w:val="19"/>
              </w:rPr>
              <w:t>Where the law makes no distinction, we ought not to distinguish.</w:t>
              <w:br/>
            </w:r>
            <w:r>
              <w:rPr>
                <w:rFonts w:ascii="Calibri" w:hAnsi="Calibri"/>
                <w:b/>
                <w:color w:val="212529"/>
                <w:sz w:val="19"/>
              </w:rPr>
              <w:t xml:space="preserve">   • Plain Legal Meaning &amp; StatCon Application: </w:t>
            </w:r>
            <w:r>
              <w:rPr>
                <w:rFonts w:ascii="Calibri" w:hAnsi="Calibri"/>
                <w:color w:val="212529"/>
                <w:sz w:val="19"/>
              </w:rPr>
              <w:t>EO 1008 covers all construction contracts without distinguishing between private and government entities.</w:t>
            </w:r>
          </w:p>
          <w:p>
            <w:pPr>
              <w:spacing w:before="40" w:after="60" w:line="276" w:lineRule="auto"/>
            </w:pPr>
            <w:r>
              <w:rPr>
                <w:rFonts w:ascii="Calibri" w:hAnsi="Calibri"/>
                <w:b/>
                <w:color w:val="8C3200"/>
                <w:sz w:val="20"/>
              </w:rPr>
              <w:t>2. Pacta sunt servanda (agreements must be kept)</w:t>
              <w:br/>
            </w:r>
            <w:r>
              <w:rPr>
                <w:rFonts w:ascii="Calibri" w:hAnsi="Calibri"/>
                <w:b/>
                <w:color w:val="212529"/>
                <w:sz w:val="19"/>
              </w:rPr>
              <w:t xml:space="preserve">   • Literal English Translation: </w:t>
            </w:r>
            <w:r>
              <w:rPr>
                <w:rFonts w:ascii="Calibri" w:hAnsi="Calibri"/>
                <w:i/>
                <w:color w:val="212529"/>
                <w:sz w:val="19"/>
              </w:rPr>
              <w:t>Agreements must be observed.</w:t>
              <w:br/>
            </w:r>
            <w:r>
              <w:rPr>
                <w:rFonts w:ascii="Calibri" w:hAnsi="Calibri"/>
                <w:b/>
                <w:color w:val="212529"/>
                <w:sz w:val="19"/>
              </w:rPr>
              <w:t xml:space="preserve">   • Plain Legal Meaning &amp; StatCon Application: </w:t>
            </w:r>
            <w:r>
              <w:rPr>
                <w:rFonts w:ascii="Calibri" w:hAnsi="Calibri"/>
                <w:color w:val="212529"/>
                <w:sz w:val="19"/>
              </w:rPr>
              <w:t>Agreed arbitration clauses in government infrastructure contracts are binding on state agencies.</w:t>
            </w:r>
          </w:p>
          <w:p>
            <w:pPr>
              <w:spacing w:before="40" w:after="60" w:line="276" w:lineRule="auto"/>
            </w:pPr>
            <w:r>
              <w:rPr>
                <w:rFonts w:ascii="Calibri" w:hAnsi="Calibri"/>
                <w:b/>
                <w:color w:val="8C3200"/>
                <w:sz w:val="20"/>
              </w:rPr>
              <w:t>3. Ut res magis valeat quam pereat (that the thing may rather have effect than perish)</w:t>
              <w:br/>
            </w:r>
            <w:r>
              <w:rPr>
                <w:rFonts w:ascii="Calibri" w:hAnsi="Calibri"/>
                <w:b/>
                <w:color w:val="212529"/>
                <w:sz w:val="19"/>
              </w:rPr>
              <w:t xml:space="preserve">   • Literal English Translation: </w:t>
            </w:r>
            <w:r>
              <w:rPr>
                <w:rFonts w:ascii="Calibri" w:hAnsi="Calibri"/>
                <w:i/>
                <w:color w:val="212529"/>
                <w:sz w:val="19"/>
              </w:rPr>
              <w:t>That the thing may have effect rather than perish.</w:t>
              <w:br/>
            </w:r>
            <w:r>
              <w:rPr>
                <w:rFonts w:ascii="Calibri" w:hAnsi="Calibri"/>
                <w:b/>
                <w:color w:val="212529"/>
                <w:sz w:val="19"/>
              </w:rPr>
              <w:t xml:space="preserve">   • Plain Legal Meaning &amp; StatCon Application: </w:t>
            </w:r>
            <w:r>
              <w:rPr>
                <w:rFonts w:ascii="Calibri" w:hAnsi="Calibri"/>
                <w:color w:val="212529"/>
                <w:sz w:val="19"/>
              </w:rPr>
              <w:t>Arbitration statutes must be construed to give full efficacy to alternative dispute mechanisms.</w:t>
            </w:r>
          </w:p>
        </w:tc>
      </w:tr>
    </w:tbl>
    <w:tbl>
      <w:tblPr>
        <w:tblW w:type="auto" w:w="0"/>
        <w:jc w:val="center"/>
        <w:tblLook w:firstColumn="1" w:firstRow="1" w:lastColumn="0" w:lastRow="0" w:noHBand="0" w:noVBand="1" w:val="04A0"/>
      </w:tblPr>
      <w:tblGrid>
        <w:gridCol w:w="4824"/>
        <w:gridCol w:w="4824"/>
      </w:tblGrid>
      <w:tr>
        <w:tc>
          <w:tcPr>
            <w:tcW w:type="dxa" w:w="4824"/>
            <w:shd w:fill="EAEFF5"/>
            <w:tcMar>
              <w:top w:w="80" w:type="dxa"/>
              <w:bottom w:w="80" w:type="dxa"/>
              <w:left w:w="120" w:type="dxa"/>
              <w:right w:w="120" w:type="dxa"/>
            </w:tcMar>
          </w:tcPr>
          <w:p>
            <w:pPr>
              <w:spacing w:before="40" w:after="40"/>
            </w:pPr>
            <w:r>
              <w:rPr>
                <w:rFonts w:ascii="Arial" w:hAnsi="Arial"/>
                <w:b/>
                <w:color w:val="0F2043"/>
                <w:sz w:val="18"/>
              </w:rPr>
              <w:t>Syllabus Topic Alignment</w:t>
              <w:br/>
              <w:t>(StatCon_Syllabus_JPR.pdf)</w:t>
            </w:r>
          </w:p>
        </w:tc>
        <w:tc>
          <w:tcPr>
            <w:tcW w:type="dxa" w:w="4824"/>
            <w:shd w:fill="FAFAFA"/>
            <w:tcMar>
              <w:top w:w="80" w:type="dxa"/>
              <w:bottom w:w="80" w:type="dxa"/>
              <w:left w:w="120" w:type="dxa"/>
              <w:right w:w="120" w:type="dxa"/>
            </w:tcMar>
          </w:tcPr>
          <w:p>
            <w:pPr>
              <w:spacing w:before="40" w:after="40" w:line="276" w:lineRule="auto"/>
            </w:pPr>
            <w:r>
              <w:rPr>
                <w:rFonts w:ascii="Calibri" w:hAnsi="Calibri"/>
                <w:color w:val="212529"/>
                <w:sz w:val="19"/>
              </w:rPr>
              <w:t>• Chapter III: Basic Guidelines in the Construction and Interpretation of Laws</w:t>
              <w:br/>
              <w:t xml:space="preserve">  - C. Considerations outside the Statute: Ubi Lex Non Distinguit &amp; State Policy on Alternative Dispute Resolution</w:t>
            </w:r>
          </w:p>
        </w:tc>
      </w:tr>
      <w:tr>
        <w:tc>
          <w:tcPr>
            <w:tcW w:type="dxa" w:w="4824"/>
            <w:shd w:fill="EAEFF5"/>
            <w:tcMar>
              <w:top w:w="80" w:type="dxa"/>
              <w:bottom w:w="80" w:type="dxa"/>
              <w:left w:w="120" w:type="dxa"/>
              <w:right w:w="120" w:type="dxa"/>
            </w:tcMar>
          </w:tcPr>
          <w:p>
            <w:pPr>
              <w:spacing w:before="40" w:after="40"/>
            </w:pPr>
            <w:r>
              <w:rPr>
                <w:rFonts w:ascii="Arial" w:hAnsi="Arial"/>
                <w:b/>
                <w:color w:val="0F2043"/>
                <w:sz w:val="18"/>
              </w:rPr>
              <w:t>Governing Latin Maxims &amp; English</w:t>
            </w:r>
          </w:p>
        </w:tc>
        <w:tc>
          <w:tcPr>
            <w:tcW w:type="dxa" w:w="4824"/>
            <w:shd w:fill="FAFAFA"/>
            <w:tcMar>
              <w:top w:w="80" w:type="dxa"/>
              <w:bottom w:w="80" w:type="dxa"/>
              <w:left w:w="120" w:type="dxa"/>
              <w:right w:w="120" w:type="dxa"/>
            </w:tcMar>
          </w:tcPr>
          <w:p>
            <w:pPr>
              <w:spacing w:before="40" w:after="40" w:line="276" w:lineRule="auto"/>
            </w:pPr>
            <w:r>
              <w:rPr>
                <w:rFonts w:ascii="Calibri" w:hAnsi="Calibri"/>
                <w:color w:val="212529"/>
                <w:sz w:val="19"/>
              </w:rPr>
              <w:t>Primary:</w:t>
              <w:br/>
              <w:t>Ubi lex non distinguit, nec nos distinguere debemus</w:t>
              <w:br/>
              <w:t>(where the law does not distinguish, we should not distinguish / CIAC jurisdiction covers all construction contracts without distinguishing government from private)</w:t>
              <w:br/>
              <w:br/>
              <w:t>Secondary:</w:t>
              <w:br/>
              <w:t>• Pacta sunt servanda (contracts must be observed)</w:t>
              <w:br/>
              <w:t>• Ut res magis valeat quam pereat (construction to preserve ADR efficacy)</w:t>
            </w:r>
          </w:p>
        </w:tc>
      </w:tr>
      <w:tr>
        <w:tc>
          <w:tcPr>
            <w:tcW w:type="dxa" w:w="4824"/>
            <w:shd w:fill="EAEFF5"/>
            <w:tcMar>
              <w:top w:w="80" w:type="dxa"/>
              <w:bottom w:w="80" w:type="dxa"/>
              <w:left w:w="120" w:type="dxa"/>
              <w:right w:w="120" w:type="dxa"/>
            </w:tcMar>
          </w:tcPr>
          <w:p>
            <w:pPr>
              <w:spacing w:before="40" w:after="40"/>
            </w:pPr>
            <w:r>
              <w:rPr>
                <w:rFonts w:ascii="Arial" w:hAnsi="Arial"/>
                <w:b/>
                <w:color w:val="0F2043"/>
                <w:sz w:val="18"/>
              </w:rPr>
              <w:t>Case Violation in StatCon</w:t>
            </w:r>
          </w:p>
        </w:tc>
        <w:tc>
          <w:tcPr>
            <w:tcW w:type="dxa" w:w="4824"/>
            <w:shd w:fill="FAFAFA"/>
            <w:tcMar>
              <w:top w:w="80" w:type="dxa"/>
              <w:bottom w:w="80" w:type="dxa"/>
              <w:left w:w="120" w:type="dxa"/>
              <w:right w:w="120" w:type="dxa"/>
            </w:tcMar>
          </w:tcPr>
          <w:p>
            <w:pPr>
              <w:spacing w:before="40" w:after="40" w:line="276" w:lineRule="auto"/>
            </w:pPr>
            <w:r>
              <w:rPr>
                <w:rFonts w:ascii="Calibri" w:hAnsi="Calibri"/>
                <w:color w:val="212529"/>
                <w:sz w:val="19"/>
              </w:rPr>
              <w:t>PEZA attempted to manufacture an unwritten sovereign exemption to evade statutory arbitration mandates.</w:t>
            </w:r>
          </w:p>
        </w:tc>
      </w:tr>
      <w:tr>
        <w:tc>
          <w:tcPr>
            <w:tcW w:type="dxa" w:w="4824"/>
            <w:shd w:fill="EAEFF5"/>
            <w:tcMar>
              <w:top w:w="80" w:type="dxa"/>
              <w:bottom w:w="80" w:type="dxa"/>
              <w:left w:w="120" w:type="dxa"/>
              <w:right w:w="120" w:type="dxa"/>
            </w:tcMar>
          </w:tcPr>
          <w:p>
            <w:pPr>
              <w:spacing w:before="40" w:after="40"/>
            </w:pPr>
            <w:r>
              <w:rPr>
                <w:rFonts w:ascii="Arial" w:hAnsi="Arial"/>
                <w:b/>
                <w:color w:val="0F2043"/>
                <w:sz w:val="18"/>
              </w:rPr>
              <w:t>Doctrinal Execution / Principle</w:t>
            </w:r>
          </w:p>
        </w:tc>
        <w:tc>
          <w:tcPr>
            <w:tcW w:type="dxa" w:w="4824"/>
            <w:shd w:fill="FAFAFA"/>
            <w:tcMar>
              <w:top w:w="80" w:type="dxa"/>
              <w:bottom w:w="80" w:type="dxa"/>
              <w:left w:w="120" w:type="dxa"/>
              <w:right w:w="120" w:type="dxa"/>
            </w:tcMar>
          </w:tcPr>
          <w:p>
            <w:pPr>
              <w:spacing w:before="40" w:after="40" w:line="276" w:lineRule="auto"/>
            </w:pPr>
            <w:r>
              <w:rPr>
                <w:rFonts w:ascii="Calibri" w:hAnsi="Calibri"/>
                <w:color w:val="212529"/>
                <w:sz w:val="19"/>
              </w:rPr>
              <w:t>Comprehensive Construction of Remedial ADR Laws: Statutes conferring specialized arbitral jurisdiction are construed comprehensively to achieve statutory objectives of commercial efficiency and court decongestion.</w:t>
            </w:r>
          </w:p>
        </w:tc>
      </w:tr>
    </w:tbl>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RELATION TO STATUTORY CONSTRUCTION</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When an arbitration law covers all building contracts, government agencies cannot claim they are too special to follow the law.</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"Sir/Ma'am, PEZA v. Green Asia confirms Ubi lex non distinguit in administrative and arbitration law: CIAC jurisdiction applies universally to all construction contracts."</w:t>
            </w:r>
          </w:p>
        </w:tc>
      </w:tr>
    </w:tbl>
    <w:p>
      <w:pPr>
        <w:spacing w:before="160" w:after="80"/>
      </w:pPr>
    </w:p>
    <w:tbl>
      <w:tblPr>
        <w:tblW w:type="auto" w:w="0"/>
        <w:jc w:val="center"/>
        <w:tblLook w:firstColumn="1" w:firstRow="1" w:lastColumn="0" w:lastRow="0" w:noHBand="0" w:noVBand="1" w:val="04A0"/>
      </w:tblPr>
      <w:tblGrid>
        <w:gridCol w:w="9648"/>
      </w:tblGrid>
      <w:tr>
        <w:tc>
          <w:tcPr>
            <w:tcW w:type="dxa" w:w="9648"/>
            <w:shd w:fill="1E3A5F"/>
            <w:tcMar>
              <w:top w:w="140" w:type="dxa"/>
              <w:bottom w:w="140" w:type="dxa"/>
              <w:left w:w="200" w:type="dxa"/>
              <w:right w:w="200" w:type="dxa"/>
            </w:tcMar>
          </w:tcPr>
          <w:p>
            <w:pPr>
              <w:spacing w:before="40" w:after="40"/>
              <w:jc w:val="center"/>
            </w:pPr>
            <w:r>
              <w:rPr>
                <w:rFonts w:ascii="Arial" w:hAnsi="Arial"/>
                <w:b/>
                <w:color w:val="FFD700"/>
                <w:sz w:val="22"/>
              </w:rPr>
              <w:t>⚖ STANDARDIZED CASE DIGEST: STATUTORY CONSTRUCTION FORMAT</w:t>
              <w:br/>
            </w:r>
            <w:r>
              <w:rPr>
                <w:rFonts w:ascii="Arial" w:hAnsi="Arial"/>
                <w:i/>
                <w:color w:val="DCEBFF"/>
                <w:sz w:val="18"/>
              </w:rPr>
              <w:t>(Complete 12-Section Academic &amp; Judicial Construction Analysis)</w:t>
            </w:r>
          </w:p>
        </w:tc>
      </w:tr>
    </w:tbl>
    <w:p>
      <w:pPr>
        <w:spacing w:before="80" w:after="80"/>
      </w:pPr>
    </w:p>
    <w:tbl>
      <w:tblPr>
        <w:tblW w:type="auto" w:w="0"/>
        <w:jc w:val="center"/>
        <w:tblLook w:firstColumn="1" w:firstRow="1" w:lastColumn="0" w:lastRow="0" w:noHBand="0" w:noVBand="1" w:val="04A0"/>
      </w:tblPr>
      <w:tblGrid>
        <w:gridCol w:w="4824"/>
        <w:gridCol w:w="4824"/>
      </w:tblGrid>
      <w:tr>
        <w:tc>
          <w:tcPr>
            <w:tcW w:type="dxa" w:w="4824"/>
            <w:shd w:fill="EBF0F7"/>
            <w:tcMar>
              <w:top w:w="60" w:type="dxa"/>
              <w:bottom w:w="60" w:type="dxa"/>
              <w:left w:w="120" w:type="dxa"/>
              <w:right w:w="120" w:type="dxa"/>
            </w:tcMar>
          </w:tcPr>
          <w:p>
            <w:pPr>
              <w:spacing w:before="20" w:after="20"/>
            </w:pPr>
            <w:r>
              <w:rPr>
                <w:rFonts w:ascii="Arial" w:hAnsi="Arial"/>
                <w:b/>
                <w:color w:val="0F2043"/>
                <w:sz w:val="19"/>
              </w:rPr>
              <w:t>Case Title:</w:t>
            </w:r>
          </w:p>
        </w:tc>
        <w:tc>
          <w:tcPr>
            <w:tcW w:type="dxa" w:w="4824"/>
            <w:shd w:fill="FAFCFF"/>
            <w:tcMar>
              <w:top w:w="60" w:type="dxa"/>
              <w:bottom w:w="60" w:type="dxa"/>
              <w:left w:w="120" w:type="dxa"/>
              <w:right w:w="120" w:type="dxa"/>
            </w:tcMar>
          </w:tcPr>
          <w:p>
            <w:pPr>
              <w:spacing w:before="20" w:after="20"/>
            </w:pPr>
            <w:r>
              <w:rPr>
                <w:rFonts w:ascii="Calibri" w:hAnsi="Calibri"/>
                <w:b/>
                <w:color w:val="212529"/>
                <w:sz w:val="19"/>
              </w:rPr>
              <w:t>Philippine Economic Zone Authority (PEZA) v. Green Asia Construction &amp; Development Corporation</w:t>
            </w:r>
          </w:p>
        </w:tc>
      </w:tr>
      <w:tr>
        <w:tc>
          <w:tcPr>
            <w:tcW w:type="dxa" w:w="4824"/>
            <w:shd w:fill="EBF0F7"/>
            <w:tcMar>
              <w:top w:w="60" w:type="dxa"/>
              <w:bottom w:w="60" w:type="dxa"/>
              <w:left w:w="120" w:type="dxa"/>
              <w:right w:w="120" w:type="dxa"/>
            </w:tcMar>
          </w:tcPr>
          <w:p>
            <w:pPr>
              <w:spacing w:before="20" w:after="20"/>
            </w:pPr>
            <w:r>
              <w:rPr>
                <w:rFonts w:ascii="Arial" w:hAnsi="Arial"/>
                <w:b/>
                <w:color w:val="0F2043"/>
                <w:sz w:val="19"/>
              </w:rPr>
              <w:t>G.R. No. / Record:</w:t>
            </w:r>
          </w:p>
        </w:tc>
        <w:tc>
          <w:tcPr>
            <w:tcW w:type="dxa" w:w="4824"/>
            <w:shd w:fill="FAFCFF"/>
            <w:tcMar>
              <w:top w:w="60" w:type="dxa"/>
              <w:bottom w:w="60" w:type="dxa"/>
              <w:left w:w="120" w:type="dxa"/>
              <w:right w:w="120" w:type="dxa"/>
            </w:tcMar>
          </w:tcPr>
          <w:p>
            <w:pPr>
              <w:spacing w:before="20" w:after="20"/>
            </w:pPr>
            <w:r>
              <w:rPr>
                <w:rFonts w:ascii="Calibri" w:hAnsi="Calibri"/>
                <w:b w:val="0"/>
                <w:color w:val="212529"/>
                <w:sz w:val="19"/>
              </w:rPr>
              <w:t>G.R. No. 188866</w:t>
            </w:r>
          </w:p>
        </w:tc>
      </w:tr>
      <w:tr>
        <w:tc>
          <w:tcPr>
            <w:tcW w:type="dxa" w:w="4824"/>
            <w:shd w:fill="EBF0F7"/>
            <w:tcMar>
              <w:top w:w="60" w:type="dxa"/>
              <w:bottom w:w="60" w:type="dxa"/>
              <w:left w:w="120" w:type="dxa"/>
              <w:right w:w="120" w:type="dxa"/>
            </w:tcMar>
          </w:tcPr>
          <w:p>
            <w:pPr>
              <w:spacing w:before="20" w:after="20"/>
            </w:pPr>
            <w:r>
              <w:rPr>
                <w:rFonts w:ascii="Arial" w:hAnsi="Arial"/>
                <w:b/>
                <w:color w:val="0F2043"/>
                <w:sz w:val="19"/>
              </w:rPr>
              <w:t>Date of Promulgation:</w:t>
            </w:r>
          </w:p>
        </w:tc>
        <w:tc>
          <w:tcPr>
            <w:tcW w:type="dxa" w:w="4824"/>
            <w:shd w:fill="FAFCFF"/>
            <w:tcMar>
              <w:top w:w="60" w:type="dxa"/>
              <w:bottom w:w="60" w:type="dxa"/>
              <w:left w:w="120" w:type="dxa"/>
              <w:right w:w="120" w:type="dxa"/>
            </w:tcMar>
          </w:tcPr>
          <w:p>
            <w:pPr>
              <w:spacing w:before="20" w:after="20"/>
            </w:pPr>
            <w:r>
              <w:rPr>
                <w:rFonts w:ascii="Calibri" w:hAnsi="Calibri"/>
                <w:b w:val="0"/>
                <w:color w:val="212529"/>
                <w:sz w:val="19"/>
              </w:rPr>
              <w:t>October 19, 2011</w:t>
            </w:r>
          </w:p>
        </w:tc>
      </w:tr>
      <w:tr>
        <w:tc>
          <w:tcPr>
            <w:tcW w:type="dxa" w:w="4824"/>
            <w:shd w:fill="EBF0F7"/>
            <w:tcMar>
              <w:top w:w="60" w:type="dxa"/>
              <w:bottom w:w="60" w:type="dxa"/>
              <w:left w:w="120" w:type="dxa"/>
              <w:right w:w="120" w:type="dxa"/>
            </w:tcMar>
          </w:tcPr>
          <w:p>
            <w:pPr>
              <w:spacing w:before="20" w:after="20"/>
            </w:pPr>
            <w:r>
              <w:rPr>
                <w:rFonts w:ascii="Arial" w:hAnsi="Arial"/>
                <w:b/>
                <w:color w:val="0F2043"/>
                <w:sz w:val="19"/>
              </w:rPr>
              <w:t>Ponente / Court:</w:t>
            </w:r>
          </w:p>
        </w:tc>
        <w:tc>
          <w:tcPr>
            <w:tcW w:type="dxa" w:w="4824"/>
            <w:shd w:fill="FAFCFF"/>
            <w:tcMar>
              <w:top w:w="60" w:type="dxa"/>
              <w:bottom w:w="60" w:type="dxa"/>
              <w:left w:w="120" w:type="dxa"/>
              <w:right w:w="120" w:type="dxa"/>
            </w:tcMar>
          </w:tcPr>
          <w:p>
            <w:pPr>
              <w:spacing w:before="20" w:after="20"/>
            </w:pPr>
            <w:r>
              <w:rPr>
                <w:rFonts w:ascii="Calibri" w:hAnsi="Calibri"/>
                <w:b w:val="0"/>
                <w:color w:val="212529"/>
                <w:sz w:val="19"/>
              </w:rPr>
              <w:t>Second Division</w:t>
            </w:r>
          </w:p>
        </w:tc>
      </w:tr>
    </w:tbl>
    <w:p>
      <w:pPr>
        <w:keepNext/>
        <w:spacing w:before="240" w:after="60"/>
      </w:pPr>
      <w:r>
        <w:rPr>
          <w:rFonts w:ascii="Arial" w:hAnsi="Arial"/>
          <w:b/>
          <w:color w:val="0F2043"/>
          <w:sz w:val="21"/>
        </w:rPr>
        <w:t>I. FACTS OF THE CASE</w:t>
      </w:r>
    </w:p>
    <w:tbl>
      <w:tblPr>
        <w:tblW w:type="auto" w:w="0"/>
        <w:jc w:val="center"/>
        <w:tblLook w:firstColumn="1" w:firstRow="1" w:lastColumn="0" w:lastRow="0" w:noHBand="0" w:noVBand="1" w:val="04A0"/>
      </w:tblPr>
      <w:tblGrid>
        <w:gridCol w:w="9648"/>
      </w:tblGrid>
      <w:tr>
        <w:tc>
          <w:tcPr>
            <w:tcW w:type="dxa" w:w="9648"/>
            <w:shd w:fill="F8F9FB"/>
            <w:tcMar>
              <w:top w:w="100" w:type="dxa"/>
              <w:bottom w:w="100" w:type="dxa"/>
              <w:left w:w="160" w:type="dxa"/>
              <w:right w:w="160" w:type="dxa"/>
            </w:tcMar>
          </w:tcPr>
          <w:p>
            <w:pPr>
              <w:spacing w:before="20" w:after="40"/>
            </w:pPr>
            <w:r>
              <w:rPr>
                <w:rFonts w:ascii="Arial" w:hAnsi="Arial"/>
                <w:b/>
                <w:color w:val="0F2043"/>
                <w:sz w:val="19"/>
              </w:rPr>
              <w:t>Material Facts of Controversy</w:t>
              <w:br/>
            </w:r>
          </w:p>
          <w:p>
            <w:pPr>
              <w:spacing w:before="20" w:after="40" w:line="276" w:lineRule="auto"/>
            </w:pPr>
            <w:r>
              <w:rPr>
                <w:rFonts w:ascii="Calibri" w:hAnsi="Calibri"/>
                <w:color w:val="212529"/>
                <w:sz w:val="19"/>
              </w:rPr>
              <w:t>PEZA entered into a construction contract with Green Asia Construction for the development of roads and drainage in the Baguio City Economic Zone. Disputes arose regarding price adjustments and time extensions. Green Asia filed a Request for Adjudication before the Construction Industry Arbitration Commission (CIAC) pursuant to Executive Order No. 1008 (Construction Industry Arbitration Law). PEZA contested CIAC's jurisdiction, arguing that as a government instrumentality created by special charter (R.A. No. 7916), its public contracts are exempt from CIAC arbitration unless its charter expressly provides for arbitration.</w:t>
            </w:r>
          </w:p>
        </w:tc>
      </w:tr>
    </w:tbl>
    <w:p>
      <w:pPr>
        <w:keepNext/>
        <w:spacing w:before="240" w:after="60"/>
      </w:pPr>
      <w:r>
        <w:rPr>
          <w:rFonts w:ascii="Arial" w:hAnsi="Arial"/>
          <w:b/>
          <w:color w:val="0F2043"/>
          <w:sz w:val="21"/>
        </w:rPr>
        <w:t>II. FACTS RELEVANT TO STATUTORY CONSTRUCTION</w:t>
      </w:r>
    </w:p>
    <w:tbl>
      <w:tblPr>
        <w:tblW w:type="auto" w:w="0"/>
        <w:jc w:val="center"/>
        <w:tblLook w:firstColumn="1" w:firstRow="1" w:lastColumn="0" w:lastRow="0" w:noHBand="0" w:noVBand="1" w:val="04A0"/>
      </w:tblPr>
      <w:tblGrid>
        <w:gridCol w:w="9648"/>
      </w:tblGrid>
      <w:tr>
        <w:tc>
          <w:tcPr>
            <w:tcW w:type="dxa" w:w="9648"/>
            <w:shd w:fill="F8F9FB"/>
            <w:tcMar>
              <w:top w:w="100" w:type="dxa"/>
              <w:bottom w:w="100" w:type="dxa"/>
              <w:left w:w="160" w:type="dxa"/>
              <w:right w:w="160" w:type="dxa"/>
            </w:tcMar>
          </w:tcPr>
          <w:p>
            <w:pPr>
              <w:spacing w:before="20" w:after="40"/>
            </w:pPr>
            <w:r>
              <w:rPr>
                <w:rFonts w:ascii="Arial" w:hAnsi="Arial"/>
                <w:b/>
                <w:color w:val="0F2043"/>
                <w:sz w:val="19"/>
              </w:rPr>
              <w:t>Facts Giving Rise to Need for Interpretation</w:t>
              <w:br/>
            </w:r>
          </w:p>
          <w:p>
            <w:pPr>
              <w:spacing w:before="20" w:after="40" w:line="276" w:lineRule="auto"/>
            </w:pPr>
            <w:r>
              <w:rPr>
                <w:rFonts w:ascii="Calibri" w:hAnsi="Calibri"/>
                <w:b/>
                <w:color w:val="212529"/>
                <w:sz w:val="19"/>
              </w:rPr>
              <w:t xml:space="preserve">• What provision of law or rule became relevant? </w:t>
            </w:r>
            <w:r>
              <w:rPr>
                <w:rFonts w:ascii="Calibri" w:hAnsi="Calibri"/>
                <w:color w:val="212529"/>
                <w:sz w:val="19"/>
              </w:rPr>
              <w:t>1. Section 4, Executive Order No. 1008 (Construction Industry Arbitration Law): Vests CIAC with original and exclusive jurisdiction over disputes arising from construction contracts, whether private or government.</w:t>
              <w:br/>
              <w:t>2. Ubi Lex Non Distinguit, Nec Nos Distinguere Debemus (where the law does not distinguish, we should not distinguish): Since EO 1008 covers all construction contracts without qualification, government agencies cannot claim implied exemption.</w:t>
            </w:r>
          </w:p>
          <w:p>
            <w:pPr>
              <w:spacing w:before="20" w:after="40" w:line="276" w:lineRule="auto"/>
            </w:pPr>
            <w:r>
              <w:rPr>
                <w:rFonts w:ascii="Calibri" w:hAnsi="Calibri"/>
                <w:b/>
                <w:color w:val="212529"/>
                <w:sz w:val="19"/>
              </w:rPr>
              <w:t xml:space="preserve">• What circumstance made interpretation necessary? </w:t>
            </w:r>
            <w:r>
              <w:rPr>
                <w:rFonts w:ascii="Calibri" w:hAnsi="Calibri"/>
                <w:color w:val="212529"/>
                <w:sz w:val="19"/>
              </w:rPr>
              <w:t>PEZA attempted to manufacture an unwritten sovereign exemption to evade statutory arbitration mandates.</w:t>
            </w:r>
          </w:p>
          <w:p>
            <w:pPr>
              <w:spacing w:before="20" w:after="40" w:line="276" w:lineRule="auto"/>
            </w:pPr>
            <w:r>
              <w:rPr>
                <w:rFonts w:ascii="Calibri" w:hAnsi="Calibri"/>
                <w:b/>
                <w:color w:val="212529"/>
                <w:sz w:val="19"/>
              </w:rPr>
              <w:t xml:space="preserve">• What competing interpretations were presented? </w:t>
            </w:r>
            <w:r>
              <w:rPr>
                <w:rFonts w:ascii="Calibri" w:hAnsi="Calibri"/>
                <w:color w:val="212529"/>
                <w:sz w:val="19"/>
              </w:rPr>
              <w:t>Petitioner argued for a favorable interpretation based on statutory intent, while Respondent contended for a literal or restrictive application.</w:t>
            </w:r>
          </w:p>
        </w:tc>
      </w:tr>
    </w:tbl>
    <w:p>
      <w:pPr>
        <w:keepNext/>
        <w:spacing w:before="240" w:after="60"/>
      </w:pPr>
      <w:r>
        <w:rPr>
          <w:rFonts w:ascii="Arial" w:hAnsi="Arial"/>
          <w:b/>
          <w:color w:val="0F2043"/>
          <w:sz w:val="21"/>
        </w:rPr>
        <w:t>III. ISSUES</w:t>
      </w:r>
    </w:p>
    <w:p>
      <w:pPr>
        <w:keepNext/>
        <w:spacing w:before="120" w:after="40"/>
      </w:pPr>
      <w:r>
        <w:rPr>
          <w:rFonts w:ascii="Arial" w:hAnsi="Arial"/>
          <w:b/>
          <w:color w:val="781E1E"/>
          <w:sz w:val="20"/>
        </w:rPr>
        <w:t>A. General Legal Issues</w:t>
      </w:r>
    </w:p>
    <w:p>
      <w:pPr>
        <w:spacing w:before="40" w:after="80" w:line="276" w:lineRule="auto"/>
      </w:pPr>
      <w:r>
        <w:rPr>
          <w:rFonts w:ascii="Calibri" w:hAnsi="Calibri"/>
          <w:i w:val="0"/>
          <w:color w:val="212529"/>
          <w:sz w:val="21"/>
        </w:rPr>
        <w:t>Whether or not the Construction Industry Arbitration Commission (CIAC) has jurisdiction under E.O. No. 1008 over construction contract disputes involving government corporate entities like PEZA.</w:t>
      </w:r>
    </w:p>
    <w:p>
      <w:pPr>
        <w:keepNext/>
        <w:spacing w:before="120" w:after="40"/>
      </w:pPr>
      <w:r>
        <w:rPr>
          <w:rFonts w:ascii="Arial" w:hAnsi="Arial"/>
          <w:b/>
          <w:color w:val="781E1E"/>
          <w:sz w:val="20"/>
        </w:rPr>
        <w:t>B. Statutory-Construction Issue/s</w:t>
      </w:r>
    </w:p>
    <w:tbl>
      <w:tblPr>
        <w:tblW w:type="auto" w:w="0"/>
        <w:jc w:val="center"/>
        <w:tblLook w:firstColumn="1" w:firstRow="1" w:lastColumn="0" w:lastRow="0" w:noHBand="0" w:noVBand="1" w:val="04A0"/>
      </w:tblPr>
      <w:tblGrid>
        <w:gridCol w:w="9648"/>
      </w:tblGrid>
      <w:tr>
        <w:tc>
          <w:tcPr>
            <w:tcW w:type="dxa" w:w="9648"/>
            <w:shd w:fill="EBF3FA"/>
            <w:tcMar>
              <w:top w:w="100" w:type="dxa"/>
              <w:bottom w:w="100" w:type="dxa"/>
              <w:left w:w="160" w:type="dxa"/>
              <w:right w:w="160" w:type="dxa"/>
            </w:tcMar>
          </w:tcPr>
          <w:p>
            <w:pPr>
              <w:spacing w:before="20" w:after="40"/>
            </w:pPr>
            <w:r>
              <w:rPr>
                <w:rFonts w:ascii="Arial" w:hAnsi="Arial"/>
                <w:b/>
                <w:color w:val="0F2043"/>
                <w:sz w:val="19"/>
              </w:rPr>
              <w:t>Standardized StatCon Issue Statement</w:t>
              <w:br/>
            </w:r>
          </w:p>
          <w:p>
            <w:pPr>
              <w:spacing w:before="20" w:after="40" w:line="276" w:lineRule="auto"/>
            </w:pPr>
            <w:r>
              <w:rPr>
                <w:rFonts w:ascii="Calibri" w:hAnsi="Calibri"/>
                <w:color w:val="212529"/>
                <w:sz w:val="19"/>
              </w:rPr>
              <w:t>Whether the subject statutory act, classification, or terminology under the governing statute/rule means, includes, or applies to the factual controversy in Philippine Economic Zone Authority (PEZA) v. Green Asia Construction &amp; Development Corporation, under the canon of Ubi lex non distinguit, nec nos distinguere debemus.</w:t>
            </w:r>
          </w:p>
        </w:tc>
      </w:tr>
    </w:tbl>
    <w:p>
      <w:pPr>
        <w:keepNext/>
        <w:spacing w:before="240" w:after="60"/>
      </w:pPr>
      <w:r>
        <w:rPr>
          <w:rFonts w:ascii="Arial" w:hAnsi="Arial"/>
          <w:b/>
          <w:color w:val="0F2043"/>
          <w:sz w:val="21"/>
        </w:rPr>
        <w:t>IV. PROVISION/S OF LAW CONSTRUED</w:t>
      </w:r>
    </w:p>
    <w:tbl>
      <w:tblPr>
        <w:tblW w:type="auto" w:w="0"/>
        <w:jc w:val="center"/>
        <w:tblLook w:firstColumn="1" w:firstRow="1" w:lastColumn="0" w:lastRow="0" w:noHBand="0" w:noVBand="1" w:val="04A0"/>
      </w:tblPr>
      <w:tblGrid>
        <w:gridCol w:w="9648"/>
      </w:tblGrid>
      <w:tr>
        <w:tc>
          <w:tcPr>
            <w:tcW w:type="dxa" w:w="9648"/>
            <w:shd w:fill="F8F9FB"/>
            <w:tcMar>
              <w:top w:w="100" w:type="dxa"/>
              <w:bottom w:w="100" w:type="dxa"/>
              <w:left w:w="160" w:type="dxa"/>
              <w:right w:w="160" w:type="dxa"/>
            </w:tcMar>
          </w:tcPr>
          <w:p>
            <w:pPr>
              <w:spacing w:before="20" w:after="40"/>
            </w:pPr>
            <w:r>
              <w:rPr>
                <w:rFonts w:ascii="Arial" w:hAnsi="Arial"/>
                <w:b/>
                <w:color w:val="0F2043"/>
                <w:sz w:val="19"/>
              </w:rPr>
              <w:t>Statutory / Constitutional Text &amp; Problem</w:t>
              <w:br/>
            </w:r>
          </w:p>
          <w:p>
            <w:pPr>
              <w:spacing w:before="20" w:after="40" w:line="276" w:lineRule="auto"/>
            </w:pPr>
            <w:r>
              <w:rPr>
                <w:rFonts w:ascii="Calibri" w:hAnsi="Calibri"/>
                <w:b/>
                <w:color w:val="212529"/>
                <w:sz w:val="19"/>
              </w:rPr>
              <w:t xml:space="preserve">• Quoted Provision: </w:t>
            </w:r>
            <w:r>
              <w:rPr>
                <w:rFonts w:ascii="Calibri" w:hAnsi="Calibri"/>
                <w:color w:val="212529"/>
                <w:sz w:val="19"/>
              </w:rPr>
              <w:t>1. Section 4, Executive Order No. 1008 (Construction Industry Arbitration Law): Vests CIAC with original and exclusive jurisdiction over disputes arising from construction contracts, whether private or government.</w:t>
              <w:br/>
              <w:t>2. Ubi Lex Non Distinguit, Nec Nos Distinguere Debemus (where the law does not distinguish, we should not distinguish): Since EO 1008 covers all construction contracts without qualification, government agencies cannot claim implied exemption.</w:t>
            </w:r>
          </w:p>
          <w:p>
            <w:pPr>
              <w:spacing w:before="20" w:after="40" w:line="276" w:lineRule="auto"/>
            </w:pPr>
            <w:r>
              <w:rPr>
                <w:rFonts w:ascii="Calibri" w:hAnsi="Calibri"/>
                <w:b/>
                <w:color w:val="212529"/>
                <w:sz w:val="19"/>
              </w:rPr>
              <w:t xml:space="preserve">• Interpretive Problem: </w:t>
            </w:r>
            <w:r>
              <w:rPr>
                <w:rFonts w:ascii="Calibri" w:hAnsi="Calibri"/>
                <w:color w:val="212529"/>
                <w:sz w:val="19"/>
              </w:rPr>
              <w:t>The statutory language makes no distinction or exception, presenting the problem of whether administrative or judicial distinctions can be legally imported.</w:t>
            </w:r>
          </w:p>
        </w:tc>
      </w:tr>
    </w:tbl>
    <w:p>
      <w:pPr>
        <w:keepNext/>
        <w:spacing w:before="240" w:after="60"/>
      </w:pPr>
      <w:r>
        <w:rPr>
          <w:rFonts w:ascii="Arial" w:hAnsi="Arial"/>
          <w:b/>
          <w:color w:val="0F2043"/>
          <w:sz w:val="21"/>
        </w:rPr>
        <w:t>V. RULING OF THE SUPREME COURT</w:t>
      </w:r>
    </w:p>
    <w:p>
      <w:pPr>
        <w:keepNext/>
        <w:spacing w:before="120" w:after="40"/>
      </w:pPr>
      <w:r>
        <w:rPr>
          <w:rFonts w:ascii="Arial" w:hAnsi="Arial"/>
          <w:b/>
          <w:color w:val="781E1E"/>
          <w:sz w:val="20"/>
        </w:rPr>
        <w:t>A. General Ruling</w:t>
      </w:r>
    </w:p>
    <w:p>
      <w:pPr>
        <w:spacing w:before="40" w:after="80" w:line="276" w:lineRule="auto"/>
      </w:pPr>
      <w:r>
        <w:rPr>
          <w:rFonts w:ascii="Calibri" w:hAnsi="Calibri"/>
          <w:i w:val="0"/>
          <w:color w:val="212529"/>
          <w:sz w:val="21"/>
        </w:rPr>
        <w:t>The Supreme Court DENIED PEZA's petition, AFFIRMED the CIAC's jurisdiction, and ORDERED the arbitration proceedings to continue on the merits.</w:t>
      </w:r>
    </w:p>
    <w:p>
      <w:pPr>
        <w:keepNext/>
        <w:spacing w:before="120" w:after="40"/>
      </w:pPr>
      <w:r>
        <w:rPr>
          <w:rFonts w:ascii="Arial" w:hAnsi="Arial"/>
          <w:b/>
          <w:color w:val="781E1E"/>
          <w:sz w:val="20"/>
        </w:rPr>
        <w:t>B. Ruling on the Statutory-Construction Issue</w:t>
      </w:r>
    </w:p>
    <w:tbl>
      <w:tblPr>
        <w:tblW w:type="auto" w:w="0"/>
        <w:jc w:val="center"/>
        <w:tblLook w:firstColumn="1" w:firstRow="1" w:lastColumn="0" w:lastRow="0" w:noHBand="0" w:noVBand="1" w:val="04A0"/>
      </w:tblPr>
      <w:tblGrid>
        <w:gridCol w:w="9648"/>
      </w:tblGrid>
      <w:tr>
        <w:tc>
          <w:tcPr>
            <w:tcW w:type="dxa" w:w="9648"/>
            <w:shd w:fill="F4FAF5"/>
            <w:tcMar>
              <w:top w:w="100" w:type="dxa"/>
              <w:bottom w:w="100" w:type="dxa"/>
              <w:left w:w="160" w:type="dxa"/>
              <w:right w:w="160" w:type="dxa"/>
            </w:tcMar>
          </w:tcPr>
          <w:p>
            <w:pPr>
              <w:spacing w:before="20" w:after="40"/>
            </w:pPr>
            <w:r>
              <w:rPr>
                <w:rFonts w:ascii="Arial" w:hAnsi="Arial"/>
                <w:b/>
                <w:color w:val="0F2043"/>
                <w:sz w:val="19"/>
              </w:rPr>
              <w:t>Statutory Meaning Established by Court</w:t>
              <w:br/>
            </w:r>
          </w:p>
          <w:p>
            <w:pPr>
              <w:spacing w:before="20" w:after="40" w:line="276" w:lineRule="auto"/>
            </w:pPr>
            <w:r>
              <w:rPr>
                <w:rFonts w:ascii="Calibri" w:hAnsi="Calibri"/>
                <w:color w:val="212529"/>
                <w:sz w:val="19"/>
              </w:rPr>
              <w:t>YES. CIAC has ORIGINAL AND EXCLUSIVE JURISDICTION over all construction disputes in the Philippines, including those involving government entities like PEZA. E.O. No. 1008 makes no distinction between private and government contracts.</w:t>
            </w:r>
          </w:p>
        </w:tc>
      </w:tr>
    </w:tbl>
    <w:p>
      <w:pPr>
        <w:keepNext/>
        <w:spacing w:before="240" w:after="60"/>
      </w:pPr>
      <w:r>
        <w:rPr>
          <w:rFonts w:ascii="Arial" w:hAnsi="Arial"/>
          <w:b/>
          <w:color w:val="0F2043"/>
          <w:sz w:val="21"/>
        </w:rPr>
        <w:t>VI. HOW THE COURT CONSTRUED THE LAW</w:t>
      </w:r>
    </w:p>
    <w:tbl>
      <w:tblPr>
        <w:tblW w:type="auto" w:w="0"/>
        <w:jc w:val="center"/>
        <w:tblLook w:firstColumn="1" w:firstRow="1" w:lastColumn="0" w:lastRow="0" w:noHBand="0" w:noVBand="1" w:val="04A0"/>
      </w:tblPr>
      <w:tblGrid>
        <w:gridCol w:w="9648"/>
      </w:tblGrid>
      <w:tr>
        <w:tc>
          <w:tcPr>
            <w:tcW w:type="dxa" w:w="9648"/>
            <w:shd w:fill="F8F9FB"/>
            <w:tcMar>
              <w:top w:w="100" w:type="dxa"/>
              <w:bottom w:w="100" w:type="dxa"/>
              <w:left w:w="160" w:type="dxa"/>
              <w:right w:w="160" w:type="dxa"/>
            </w:tcMar>
          </w:tcPr>
          <w:p>
            <w:pPr>
              <w:spacing w:before="20" w:after="40"/>
            </w:pPr>
            <w:r>
              <w:rPr>
                <w:rFonts w:ascii="Arial" w:hAnsi="Arial"/>
                <w:b/>
                <w:color w:val="0F2043"/>
                <w:sz w:val="19"/>
              </w:rPr>
              <w:t>Methodological &amp; Doctrinal Analysis</w:t>
              <w:br/>
            </w:r>
          </w:p>
          <w:p>
            <w:pPr>
              <w:spacing w:before="20" w:after="40" w:line="276" w:lineRule="auto"/>
            </w:pPr>
            <w:r>
              <w:rPr>
                <w:rFonts w:ascii="Calibri" w:hAnsi="Calibri"/>
                <w:b/>
                <w:color w:val="212529"/>
                <w:sz w:val="19"/>
              </w:rPr>
              <w:t xml:space="preserve">A. Why Was Construction Necessary? </w:t>
            </w:r>
            <w:r>
              <w:rPr>
                <w:rFonts w:ascii="Calibri" w:hAnsi="Calibri"/>
                <w:color w:val="212529"/>
                <w:sz w:val="19"/>
              </w:rPr>
              <w:t>Ambiguity in the application and scope of the statute: PEZA attempted to manufacture an unwritten sovereign exemption to evade statutory arbitration mandates..</w:t>
            </w:r>
          </w:p>
          <w:p>
            <w:pPr>
              <w:spacing w:before="20" w:after="40" w:line="276" w:lineRule="auto"/>
            </w:pPr>
            <w:r>
              <w:rPr>
                <w:rFonts w:ascii="Calibri" w:hAnsi="Calibri"/>
                <w:b/>
                <w:color w:val="212529"/>
                <w:sz w:val="19"/>
              </w:rPr>
              <w:t xml:space="preserve">B. Purpose of Construction: </w:t>
            </w:r>
            <w:r>
              <w:rPr>
                <w:rFonts w:ascii="Calibri" w:hAnsi="Calibri"/>
                <w:color w:val="212529"/>
                <w:sz w:val="19"/>
              </w:rPr>
              <w:t>To ascertain and give full effect to the true intent, spirit, and purpose of the lawmaking body.</w:t>
            </w:r>
          </w:p>
          <w:p>
            <w:pPr>
              <w:spacing w:before="20" w:after="40" w:line="276" w:lineRule="auto"/>
            </w:pPr>
            <w:r>
              <w:rPr>
                <w:rFonts w:ascii="Calibri" w:hAnsi="Calibri"/>
                <w:b/>
                <w:color w:val="212529"/>
                <w:sz w:val="19"/>
              </w:rPr>
              <w:t xml:space="preserve">C. Method, Canon, or Rule Applied: </w:t>
            </w:r>
            <w:r>
              <w:rPr>
                <w:rFonts w:ascii="Calibri" w:hAnsi="Calibri"/>
                <w:color w:val="212529"/>
                <w:sz w:val="19"/>
              </w:rPr>
              <w:t>Ubi lex non distinguit, nec nos distinguere debemus</w:t>
              <w:br/>
              <w:t xml:space="preserve">   - Application: Comprehensive Construction of Remedial ADR Laws: Statutes conferring specialized arbitral jurisdiction are construed comprehensively to achieve statutory objectives of commercial efficiency and court decongestion.</w:t>
              <w:br/>
              <w:t xml:space="preserve">   - Result: Yes. The arbitration law covers all construction contracts in the country without distinguishing between private owners and government agencies. Where the law does not distinguish, courts cannot create an exemption for PEZA.</w:t>
            </w:r>
          </w:p>
          <w:p>
            <w:pPr>
              <w:spacing w:before="20" w:after="40" w:line="276" w:lineRule="auto"/>
            </w:pPr>
            <w:r>
              <w:rPr>
                <w:rFonts w:ascii="Calibri" w:hAnsi="Calibri"/>
                <w:b/>
                <w:color w:val="212529"/>
                <w:sz w:val="19"/>
              </w:rPr>
              <w:t xml:space="preserve">D. Other Sources Used: </w:t>
            </w:r>
            <w:r>
              <w:rPr>
                <w:rFonts w:ascii="Calibri" w:hAnsi="Calibri"/>
                <w:color w:val="212529"/>
                <w:sz w:val="19"/>
              </w:rPr>
              <w:t>Ordinary meaning of words, statute considered as a whole, legislative history, and established Supreme Court jurisprudence.</w:t>
            </w:r>
          </w:p>
        </w:tc>
      </w:tr>
    </w:tbl>
    <w:p>
      <w:pPr>
        <w:keepNext/>
        <w:spacing w:before="240" w:after="60"/>
      </w:pPr>
      <w:r>
        <w:rPr>
          <w:rFonts w:ascii="Arial" w:hAnsi="Arial"/>
          <w:b/>
          <w:color w:val="0F2043"/>
          <w:sz w:val="21"/>
        </w:rPr>
        <w:t>VII. RELEVANT STATUTORY-CONSTRUCTION CONCEPTS (A–L EVALUATION)</w:t>
      </w:r>
    </w:p>
    <w:tbl>
      <w:tblPr>
        <w:tblW w:type="auto" w:w="0"/>
        <w:jc w:val="center"/>
        <w:tblLook w:firstColumn="1" w:firstRow="1" w:lastColumn="0" w:lastRow="0" w:noHBand="0" w:noVBand="1" w:val="04A0"/>
      </w:tblPr>
      <w:tblGrid>
        <w:gridCol w:w="4824"/>
        <w:gridCol w:w="4824"/>
      </w:tblGrid>
      <w:tr>
        <w:tc>
          <w:tcPr>
            <w:tcW w:type="dxa" w:w="4824"/>
            <w:shd w:fill="EBF0F8"/>
            <w:tcMar>
              <w:top w:w="70" w:type="dxa"/>
              <w:bottom w:w="70" w:type="dxa"/>
              <w:left w:w="100" w:type="dxa"/>
              <w:right w:w="100" w:type="dxa"/>
            </w:tcMar>
          </w:tcPr>
          <w:p>
            <w:pPr>
              <w:spacing w:before="20" w:after="20"/>
            </w:pPr>
            <w:r>
              <w:rPr>
                <w:rFonts w:ascii="Arial" w:hAnsi="Arial"/>
                <w:b/>
                <w:color w:val="0F2043"/>
                <w:sz w:val="18"/>
              </w:rPr>
              <w:t>A. Situs of Statutory Construction</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Supreme Court of the Philippines, exercising its constitutional judicial power under Article VIII of the Constitution, serves as the ultimate situs and final arbiter for interpreting and construing the disputed provision.</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B. Purpose of Statutory Construction</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purpose of construction is to discover and effectuate the true legislative intent and will of the lawmaking body, preventing injustice and ensuring the statute operates harmoniously.</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C. When to Construe</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Construction became imperative because the text contained an ambiguity, competing interpretations, or conflicting statutory provisions that required judicial determination of legislative intent.</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D. Ambiguity or Vagueness</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controversy centered on the ambiguity, silence, or conflicting scope of the statutory language, which the Court resolved by examining legislative intent and governing maxims.</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E. Verba Legis Non Est Recedendum</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781E1E"/>
                <w:sz w:val="17"/>
              </w:rPr>
              <w:t xml:space="preserve"> [NOT APPLICABLE] </w:t>
            </w:r>
            <w:r>
              <w:rPr>
                <w:rFonts w:ascii="Calibri" w:hAnsi="Calibri"/>
                <w:color w:val="212529"/>
                <w:sz w:val="18"/>
              </w:rPr>
              <w:t>Not Applicable. The Court looked beyond literal words to discover the underlying legislative spirit, context, and intent.</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F. Absoluta Sententia Expositore Non Indigent</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781E1E"/>
                <w:sz w:val="17"/>
              </w:rPr>
              <w:t xml:space="preserve"> [NOT APPLICABLE] </w:t>
            </w:r>
            <w:r>
              <w:rPr>
                <w:rFonts w:ascii="Calibri" w:hAnsi="Calibri"/>
                <w:color w:val="212529"/>
                <w:sz w:val="18"/>
              </w:rPr>
              <w:t>Not Applicable. The statutory language required expository interpretation due to textual gaps, broad phrasing, or conflicting provisions.</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G. Legislative Intent</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Court analyzed the true intent and policy of the lawmaking authority, ensuring that the statutory purpose is preserved and not defeated by erroneous administrative or private interpretations.</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H. Strict or Liberal Construction</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781E1E"/>
                <w:sz w:val="17"/>
              </w:rPr>
              <w:t xml:space="preserve"> [NOT APPLICABLE] </w:t>
            </w:r>
            <w:r>
              <w:rPr>
                <w:rFonts w:ascii="Calibri" w:hAnsi="Calibri"/>
                <w:color w:val="212529"/>
                <w:sz w:val="18"/>
              </w:rPr>
              <w:t>Not Applicable. The Court applied standard ordinary rules of statutory interpretation without resorting to special strict or liberal construction doctrines.</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I. Prospective or Retrospective Construction</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781E1E"/>
                <w:sz w:val="17"/>
              </w:rPr>
              <w:t xml:space="preserve"> [NOT APPLICABLE] </w:t>
            </w:r>
            <w:r>
              <w:rPr>
                <w:rFonts w:ascii="Calibri" w:hAnsi="Calibri"/>
                <w:color w:val="212529"/>
                <w:sz w:val="18"/>
              </w:rPr>
              <w:t>Not Applicable. The case involved only the contemporaneous, prospective application of the governing law.</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J. Statutory Construction vs. Judicial Legislation</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Court underscored the constitutional boundary of judicial power: Courts are empowered solely to interpret (jus dicere), not to enact or amend laws (jus dare). Supplying unwritten terms or expanding clear prohibitions constitutes prohibited judicial legislation.</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K. Legis Interpretatio Legis Vim Obtinet</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Under Article 8 of the Civil Code, the Supreme Court's authoritative interpretation of the statute forms part of the legal system of the Philippines and acquires the force of law (*legis interpretatio legis vim obtinet*).</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L. Extent and Limits of the Power to Construe</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Court respected the constitutional limits of its authority by applying the law as written and refusing to invade the legislative domain under the guise of equity or expediency.</w:t>
            </w:r>
          </w:p>
        </w:tc>
      </w:tr>
    </w:tbl>
    <w:p>
      <w:pPr>
        <w:keepNext/>
        <w:spacing w:before="240" w:after="60"/>
      </w:pPr>
      <w:r>
        <w:rPr>
          <w:rFonts w:ascii="Arial" w:hAnsi="Arial"/>
          <w:b/>
          <w:color w:val="0F2043"/>
          <w:sz w:val="21"/>
        </w:rPr>
        <w:t>VIII. OTHER CANONS OR METHODS OF CONSTRUCTION</w:t>
      </w:r>
    </w:p>
    <w:tbl>
      <w:tblPr>
        <w:tblW w:type="auto" w:w="0"/>
        <w:jc w:val="center"/>
        <w:tblLook w:firstColumn="1" w:firstRow="1" w:lastColumn="0" w:lastRow="0" w:noHBand="0" w:noVBand="1" w:val="04A0"/>
      </w:tblPr>
      <w:tblGrid>
        <w:gridCol w:w="9648"/>
      </w:tblGrid>
      <w:tr>
        <w:tc>
          <w:tcPr>
            <w:tcW w:type="dxa" w:w="9648"/>
            <w:shd w:fill="F8F9FB"/>
            <w:tcMar>
              <w:top w:w="100" w:type="dxa"/>
              <w:bottom w:w="100" w:type="dxa"/>
              <w:left w:w="160" w:type="dxa"/>
              <w:right w:w="160" w:type="dxa"/>
            </w:tcMar>
          </w:tcPr>
          <w:p>
            <w:pPr>
              <w:spacing w:before="20" w:after="40"/>
            </w:pPr>
            <w:r>
              <w:rPr>
                <w:rFonts w:ascii="Arial" w:hAnsi="Arial"/>
                <w:b/>
                <w:color w:val="0F2043"/>
                <w:sz w:val="19"/>
              </w:rPr>
              <w:t>Secondary Rules &amp; Canons Applied</w:t>
              <w:br/>
            </w:r>
          </w:p>
          <w:p>
            <w:pPr>
              <w:spacing w:before="20" w:after="40" w:line="276" w:lineRule="auto"/>
            </w:pPr>
            <w:r>
              <w:rPr>
                <w:rFonts w:ascii="Calibri" w:hAnsi="Calibri"/>
                <w:b/>
                <w:color w:val="212529"/>
                <w:sz w:val="19"/>
              </w:rPr>
              <w:t xml:space="preserve">• Canon / Maxim: </w:t>
            </w:r>
            <w:r>
              <w:rPr>
                <w:rFonts w:ascii="Calibri" w:hAnsi="Calibri"/>
                <w:color w:val="212529"/>
                <w:sz w:val="19"/>
              </w:rPr>
              <w:t>• Pacta sunt servanda (contracts must be observed)</w:t>
              <w:br/>
              <w:t>• Ut res magis valeat quam pereat (construction to preserve ADR efficacy)</w:t>
            </w:r>
          </w:p>
          <w:p>
            <w:pPr>
              <w:spacing w:before="20" w:after="40" w:line="276" w:lineRule="auto"/>
            </w:pPr>
            <w:r>
              <w:rPr>
                <w:rFonts w:ascii="Calibri" w:hAnsi="Calibri"/>
                <w:b/>
                <w:color w:val="212529"/>
                <w:sz w:val="19"/>
              </w:rPr>
              <w:t xml:space="preserve">• How Applied: </w:t>
            </w:r>
            <w:r>
              <w:rPr>
                <w:rFonts w:ascii="Calibri" w:hAnsi="Calibri"/>
                <w:color w:val="212529"/>
                <w:sz w:val="19"/>
              </w:rPr>
              <w:t>Applied as corroborative canons to reinforce the primary rule of construction.</w:t>
            </w:r>
          </w:p>
          <w:p>
            <w:pPr>
              <w:spacing w:before="20" w:after="40" w:line="276" w:lineRule="auto"/>
            </w:pPr>
            <w:r>
              <w:rPr>
                <w:rFonts w:ascii="Calibri" w:hAnsi="Calibri"/>
                <w:b/>
                <w:color w:val="212529"/>
                <w:sz w:val="19"/>
              </w:rPr>
              <w:t xml:space="preserve">• Effect on Interpretation: </w:t>
            </w:r>
            <w:r>
              <w:rPr>
                <w:rFonts w:ascii="Calibri" w:hAnsi="Calibri"/>
                <w:color w:val="212529"/>
                <w:sz w:val="19"/>
              </w:rPr>
              <w:t>Harmonized the statute and prevented an absurd or unjust result.</w:t>
            </w:r>
          </w:p>
        </w:tc>
      </w:tr>
    </w:tbl>
    <w:p>
      <w:pPr>
        <w:keepNext/>
        <w:spacing w:before="240" w:after="60"/>
      </w:pPr>
      <w:r>
        <w:rPr>
          <w:rFonts w:ascii="Arial" w:hAnsi="Arial"/>
          <w:b/>
          <w:color w:val="0F2043"/>
          <w:sz w:val="21"/>
        </w:rPr>
        <w:t>IX. THE CONSTRUCTION MADE BY THE COURT</w:t>
      </w:r>
    </w:p>
    <w:tbl>
      <w:tblPr>
        <w:tblW w:type="auto" w:w="0"/>
        <w:jc w:val="center"/>
        <w:tblLook w:firstColumn="1" w:firstRow="1" w:lastColumn="0" w:lastRow="0" w:noHBand="0" w:noVBand="1" w:val="04A0"/>
      </w:tblPr>
      <w:tblGrid>
        <w:gridCol w:w="9648"/>
      </w:tblGrid>
      <w:tr>
        <w:tc>
          <w:tcPr>
            <w:tcW w:type="dxa" w:w="9648"/>
            <w:shd w:fill="F9F8F5"/>
            <w:tcMar>
              <w:top w:w="100" w:type="dxa"/>
              <w:bottom w:w="100" w:type="dxa"/>
              <w:left w:w="160" w:type="dxa"/>
              <w:right w:w="160" w:type="dxa"/>
            </w:tcMar>
          </w:tcPr>
          <w:p>
            <w:pPr>
              <w:spacing w:before="20" w:after="40"/>
            </w:pPr>
            <w:r>
              <w:rPr>
                <w:rFonts w:ascii="Arial" w:hAnsi="Arial"/>
                <w:b/>
                <w:color w:val="0F2043"/>
                <w:sz w:val="19"/>
              </w:rPr>
              <w:t>Actual Judicial Construction &amp; Ratio</w:t>
              <w:br/>
            </w:r>
          </w:p>
          <w:p>
            <w:pPr>
              <w:spacing w:before="20" w:after="40" w:line="276" w:lineRule="auto"/>
            </w:pPr>
            <w:r>
              <w:rPr>
                <w:rFonts w:ascii="Calibri" w:hAnsi="Calibri"/>
                <w:b/>
                <w:color w:val="212529"/>
                <w:sz w:val="19"/>
              </w:rPr>
              <w:t xml:space="preserve">• Construction Summary: </w:t>
            </w:r>
            <w:r>
              <w:rPr>
                <w:rFonts w:ascii="Calibri" w:hAnsi="Calibri"/>
                <w:color w:val="212529"/>
                <w:sz w:val="19"/>
              </w:rPr>
              <w:t>The Court construed the disputed statutory provisions in Philippine Economic Zone Authority (PEZA) v. Green Asia Construction &amp; Development Corporation to mean and apply strictly in accordance with Ubi lex non distinguit, nec nos distinguere debemus, holding that Yes. The arbitration law covers all construction contracts in the country without distinguishing between private owners and government agencies. Where the law d.</w:t>
            </w:r>
          </w:p>
          <w:p>
            <w:pPr>
              <w:spacing w:before="20" w:after="40" w:line="276" w:lineRule="auto"/>
            </w:pPr>
            <w:r>
              <w:rPr>
                <w:rFonts w:ascii="Calibri" w:hAnsi="Calibri"/>
                <w:b/>
                <w:color w:val="212529"/>
                <w:sz w:val="19"/>
              </w:rPr>
              <w:t xml:space="preserve">• Principal Reasoning: </w:t>
            </w:r>
            <w:r>
              <w:rPr>
                <w:rFonts w:ascii="Calibri" w:hAnsi="Calibri"/>
                <w:color w:val="212529"/>
                <w:sz w:val="19"/>
              </w:rPr>
              <w:t>The construction arbitration law was passed to solve construction fights quickly using technical experts instead of clogging courtrooms. The law says 'all construction disputes'. It does not say 'except government projects'. Because the law makes no distinction, government agencies must submit to arbitration just like everyone else.</w:t>
            </w:r>
          </w:p>
        </w:tc>
      </w:tr>
    </w:tbl>
    <w:tbl>
      <w:tblPr>
        <w:tblW w:type="auto" w:w="0"/>
        <w:jc w:val="center"/>
        <w:tblLook w:firstColumn="1" w:firstRow="1" w:lastColumn="0" w:lastRow="0" w:noHBand="0" w:noVBand="1" w:val="04A0"/>
      </w:tblPr>
      <w:tblGrid>
        <w:gridCol w:w="9648"/>
      </w:tblGrid>
      <w:tr>
        <w:tc>
          <w:tcPr>
            <w:tcW w:type="dxa" w:w="9648"/>
            <w:shd w:fill="EEF6F0"/>
            <w:tcMar>
              <w:top w:w="100" w:type="dxa"/>
              <w:bottom w:w="100" w:type="dxa"/>
              <w:left w:w="160" w:type="dxa"/>
              <w:right w:w="160" w:type="dxa"/>
            </w:tcMar>
          </w:tcPr>
          <w:p>
            <w:pPr>
              <w:spacing w:before="20" w:after="40"/>
            </w:pPr>
            <w:r>
              <w:rPr>
                <w:rFonts w:ascii="Arial" w:hAnsi="Arial"/>
                <w:b/>
                <w:color w:val="0D6E4B"/>
                <w:sz w:val="19"/>
              </w:rPr>
              <w:t>X. STATUTORY CONSTRUCTION OR JUDICIAL LEGISLATION?</w:t>
              <w:br/>
            </w:r>
          </w:p>
          <w:p>
            <w:pPr>
              <w:spacing w:before="20" w:after="60"/>
            </w:pPr>
            <w:r>
              <w:rPr>
                <w:rFonts w:ascii="Arial" w:hAnsi="Arial"/>
                <w:b/>
                <w:color w:val="0F2043"/>
                <w:sz w:val="19"/>
              </w:rPr>
              <w:t>☑ Proper statutory construction    ☐ Judicial legislation    ☐ Debatable</w:t>
            </w:r>
          </w:p>
          <w:p>
            <w:pPr>
              <w:spacing w:before="40" w:after="40" w:line="276" w:lineRule="auto"/>
            </w:pPr>
            <w:r>
              <w:rPr>
                <w:rFonts w:ascii="Calibri" w:hAnsi="Calibri"/>
                <w:b/>
                <w:color w:val="212529"/>
                <w:sz w:val="19"/>
              </w:rPr>
              <w:t>Explanation (3–5 sentences):</w:t>
              <w:br/>
            </w:r>
            <w:r>
              <w:rPr>
                <w:rFonts w:ascii="Calibri" w:hAnsi="Calibri"/>
                <w:color w:val="212529"/>
                <w:sz w:val="19"/>
              </w:rPr>
              <w:t>The Supreme Court acted within the legitimate bounds of its constitutional power to interpret the law (jus dicere). By applying Ubi lex non distinguit, nec nos distinguere debemus, the Court faithfully effectuated the legislative intent without creating new rules, modifying clear statutory text, or usurping congressional prerogative. The ruling reinforces the separation of powers and the doctrine that courts must enforce the law as enacted.</w:t>
            </w:r>
          </w:p>
        </w:tc>
      </w:tr>
    </w:tbl>
    <w:p>
      <w:pPr>
        <w:spacing w:before="80" w:after="40"/>
      </w:pPr>
    </w:p>
    <w:tbl>
      <w:tblPr>
        <w:tblW w:type="auto" w:w="0"/>
        <w:jc w:val="center"/>
        <w:tblLook w:firstColumn="1" w:firstRow="1" w:lastColumn="0" w:lastRow="0" w:noHBand="0" w:noVBand="1" w:val="04A0"/>
      </w:tblPr>
      <w:tblGrid>
        <w:gridCol w:w="9648"/>
      </w:tblGrid>
      <w:tr>
        <w:tc>
          <w:tcPr>
            <w:tcW w:type="dxa" w:w="9648"/>
            <w:shd w:fill="FBF6EE"/>
            <w:tcMar>
              <w:top w:w="100" w:type="dxa"/>
              <w:bottom w:w="100" w:type="dxa"/>
              <w:left w:w="160" w:type="dxa"/>
              <w:right w:w="160" w:type="dxa"/>
            </w:tcMar>
          </w:tcPr>
          <w:p>
            <w:pPr>
              <w:spacing w:before="20" w:after="40"/>
            </w:pPr>
            <w:r>
              <w:rPr>
                <w:rFonts w:ascii="Arial" w:hAnsi="Arial"/>
                <w:b/>
                <w:color w:val="8C3200"/>
                <w:sz w:val="19"/>
              </w:rPr>
              <w:t>XI. DOCTRINE (Statutory Construction Principle):</w:t>
              <w:br/>
            </w:r>
            <w:r>
              <w:rPr>
                <w:rFonts w:ascii="Calibri" w:hAnsi="Calibri"/>
                <w:color w:val="212529"/>
                <w:sz w:val="19"/>
              </w:rPr>
              <w:t>Comprehensive Construction of Remedial ADR Laws: Statutes conferring specialized arbitral jurisdiction are construed comprehensively to achieve statutory objectives of commercial efficiency and court decongestion.</w:t>
              <w:br/>
              <w:br/>
            </w:r>
          </w:p>
          <w:p>
            <w:pPr>
              <w:spacing w:before="20" w:after="40"/>
            </w:pPr>
            <w:r>
              <w:rPr>
                <w:rFonts w:ascii="Arial" w:hAnsi="Arial"/>
                <w:b/>
                <w:color w:val="8C3200"/>
                <w:sz w:val="19"/>
              </w:rPr>
              <w:t>XII. ONE-SENTENCE TAKEAWAY:</w:t>
              <w:br/>
            </w:r>
            <w:r>
              <w:rPr>
                <w:rFonts w:ascii="Calibri" w:hAnsi="Calibri"/>
                <w:i/>
                <w:color w:val="212529"/>
                <w:sz w:val="19"/>
              </w:rPr>
              <w:t>This case is important in Statutory Construction because When an arbitration law covers all building contracts, government agencies cannot claim they are too special to follow the law.</w:t>
            </w:r>
          </w:p>
        </w:tc>
      </w:tr>
    </w:tbl>
    <w:p>
      <w:r>
        <w:br w:type="page"/>
      </w:r>
    </w:p>
    <w:p>
      <w:pPr>
        <w:keepNext/>
        <w:spacing w:before="320" w:after="80"/>
      </w:pPr>
      <w:r>
        <w:rPr>
          <w:rFonts w:ascii="Arial" w:hAnsi="Arial"/>
          <w:b/>
          <w:color w:val="0F2043"/>
          <w:sz w:val="26"/>
        </w:rPr>
        <w:t>45. TUNA PROCESSING, INC. V. PHILIPPINE KINGFORD, INC.</w:t>
      </w:r>
    </w:p>
    <w:p>
      <w:pPr>
        <w:spacing w:before="40" w:after="80" w:line="276" w:lineRule="auto"/>
      </w:pPr>
      <w:r>
        <w:rPr>
          <w:rFonts w:ascii="Calibri" w:hAnsi="Calibri"/>
          <w:b/>
          <w:color w:val="212529"/>
          <w:sz w:val="21"/>
        </w:rPr>
        <w:t xml:space="preserve">Citation: </w:t>
      </w:r>
      <w:r>
        <w:rPr>
          <w:rFonts w:ascii="Calibri" w:hAnsi="Calibri"/>
          <w:i/>
          <w:color w:val="212529"/>
          <w:sz w:val="21"/>
        </w:rPr>
        <w:t>G.R. No. 185582 | February 29, 2012 | 667 SCRA 287 | First Division | Ponente: J. Perez</w:t>
      </w:r>
    </w:p>
    <w:p>
      <w:pPr>
        <w:keepNext/>
        <w:spacing w:before="200" w:after="40"/>
      </w:pPr>
      <w:r>
        <w:rPr>
          <w:rFonts w:ascii="Arial" w:hAnsi="Arial"/>
          <w:b/>
          <w:color w:val="781E1E"/>
          <w:sz w:val="22"/>
        </w:rPr>
        <w:t>LAYER A: ALAC DIGEST, RECITATION SCRIPT &amp; STATCON ANALYSIS</w:t>
      </w:r>
    </w:p>
    <w:p>
      <w:pPr>
        <w:keepNext/>
        <w:spacing w:before="200" w:after="40"/>
      </w:pPr>
      <w:r>
        <w:rPr>
          <w:rFonts w:ascii="Arial" w:hAnsi="Arial"/>
          <w:b/>
          <w:color w:val="781E1E"/>
          <w:sz w:val="22"/>
        </w:rPr>
        <w:t>I. PARTIES &amp; PROCEDURAL BACKGROUND</w:t>
      </w:r>
    </w:p>
    <w:p>
      <w:pPr>
        <w:spacing w:before="40" w:after="80" w:line="276" w:lineRule="auto"/>
      </w:pPr>
      <w:r>
        <w:rPr>
          <w:rFonts w:ascii="Calibri" w:hAnsi="Calibri"/>
          <w:b/>
          <w:color w:val="212529"/>
          <w:sz w:val="21"/>
        </w:rPr>
        <w:t xml:space="preserve">• Plaintiff/Petitioner: </w:t>
      </w:r>
      <w:r>
        <w:rPr>
          <w:rFonts w:ascii="Calibri" w:hAnsi="Calibri"/>
          <w:i w:val="0"/>
          <w:color w:val="212529"/>
          <w:sz w:val="21"/>
        </w:rPr>
        <w:t>Tuna Processing, Inc. (Petitioner)</w:t>
      </w:r>
    </w:p>
    <w:p>
      <w:pPr>
        <w:spacing w:before="40" w:after="80" w:line="276" w:lineRule="auto"/>
      </w:pPr>
      <w:r>
        <w:rPr>
          <w:rFonts w:ascii="Calibri" w:hAnsi="Calibri"/>
          <w:b/>
          <w:color w:val="212529"/>
          <w:sz w:val="21"/>
        </w:rPr>
        <w:t xml:space="preserve">• Defendant/Respondent: </w:t>
      </w:r>
      <w:r>
        <w:rPr>
          <w:rFonts w:ascii="Calibri" w:hAnsi="Calibri"/>
          <w:i w:val="0"/>
          <w:color w:val="212529"/>
          <w:sz w:val="21"/>
        </w:rPr>
        <w:t>Philippine Kingford, Inc. (Respondent)</w:t>
      </w:r>
    </w:p>
    <w:p>
      <w:pPr>
        <w:spacing w:before="40" w:after="80" w:line="276" w:lineRule="auto"/>
      </w:pPr>
      <w:r>
        <w:rPr>
          <w:rFonts w:ascii="Calibri" w:hAnsi="Calibri"/>
          <w:b/>
          <w:color w:val="212529"/>
          <w:sz w:val="21"/>
        </w:rPr>
        <w:t xml:space="preserve">• Originating Court: </w:t>
      </w:r>
      <w:r>
        <w:rPr>
          <w:rFonts w:ascii="Calibri" w:hAnsi="Calibri"/>
          <w:i w:val="0"/>
          <w:color w:val="212529"/>
          <w:sz w:val="21"/>
        </w:rPr>
        <w:t>Regional Trial Court of Makati City (Branch 61)</w:t>
      </w:r>
    </w:p>
    <w:p>
      <w:pPr>
        <w:spacing w:before="40" w:after="80" w:line="276" w:lineRule="auto"/>
      </w:pPr>
      <w:r>
        <w:rPr>
          <w:rFonts w:ascii="Calibri" w:hAnsi="Calibri"/>
          <w:b/>
          <w:color w:val="212529"/>
          <w:sz w:val="21"/>
        </w:rPr>
        <w:t xml:space="preserve">• Nature of the Action: </w:t>
      </w:r>
      <w:r>
        <w:rPr>
          <w:rFonts w:ascii="Calibri" w:hAnsi="Calibri"/>
          <w:i w:val="0"/>
          <w:color w:val="212529"/>
          <w:sz w:val="21"/>
        </w:rPr>
        <w:t>Petition for Review on Certiorari under Rule 45 concerning the legal capacity of an unlicensed foreign corporation to enforce an international arbitral award under Republic Act No. 9285 (Alternative Dispute Resolution Act of 2004) versus Section 133 of the Corporation Code.</w:t>
      </w:r>
    </w:p>
    <w:p>
      <w:pPr>
        <w:keepNext/>
        <w:spacing w:before="200" w:after="40"/>
      </w:pPr>
      <w:r>
        <w:rPr>
          <w:rFonts w:ascii="Arial" w:hAnsi="Arial"/>
          <w:b/>
          <w:color w:val="781E1E"/>
          <w:sz w:val="22"/>
        </w:rPr>
        <w:t>II. WHOLE FACTS</w:t>
      </w:r>
    </w:p>
    <w:p>
      <w:pPr>
        <w:spacing w:before="40" w:after="80" w:line="276" w:lineRule="auto"/>
      </w:pPr>
      <w:r>
        <w:rPr>
          <w:rFonts w:ascii="Calibri" w:hAnsi="Calibri"/>
          <w:i w:val="0"/>
          <w:color w:val="212529"/>
          <w:sz w:val="21"/>
        </w:rPr>
        <w:t>Tuna Processing, Inc. (TPI), a foreign corporation organized under the laws of California and not licensed to do business in the Philippines, obtained a final international arbitral award in California against Philippine Kingford, Inc. (a domestic corporation) amounting to over $1.7 Million. TPI filed a petition before the RTC of Makati to enforce the arbitral award pursuant to the 1958 New York Convention and R.A. No. 9285 (Alternative Dispute Resolution Act of 2004). Kingford moved to dismiss, arguing that under Section 133 of the Corporation Code (B.P. Blg. 68), a foreign corporation doing business without a license has NO CAPACITY to maintain any suit in Philippine courts, invoking Lex Posterior Derogat Priori.</w:t>
      </w:r>
    </w:p>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SUMMARY OF FACTS</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An American tuna company won an international arbitration case in California against a Filipino company and was awarded $1.7 Million. When the American company went to a Philippine court to collect the money, the local company tried to block them, arguing that under the old Corporation Code, an unlicensed foreign company cannot file any lawsuits in the Philippines. The Supreme Court ruled that the 2004 ADR Law specifically allows foreign corporations to enforce international arbitral awards, overriding the general Corporation Code restriction.</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When reciting the facts, state the core dispute in 2 sentences, then state how the case reached the Supreme Court.</w:t>
            </w:r>
          </w:p>
        </w:tc>
      </w:tr>
    </w:tbl>
    <w:p>
      <w:pPr>
        <w:keepNext/>
        <w:spacing w:before="200" w:after="40"/>
      </w:pPr>
      <w:r>
        <w:rPr>
          <w:rFonts w:ascii="Arial" w:hAnsi="Arial"/>
          <w:b/>
          <w:color w:val="781E1E"/>
          <w:sz w:val="22"/>
        </w:rPr>
        <w:t>III. THE LEGAL ISSUE</w:t>
      </w:r>
    </w:p>
    <w:p>
      <w:pPr>
        <w:spacing w:before="40" w:after="80" w:line="276" w:lineRule="auto"/>
      </w:pPr>
      <w:r>
        <w:rPr>
          <w:rFonts w:ascii="Calibri" w:hAnsi="Calibri"/>
          <w:i w:val="0"/>
          <w:color w:val="212529"/>
          <w:sz w:val="21"/>
        </w:rPr>
        <w:t>Whether or not a foreign corporation not licensed to do business in the Philippines may maintain a petition in Philippine courts to recognize and enforce a foreign arbitral award under R.A. No. 9285.</w:t>
      </w:r>
    </w:p>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THE LEGAL ISSUE</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Can an unlicensed foreign corporation sue in the Philippines to collect a foreign arbitration award, despite the general ban in the Corporation Code?</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"Sir/Ma'am, the issue is whether the ADR Act of 2004 allows an unlicensed foreign corporation to enforce an international arbitral award, testing the canons of Lex Posterior Derogat Priori (a later law repeals an earlier law) and Generalia Specialibus Non Derogant (general laws yield to special laws)."</w:t>
            </w:r>
          </w:p>
        </w:tc>
      </w:tr>
    </w:tbl>
    <w:p>
      <w:pPr>
        <w:keepNext/>
        <w:spacing w:before="200" w:after="40"/>
      </w:pPr>
      <w:r>
        <w:rPr>
          <w:rFonts w:ascii="Arial" w:hAnsi="Arial"/>
          <w:b/>
          <w:color w:val="781E1E"/>
          <w:sz w:val="22"/>
        </w:rPr>
        <w:t>IV. ALAC DIGEST</w:t>
      </w:r>
    </w:p>
    <w:tbl>
      <w:tblPr>
        <w:tblW w:type="auto" w:w="0"/>
        <w:jc w:val="center"/>
        <w:tblLook w:firstColumn="1" w:firstRow="1" w:lastColumn="0" w:lastRow="0" w:noHBand="0" w:noVBand="1" w:val="04A0"/>
      </w:tblPr>
      <w:tblGrid>
        <w:gridCol w:w="9648"/>
      </w:tblGrid>
      <w:tr>
        <w:tc>
          <w:tcPr>
            <w:tcW w:type="dxa" w:w="9648"/>
            <w:shd w:fill="F4F6F9"/>
            <w:tcMar>
              <w:top w:w="120" w:type="dxa"/>
              <w:bottom w:w="120" w:type="dxa"/>
              <w:left w:w="180" w:type="dxa"/>
              <w:right w:w="180" w:type="dxa"/>
            </w:tcMar>
          </w:tcPr>
          <w:p>
            <w:pPr>
              <w:spacing w:before="40" w:after="60"/>
            </w:pPr>
            <w:r>
              <w:rPr>
                <w:rFonts w:ascii="Arial" w:hAnsi="Arial"/>
                <w:b/>
                <w:color w:val="0F2043"/>
                <w:sz w:val="21"/>
              </w:rPr>
              <w:t>[A] ANSWER</w:t>
              <w:br/>
            </w:r>
          </w:p>
          <w:p>
            <w:pPr>
              <w:spacing w:before="20" w:after="40" w:line="276" w:lineRule="auto"/>
            </w:pPr>
            <w:r>
              <w:rPr>
                <w:rFonts w:ascii="Calibri" w:hAnsi="Calibri"/>
                <w:color w:val="212529"/>
                <w:sz w:val="20"/>
              </w:rPr>
              <w:t>YES. An unlicensed foreign corporation CAN file a petition in Philippine courts to enforce a foreign arbitral award. R.A. No. 9285, being a SUBSEQUENT AND SPECIAL LAW, creates an express exception to Section 133 of the Corporation Code.</w:t>
            </w:r>
          </w:p>
        </w:tc>
      </w:tr>
    </w:tbl>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THE ANSWER</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Yes. The 2004 ADR Act is a newer, specific law passed to comply with international treaties. Under Lex Posterior Derogat Priori and Generalia Specialibus Non Derogant, this specific arbitration law overrides the older general Corporation Code.</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"Yes, Sir/Ma'am. The Supreme Court held that under Lex posterior derogat priori (a later law repeals an earlier law) and Generalia specialibus non derogant (special laws prevail over general laws), RA 9285 specifically authorizes any party to an international arbitration to enforce the award in the Philippines, superseding Section 133 of the Corporation Code."</w:t>
            </w:r>
          </w:p>
        </w:tc>
      </w:tr>
    </w:tbl>
    <w:tbl>
      <w:tblPr>
        <w:tblW w:type="auto" w:w="0"/>
        <w:jc w:val="center"/>
        <w:tblLook w:firstColumn="1" w:firstRow="1" w:lastColumn="0" w:lastRow="0" w:noHBand="0" w:noVBand="1" w:val="04A0"/>
      </w:tblPr>
      <w:tblGrid>
        <w:gridCol w:w="9648"/>
      </w:tblGrid>
      <w:tr>
        <w:tc>
          <w:tcPr>
            <w:tcW w:type="dxa" w:w="9648"/>
            <w:shd w:fill="F4F6F9"/>
            <w:tcMar>
              <w:top w:w="120" w:type="dxa"/>
              <w:bottom w:w="120" w:type="dxa"/>
              <w:left w:w="180" w:type="dxa"/>
              <w:right w:w="180" w:type="dxa"/>
            </w:tcMar>
          </w:tcPr>
          <w:p>
            <w:pPr>
              <w:spacing w:before="40" w:after="60"/>
            </w:pPr>
            <w:r>
              <w:rPr>
                <w:rFonts w:ascii="Arial" w:hAnsi="Arial"/>
                <w:b/>
                <w:color w:val="0F2043"/>
                <w:sz w:val="21"/>
              </w:rPr>
              <w:t>[L] LEGAL BASIS</w:t>
              <w:br/>
            </w:r>
          </w:p>
          <w:p>
            <w:pPr>
              <w:spacing w:before="20" w:after="40" w:line="276" w:lineRule="auto"/>
            </w:pPr>
            <w:r>
              <w:rPr>
                <w:rFonts w:ascii="Calibri" w:hAnsi="Calibri"/>
                <w:b/>
                <w:color w:val="212529"/>
                <w:sz w:val="20"/>
              </w:rPr>
              <w:t xml:space="preserve">1. Section 42 and 45, Republic Act No. 9285 (Alternative Dispute Resolution Act of 2004): </w:t>
            </w:r>
            <w:r>
              <w:rPr>
                <w:rFonts w:ascii="Calibri" w:hAnsi="Calibri"/>
                <w:color w:val="212529"/>
                <w:sz w:val="20"/>
              </w:rPr>
              <w:t>Governs the recognition and enforcement of New York Convention international arbitral awards.</w:t>
            </w:r>
          </w:p>
          <w:p>
            <w:pPr>
              <w:spacing w:before="20" w:after="40" w:line="276" w:lineRule="auto"/>
            </w:pPr>
            <w:r>
              <w:rPr>
                <w:rFonts w:ascii="Calibri" w:hAnsi="Calibri"/>
                <w:b/>
                <w:color w:val="212529"/>
                <w:sz w:val="20"/>
              </w:rPr>
              <w:t xml:space="preserve">2. Section 133, Batas Pambansa Blg. 68 (The Corporation Code): </w:t>
            </w:r>
            <w:r>
              <w:rPr>
                <w:rFonts w:ascii="Calibri" w:hAnsi="Calibri"/>
                <w:color w:val="212529"/>
                <w:sz w:val="20"/>
              </w:rPr>
              <w:t>General restriction barring unlicensed foreign corporations doing business in the Philippines from maintaining court suits.</w:t>
            </w:r>
          </w:p>
          <w:p>
            <w:pPr>
              <w:spacing w:before="20" w:after="40" w:line="276" w:lineRule="auto"/>
            </w:pPr>
            <w:r>
              <w:rPr>
                <w:rFonts w:ascii="Calibri" w:hAnsi="Calibri"/>
                <w:b/>
                <w:color w:val="212529"/>
                <w:sz w:val="20"/>
              </w:rPr>
              <w:t xml:space="preserve">3. Lex Posterior Derogat Priori (a later statute repeals an earlier one): </w:t>
            </w:r>
            <w:r>
              <w:rPr>
                <w:rFonts w:ascii="Calibri" w:hAnsi="Calibri"/>
                <w:color w:val="212529"/>
                <w:sz w:val="20"/>
              </w:rPr>
              <w:t>The 2004 ADR Act, being subsequent in time, modifies earlier general corporate restrictions.</w:t>
            </w:r>
          </w:p>
          <w:p>
            <w:pPr>
              <w:spacing w:before="20" w:after="40" w:line="276" w:lineRule="auto"/>
            </w:pPr>
            <w:r>
              <w:rPr>
                <w:rFonts w:ascii="Calibri" w:hAnsi="Calibri"/>
                <w:b/>
                <w:color w:val="212529"/>
                <w:sz w:val="20"/>
              </w:rPr>
              <w:t xml:space="preserve">4. Generalia Specialibus Non Derogant (general provisions yield to special ones): </w:t>
            </w:r>
            <w:r>
              <w:rPr>
                <w:rFonts w:ascii="Calibri" w:hAnsi="Calibri"/>
                <w:color w:val="212529"/>
                <w:sz w:val="20"/>
              </w:rPr>
              <w:t>The special procedure for arbitral enforcement prevails over the general Corporation Code.</w:t>
            </w:r>
          </w:p>
        </w:tc>
      </w:tr>
    </w:tbl>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LEGAL BASIS</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RA 9285 (ADR Act), Section 133 Corporation Code, Lex Posterior Derogat Priori, and Generalia Specialibus Non Derogant.</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"Sir/Ma'am, the legal basis is RA 9285 in relation to Section 133 of the Corporation Code, harmonized under Lex posterior derogat priori (later law overrides earlier law) and Generalia specialibus non derogant (special laws override general laws)."</w:t>
            </w:r>
          </w:p>
        </w:tc>
      </w:tr>
    </w:tbl>
    <w:tbl>
      <w:tblPr>
        <w:tblW w:type="auto" w:w="0"/>
        <w:jc w:val="center"/>
        <w:tblLook w:firstColumn="1" w:firstRow="1" w:lastColumn="0" w:lastRow="0" w:noHBand="0" w:noVBand="1" w:val="04A0"/>
      </w:tblPr>
      <w:tblGrid>
        <w:gridCol w:w="9648"/>
      </w:tblGrid>
      <w:tr>
        <w:tc>
          <w:tcPr>
            <w:tcW w:type="dxa" w:w="9648"/>
            <w:shd w:fill="F4F6F9"/>
            <w:tcMar>
              <w:top w:w="120" w:type="dxa"/>
              <w:bottom w:w="120" w:type="dxa"/>
              <w:left w:w="180" w:type="dxa"/>
              <w:right w:w="180" w:type="dxa"/>
            </w:tcMar>
          </w:tcPr>
          <w:p>
            <w:pPr>
              <w:spacing w:before="40" w:after="60"/>
            </w:pPr>
            <w:r>
              <w:rPr>
                <w:rFonts w:ascii="Arial" w:hAnsi="Arial"/>
                <w:b/>
                <w:color w:val="0F2043"/>
                <w:sz w:val="21"/>
              </w:rPr>
              <w:t>[A] ANALYSIS / APPLICATION</w:t>
              <w:br/>
            </w:r>
          </w:p>
          <w:p>
            <w:pPr>
              <w:spacing w:before="20" w:after="40" w:line="276" w:lineRule="auto"/>
            </w:pPr>
            <w:r>
              <w:rPr>
                <w:rFonts w:ascii="Calibri" w:hAnsi="Calibri"/>
                <w:b/>
                <w:color w:val="212529"/>
                <w:sz w:val="20"/>
              </w:rPr>
              <w:t xml:space="preserve">1. Harmony with International Treaty Obligations: </w:t>
            </w:r>
            <w:r>
              <w:rPr>
                <w:rFonts w:ascii="Calibri" w:hAnsi="Calibri"/>
                <w:color w:val="212529"/>
                <w:sz w:val="20"/>
              </w:rPr>
              <w:t>The Philippines is a signatory to the 1958 New York Convention on the Recognition and Enforcement of Foreign Arbitral Awards. RA 9285 was enacted precisely to fulfill treaty obligations.</w:t>
            </w:r>
          </w:p>
          <w:p>
            <w:pPr>
              <w:spacing w:before="20" w:after="40" w:line="276" w:lineRule="auto"/>
            </w:pPr>
            <w:r>
              <w:rPr>
                <w:rFonts w:ascii="Calibri" w:hAnsi="Calibri"/>
                <w:b/>
                <w:color w:val="212529"/>
                <w:sz w:val="20"/>
              </w:rPr>
              <w:t xml:space="preserve">2. Lex Posterior and Special Law Prevails: </w:t>
            </w:r>
            <w:r>
              <w:rPr>
                <w:rFonts w:ascii="Calibri" w:hAnsi="Calibri"/>
                <w:color w:val="212529"/>
                <w:sz w:val="20"/>
              </w:rPr>
              <w:t>Section 133 of the Corporation Code was enacted in 1980 as a general rule. RA 9285 was enacted in 2004 as a specific statute governing international arbitration. Under statutory construction rules, the subsequent special statute governs.</w:t>
            </w:r>
          </w:p>
          <w:p>
            <w:pPr>
              <w:spacing w:before="20" w:after="40" w:line="276" w:lineRule="auto"/>
            </w:pPr>
            <w:r>
              <w:rPr>
                <w:rFonts w:ascii="Calibri" w:hAnsi="Calibri"/>
                <w:b/>
                <w:color w:val="212529"/>
                <w:sz w:val="20"/>
              </w:rPr>
              <w:t xml:space="preserve">3. Prevention of Unjust Haven for Judgment Debtors: </w:t>
            </w:r>
            <w:r>
              <w:rPr>
                <w:rFonts w:ascii="Calibri" w:hAnsi="Calibri"/>
                <w:color w:val="212529"/>
                <w:sz w:val="20"/>
              </w:rPr>
              <w:t>Allowing local debtors to invoke lack of license to avoid paying valid international arbitration debts would make the Philippines a haven for international contract welshers, sabotaging foreign trade.</w:t>
            </w:r>
          </w:p>
        </w:tc>
      </w:tr>
    </w:tbl>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ANALYSIS / APPLICATION</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If foreign companies could not collect international arbitration awards in the Philippines, no international business would trust Filipino contracts. Congress passed the 2004 ADR law to make sure foreign arbitration awards can be enforced. Because it is newer and deals specifically with arbitration, it wins over the old 1980 Corporation Code.</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"Sir/Ma'am, the Court harmonized statutory enactments. Under Lex Posterior Derogat Priori and Generalia Specialibus Non Derogant, RA 9285 carved out a specific exception to the Corporation Code to uphold the 1958 New York Convention and enforce foreign arbitral awards."</w:t>
            </w:r>
          </w:p>
        </w:tc>
      </w:tr>
    </w:tbl>
    <w:tbl>
      <w:tblPr>
        <w:tblW w:type="auto" w:w="0"/>
        <w:jc w:val="center"/>
        <w:tblLook w:firstColumn="1" w:firstRow="1" w:lastColumn="0" w:lastRow="0" w:noHBand="0" w:noVBand="1" w:val="04A0"/>
      </w:tblPr>
      <w:tblGrid>
        <w:gridCol w:w="9648"/>
      </w:tblGrid>
      <w:tr>
        <w:tc>
          <w:tcPr>
            <w:tcW w:type="dxa" w:w="9648"/>
            <w:shd w:fill="F4F6F9"/>
            <w:tcMar>
              <w:top w:w="120" w:type="dxa"/>
              <w:bottom w:w="120" w:type="dxa"/>
              <w:left w:w="180" w:type="dxa"/>
              <w:right w:w="180" w:type="dxa"/>
            </w:tcMar>
          </w:tcPr>
          <w:p>
            <w:pPr>
              <w:spacing w:before="40" w:after="60"/>
            </w:pPr>
            <w:r>
              <w:rPr>
                <w:rFonts w:ascii="Arial" w:hAnsi="Arial"/>
                <w:b/>
                <w:color w:val="0F2043"/>
                <w:sz w:val="21"/>
              </w:rPr>
              <w:t>[C] CONCLUSION</w:t>
              <w:br/>
            </w:r>
          </w:p>
          <w:p>
            <w:pPr>
              <w:spacing w:before="20" w:after="40" w:line="276" w:lineRule="auto"/>
            </w:pPr>
            <w:r>
              <w:rPr>
                <w:rFonts w:ascii="Calibri" w:hAnsi="Calibri"/>
                <w:color w:val="212529"/>
                <w:sz w:val="20"/>
              </w:rPr>
              <w:t>The Supreme Court REVERSED the RTC dismissal order, REINSTATED the petition to enforce the foreign arbitral award, and REMANDED the case for continuation of proceedings.</w:t>
            </w:r>
          </w:p>
        </w:tc>
      </w:tr>
    </w:tbl>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CONCLUSION</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The foreign tuna company won the right to enforce its $1.7M arbitration award in Philippine court.</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"The Supreme Court reversed the dismissal, allowing the unlicensed foreign corporation to enforce its arbitral award under the subsequent special provisions of RA 9285."</w:t>
            </w:r>
          </w:p>
        </w:tc>
      </w:tr>
    </w:tbl>
    <w:p>
      <w:pPr>
        <w:keepNext/>
        <w:spacing w:before="200" w:after="40"/>
      </w:pPr>
      <w:r>
        <w:rPr>
          <w:rFonts w:ascii="Arial" w:hAnsi="Arial"/>
          <w:b/>
          <w:color w:val="781E1E"/>
          <w:sz w:val="22"/>
        </w:rPr>
        <w:t>V. RELATION TO STATUTORY CONSTRUCTION</w:t>
      </w:r>
    </w:p>
    <w:p>
      <w:pPr>
        <w:spacing w:before="40" w:after="80" w:line="276" w:lineRule="auto"/>
      </w:pPr>
      <w:r>
        <w:rPr>
          <w:rFonts w:ascii="Calibri" w:hAnsi="Calibri"/>
          <w:b/>
          <w:color w:val="212529"/>
          <w:sz w:val="21"/>
        </w:rPr>
        <w:t>• Syllabus Topic Alignment:</w:t>
        <w:br/>
      </w:r>
      <w:r>
        <w:rPr>
          <w:rFonts w:ascii="Calibri" w:hAnsi="Calibri"/>
          <w:i w:val="0"/>
          <w:color w:val="212529"/>
          <w:sz w:val="21"/>
        </w:rPr>
        <w:t>• Chapter III: Basic Guidelines in the Construction and Interpretation of Laws</w:t>
        <w:br/>
        <w:t xml:space="preserve">  - C. Considerations outside the Statute: Lex Posterior Derogat Priori &amp; International Treaty Harmonization</w:t>
      </w:r>
    </w:p>
    <w:tbl>
      <w:tblPr>
        <w:tblW w:type="auto" w:w="0"/>
        <w:jc w:val="center"/>
        <w:tblLook w:firstColumn="1" w:firstRow="1" w:lastColumn="0" w:lastRow="0" w:noHBand="0" w:noVBand="1" w:val="04A0"/>
      </w:tblPr>
      <w:tblGrid>
        <w:gridCol w:w="9648"/>
      </w:tblGrid>
      <w:tr>
        <w:tc>
          <w:tcPr>
            <w:tcW w:type="dxa" w:w="9648"/>
            <w:shd w:fill="FDF6EE"/>
            <w:tcMar>
              <w:top w:w="120" w:type="dxa"/>
              <w:bottom w:w="120" w:type="dxa"/>
              <w:left w:w="180" w:type="dxa"/>
              <w:right w:w="180" w:type="dxa"/>
            </w:tcMar>
          </w:tcPr>
          <w:p>
            <w:pPr>
              <w:spacing w:before="40" w:after="80"/>
            </w:pPr>
            <w:r>
              <w:rPr>
                <w:rFonts w:ascii="Arial" w:hAnsi="Arial"/>
                <w:b/>
                <w:color w:val="8C3200"/>
                <w:sz w:val="20"/>
              </w:rPr>
              <w:t>📜 GOVERNING LATIN MAXIMS WITH ENGLISH TRANSLATIONS</w:t>
              <w:br/>
            </w:r>
          </w:p>
          <w:p>
            <w:pPr>
              <w:spacing w:before="40" w:after="60" w:line="276" w:lineRule="auto"/>
            </w:pPr>
            <w:r>
              <w:rPr>
                <w:rFonts w:ascii="Calibri" w:hAnsi="Calibri"/>
                <w:b/>
                <w:color w:val="8C3200"/>
                <w:sz w:val="20"/>
              </w:rPr>
              <w:t>1. Lex posterior derogat priori (a later law repeals an earlier law)</w:t>
              <w:br/>
            </w:r>
            <w:r>
              <w:rPr>
                <w:rFonts w:ascii="Calibri" w:hAnsi="Calibri"/>
                <w:b/>
                <w:color w:val="212529"/>
                <w:sz w:val="19"/>
              </w:rPr>
              <w:t xml:space="preserve">   • Literal English Translation: </w:t>
            </w:r>
            <w:r>
              <w:rPr>
                <w:rFonts w:ascii="Calibri" w:hAnsi="Calibri"/>
                <w:i/>
                <w:color w:val="212529"/>
                <w:sz w:val="19"/>
              </w:rPr>
              <w:t>A later statute repeals an earlier one.</w:t>
              <w:br/>
            </w:r>
            <w:r>
              <w:rPr>
                <w:rFonts w:ascii="Calibri" w:hAnsi="Calibri"/>
                <w:b/>
                <w:color w:val="212529"/>
                <w:sz w:val="19"/>
              </w:rPr>
              <w:t xml:space="preserve">   • Plain Legal Meaning &amp; StatCon Application: </w:t>
            </w:r>
            <w:r>
              <w:rPr>
                <w:rFonts w:ascii="Calibri" w:hAnsi="Calibri"/>
                <w:color w:val="212529"/>
                <w:sz w:val="19"/>
              </w:rPr>
              <w:t>The 2004 ADR Act prevails over the 1980 Corporation Code regarding arbitral enforcement capacity.</w:t>
            </w:r>
          </w:p>
          <w:p>
            <w:pPr>
              <w:spacing w:before="40" w:after="60" w:line="276" w:lineRule="auto"/>
            </w:pPr>
            <w:r>
              <w:rPr>
                <w:rFonts w:ascii="Calibri" w:hAnsi="Calibri"/>
                <w:b/>
                <w:color w:val="8C3200"/>
                <w:sz w:val="20"/>
              </w:rPr>
              <w:t>2. Generalia specialibus non derogant (general things do not derogate from special things)</w:t>
              <w:br/>
            </w:r>
            <w:r>
              <w:rPr>
                <w:rFonts w:ascii="Calibri" w:hAnsi="Calibri"/>
                <w:b/>
                <w:color w:val="212529"/>
                <w:sz w:val="19"/>
              </w:rPr>
              <w:t xml:space="preserve">   • Literal English Translation: </w:t>
            </w:r>
            <w:r>
              <w:rPr>
                <w:rFonts w:ascii="Calibri" w:hAnsi="Calibri"/>
                <w:i/>
                <w:color w:val="212529"/>
                <w:sz w:val="19"/>
              </w:rPr>
              <w:t>General words do not derogate from special provisions.</w:t>
              <w:br/>
            </w:r>
            <w:r>
              <w:rPr>
                <w:rFonts w:ascii="Calibri" w:hAnsi="Calibri"/>
                <w:b/>
                <w:color w:val="212529"/>
                <w:sz w:val="19"/>
              </w:rPr>
              <w:t xml:space="preserve">   • Plain Legal Meaning &amp; StatCon Application: </w:t>
            </w:r>
            <w:r>
              <w:rPr>
                <w:rFonts w:ascii="Calibri" w:hAnsi="Calibri"/>
                <w:color w:val="212529"/>
                <w:sz w:val="19"/>
              </w:rPr>
              <w:t>The special statutory scheme for international arbitration overrides general corporate disqualification rules.</w:t>
            </w:r>
          </w:p>
          <w:p>
            <w:pPr>
              <w:spacing w:before="40" w:after="60" w:line="276" w:lineRule="auto"/>
            </w:pPr>
            <w:r>
              <w:rPr>
                <w:rFonts w:ascii="Calibri" w:hAnsi="Calibri"/>
                <w:b/>
                <w:color w:val="8C3200"/>
                <w:sz w:val="20"/>
              </w:rPr>
              <w:t>3. Pacta sunt servanda (agreements must be kept)</w:t>
              <w:br/>
            </w:r>
            <w:r>
              <w:rPr>
                <w:rFonts w:ascii="Calibri" w:hAnsi="Calibri"/>
                <w:b/>
                <w:color w:val="212529"/>
                <w:sz w:val="19"/>
              </w:rPr>
              <w:t xml:space="preserve">   • Literal English Translation: </w:t>
            </w:r>
            <w:r>
              <w:rPr>
                <w:rFonts w:ascii="Calibri" w:hAnsi="Calibri"/>
                <w:i/>
                <w:color w:val="212529"/>
                <w:sz w:val="19"/>
              </w:rPr>
              <w:t>Agreements must be observed.</w:t>
              <w:br/>
            </w:r>
            <w:r>
              <w:rPr>
                <w:rFonts w:ascii="Calibri" w:hAnsi="Calibri"/>
                <w:b/>
                <w:color w:val="212529"/>
                <w:sz w:val="19"/>
              </w:rPr>
              <w:t xml:space="preserve">   • Plain Legal Meaning &amp; StatCon Application: </w:t>
            </w:r>
            <w:r>
              <w:rPr>
                <w:rFonts w:ascii="Calibri" w:hAnsi="Calibri"/>
                <w:color w:val="212529"/>
                <w:sz w:val="19"/>
              </w:rPr>
              <w:t>International treaty commitments under the New York Convention dictate faithful domestic statutory execution.</w:t>
            </w:r>
          </w:p>
        </w:tc>
      </w:tr>
    </w:tbl>
    <w:tbl>
      <w:tblPr>
        <w:tblW w:type="auto" w:w="0"/>
        <w:jc w:val="center"/>
        <w:tblLook w:firstColumn="1" w:firstRow="1" w:lastColumn="0" w:lastRow="0" w:noHBand="0" w:noVBand="1" w:val="04A0"/>
      </w:tblPr>
      <w:tblGrid>
        <w:gridCol w:w="4824"/>
        <w:gridCol w:w="4824"/>
      </w:tblGrid>
      <w:tr>
        <w:tc>
          <w:tcPr>
            <w:tcW w:type="dxa" w:w="4824"/>
            <w:shd w:fill="EAEFF5"/>
            <w:tcMar>
              <w:top w:w="80" w:type="dxa"/>
              <w:bottom w:w="80" w:type="dxa"/>
              <w:left w:w="120" w:type="dxa"/>
              <w:right w:w="120" w:type="dxa"/>
            </w:tcMar>
          </w:tcPr>
          <w:p>
            <w:pPr>
              <w:spacing w:before="40" w:after="40"/>
            </w:pPr>
            <w:r>
              <w:rPr>
                <w:rFonts w:ascii="Arial" w:hAnsi="Arial"/>
                <w:b/>
                <w:color w:val="0F2043"/>
                <w:sz w:val="18"/>
              </w:rPr>
              <w:t>Syllabus Topic Alignment</w:t>
              <w:br/>
              <w:t>(StatCon_Syllabus_JPR.pdf)</w:t>
            </w:r>
          </w:p>
        </w:tc>
        <w:tc>
          <w:tcPr>
            <w:tcW w:type="dxa" w:w="4824"/>
            <w:shd w:fill="FAFAFA"/>
            <w:tcMar>
              <w:top w:w="80" w:type="dxa"/>
              <w:bottom w:w="80" w:type="dxa"/>
              <w:left w:w="120" w:type="dxa"/>
              <w:right w:w="120" w:type="dxa"/>
            </w:tcMar>
          </w:tcPr>
          <w:p>
            <w:pPr>
              <w:spacing w:before="40" w:after="40" w:line="276" w:lineRule="auto"/>
            </w:pPr>
            <w:r>
              <w:rPr>
                <w:rFonts w:ascii="Calibri" w:hAnsi="Calibri"/>
                <w:color w:val="212529"/>
                <w:sz w:val="19"/>
              </w:rPr>
              <w:t>• Chapter III: Basic Guidelines in the Construction and Interpretation of Laws</w:t>
              <w:br/>
              <w:t xml:space="preserve">  - C. Considerations outside the Statute: Lex Posterior Derogat Priori &amp; International Treaty Harmonization</w:t>
            </w:r>
          </w:p>
        </w:tc>
      </w:tr>
      <w:tr>
        <w:tc>
          <w:tcPr>
            <w:tcW w:type="dxa" w:w="4824"/>
            <w:shd w:fill="EAEFF5"/>
            <w:tcMar>
              <w:top w:w="80" w:type="dxa"/>
              <w:bottom w:w="80" w:type="dxa"/>
              <w:left w:w="120" w:type="dxa"/>
              <w:right w:w="120" w:type="dxa"/>
            </w:tcMar>
          </w:tcPr>
          <w:p>
            <w:pPr>
              <w:spacing w:before="40" w:after="40"/>
            </w:pPr>
            <w:r>
              <w:rPr>
                <w:rFonts w:ascii="Arial" w:hAnsi="Arial"/>
                <w:b/>
                <w:color w:val="0F2043"/>
                <w:sz w:val="18"/>
              </w:rPr>
              <w:t>Governing Latin Maxims &amp; English</w:t>
            </w:r>
          </w:p>
        </w:tc>
        <w:tc>
          <w:tcPr>
            <w:tcW w:type="dxa" w:w="4824"/>
            <w:shd w:fill="FAFAFA"/>
            <w:tcMar>
              <w:top w:w="80" w:type="dxa"/>
              <w:bottom w:w="80" w:type="dxa"/>
              <w:left w:w="120" w:type="dxa"/>
              <w:right w:w="120" w:type="dxa"/>
            </w:tcMar>
          </w:tcPr>
          <w:p>
            <w:pPr>
              <w:spacing w:before="40" w:after="40" w:line="276" w:lineRule="auto"/>
            </w:pPr>
            <w:r>
              <w:rPr>
                <w:rFonts w:ascii="Calibri" w:hAnsi="Calibri"/>
                <w:color w:val="212529"/>
                <w:sz w:val="19"/>
              </w:rPr>
              <w:t>Primary:</w:t>
              <w:br/>
              <w:t>Lex posterior derogat priori</w:t>
              <w:br/>
              <w:t>(a later law repeals an earlier law / RA 9285 modifies Section 133 of the Corporation Code to allow enforcement of foreign arbitral awards)</w:t>
              <w:br/>
              <w:br/>
              <w:t>Secondary:</w:t>
              <w:br/>
              <w:t>• Generalia specialibus non derogant (special arbitral law prevails over general corporate law)</w:t>
              <w:br/>
              <w:t>• Pacta sunt servanda (treaty enforcement)</w:t>
            </w:r>
          </w:p>
        </w:tc>
      </w:tr>
      <w:tr>
        <w:tc>
          <w:tcPr>
            <w:tcW w:type="dxa" w:w="4824"/>
            <w:shd w:fill="EAEFF5"/>
            <w:tcMar>
              <w:top w:w="80" w:type="dxa"/>
              <w:bottom w:w="80" w:type="dxa"/>
              <w:left w:w="120" w:type="dxa"/>
              <w:right w:w="120" w:type="dxa"/>
            </w:tcMar>
          </w:tcPr>
          <w:p>
            <w:pPr>
              <w:spacing w:before="40" w:after="40"/>
            </w:pPr>
            <w:r>
              <w:rPr>
                <w:rFonts w:ascii="Arial" w:hAnsi="Arial"/>
                <w:b/>
                <w:color w:val="0F2043"/>
                <w:sz w:val="18"/>
              </w:rPr>
              <w:t>Case Violation in StatCon</w:t>
            </w:r>
          </w:p>
        </w:tc>
        <w:tc>
          <w:tcPr>
            <w:tcW w:type="dxa" w:w="4824"/>
            <w:shd w:fill="FAFAFA"/>
            <w:tcMar>
              <w:top w:w="80" w:type="dxa"/>
              <w:bottom w:w="80" w:type="dxa"/>
              <w:left w:w="120" w:type="dxa"/>
              <w:right w:w="120" w:type="dxa"/>
            </w:tcMar>
          </w:tcPr>
          <w:p>
            <w:pPr>
              <w:spacing w:before="40" w:after="40" w:line="276" w:lineRule="auto"/>
            </w:pPr>
            <w:r>
              <w:rPr>
                <w:rFonts w:ascii="Calibri" w:hAnsi="Calibri"/>
                <w:color w:val="212529"/>
                <w:sz w:val="19"/>
              </w:rPr>
              <w:t>The trial court misapplied the older general Corporation Code to extinguish specific remedies enacted in the subsequent 2004 ADR Act.</w:t>
            </w:r>
          </w:p>
        </w:tc>
      </w:tr>
      <w:tr>
        <w:tc>
          <w:tcPr>
            <w:tcW w:type="dxa" w:w="4824"/>
            <w:shd w:fill="EAEFF5"/>
            <w:tcMar>
              <w:top w:w="80" w:type="dxa"/>
              <w:bottom w:w="80" w:type="dxa"/>
              <w:left w:w="120" w:type="dxa"/>
              <w:right w:w="120" w:type="dxa"/>
            </w:tcMar>
          </w:tcPr>
          <w:p>
            <w:pPr>
              <w:spacing w:before="40" w:after="40"/>
            </w:pPr>
            <w:r>
              <w:rPr>
                <w:rFonts w:ascii="Arial" w:hAnsi="Arial"/>
                <w:b/>
                <w:color w:val="0F2043"/>
                <w:sz w:val="18"/>
              </w:rPr>
              <w:t>Doctrinal Execution / Principle</w:t>
            </w:r>
          </w:p>
        </w:tc>
        <w:tc>
          <w:tcPr>
            <w:tcW w:type="dxa" w:w="4824"/>
            <w:shd w:fill="FAFAFA"/>
            <w:tcMar>
              <w:top w:w="80" w:type="dxa"/>
              <w:bottom w:w="80" w:type="dxa"/>
              <w:left w:w="120" w:type="dxa"/>
              <w:right w:w="120" w:type="dxa"/>
            </w:tcMar>
          </w:tcPr>
          <w:p>
            <w:pPr>
              <w:spacing w:before="40" w:after="40" w:line="276" w:lineRule="auto"/>
            </w:pPr>
            <w:r>
              <w:rPr>
                <w:rFonts w:ascii="Calibri" w:hAnsi="Calibri"/>
                <w:color w:val="212529"/>
                <w:sz w:val="19"/>
              </w:rPr>
              <w:t>Application of Lex Posterior and Special Laws: When a subsequent special statute opens a specific procedural avenue to enforce international treaty rights, it operates as an exception to earlier general statutory prohibitions.</w:t>
            </w:r>
          </w:p>
        </w:tc>
      </w:tr>
    </w:tbl>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RELATION TO STATUTORY CONSTRUCTION</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A newer, specific law passed to follow an international treaty beats an older general law that says otherwise.</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"Sir/Ma'am, Tuna Processing v. Philippine Kingford illustrates Lex posterior derogat priori and Generalia specialibus non derogant in international commercial law."</w:t>
            </w:r>
          </w:p>
        </w:tc>
      </w:tr>
    </w:tbl>
    <w:p>
      <w:pPr>
        <w:spacing w:before="160" w:after="80"/>
      </w:pPr>
    </w:p>
    <w:tbl>
      <w:tblPr>
        <w:tblW w:type="auto" w:w="0"/>
        <w:jc w:val="center"/>
        <w:tblLook w:firstColumn="1" w:firstRow="1" w:lastColumn="0" w:lastRow="0" w:noHBand="0" w:noVBand="1" w:val="04A0"/>
      </w:tblPr>
      <w:tblGrid>
        <w:gridCol w:w="9648"/>
      </w:tblGrid>
      <w:tr>
        <w:tc>
          <w:tcPr>
            <w:tcW w:type="dxa" w:w="9648"/>
            <w:shd w:fill="1E3A5F"/>
            <w:tcMar>
              <w:top w:w="140" w:type="dxa"/>
              <w:bottom w:w="140" w:type="dxa"/>
              <w:left w:w="200" w:type="dxa"/>
              <w:right w:w="200" w:type="dxa"/>
            </w:tcMar>
          </w:tcPr>
          <w:p>
            <w:pPr>
              <w:spacing w:before="40" w:after="40"/>
              <w:jc w:val="center"/>
            </w:pPr>
            <w:r>
              <w:rPr>
                <w:rFonts w:ascii="Arial" w:hAnsi="Arial"/>
                <w:b/>
                <w:color w:val="FFD700"/>
                <w:sz w:val="22"/>
              </w:rPr>
              <w:t>⚖ STANDARDIZED CASE DIGEST: STATUTORY CONSTRUCTION FORMAT</w:t>
              <w:br/>
            </w:r>
            <w:r>
              <w:rPr>
                <w:rFonts w:ascii="Arial" w:hAnsi="Arial"/>
                <w:i/>
                <w:color w:val="DCEBFF"/>
                <w:sz w:val="18"/>
              </w:rPr>
              <w:t>(Complete 12-Section Academic &amp; Judicial Construction Analysis)</w:t>
            </w:r>
          </w:p>
        </w:tc>
      </w:tr>
    </w:tbl>
    <w:p>
      <w:pPr>
        <w:spacing w:before="80" w:after="80"/>
      </w:pPr>
    </w:p>
    <w:tbl>
      <w:tblPr>
        <w:tblW w:type="auto" w:w="0"/>
        <w:jc w:val="center"/>
        <w:tblLook w:firstColumn="1" w:firstRow="1" w:lastColumn="0" w:lastRow="0" w:noHBand="0" w:noVBand="1" w:val="04A0"/>
      </w:tblPr>
      <w:tblGrid>
        <w:gridCol w:w="4824"/>
        <w:gridCol w:w="4824"/>
      </w:tblGrid>
      <w:tr>
        <w:tc>
          <w:tcPr>
            <w:tcW w:type="dxa" w:w="4824"/>
            <w:shd w:fill="EBF0F7"/>
            <w:tcMar>
              <w:top w:w="60" w:type="dxa"/>
              <w:bottom w:w="60" w:type="dxa"/>
              <w:left w:w="120" w:type="dxa"/>
              <w:right w:w="120" w:type="dxa"/>
            </w:tcMar>
          </w:tcPr>
          <w:p>
            <w:pPr>
              <w:spacing w:before="20" w:after="20"/>
            </w:pPr>
            <w:r>
              <w:rPr>
                <w:rFonts w:ascii="Arial" w:hAnsi="Arial"/>
                <w:b/>
                <w:color w:val="0F2043"/>
                <w:sz w:val="19"/>
              </w:rPr>
              <w:t>Case Title:</w:t>
            </w:r>
          </w:p>
        </w:tc>
        <w:tc>
          <w:tcPr>
            <w:tcW w:type="dxa" w:w="4824"/>
            <w:shd w:fill="FAFCFF"/>
            <w:tcMar>
              <w:top w:w="60" w:type="dxa"/>
              <w:bottom w:w="60" w:type="dxa"/>
              <w:left w:w="120" w:type="dxa"/>
              <w:right w:w="120" w:type="dxa"/>
            </w:tcMar>
          </w:tcPr>
          <w:p>
            <w:pPr>
              <w:spacing w:before="20" w:after="20"/>
            </w:pPr>
            <w:r>
              <w:rPr>
                <w:rFonts w:ascii="Calibri" w:hAnsi="Calibri"/>
                <w:b/>
                <w:color w:val="212529"/>
                <w:sz w:val="19"/>
              </w:rPr>
              <w:t>Tuna Processing, Inc. v. Philippine Kingford, Inc.</w:t>
            </w:r>
          </w:p>
        </w:tc>
      </w:tr>
      <w:tr>
        <w:tc>
          <w:tcPr>
            <w:tcW w:type="dxa" w:w="4824"/>
            <w:shd w:fill="EBF0F7"/>
            <w:tcMar>
              <w:top w:w="60" w:type="dxa"/>
              <w:bottom w:w="60" w:type="dxa"/>
              <w:left w:w="120" w:type="dxa"/>
              <w:right w:w="120" w:type="dxa"/>
            </w:tcMar>
          </w:tcPr>
          <w:p>
            <w:pPr>
              <w:spacing w:before="20" w:after="20"/>
            </w:pPr>
            <w:r>
              <w:rPr>
                <w:rFonts w:ascii="Arial" w:hAnsi="Arial"/>
                <w:b/>
                <w:color w:val="0F2043"/>
                <w:sz w:val="19"/>
              </w:rPr>
              <w:t>G.R. No. / Record:</w:t>
            </w:r>
          </w:p>
        </w:tc>
        <w:tc>
          <w:tcPr>
            <w:tcW w:type="dxa" w:w="4824"/>
            <w:shd w:fill="FAFCFF"/>
            <w:tcMar>
              <w:top w:w="60" w:type="dxa"/>
              <w:bottom w:w="60" w:type="dxa"/>
              <w:left w:w="120" w:type="dxa"/>
              <w:right w:w="120" w:type="dxa"/>
            </w:tcMar>
          </w:tcPr>
          <w:p>
            <w:pPr>
              <w:spacing w:before="20" w:after="20"/>
            </w:pPr>
            <w:r>
              <w:rPr>
                <w:rFonts w:ascii="Calibri" w:hAnsi="Calibri"/>
                <w:b w:val="0"/>
                <w:color w:val="212529"/>
                <w:sz w:val="19"/>
              </w:rPr>
              <w:t>G.R. No. 185582</w:t>
            </w:r>
          </w:p>
        </w:tc>
      </w:tr>
      <w:tr>
        <w:tc>
          <w:tcPr>
            <w:tcW w:type="dxa" w:w="4824"/>
            <w:shd w:fill="EBF0F7"/>
            <w:tcMar>
              <w:top w:w="60" w:type="dxa"/>
              <w:bottom w:w="60" w:type="dxa"/>
              <w:left w:w="120" w:type="dxa"/>
              <w:right w:w="120" w:type="dxa"/>
            </w:tcMar>
          </w:tcPr>
          <w:p>
            <w:pPr>
              <w:spacing w:before="20" w:after="20"/>
            </w:pPr>
            <w:r>
              <w:rPr>
                <w:rFonts w:ascii="Arial" w:hAnsi="Arial"/>
                <w:b/>
                <w:color w:val="0F2043"/>
                <w:sz w:val="19"/>
              </w:rPr>
              <w:t>Date of Promulgation:</w:t>
            </w:r>
          </w:p>
        </w:tc>
        <w:tc>
          <w:tcPr>
            <w:tcW w:type="dxa" w:w="4824"/>
            <w:shd w:fill="FAFCFF"/>
            <w:tcMar>
              <w:top w:w="60" w:type="dxa"/>
              <w:bottom w:w="60" w:type="dxa"/>
              <w:left w:w="120" w:type="dxa"/>
              <w:right w:w="120" w:type="dxa"/>
            </w:tcMar>
          </w:tcPr>
          <w:p>
            <w:pPr>
              <w:spacing w:before="20" w:after="20"/>
            </w:pPr>
            <w:r>
              <w:rPr>
                <w:rFonts w:ascii="Calibri" w:hAnsi="Calibri"/>
                <w:b w:val="0"/>
                <w:color w:val="212529"/>
                <w:sz w:val="19"/>
              </w:rPr>
              <w:t>February 29, 2012</w:t>
            </w:r>
          </w:p>
        </w:tc>
      </w:tr>
      <w:tr>
        <w:tc>
          <w:tcPr>
            <w:tcW w:type="dxa" w:w="4824"/>
            <w:shd w:fill="EBF0F7"/>
            <w:tcMar>
              <w:top w:w="60" w:type="dxa"/>
              <w:bottom w:w="60" w:type="dxa"/>
              <w:left w:w="120" w:type="dxa"/>
              <w:right w:w="120" w:type="dxa"/>
            </w:tcMar>
          </w:tcPr>
          <w:p>
            <w:pPr>
              <w:spacing w:before="20" w:after="20"/>
            </w:pPr>
            <w:r>
              <w:rPr>
                <w:rFonts w:ascii="Arial" w:hAnsi="Arial"/>
                <w:b/>
                <w:color w:val="0F2043"/>
                <w:sz w:val="19"/>
              </w:rPr>
              <w:t>Ponente / Court:</w:t>
            </w:r>
          </w:p>
        </w:tc>
        <w:tc>
          <w:tcPr>
            <w:tcW w:type="dxa" w:w="4824"/>
            <w:shd w:fill="FAFCFF"/>
            <w:tcMar>
              <w:top w:w="60" w:type="dxa"/>
              <w:bottom w:w="60" w:type="dxa"/>
              <w:left w:w="120" w:type="dxa"/>
              <w:right w:w="120" w:type="dxa"/>
            </w:tcMar>
          </w:tcPr>
          <w:p>
            <w:pPr>
              <w:spacing w:before="20" w:after="20"/>
            </w:pPr>
            <w:r>
              <w:rPr>
                <w:rFonts w:ascii="Calibri" w:hAnsi="Calibri"/>
                <w:b w:val="0"/>
                <w:color w:val="212529"/>
                <w:sz w:val="19"/>
              </w:rPr>
              <w:t>First Division</w:t>
            </w:r>
          </w:p>
        </w:tc>
      </w:tr>
    </w:tbl>
    <w:p>
      <w:pPr>
        <w:keepNext/>
        <w:spacing w:before="240" w:after="60"/>
      </w:pPr>
      <w:r>
        <w:rPr>
          <w:rFonts w:ascii="Arial" w:hAnsi="Arial"/>
          <w:b/>
          <w:color w:val="0F2043"/>
          <w:sz w:val="21"/>
        </w:rPr>
        <w:t>I. FACTS OF THE CASE</w:t>
      </w:r>
    </w:p>
    <w:tbl>
      <w:tblPr>
        <w:tblW w:type="auto" w:w="0"/>
        <w:jc w:val="center"/>
        <w:tblLook w:firstColumn="1" w:firstRow="1" w:lastColumn="0" w:lastRow="0" w:noHBand="0" w:noVBand="1" w:val="04A0"/>
      </w:tblPr>
      <w:tblGrid>
        <w:gridCol w:w="9648"/>
      </w:tblGrid>
      <w:tr>
        <w:tc>
          <w:tcPr>
            <w:tcW w:type="dxa" w:w="9648"/>
            <w:shd w:fill="F8F9FB"/>
            <w:tcMar>
              <w:top w:w="100" w:type="dxa"/>
              <w:bottom w:w="100" w:type="dxa"/>
              <w:left w:w="160" w:type="dxa"/>
              <w:right w:w="160" w:type="dxa"/>
            </w:tcMar>
          </w:tcPr>
          <w:p>
            <w:pPr>
              <w:spacing w:before="20" w:after="40"/>
            </w:pPr>
            <w:r>
              <w:rPr>
                <w:rFonts w:ascii="Arial" w:hAnsi="Arial"/>
                <w:b/>
                <w:color w:val="0F2043"/>
                <w:sz w:val="19"/>
              </w:rPr>
              <w:t>Material Facts of Controversy</w:t>
              <w:br/>
            </w:r>
          </w:p>
          <w:p>
            <w:pPr>
              <w:spacing w:before="20" w:after="40" w:line="276" w:lineRule="auto"/>
            </w:pPr>
            <w:r>
              <w:rPr>
                <w:rFonts w:ascii="Calibri" w:hAnsi="Calibri"/>
                <w:color w:val="212529"/>
                <w:sz w:val="19"/>
              </w:rPr>
              <w:t>Tuna Processing, Inc. (TPI), a foreign corporation organized under the laws of California and not licensed to do business in the Philippines, obtained a final international arbitral award in California against Philippine Kingford, Inc. (a domestic corporation) amounting to over $1.7 Million. TPI filed a petition before the RTC of Makati to enforce the arbitral award pursuant to the 1958 New York Convention and R.A. No. 9285 (Alternative Dispute Resolution Act of 2004). Kingford moved to dismiss, arguing that under Section 133 of the Corporation Code (B.P. Blg. 68), a foreign corporation doing business without a license has NO CAPACITY to maintain any suit in Philippine courts, invoking Lex Posterior Derogat Priori.</w:t>
            </w:r>
          </w:p>
        </w:tc>
      </w:tr>
    </w:tbl>
    <w:p>
      <w:pPr>
        <w:keepNext/>
        <w:spacing w:before="240" w:after="60"/>
      </w:pPr>
      <w:r>
        <w:rPr>
          <w:rFonts w:ascii="Arial" w:hAnsi="Arial"/>
          <w:b/>
          <w:color w:val="0F2043"/>
          <w:sz w:val="21"/>
        </w:rPr>
        <w:t>II. FACTS RELEVANT TO STATUTORY CONSTRUCTION</w:t>
      </w:r>
    </w:p>
    <w:tbl>
      <w:tblPr>
        <w:tblW w:type="auto" w:w="0"/>
        <w:jc w:val="center"/>
        <w:tblLook w:firstColumn="1" w:firstRow="1" w:lastColumn="0" w:lastRow="0" w:noHBand="0" w:noVBand="1" w:val="04A0"/>
      </w:tblPr>
      <w:tblGrid>
        <w:gridCol w:w="9648"/>
      </w:tblGrid>
      <w:tr>
        <w:tc>
          <w:tcPr>
            <w:tcW w:type="dxa" w:w="9648"/>
            <w:shd w:fill="F8F9FB"/>
            <w:tcMar>
              <w:top w:w="100" w:type="dxa"/>
              <w:bottom w:w="100" w:type="dxa"/>
              <w:left w:w="160" w:type="dxa"/>
              <w:right w:w="160" w:type="dxa"/>
            </w:tcMar>
          </w:tcPr>
          <w:p>
            <w:pPr>
              <w:spacing w:before="20" w:after="40"/>
            </w:pPr>
            <w:r>
              <w:rPr>
                <w:rFonts w:ascii="Arial" w:hAnsi="Arial"/>
                <w:b/>
                <w:color w:val="0F2043"/>
                <w:sz w:val="19"/>
              </w:rPr>
              <w:t>Facts Giving Rise to Need for Interpretation</w:t>
              <w:br/>
            </w:r>
          </w:p>
          <w:p>
            <w:pPr>
              <w:spacing w:before="20" w:after="40" w:line="276" w:lineRule="auto"/>
            </w:pPr>
            <w:r>
              <w:rPr>
                <w:rFonts w:ascii="Calibri" w:hAnsi="Calibri"/>
                <w:b/>
                <w:color w:val="212529"/>
                <w:sz w:val="19"/>
              </w:rPr>
              <w:t xml:space="preserve">• What provision of law or rule became relevant? </w:t>
            </w:r>
            <w:r>
              <w:rPr>
                <w:rFonts w:ascii="Calibri" w:hAnsi="Calibri"/>
                <w:color w:val="212529"/>
                <w:sz w:val="19"/>
              </w:rPr>
              <w:t>1. Section 42 and 45, Republic Act No. 9285 (Alternative Dispute Resolution Act of 2004): Governs the recognition and enforcement of New York Convention international arbitral awards.</w:t>
              <w:br/>
              <w:t>2. Section 133, Batas Pambansa Blg. 68 (The Corporation Code): General restriction barring unlicensed foreign corporations doing business in the Philippines from maintaining court suits.</w:t>
            </w:r>
          </w:p>
          <w:p>
            <w:pPr>
              <w:spacing w:before="20" w:after="40" w:line="276" w:lineRule="auto"/>
            </w:pPr>
            <w:r>
              <w:rPr>
                <w:rFonts w:ascii="Calibri" w:hAnsi="Calibri"/>
                <w:b/>
                <w:color w:val="212529"/>
                <w:sz w:val="19"/>
              </w:rPr>
              <w:t xml:space="preserve">• What circumstance made interpretation necessary? </w:t>
            </w:r>
            <w:r>
              <w:rPr>
                <w:rFonts w:ascii="Calibri" w:hAnsi="Calibri"/>
                <w:color w:val="212529"/>
                <w:sz w:val="19"/>
              </w:rPr>
              <w:t>The trial court misapplied the older general Corporation Code to extinguish specific remedies enacted in the subsequent 2004 ADR Act.</w:t>
            </w:r>
          </w:p>
          <w:p>
            <w:pPr>
              <w:spacing w:before="20" w:after="40" w:line="276" w:lineRule="auto"/>
            </w:pPr>
            <w:r>
              <w:rPr>
                <w:rFonts w:ascii="Calibri" w:hAnsi="Calibri"/>
                <w:b/>
                <w:color w:val="212529"/>
                <w:sz w:val="19"/>
              </w:rPr>
              <w:t xml:space="preserve">• What competing interpretations were presented? </w:t>
            </w:r>
            <w:r>
              <w:rPr>
                <w:rFonts w:ascii="Calibri" w:hAnsi="Calibri"/>
                <w:color w:val="212529"/>
                <w:sz w:val="19"/>
              </w:rPr>
              <w:t>Petitioner argued for a favorable interpretation based on statutory intent, while Respondent contended for a literal or restrictive application.</w:t>
            </w:r>
          </w:p>
        </w:tc>
      </w:tr>
    </w:tbl>
    <w:p>
      <w:pPr>
        <w:keepNext/>
        <w:spacing w:before="240" w:after="60"/>
      </w:pPr>
      <w:r>
        <w:rPr>
          <w:rFonts w:ascii="Arial" w:hAnsi="Arial"/>
          <w:b/>
          <w:color w:val="0F2043"/>
          <w:sz w:val="21"/>
        </w:rPr>
        <w:t>III. ISSUES</w:t>
      </w:r>
    </w:p>
    <w:p>
      <w:pPr>
        <w:keepNext/>
        <w:spacing w:before="120" w:after="40"/>
      </w:pPr>
      <w:r>
        <w:rPr>
          <w:rFonts w:ascii="Arial" w:hAnsi="Arial"/>
          <w:b/>
          <w:color w:val="781E1E"/>
          <w:sz w:val="20"/>
        </w:rPr>
        <w:t>A. General Legal Issues</w:t>
      </w:r>
    </w:p>
    <w:p>
      <w:pPr>
        <w:spacing w:before="40" w:after="80" w:line="276" w:lineRule="auto"/>
      </w:pPr>
      <w:r>
        <w:rPr>
          <w:rFonts w:ascii="Calibri" w:hAnsi="Calibri"/>
          <w:i w:val="0"/>
          <w:color w:val="212529"/>
          <w:sz w:val="21"/>
        </w:rPr>
        <w:t>Whether or not a foreign corporation not licensed to do business in the Philippines may maintain a petition in Philippine courts to recognize and enforce a foreign arbitral award under R.A. No. 9285.</w:t>
      </w:r>
    </w:p>
    <w:p>
      <w:pPr>
        <w:keepNext/>
        <w:spacing w:before="120" w:after="40"/>
      </w:pPr>
      <w:r>
        <w:rPr>
          <w:rFonts w:ascii="Arial" w:hAnsi="Arial"/>
          <w:b/>
          <w:color w:val="781E1E"/>
          <w:sz w:val="20"/>
        </w:rPr>
        <w:t>B. Statutory-Construction Issue/s</w:t>
      </w:r>
    </w:p>
    <w:tbl>
      <w:tblPr>
        <w:tblW w:type="auto" w:w="0"/>
        <w:jc w:val="center"/>
        <w:tblLook w:firstColumn="1" w:firstRow="1" w:lastColumn="0" w:lastRow="0" w:noHBand="0" w:noVBand="1" w:val="04A0"/>
      </w:tblPr>
      <w:tblGrid>
        <w:gridCol w:w="9648"/>
      </w:tblGrid>
      <w:tr>
        <w:tc>
          <w:tcPr>
            <w:tcW w:type="dxa" w:w="9648"/>
            <w:shd w:fill="EBF3FA"/>
            <w:tcMar>
              <w:top w:w="100" w:type="dxa"/>
              <w:bottom w:w="100" w:type="dxa"/>
              <w:left w:w="160" w:type="dxa"/>
              <w:right w:w="160" w:type="dxa"/>
            </w:tcMar>
          </w:tcPr>
          <w:p>
            <w:pPr>
              <w:spacing w:before="20" w:after="40"/>
            </w:pPr>
            <w:r>
              <w:rPr>
                <w:rFonts w:ascii="Arial" w:hAnsi="Arial"/>
                <w:b/>
                <w:color w:val="0F2043"/>
                <w:sz w:val="19"/>
              </w:rPr>
              <w:t>Standardized StatCon Issue Statement</w:t>
              <w:br/>
            </w:r>
          </w:p>
          <w:p>
            <w:pPr>
              <w:spacing w:before="20" w:after="40" w:line="276" w:lineRule="auto"/>
            </w:pPr>
            <w:r>
              <w:rPr>
                <w:rFonts w:ascii="Calibri" w:hAnsi="Calibri"/>
                <w:color w:val="212529"/>
                <w:sz w:val="19"/>
              </w:rPr>
              <w:t>Whether the subject statutory act, classification, or terminology under the governing statute/rule means, includes, or applies to the factual controversy in Tuna Processing, Inc. v. Philippine Kingford, Inc., under the canon of Lex posterior derogat priori.</w:t>
            </w:r>
          </w:p>
        </w:tc>
      </w:tr>
    </w:tbl>
    <w:p>
      <w:pPr>
        <w:keepNext/>
        <w:spacing w:before="240" w:after="60"/>
      </w:pPr>
      <w:r>
        <w:rPr>
          <w:rFonts w:ascii="Arial" w:hAnsi="Arial"/>
          <w:b/>
          <w:color w:val="0F2043"/>
          <w:sz w:val="21"/>
        </w:rPr>
        <w:t>IV. PROVISION/S OF LAW CONSTRUED</w:t>
      </w:r>
    </w:p>
    <w:tbl>
      <w:tblPr>
        <w:tblW w:type="auto" w:w="0"/>
        <w:jc w:val="center"/>
        <w:tblLook w:firstColumn="1" w:firstRow="1" w:lastColumn="0" w:lastRow="0" w:noHBand="0" w:noVBand="1" w:val="04A0"/>
      </w:tblPr>
      <w:tblGrid>
        <w:gridCol w:w="9648"/>
      </w:tblGrid>
      <w:tr>
        <w:tc>
          <w:tcPr>
            <w:tcW w:type="dxa" w:w="9648"/>
            <w:shd w:fill="F8F9FB"/>
            <w:tcMar>
              <w:top w:w="100" w:type="dxa"/>
              <w:bottom w:w="100" w:type="dxa"/>
              <w:left w:w="160" w:type="dxa"/>
              <w:right w:w="160" w:type="dxa"/>
            </w:tcMar>
          </w:tcPr>
          <w:p>
            <w:pPr>
              <w:spacing w:before="20" w:after="40"/>
            </w:pPr>
            <w:r>
              <w:rPr>
                <w:rFonts w:ascii="Arial" w:hAnsi="Arial"/>
                <w:b/>
                <w:color w:val="0F2043"/>
                <w:sz w:val="19"/>
              </w:rPr>
              <w:t>Statutory / Constitutional Text &amp; Problem</w:t>
              <w:br/>
            </w:r>
          </w:p>
          <w:p>
            <w:pPr>
              <w:spacing w:before="20" w:after="40" w:line="276" w:lineRule="auto"/>
            </w:pPr>
            <w:r>
              <w:rPr>
                <w:rFonts w:ascii="Calibri" w:hAnsi="Calibri"/>
                <w:b/>
                <w:color w:val="212529"/>
                <w:sz w:val="19"/>
              </w:rPr>
              <w:t xml:space="preserve">• Quoted Provision: </w:t>
            </w:r>
            <w:r>
              <w:rPr>
                <w:rFonts w:ascii="Calibri" w:hAnsi="Calibri"/>
                <w:color w:val="212529"/>
                <w:sz w:val="19"/>
              </w:rPr>
              <w:t>1. Section 42 and 45, Republic Act No. 9285 (Alternative Dispute Resolution Act of 2004): Governs the recognition and enforcement of New York Convention international arbitral awards.</w:t>
              <w:br/>
              <w:t>2. Section 133, Batas Pambansa Blg. 68 (The Corporation Code): General restriction barring unlicensed foreign corporations doing business in the Philippines from maintaining court suits.</w:t>
            </w:r>
          </w:p>
          <w:p>
            <w:pPr>
              <w:spacing w:before="20" w:after="40" w:line="276" w:lineRule="auto"/>
            </w:pPr>
            <w:r>
              <w:rPr>
                <w:rFonts w:ascii="Calibri" w:hAnsi="Calibri"/>
                <w:b/>
                <w:color w:val="212529"/>
                <w:sz w:val="19"/>
              </w:rPr>
              <w:t xml:space="preserve">• Interpretive Problem: </w:t>
            </w:r>
            <w:r>
              <w:rPr>
                <w:rFonts w:ascii="Calibri" w:hAnsi="Calibri"/>
                <w:color w:val="212529"/>
                <w:sz w:val="19"/>
              </w:rPr>
              <w:t>Determining the precise legislative intent and boundary of the statutory terms in light of: The trial court misapplied the older general Corporation Code to extinguish specific remedies enacted in the subsequent ...</w:t>
            </w:r>
          </w:p>
        </w:tc>
      </w:tr>
    </w:tbl>
    <w:p>
      <w:pPr>
        <w:keepNext/>
        <w:spacing w:before="240" w:after="60"/>
      </w:pPr>
      <w:r>
        <w:rPr>
          <w:rFonts w:ascii="Arial" w:hAnsi="Arial"/>
          <w:b/>
          <w:color w:val="0F2043"/>
          <w:sz w:val="21"/>
        </w:rPr>
        <w:t>V. RULING OF THE SUPREME COURT</w:t>
      </w:r>
    </w:p>
    <w:p>
      <w:pPr>
        <w:keepNext/>
        <w:spacing w:before="120" w:after="40"/>
      </w:pPr>
      <w:r>
        <w:rPr>
          <w:rFonts w:ascii="Arial" w:hAnsi="Arial"/>
          <w:b/>
          <w:color w:val="781E1E"/>
          <w:sz w:val="20"/>
        </w:rPr>
        <w:t>A. General Ruling</w:t>
      </w:r>
    </w:p>
    <w:p>
      <w:pPr>
        <w:spacing w:before="40" w:after="80" w:line="276" w:lineRule="auto"/>
      </w:pPr>
      <w:r>
        <w:rPr>
          <w:rFonts w:ascii="Calibri" w:hAnsi="Calibri"/>
          <w:i w:val="0"/>
          <w:color w:val="212529"/>
          <w:sz w:val="21"/>
        </w:rPr>
        <w:t>The Supreme Court REVERSED the RTC dismissal order, REINSTATED the petition to enforce the foreign arbitral award, and REMANDED the case for continuation of proceedings.</w:t>
      </w:r>
    </w:p>
    <w:p>
      <w:pPr>
        <w:keepNext/>
        <w:spacing w:before="120" w:after="40"/>
      </w:pPr>
      <w:r>
        <w:rPr>
          <w:rFonts w:ascii="Arial" w:hAnsi="Arial"/>
          <w:b/>
          <w:color w:val="781E1E"/>
          <w:sz w:val="20"/>
        </w:rPr>
        <w:t>B. Ruling on the Statutory-Construction Issue</w:t>
      </w:r>
    </w:p>
    <w:tbl>
      <w:tblPr>
        <w:tblW w:type="auto" w:w="0"/>
        <w:jc w:val="center"/>
        <w:tblLook w:firstColumn="1" w:firstRow="1" w:lastColumn="0" w:lastRow="0" w:noHBand="0" w:noVBand="1" w:val="04A0"/>
      </w:tblPr>
      <w:tblGrid>
        <w:gridCol w:w="9648"/>
      </w:tblGrid>
      <w:tr>
        <w:tc>
          <w:tcPr>
            <w:tcW w:type="dxa" w:w="9648"/>
            <w:shd w:fill="F4FAF5"/>
            <w:tcMar>
              <w:top w:w="100" w:type="dxa"/>
              <w:bottom w:w="100" w:type="dxa"/>
              <w:left w:w="160" w:type="dxa"/>
              <w:right w:w="160" w:type="dxa"/>
            </w:tcMar>
          </w:tcPr>
          <w:p>
            <w:pPr>
              <w:spacing w:before="20" w:after="40"/>
            </w:pPr>
            <w:r>
              <w:rPr>
                <w:rFonts w:ascii="Arial" w:hAnsi="Arial"/>
                <w:b/>
                <w:color w:val="0F2043"/>
                <w:sz w:val="19"/>
              </w:rPr>
              <w:t>Statutory Meaning Established by Court</w:t>
              <w:br/>
            </w:r>
          </w:p>
          <w:p>
            <w:pPr>
              <w:spacing w:before="20" w:after="40" w:line="276" w:lineRule="auto"/>
            </w:pPr>
            <w:r>
              <w:rPr>
                <w:rFonts w:ascii="Calibri" w:hAnsi="Calibri"/>
                <w:color w:val="212529"/>
                <w:sz w:val="19"/>
              </w:rPr>
              <w:t>YES. An unlicensed foreign corporation CAN file a petition in Philippine courts to enforce a foreign arbitral award. R.A. No. 9285, being a SUBSEQUENT AND SPECIAL LAW, creates an express exception to Section 133 of the Corporation Code.</w:t>
            </w:r>
          </w:p>
        </w:tc>
      </w:tr>
    </w:tbl>
    <w:p>
      <w:pPr>
        <w:keepNext/>
        <w:spacing w:before="240" w:after="60"/>
      </w:pPr>
      <w:r>
        <w:rPr>
          <w:rFonts w:ascii="Arial" w:hAnsi="Arial"/>
          <w:b/>
          <w:color w:val="0F2043"/>
          <w:sz w:val="21"/>
        </w:rPr>
        <w:t>VI. HOW THE COURT CONSTRUED THE LAW</w:t>
      </w:r>
    </w:p>
    <w:tbl>
      <w:tblPr>
        <w:tblW w:type="auto" w:w="0"/>
        <w:jc w:val="center"/>
        <w:tblLook w:firstColumn="1" w:firstRow="1" w:lastColumn="0" w:lastRow="0" w:noHBand="0" w:noVBand="1" w:val="04A0"/>
      </w:tblPr>
      <w:tblGrid>
        <w:gridCol w:w="9648"/>
      </w:tblGrid>
      <w:tr>
        <w:tc>
          <w:tcPr>
            <w:tcW w:type="dxa" w:w="9648"/>
            <w:shd w:fill="F8F9FB"/>
            <w:tcMar>
              <w:top w:w="100" w:type="dxa"/>
              <w:bottom w:w="100" w:type="dxa"/>
              <w:left w:w="160" w:type="dxa"/>
              <w:right w:w="160" w:type="dxa"/>
            </w:tcMar>
          </w:tcPr>
          <w:p>
            <w:pPr>
              <w:spacing w:before="20" w:after="40"/>
            </w:pPr>
            <w:r>
              <w:rPr>
                <w:rFonts w:ascii="Arial" w:hAnsi="Arial"/>
                <w:b/>
                <w:color w:val="0F2043"/>
                <w:sz w:val="19"/>
              </w:rPr>
              <w:t>Methodological &amp; Doctrinal Analysis</w:t>
              <w:br/>
            </w:r>
          </w:p>
          <w:p>
            <w:pPr>
              <w:spacing w:before="20" w:after="40" w:line="276" w:lineRule="auto"/>
            </w:pPr>
            <w:r>
              <w:rPr>
                <w:rFonts w:ascii="Calibri" w:hAnsi="Calibri"/>
                <w:b/>
                <w:color w:val="212529"/>
                <w:sz w:val="19"/>
              </w:rPr>
              <w:t xml:space="preserve">A. Why Was Construction Necessary? </w:t>
            </w:r>
            <w:r>
              <w:rPr>
                <w:rFonts w:ascii="Calibri" w:hAnsi="Calibri"/>
                <w:color w:val="212529"/>
                <w:sz w:val="19"/>
              </w:rPr>
              <w:t>Ambiguity in the application and scope of the statute: The trial court misapplied the older general Corporation Code to extinguish specific remedies enacted in the subsequent 2004 ADR Act..</w:t>
            </w:r>
          </w:p>
          <w:p>
            <w:pPr>
              <w:spacing w:before="20" w:after="40" w:line="276" w:lineRule="auto"/>
            </w:pPr>
            <w:r>
              <w:rPr>
                <w:rFonts w:ascii="Calibri" w:hAnsi="Calibri"/>
                <w:b/>
                <w:color w:val="212529"/>
                <w:sz w:val="19"/>
              </w:rPr>
              <w:t xml:space="preserve">B. Purpose of Construction: </w:t>
            </w:r>
            <w:r>
              <w:rPr>
                <w:rFonts w:ascii="Calibri" w:hAnsi="Calibri"/>
                <w:color w:val="212529"/>
                <w:sz w:val="19"/>
              </w:rPr>
              <w:t>To ascertain and give full effect to the true intent, spirit, and purpose of the lawmaking body.</w:t>
            </w:r>
          </w:p>
          <w:p>
            <w:pPr>
              <w:spacing w:before="20" w:after="40" w:line="276" w:lineRule="auto"/>
            </w:pPr>
            <w:r>
              <w:rPr>
                <w:rFonts w:ascii="Calibri" w:hAnsi="Calibri"/>
                <w:b/>
                <w:color w:val="212529"/>
                <w:sz w:val="19"/>
              </w:rPr>
              <w:t xml:space="preserve">C. Method, Canon, or Rule Applied: </w:t>
            </w:r>
            <w:r>
              <w:rPr>
                <w:rFonts w:ascii="Calibri" w:hAnsi="Calibri"/>
                <w:color w:val="212529"/>
                <w:sz w:val="19"/>
              </w:rPr>
              <w:t>Lex posterior derogat priori</w:t>
              <w:br/>
              <w:t xml:space="preserve">   - Application: Application of Lex Posterior and Special Laws: When a subsequent special statute opens a specific procedural avenue to enforce international treaty rights, it operates as an exception to earlier general statutory prohibitions.</w:t>
              <w:br/>
              <w:t xml:space="preserve">   - Result: Yes. The 2004 ADR Act is a newer, specific law passed to comply with international treaties. Under Lex Posterior Derogat Priori and Generalia Specialibus Non Derogant, this specific arbitration law overrides the older general Corporation Code.</w:t>
            </w:r>
          </w:p>
          <w:p>
            <w:pPr>
              <w:spacing w:before="20" w:after="40" w:line="276" w:lineRule="auto"/>
            </w:pPr>
            <w:r>
              <w:rPr>
                <w:rFonts w:ascii="Calibri" w:hAnsi="Calibri"/>
                <w:b/>
                <w:color w:val="212529"/>
                <w:sz w:val="19"/>
              </w:rPr>
              <w:t xml:space="preserve">D. Other Sources Used: </w:t>
            </w:r>
            <w:r>
              <w:rPr>
                <w:rFonts w:ascii="Calibri" w:hAnsi="Calibri"/>
                <w:color w:val="212529"/>
                <w:sz w:val="19"/>
              </w:rPr>
              <w:t>Ordinary meaning of words, statute considered as a whole, legislative history, and established Supreme Court jurisprudence.</w:t>
            </w:r>
          </w:p>
        </w:tc>
      </w:tr>
    </w:tbl>
    <w:p>
      <w:pPr>
        <w:keepNext/>
        <w:spacing w:before="240" w:after="60"/>
      </w:pPr>
      <w:r>
        <w:rPr>
          <w:rFonts w:ascii="Arial" w:hAnsi="Arial"/>
          <w:b/>
          <w:color w:val="0F2043"/>
          <w:sz w:val="21"/>
        </w:rPr>
        <w:t>VII. RELEVANT STATUTORY-CONSTRUCTION CONCEPTS (A–L EVALUATION)</w:t>
      </w:r>
    </w:p>
    <w:tbl>
      <w:tblPr>
        <w:tblW w:type="auto" w:w="0"/>
        <w:jc w:val="center"/>
        <w:tblLook w:firstColumn="1" w:firstRow="1" w:lastColumn="0" w:lastRow="0" w:noHBand="0" w:noVBand="1" w:val="04A0"/>
      </w:tblPr>
      <w:tblGrid>
        <w:gridCol w:w="4824"/>
        <w:gridCol w:w="4824"/>
      </w:tblGrid>
      <w:tr>
        <w:tc>
          <w:tcPr>
            <w:tcW w:type="dxa" w:w="4824"/>
            <w:shd w:fill="EBF0F8"/>
            <w:tcMar>
              <w:top w:w="70" w:type="dxa"/>
              <w:bottom w:w="70" w:type="dxa"/>
              <w:left w:w="100" w:type="dxa"/>
              <w:right w:w="100" w:type="dxa"/>
            </w:tcMar>
          </w:tcPr>
          <w:p>
            <w:pPr>
              <w:spacing w:before="20" w:after="20"/>
            </w:pPr>
            <w:r>
              <w:rPr>
                <w:rFonts w:ascii="Arial" w:hAnsi="Arial"/>
                <w:b/>
                <w:color w:val="0F2043"/>
                <w:sz w:val="18"/>
              </w:rPr>
              <w:t>A. Situs of Statutory Construction</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Supreme Court of the Philippines, exercising its constitutional judicial power under Article VIII of the Constitution, serves as the ultimate situs and final arbiter for interpreting and construing the disputed provision.</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B. Purpose of Statutory Construction</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purpose of construction is to discover and effectuate the true legislative intent and will of the lawmaking body, preventing injustice and ensuring the statute operates harmoniously.</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C. When to Construe</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Construction became imperative because the text contained an ambiguity, competing interpretations, or conflicting statutory provisions that required judicial determination of legislative intent.</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D. Ambiguity or Vagueness</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controversy centered on the ambiguity, silence, or conflicting scope of the statutory language, which the Court resolved by examining legislative intent and governing maxims.</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E. Verba Legis Non Est Recedendum</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781E1E"/>
                <w:sz w:val="17"/>
              </w:rPr>
              <w:t xml:space="preserve"> [NOT APPLICABLE] </w:t>
            </w:r>
            <w:r>
              <w:rPr>
                <w:rFonts w:ascii="Calibri" w:hAnsi="Calibri"/>
                <w:color w:val="212529"/>
                <w:sz w:val="18"/>
              </w:rPr>
              <w:t>Not Applicable. The Court looked beyond literal words to discover the underlying legislative spirit, context, and intent.</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F. Absoluta Sententia Expositore Non Indigent</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781E1E"/>
                <w:sz w:val="17"/>
              </w:rPr>
              <w:t xml:space="preserve"> [NOT APPLICABLE] </w:t>
            </w:r>
            <w:r>
              <w:rPr>
                <w:rFonts w:ascii="Calibri" w:hAnsi="Calibri"/>
                <w:color w:val="212529"/>
                <w:sz w:val="18"/>
              </w:rPr>
              <w:t>Not Applicable. The statutory language required expository interpretation due to textual gaps, broad phrasing, or conflicting provisions.</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G. Legislative Intent</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Court analyzed the true intent and policy of the lawmaking authority, ensuring that the statutory purpose is preserved and not defeated by erroneous administrative or private interpretations.</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H. Strict or Liberal Construction</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781E1E"/>
                <w:sz w:val="17"/>
              </w:rPr>
              <w:t xml:space="preserve"> [NOT APPLICABLE] </w:t>
            </w:r>
            <w:r>
              <w:rPr>
                <w:rFonts w:ascii="Calibri" w:hAnsi="Calibri"/>
                <w:color w:val="212529"/>
                <w:sz w:val="18"/>
              </w:rPr>
              <w:t>Not Applicable. The Court applied standard ordinary rules of statutory interpretation without resorting to special strict or liberal construction doctrines.</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I. Prospective or Retrospective Construction</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781E1E"/>
                <w:sz w:val="17"/>
              </w:rPr>
              <w:t xml:space="preserve"> [NOT APPLICABLE] </w:t>
            </w:r>
            <w:r>
              <w:rPr>
                <w:rFonts w:ascii="Calibri" w:hAnsi="Calibri"/>
                <w:color w:val="212529"/>
                <w:sz w:val="18"/>
              </w:rPr>
              <w:t>Not Applicable. The case involved only the contemporaneous, prospective application of the governing law.</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J. Statutory Construction vs. Judicial Legislation</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Court underscored the constitutional boundary of judicial power: Courts are empowered solely to interpret (jus dicere), not to enact or amend laws (jus dare). Supplying unwritten terms or expanding clear prohibitions constitutes prohibited judicial legislation.</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K. Legis Interpretatio Legis Vim Obtinet</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Under Article 8 of the Civil Code, the Supreme Court's authoritative interpretation of the statute forms part of the legal system of the Philippines and acquires the force of law (*legis interpretatio legis vim obtinet*).</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L. Extent and Limits of the Power to Construe</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Court respected the constitutional limits of its authority by applying the law as written and refusing to invade the legislative domain under the guise of equity or expediency.</w:t>
            </w:r>
          </w:p>
        </w:tc>
      </w:tr>
    </w:tbl>
    <w:p>
      <w:pPr>
        <w:keepNext/>
        <w:spacing w:before="240" w:after="60"/>
      </w:pPr>
      <w:r>
        <w:rPr>
          <w:rFonts w:ascii="Arial" w:hAnsi="Arial"/>
          <w:b/>
          <w:color w:val="0F2043"/>
          <w:sz w:val="21"/>
        </w:rPr>
        <w:t>VIII. OTHER CANONS OR METHODS OF CONSTRUCTION</w:t>
      </w:r>
    </w:p>
    <w:tbl>
      <w:tblPr>
        <w:tblW w:type="auto" w:w="0"/>
        <w:jc w:val="center"/>
        <w:tblLook w:firstColumn="1" w:firstRow="1" w:lastColumn="0" w:lastRow="0" w:noHBand="0" w:noVBand="1" w:val="04A0"/>
      </w:tblPr>
      <w:tblGrid>
        <w:gridCol w:w="9648"/>
      </w:tblGrid>
      <w:tr>
        <w:tc>
          <w:tcPr>
            <w:tcW w:type="dxa" w:w="9648"/>
            <w:shd w:fill="F8F9FB"/>
            <w:tcMar>
              <w:top w:w="100" w:type="dxa"/>
              <w:bottom w:w="100" w:type="dxa"/>
              <w:left w:w="160" w:type="dxa"/>
              <w:right w:w="160" w:type="dxa"/>
            </w:tcMar>
          </w:tcPr>
          <w:p>
            <w:pPr>
              <w:spacing w:before="20" w:after="40"/>
            </w:pPr>
            <w:r>
              <w:rPr>
                <w:rFonts w:ascii="Arial" w:hAnsi="Arial"/>
                <w:b/>
                <w:color w:val="0F2043"/>
                <w:sz w:val="19"/>
              </w:rPr>
              <w:t>Secondary Rules &amp; Canons Applied</w:t>
              <w:br/>
            </w:r>
          </w:p>
          <w:p>
            <w:pPr>
              <w:spacing w:before="20" w:after="40" w:line="276" w:lineRule="auto"/>
            </w:pPr>
            <w:r>
              <w:rPr>
                <w:rFonts w:ascii="Calibri" w:hAnsi="Calibri"/>
                <w:b/>
                <w:color w:val="212529"/>
                <w:sz w:val="19"/>
              </w:rPr>
              <w:t xml:space="preserve">• Canon / Maxim: </w:t>
            </w:r>
            <w:r>
              <w:rPr>
                <w:rFonts w:ascii="Calibri" w:hAnsi="Calibri"/>
                <w:color w:val="212529"/>
                <w:sz w:val="19"/>
              </w:rPr>
              <w:t>• Generalia specialibus non derogant (special arbitral law prevails over general corporate law)</w:t>
              <w:br/>
              <w:t>• Pacta sunt servanda (treaty enforcement)</w:t>
            </w:r>
          </w:p>
          <w:p>
            <w:pPr>
              <w:spacing w:before="20" w:after="40" w:line="276" w:lineRule="auto"/>
            </w:pPr>
            <w:r>
              <w:rPr>
                <w:rFonts w:ascii="Calibri" w:hAnsi="Calibri"/>
                <w:b/>
                <w:color w:val="212529"/>
                <w:sz w:val="19"/>
              </w:rPr>
              <w:t xml:space="preserve">• How Applied: </w:t>
            </w:r>
            <w:r>
              <w:rPr>
                <w:rFonts w:ascii="Calibri" w:hAnsi="Calibri"/>
                <w:color w:val="212529"/>
                <w:sz w:val="19"/>
              </w:rPr>
              <w:t>Applied as corroborative canons to reinforce the primary rule of construction.</w:t>
            </w:r>
          </w:p>
          <w:p>
            <w:pPr>
              <w:spacing w:before="20" w:after="40" w:line="276" w:lineRule="auto"/>
            </w:pPr>
            <w:r>
              <w:rPr>
                <w:rFonts w:ascii="Calibri" w:hAnsi="Calibri"/>
                <w:b/>
                <w:color w:val="212529"/>
                <w:sz w:val="19"/>
              </w:rPr>
              <w:t xml:space="preserve">• Effect on Interpretation: </w:t>
            </w:r>
            <w:r>
              <w:rPr>
                <w:rFonts w:ascii="Calibri" w:hAnsi="Calibri"/>
                <w:color w:val="212529"/>
                <w:sz w:val="19"/>
              </w:rPr>
              <w:t>Harmonized the statute and prevented an absurd or unjust result.</w:t>
            </w:r>
          </w:p>
        </w:tc>
      </w:tr>
    </w:tbl>
    <w:p>
      <w:pPr>
        <w:keepNext/>
        <w:spacing w:before="240" w:after="60"/>
      </w:pPr>
      <w:r>
        <w:rPr>
          <w:rFonts w:ascii="Arial" w:hAnsi="Arial"/>
          <w:b/>
          <w:color w:val="0F2043"/>
          <w:sz w:val="21"/>
        </w:rPr>
        <w:t>IX. THE CONSTRUCTION MADE BY THE COURT</w:t>
      </w:r>
    </w:p>
    <w:tbl>
      <w:tblPr>
        <w:tblW w:type="auto" w:w="0"/>
        <w:jc w:val="center"/>
        <w:tblLook w:firstColumn="1" w:firstRow="1" w:lastColumn="0" w:lastRow="0" w:noHBand="0" w:noVBand="1" w:val="04A0"/>
      </w:tblPr>
      <w:tblGrid>
        <w:gridCol w:w="9648"/>
      </w:tblGrid>
      <w:tr>
        <w:tc>
          <w:tcPr>
            <w:tcW w:type="dxa" w:w="9648"/>
            <w:shd w:fill="F9F8F5"/>
            <w:tcMar>
              <w:top w:w="100" w:type="dxa"/>
              <w:bottom w:w="100" w:type="dxa"/>
              <w:left w:w="160" w:type="dxa"/>
              <w:right w:w="160" w:type="dxa"/>
            </w:tcMar>
          </w:tcPr>
          <w:p>
            <w:pPr>
              <w:spacing w:before="20" w:after="40"/>
            </w:pPr>
            <w:r>
              <w:rPr>
                <w:rFonts w:ascii="Arial" w:hAnsi="Arial"/>
                <w:b/>
                <w:color w:val="0F2043"/>
                <w:sz w:val="19"/>
              </w:rPr>
              <w:t>Actual Judicial Construction &amp; Ratio</w:t>
              <w:br/>
            </w:r>
          </w:p>
          <w:p>
            <w:pPr>
              <w:spacing w:before="20" w:after="40" w:line="276" w:lineRule="auto"/>
            </w:pPr>
            <w:r>
              <w:rPr>
                <w:rFonts w:ascii="Calibri" w:hAnsi="Calibri"/>
                <w:b/>
                <w:color w:val="212529"/>
                <w:sz w:val="19"/>
              </w:rPr>
              <w:t xml:space="preserve">• Construction Summary: </w:t>
            </w:r>
            <w:r>
              <w:rPr>
                <w:rFonts w:ascii="Calibri" w:hAnsi="Calibri"/>
                <w:color w:val="212529"/>
                <w:sz w:val="19"/>
              </w:rPr>
              <w:t>The Court construed the disputed statutory provisions in Tuna Processing, Inc. v. Philippine Kingford, Inc. to mean and apply strictly in accordance with Lex posterior derogat priori, holding that Yes. The 2004 ADR Act is a newer, specific law passed to comply with international treaties. Under Lex Posterior Derogat Priori and Generalia Specialibus Non De.</w:t>
            </w:r>
          </w:p>
          <w:p>
            <w:pPr>
              <w:spacing w:before="20" w:after="40" w:line="276" w:lineRule="auto"/>
            </w:pPr>
            <w:r>
              <w:rPr>
                <w:rFonts w:ascii="Calibri" w:hAnsi="Calibri"/>
                <w:b/>
                <w:color w:val="212529"/>
                <w:sz w:val="19"/>
              </w:rPr>
              <w:t xml:space="preserve">• Principal Reasoning: </w:t>
            </w:r>
            <w:r>
              <w:rPr>
                <w:rFonts w:ascii="Calibri" w:hAnsi="Calibri"/>
                <w:color w:val="212529"/>
                <w:sz w:val="19"/>
              </w:rPr>
              <w:t>If foreign companies could not collect international arbitration awards in the Philippines, no international business would trust Filipino contracts. Congress passed the 2004 ADR law to make sure foreign arbitration awards can be enforced. Because it is newer and deals specifically with arbitration, it wins over the old 1980 Corporation Code.</w:t>
            </w:r>
          </w:p>
        </w:tc>
      </w:tr>
    </w:tbl>
    <w:tbl>
      <w:tblPr>
        <w:tblW w:type="auto" w:w="0"/>
        <w:jc w:val="center"/>
        <w:tblLook w:firstColumn="1" w:firstRow="1" w:lastColumn="0" w:lastRow="0" w:noHBand="0" w:noVBand="1" w:val="04A0"/>
      </w:tblPr>
      <w:tblGrid>
        <w:gridCol w:w="9648"/>
      </w:tblGrid>
      <w:tr>
        <w:tc>
          <w:tcPr>
            <w:tcW w:type="dxa" w:w="9648"/>
            <w:shd w:fill="EEF6F0"/>
            <w:tcMar>
              <w:top w:w="100" w:type="dxa"/>
              <w:bottom w:w="100" w:type="dxa"/>
              <w:left w:w="160" w:type="dxa"/>
              <w:right w:w="160" w:type="dxa"/>
            </w:tcMar>
          </w:tcPr>
          <w:p>
            <w:pPr>
              <w:spacing w:before="20" w:after="40"/>
            </w:pPr>
            <w:r>
              <w:rPr>
                <w:rFonts w:ascii="Arial" w:hAnsi="Arial"/>
                <w:b/>
                <w:color w:val="0D6E4B"/>
                <w:sz w:val="19"/>
              </w:rPr>
              <w:t>X. STATUTORY CONSTRUCTION OR JUDICIAL LEGISLATION?</w:t>
              <w:br/>
            </w:r>
          </w:p>
          <w:p>
            <w:pPr>
              <w:spacing w:before="20" w:after="60"/>
            </w:pPr>
            <w:r>
              <w:rPr>
                <w:rFonts w:ascii="Arial" w:hAnsi="Arial"/>
                <w:b/>
                <w:color w:val="0F2043"/>
                <w:sz w:val="19"/>
              </w:rPr>
              <w:t>☑ Proper statutory construction    ☐ Judicial legislation    ☐ Debatable</w:t>
            </w:r>
          </w:p>
          <w:p>
            <w:pPr>
              <w:spacing w:before="40" w:after="40" w:line="276" w:lineRule="auto"/>
            </w:pPr>
            <w:r>
              <w:rPr>
                <w:rFonts w:ascii="Calibri" w:hAnsi="Calibri"/>
                <w:b/>
                <w:color w:val="212529"/>
                <w:sz w:val="19"/>
              </w:rPr>
              <w:t>Explanation (3–5 sentences):</w:t>
              <w:br/>
            </w:r>
            <w:r>
              <w:rPr>
                <w:rFonts w:ascii="Calibri" w:hAnsi="Calibri"/>
                <w:color w:val="212529"/>
                <w:sz w:val="19"/>
              </w:rPr>
              <w:t>The Supreme Court acted within the legitimate bounds of its constitutional power to interpret the law (jus dicere). By applying Lex posterior derogat priori, the Court faithfully effectuated the legislative intent without creating new rules, modifying clear statutory text, or usurping congressional prerogative. The ruling reinforces the separation of powers and the doctrine that courts must enforce the law as enacted.</w:t>
            </w:r>
          </w:p>
        </w:tc>
      </w:tr>
    </w:tbl>
    <w:p>
      <w:pPr>
        <w:spacing w:before="80" w:after="40"/>
      </w:pPr>
    </w:p>
    <w:tbl>
      <w:tblPr>
        <w:tblW w:type="auto" w:w="0"/>
        <w:jc w:val="center"/>
        <w:tblLook w:firstColumn="1" w:firstRow="1" w:lastColumn="0" w:lastRow="0" w:noHBand="0" w:noVBand="1" w:val="04A0"/>
      </w:tblPr>
      <w:tblGrid>
        <w:gridCol w:w="9648"/>
      </w:tblGrid>
      <w:tr>
        <w:tc>
          <w:tcPr>
            <w:tcW w:type="dxa" w:w="9648"/>
            <w:shd w:fill="FBF6EE"/>
            <w:tcMar>
              <w:top w:w="100" w:type="dxa"/>
              <w:bottom w:w="100" w:type="dxa"/>
              <w:left w:w="160" w:type="dxa"/>
              <w:right w:w="160" w:type="dxa"/>
            </w:tcMar>
          </w:tcPr>
          <w:p>
            <w:pPr>
              <w:spacing w:before="20" w:after="40"/>
            </w:pPr>
            <w:r>
              <w:rPr>
                <w:rFonts w:ascii="Arial" w:hAnsi="Arial"/>
                <w:b/>
                <w:color w:val="8C3200"/>
                <w:sz w:val="19"/>
              </w:rPr>
              <w:t>XI. DOCTRINE (Statutory Construction Principle):</w:t>
              <w:br/>
            </w:r>
            <w:r>
              <w:rPr>
                <w:rFonts w:ascii="Calibri" w:hAnsi="Calibri"/>
                <w:color w:val="212529"/>
                <w:sz w:val="19"/>
              </w:rPr>
              <w:t>Application of Lex Posterior and Special Laws: When a subsequent special statute opens a specific procedural avenue to enforce international treaty rights, it operates as an exception to earlier general statutory prohibitions.</w:t>
              <w:br/>
              <w:br/>
            </w:r>
          </w:p>
          <w:p>
            <w:pPr>
              <w:spacing w:before="20" w:after="40"/>
            </w:pPr>
            <w:r>
              <w:rPr>
                <w:rFonts w:ascii="Arial" w:hAnsi="Arial"/>
                <w:b/>
                <w:color w:val="8C3200"/>
                <w:sz w:val="19"/>
              </w:rPr>
              <w:t>XII. ONE-SENTENCE TAKEAWAY:</w:t>
              <w:br/>
            </w:r>
            <w:r>
              <w:rPr>
                <w:rFonts w:ascii="Calibri" w:hAnsi="Calibri"/>
                <w:i/>
                <w:color w:val="212529"/>
                <w:sz w:val="19"/>
              </w:rPr>
              <w:t>This case is important in Statutory Construction because A newer, specific law passed to follow an international treaty beats an older general law that says otherwise.</w:t>
            </w:r>
          </w:p>
        </w:tc>
      </w:tr>
    </w:tbl>
    <w:p>
      <w:r>
        <w:br w:type="page"/>
      </w:r>
    </w:p>
    <w:p>
      <w:pPr>
        <w:keepNext/>
        <w:spacing w:before="320" w:after="80"/>
      </w:pPr>
      <w:r>
        <w:rPr>
          <w:rFonts w:ascii="Arial" w:hAnsi="Arial"/>
          <w:b/>
          <w:color w:val="0F2043"/>
          <w:sz w:val="26"/>
        </w:rPr>
        <w:t>46. MELANIO L. MAGNO V. COMMISSION ON ELECTIONS AND ALICE P. BURAGA</w:t>
      </w:r>
    </w:p>
    <w:p>
      <w:pPr>
        <w:spacing w:before="40" w:after="80" w:line="276" w:lineRule="auto"/>
      </w:pPr>
      <w:r>
        <w:rPr>
          <w:rFonts w:ascii="Calibri" w:hAnsi="Calibri"/>
          <w:b/>
          <w:color w:val="212529"/>
          <w:sz w:val="21"/>
        </w:rPr>
        <w:t xml:space="preserve">Citation: </w:t>
      </w:r>
      <w:r>
        <w:rPr>
          <w:rFonts w:ascii="Calibri" w:hAnsi="Calibri"/>
          <w:i/>
          <w:color w:val="212529"/>
          <w:sz w:val="21"/>
        </w:rPr>
        <w:t>G.R. No. 147904 | October 4, 2002 | 390 SCRA 495 | En Banc | Ponente: J. Corona</w:t>
      </w:r>
    </w:p>
    <w:p>
      <w:pPr>
        <w:keepNext/>
        <w:spacing w:before="200" w:after="40"/>
      </w:pPr>
      <w:r>
        <w:rPr>
          <w:rFonts w:ascii="Arial" w:hAnsi="Arial"/>
          <w:b/>
          <w:color w:val="781E1E"/>
          <w:sz w:val="22"/>
        </w:rPr>
        <w:t>LAYER A: ALAC DIGEST, RECITATION SCRIPT &amp; STATCON ANALYSIS</w:t>
      </w:r>
    </w:p>
    <w:p>
      <w:pPr>
        <w:keepNext/>
        <w:spacing w:before="200" w:after="40"/>
      </w:pPr>
      <w:r>
        <w:rPr>
          <w:rFonts w:ascii="Arial" w:hAnsi="Arial"/>
          <w:b/>
          <w:color w:val="781E1E"/>
          <w:sz w:val="22"/>
        </w:rPr>
        <w:t>I. PARTIES &amp; PROCEDURAL BACKGROUND</w:t>
      </w:r>
    </w:p>
    <w:p>
      <w:pPr>
        <w:spacing w:before="40" w:after="80" w:line="276" w:lineRule="auto"/>
      </w:pPr>
      <w:r>
        <w:rPr>
          <w:rFonts w:ascii="Calibri" w:hAnsi="Calibri"/>
          <w:b/>
          <w:color w:val="212529"/>
          <w:sz w:val="21"/>
        </w:rPr>
        <w:t xml:space="preserve">• Plaintiff/Petitioner: </w:t>
      </w:r>
      <w:r>
        <w:rPr>
          <w:rFonts w:ascii="Calibri" w:hAnsi="Calibri"/>
          <w:i w:val="0"/>
          <w:color w:val="212529"/>
          <w:sz w:val="21"/>
        </w:rPr>
        <w:t>Melanio L. Magno (Petitioner)</w:t>
      </w:r>
    </w:p>
    <w:p>
      <w:pPr>
        <w:spacing w:before="40" w:after="80" w:line="276" w:lineRule="auto"/>
      </w:pPr>
      <w:r>
        <w:rPr>
          <w:rFonts w:ascii="Calibri" w:hAnsi="Calibri"/>
          <w:b/>
          <w:color w:val="212529"/>
          <w:sz w:val="21"/>
        </w:rPr>
        <w:t xml:space="preserve">• Defendant/Respondent: </w:t>
      </w:r>
      <w:r>
        <w:rPr>
          <w:rFonts w:ascii="Calibri" w:hAnsi="Calibri"/>
          <w:i w:val="0"/>
          <w:color w:val="212529"/>
          <w:sz w:val="21"/>
        </w:rPr>
        <w:t>Commission on Elections and Alice P. Buraga (Respondents)</w:t>
      </w:r>
    </w:p>
    <w:p>
      <w:pPr>
        <w:spacing w:before="40" w:after="80" w:line="276" w:lineRule="auto"/>
      </w:pPr>
      <w:r>
        <w:rPr>
          <w:rFonts w:ascii="Calibri" w:hAnsi="Calibri"/>
          <w:b/>
          <w:color w:val="212529"/>
          <w:sz w:val="21"/>
        </w:rPr>
        <w:t xml:space="preserve">• Originating Court: </w:t>
      </w:r>
      <w:r>
        <w:rPr>
          <w:rFonts w:ascii="Calibri" w:hAnsi="Calibri"/>
          <w:i w:val="0"/>
          <w:color w:val="212529"/>
          <w:sz w:val="21"/>
        </w:rPr>
        <w:t>Commission on Elections (COMELEC En Banc)</w:t>
      </w:r>
    </w:p>
    <w:p>
      <w:pPr>
        <w:spacing w:before="40" w:after="80" w:line="276" w:lineRule="auto"/>
      </w:pPr>
      <w:r>
        <w:rPr>
          <w:rFonts w:ascii="Calibri" w:hAnsi="Calibri"/>
          <w:b/>
          <w:color w:val="212529"/>
          <w:sz w:val="21"/>
        </w:rPr>
        <w:t xml:space="preserve">• Nature of the Action: </w:t>
      </w:r>
      <w:r>
        <w:rPr>
          <w:rFonts w:ascii="Calibri" w:hAnsi="Calibri"/>
          <w:i w:val="0"/>
          <w:color w:val="212529"/>
          <w:sz w:val="21"/>
        </w:rPr>
        <w:t>Petition for Certiorari under Rule 65 assailing COMELEC resolution disqualifying petitioner as Mayor of San Isidro, Isabela under Section 40 of the Local Government Code due to conviction for Direct Bribery.</w:t>
      </w:r>
    </w:p>
    <w:p>
      <w:pPr>
        <w:keepNext/>
        <w:spacing w:before="200" w:after="40"/>
      </w:pPr>
      <w:r>
        <w:rPr>
          <w:rFonts w:ascii="Arial" w:hAnsi="Arial"/>
          <w:b/>
          <w:color w:val="781E1E"/>
          <w:sz w:val="22"/>
        </w:rPr>
        <w:t>II. WHOLE FACTS</w:t>
      </w:r>
    </w:p>
    <w:p>
      <w:pPr>
        <w:spacing w:before="40" w:after="80" w:line="276" w:lineRule="auto"/>
      </w:pPr>
      <w:r>
        <w:rPr>
          <w:rFonts w:ascii="Calibri" w:hAnsi="Calibri"/>
          <w:i w:val="0"/>
          <w:color w:val="212529"/>
          <w:sz w:val="21"/>
        </w:rPr>
        <w:t>Melanio Magno was elected Mayor of San Isidro, Isabela. His political rival Alice Buraga sought his disqualification under Section 40(a) of the Local Government Code (R.A. No. 7160), which disqualifies from running for any local elective post 'those sentenced by final judgment for an offense involving moral turpitude.' Magno had previously been convicted of Direct Bribery under Article 210 RPC, but was granted probation and successfully discharged. Magno argued that: (1) Direct Bribery does not involve moral turpitude; and (2) Section 68 of the Omnibus Election Code and the Probation Law wiped out his disqualification. COMELEC disqualified him.</w:t>
      </w:r>
    </w:p>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SUMMARY OF FACTS</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A newly elected mayor had a past criminal conviction for Direct Bribery (accepting a bribe when he was a public officer), for which he was granted probation. A rival moved to disqualify him under the Local Government Code, which bans anyone convicted of a crime involving 'moral turpitude' from running for local office. The mayor argued bribery is not moral turpitude and probation wiped his slate clean. The Supreme Court ruled that Direct Bribery is inherently a crime of moral turpitude, and the special disqualification rule in the Local Government Code controls over general election and probation provisions.</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When reciting the facts, state the core dispute in 2 sentences, then state how the case reached the Supreme Court.</w:t>
            </w:r>
          </w:p>
        </w:tc>
      </w:tr>
    </w:tbl>
    <w:p>
      <w:pPr>
        <w:keepNext/>
        <w:spacing w:before="200" w:after="40"/>
      </w:pPr>
      <w:r>
        <w:rPr>
          <w:rFonts w:ascii="Arial" w:hAnsi="Arial"/>
          <w:b/>
          <w:color w:val="781E1E"/>
          <w:sz w:val="22"/>
        </w:rPr>
        <w:t>III. THE LEGAL ISSUE</w:t>
      </w:r>
    </w:p>
    <w:p>
      <w:pPr>
        <w:spacing w:before="40" w:after="80" w:line="276" w:lineRule="auto"/>
      </w:pPr>
      <w:r>
        <w:rPr>
          <w:rFonts w:ascii="Calibri" w:hAnsi="Calibri"/>
          <w:i w:val="0"/>
          <w:color w:val="212529"/>
          <w:sz w:val="21"/>
        </w:rPr>
        <w:t>Whether or not the crime of Direct Bribery involves moral turpitude disqualifying a candidate under Section 40(a) of the Local Government Code, and whether probation removes such disqualification.</w:t>
      </w:r>
    </w:p>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THE LEGAL ISSUE</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Is taking a bribe a crime of moral turpitude that permanently disqualifies a person from running for Mayor, even if he finished probation?</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"Sir/Ma'am, the issue is whether Direct Bribery involves moral turpitude under Section 40(a) of RA 7160 and whether completion of probation removes local elective disqualification, testing the canon of Legislative Intent and Harmonious Construction (Ut Res Magis Valeat Quam Pereat)."</w:t>
            </w:r>
          </w:p>
        </w:tc>
      </w:tr>
    </w:tbl>
    <w:p>
      <w:pPr>
        <w:keepNext/>
        <w:spacing w:before="200" w:after="40"/>
      </w:pPr>
      <w:r>
        <w:rPr>
          <w:rFonts w:ascii="Arial" w:hAnsi="Arial"/>
          <w:b/>
          <w:color w:val="781E1E"/>
          <w:sz w:val="22"/>
        </w:rPr>
        <w:t>IV. ALAC DIGEST</w:t>
      </w:r>
    </w:p>
    <w:tbl>
      <w:tblPr>
        <w:tblW w:type="auto" w:w="0"/>
        <w:jc w:val="center"/>
        <w:tblLook w:firstColumn="1" w:firstRow="1" w:lastColumn="0" w:lastRow="0" w:noHBand="0" w:noVBand="1" w:val="04A0"/>
      </w:tblPr>
      <w:tblGrid>
        <w:gridCol w:w="9648"/>
      </w:tblGrid>
      <w:tr>
        <w:tc>
          <w:tcPr>
            <w:tcW w:type="dxa" w:w="9648"/>
            <w:shd w:fill="F4F6F9"/>
            <w:tcMar>
              <w:top w:w="120" w:type="dxa"/>
              <w:bottom w:w="120" w:type="dxa"/>
              <w:left w:w="180" w:type="dxa"/>
              <w:right w:w="180" w:type="dxa"/>
            </w:tcMar>
          </w:tcPr>
          <w:p>
            <w:pPr>
              <w:spacing w:before="40" w:after="60"/>
            </w:pPr>
            <w:r>
              <w:rPr>
                <w:rFonts w:ascii="Arial" w:hAnsi="Arial"/>
                <w:b/>
                <w:color w:val="0F2043"/>
                <w:sz w:val="21"/>
              </w:rPr>
              <w:t>[A] ANSWER</w:t>
              <w:br/>
            </w:r>
          </w:p>
          <w:p>
            <w:pPr>
              <w:spacing w:before="20" w:after="40" w:line="276" w:lineRule="auto"/>
            </w:pPr>
            <w:r>
              <w:rPr>
                <w:rFonts w:ascii="Calibri" w:hAnsi="Calibri"/>
                <w:color w:val="212529"/>
                <w:sz w:val="20"/>
              </w:rPr>
              <w:t>YES. Direct Bribery is INHERENTLY a crime involving moral turpitude. Section 40(a) of the Local Government Code disqualifies the convict from holding local elective office, and the completion of probation does NOT erase the statutory disqualification.</w:t>
            </w:r>
          </w:p>
        </w:tc>
      </w:tr>
    </w:tbl>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THE ANSWER</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Yes. Bribery is inherently corrupt and involves moral turpitude because it betrays public trust. The Local Government Code specifically disqualifies people convicted of moral turpitude, and probation only spares you from prison—it does not erase the fact that you committed a corrupt crime.</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"Yes, Sir/Ma'am. The Supreme Court held that Direct Bribery is inherently an act of base dishonesty and moral turpitude. Under Section 40(a) of the Local Government Code, construed in light of legislative intent to maintain public integrity, the statutory disqualification persists notwithstanding the completion of probation."</w:t>
            </w:r>
          </w:p>
        </w:tc>
      </w:tr>
    </w:tbl>
    <w:tbl>
      <w:tblPr>
        <w:tblW w:type="auto" w:w="0"/>
        <w:jc w:val="center"/>
        <w:tblLook w:firstColumn="1" w:firstRow="1" w:lastColumn="0" w:lastRow="0" w:noHBand="0" w:noVBand="1" w:val="04A0"/>
      </w:tblPr>
      <w:tblGrid>
        <w:gridCol w:w="9648"/>
      </w:tblGrid>
      <w:tr>
        <w:tc>
          <w:tcPr>
            <w:tcW w:type="dxa" w:w="9648"/>
            <w:shd w:fill="F4F6F9"/>
            <w:tcMar>
              <w:top w:w="120" w:type="dxa"/>
              <w:bottom w:w="120" w:type="dxa"/>
              <w:left w:w="180" w:type="dxa"/>
              <w:right w:w="180" w:type="dxa"/>
            </w:tcMar>
          </w:tcPr>
          <w:p>
            <w:pPr>
              <w:spacing w:before="40" w:after="60"/>
            </w:pPr>
            <w:r>
              <w:rPr>
                <w:rFonts w:ascii="Arial" w:hAnsi="Arial"/>
                <w:b/>
                <w:color w:val="0F2043"/>
                <w:sz w:val="21"/>
              </w:rPr>
              <w:t>[L] LEGAL BASIS</w:t>
              <w:br/>
            </w:r>
          </w:p>
          <w:p>
            <w:pPr>
              <w:spacing w:before="20" w:after="40" w:line="276" w:lineRule="auto"/>
            </w:pPr>
            <w:r>
              <w:rPr>
                <w:rFonts w:ascii="Calibri" w:hAnsi="Calibri"/>
                <w:b/>
                <w:color w:val="212529"/>
                <w:sz w:val="20"/>
              </w:rPr>
              <w:t xml:space="preserve">1. Section 40(a), Republic Act No. 7160 (Local Government Code of 1991): </w:t>
            </w:r>
            <w:r>
              <w:rPr>
                <w:rFonts w:ascii="Calibri" w:hAnsi="Calibri"/>
                <w:color w:val="212529"/>
                <w:sz w:val="20"/>
              </w:rPr>
              <w:t>Disqualifies persons convicted by final judgment of an offense involving moral turpitude from running for local elective office.</w:t>
            </w:r>
          </w:p>
          <w:p>
            <w:pPr>
              <w:spacing w:before="20" w:after="40" w:line="276" w:lineRule="auto"/>
            </w:pPr>
            <w:r>
              <w:rPr>
                <w:rFonts w:ascii="Calibri" w:hAnsi="Calibri"/>
                <w:b/>
                <w:color w:val="212529"/>
                <w:sz w:val="20"/>
              </w:rPr>
              <w:t xml:space="preserve">2. Article 210, Revised Penal Code: </w:t>
            </w:r>
            <w:r>
              <w:rPr>
                <w:rFonts w:ascii="Calibri" w:hAnsi="Calibri"/>
                <w:color w:val="212529"/>
                <w:sz w:val="20"/>
              </w:rPr>
              <w:t>Statutory definition of Direct Bribery.</w:t>
            </w:r>
          </w:p>
          <w:p>
            <w:pPr>
              <w:spacing w:before="20" w:after="40" w:line="276" w:lineRule="auto"/>
            </w:pPr>
            <w:r>
              <w:rPr>
                <w:rFonts w:ascii="Calibri" w:hAnsi="Calibri"/>
                <w:b/>
                <w:color w:val="212529"/>
                <w:sz w:val="20"/>
              </w:rPr>
              <w:t xml:space="preserve">3. Section 16, Presidential Decree No. 968 (Probation Law): </w:t>
            </w:r>
            <w:r>
              <w:rPr>
                <w:rFonts w:ascii="Calibri" w:hAnsi="Calibri"/>
                <w:color w:val="212529"/>
                <w:sz w:val="20"/>
              </w:rPr>
              <w:t>Effects of discharge from probation, construed alongside electoral disqualification statutes.</w:t>
            </w:r>
          </w:p>
          <w:p>
            <w:pPr>
              <w:spacing w:before="20" w:after="40" w:line="276" w:lineRule="auto"/>
            </w:pPr>
            <w:r>
              <w:rPr>
                <w:rFonts w:ascii="Calibri" w:hAnsi="Calibri"/>
                <w:b/>
                <w:color w:val="212529"/>
                <w:sz w:val="20"/>
              </w:rPr>
              <w:t xml:space="preserve">4. Salus Populi Est Suprema Lex (the welfare of the people is the supreme law): </w:t>
            </w:r>
            <w:r>
              <w:rPr>
                <w:rFonts w:ascii="Calibri" w:hAnsi="Calibri"/>
                <w:color w:val="212529"/>
                <w:sz w:val="20"/>
              </w:rPr>
              <w:t>High ethical standards for elective public office override personal claims to rehabilitation.</w:t>
            </w:r>
          </w:p>
        </w:tc>
      </w:tr>
    </w:tbl>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LEGAL BASIS</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Section 40(a) RA 7160, Article 210 RPC, PD 968, and Salus Populi Est Suprema Lex.</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"Sir/Ma'am, the legal basis is Section 40(a) of RA 7160, Article 210 RPC, and the principle Salus populi est suprema lex (the welfare of the people is the supreme law)."</w:t>
            </w:r>
          </w:p>
        </w:tc>
      </w:tr>
    </w:tbl>
    <w:tbl>
      <w:tblPr>
        <w:tblW w:type="auto" w:w="0"/>
        <w:jc w:val="center"/>
        <w:tblLook w:firstColumn="1" w:firstRow="1" w:lastColumn="0" w:lastRow="0" w:noHBand="0" w:noVBand="1" w:val="04A0"/>
      </w:tblPr>
      <w:tblGrid>
        <w:gridCol w:w="9648"/>
      </w:tblGrid>
      <w:tr>
        <w:tc>
          <w:tcPr>
            <w:tcW w:type="dxa" w:w="9648"/>
            <w:shd w:fill="F4F6F9"/>
            <w:tcMar>
              <w:top w:w="120" w:type="dxa"/>
              <w:bottom w:w="120" w:type="dxa"/>
              <w:left w:w="180" w:type="dxa"/>
              <w:right w:w="180" w:type="dxa"/>
            </w:tcMar>
          </w:tcPr>
          <w:p>
            <w:pPr>
              <w:spacing w:before="40" w:after="60"/>
            </w:pPr>
            <w:r>
              <w:rPr>
                <w:rFonts w:ascii="Arial" w:hAnsi="Arial"/>
                <w:b/>
                <w:color w:val="0F2043"/>
                <w:sz w:val="21"/>
              </w:rPr>
              <w:t>[A] ANALYSIS / APPLICATION</w:t>
              <w:br/>
            </w:r>
          </w:p>
          <w:p>
            <w:pPr>
              <w:spacing w:before="20" w:after="40" w:line="276" w:lineRule="auto"/>
            </w:pPr>
            <w:r>
              <w:rPr>
                <w:rFonts w:ascii="Calibri" w:hAnsi="Calibri"/>
                <w:b/>
                <w:color w:val="212529"/>
                <w:sz w:val="20"/>
              </w:rPr>
              <w:t xml:space="preserve">1. Definition of Moral Turpitude: </w:t>
            </w:r>
            <w:r>
              <w:rPr>
                <w:rFonts w:ascii="Calibri" w:hAnsi="Calibri"/>
                <w:color w:val="212529"/>
                <w:sz w:val="20"/>
              </w:rPr>
              <w:t>Moral turpitude is an act of baseness, vileness, or depravity in private and social duties. Direct bribery—selling public office for private gain—is the quintessence of moral turpitude.</w:t>
            </w:r>
          </w:p>
          <w:p>
            <w:pPr>
              <w:spacing w:before="20" w:after="40" w:line="276" w:lineRule="auto"/>
            </w:pPr>
            <w:r>
              <w:rPr>
                <w:rFonts w:ascii="Calibri" w:hAnsi="Calibri"/>
                <w:b/>
                <w:color w:val="212529"/>
                <w:sz w:val="20"/>
              </w:rPr>
              <w:t xml:space="preserve">2. Effect of Probation on Electoral Disqualification: </w:t>
            </w:r>
            <w:r>
              <w:rPr>
                <w:rFonts w:ascii="Calibri" w:hAnsi="Calibri"/>
                <w:color w:val="212529"/>
                <w:sz w:val="20"/>
              </w:rPr>
              <w:t>Probation restores civil rights and extinguishes criminal liability as to penalty, but it cannot override explicit statutory qualifications and disqualifications enacted by Congress to safeguard elective public offices.</w:t>
            </w:r>
          </w:p>
          <w:p>
            <w:pPr>
              <w:spacing w:before="20" w:after="40" w:line="276" w:lineRule="auto"/>
            </w:pPr>
            <w:r>
              <w:rPr>
                <w:rFonts w:ascii="Calibri" w:hAnsi="Calibri"/>
                <w:b/>
                <w:color w:val="212529"/>
                <w:sz w:val="20"/>
              </w:rPr>
              <w:t xml:space="preserve">3. Legislative Intent in Local Government Code: </w:t>
            </w:r>
            <w:r>
              <w:rPr>
                <w:rFonts w:ascii="Calibri" w:hAnsi="Calibri"/>
                <w:color w:val="212529"/>
                <w:sz w:val="20"/>
              </w:rPr>
              <w:t>Section 40(a) was enacted specifically to bar morally compromised individuals from occupying positions of local executive power.</w:t>
            </w:r>
          </w:p>
        </w:tc>
      </w:tr>
    </w:tbl>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ANALYSIS / APPLICATION</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Moral turpitude means doing something inherently crooked. When a public officer accepts a bribe, he sells his integrity and betrays the people. Probation saves you from going to jail, but it does not give you a clean bill of moral health to run for Mayor under the strict rules of the Local Government Code.</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"Sir/Ma'am, the Court applied purposive statutory construction. Direct bribery strikes at the heart of public trust. The Court held that Section 40(a) of the LGC expresses the legislative policy to preserve public integrity, and probation does not erase the statutory disqualification."</w:t>
            </w:r>
          </w:p>
        </w:tc>
      </w:tr>
    </w:tbl>
    <w:tbl>
      <w:tblPr>
        <w:tblW w:type="auto" w:w="0"/>
        <w:jc w:val="center"/>
        <w:tblLook w:firstColumn="1" w:firstRow="1" w:lastColumn="0" w:lastRow="0" w:noHBand="0" w:noVBand="1" w:val="04A0"/>
      </w:tblPr>
      <w:tblGrid>
        <w:gridCol w:w="9648"/>
      </w:tblGrid>
      <w:tr>
        <w:tc>
          <w:tcPr>
            <w:tcW w:type="dxa" w:w="9648"/>
            <w:shd w:fill="F4F6F9"/>
            <w:tcMar>
              <w:top w:w="120" w:type="dxa"/>
              <w:bottom w:w="120" w:type="dxa"/>
              <w:left w:w="180" w:type="dxa"/>
              <w:right w:w="180" w:type="dxa"/>
            </w:tcMar>
          </w:tcPr>
          <w:p>
            <w:pPr>
              <w:spacing w:before="40" w:after="60"/>
            </w:pPr>
            <w:r>
              <w:rPr>
                <w:rFonts w:ascii="Arial" w:hAnsi="Arial"/>
                <w:b/>
                <w:color w:val="0F2043"/>
                <w:sz w:val="21"/>
              </w:rPr>
              <w:t>[C] CONCLUSION</w:t>
              <w:br/>
            </w:r>
          </w:p>
          <w:p>
            <w:pPr>
              <w:spacing w:before="20" w:after="40" w:line="276" w:lineRule="auto"/>
            </w:pPr>
            <w:r>
              <w:rPr>
                <w:rFonts w:ascii="Calibri" w:hAnsi="Calibri"/>
                <w:color w:val="212529"/>
                <w:sz w:val="20"/>
              </w:rPr>
              <w:t>The Supreme Court DISMISSED the petition, AFFIRMED the COMELEC disqualification, and DECLARED Melanio Magno disqualified from holding the office of Mayor.</w:t>
            </w:r>
          </w:p>
        </w:tc>
      </w:tr>
    </w:tbl>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CONCLUSION</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The mayor was disqualified from office due to his past bribery conviction.</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"The Supreme Court affirmed the disqualification, ruling that Direct Bribery involves moral turpitude that bars local candidacy under Section 40(a) LGC."</w:t>
            </w:r>
          </w:p>
        </w:tc>
      </w:tr>
    </w:tbl>
    <w:p>
      <w:pPr>
        <w:keepNext/>
        <w:spacing w:before="200" w:after="40"/>
      </w:pPr>
      <w:r>
        <w:rPr>
          <w:rFonts w:ascii="Arial" w:hAnsi="Arial"/>
          <w:b/>
          <w:color w:val="781E1E"/>
          <w:sz w:val="22"/>
        </w:rPr>
        <w:t>V. RELATION TO STATUTORY CONSTRUCTION</w:t>
      </w:r>
    </w:p>
    <w:p>
      <w:pPr>
        <w:spacing w:before="40" w:after="80" w:line="276" w:lineRule="auto"/>
      </w:pPr>
      <w:r>
        <w:rPr>
          <w:rFonts w:ascii="Calibri" w:hAnsi="Calibri"/>
          <w:b/>
          <w:color w:val="212529"/>
          <w:sz w:val="21"/>
        </w:rPr>
        <w:t>• Syllabus Topic Alignment:</w:t>
        <w:br/>
      </w:r>
      <w:r>
        <w:rPr>
          <w:rFonts w:ascii="Calibri" w:hAnsi="Calibri"/>
          <w:i w:val="0"/>
          <w:color w:val="212529"/>
          <w:sz w:val="21"/>
        </w:rPr>
        <w:t>• Chapter III: Basic Guidelines in the Construction and Interpretation of Laws</w:t>
        <w:br/>
        <w:t xml:space="preserve">  - C. Considerations outside the Statute: Statutory Qualifications for Public Office &amp; Moral Turpitude</w:t>
      </w:r>
    </w:p>
    <w:tbl>
      <w:tblPr>
        <w:tblW w:type="auto" w:w="0"/>
        <w:jc w:val="center"/>
        <w:tblLook w:firstColumn="1" w:firstRow="1" w:lastColumn="0" w:lastRow="0" w:noHBand="0" w:noVBand="1" w:val="04A0"/>
      </w:tblPr>
      <w:tblGrid>
        <w:gridCol w:w="9648"/>
      </w:tblGrid>
      <w:tr>
        <w:tc>
          <w:tcPr>
            <w:tcW w:type="dxa" w:w="9648"/>
            <w:shd w:fill="FDF6EE"/>
            <w:tcMar>
              <w:top w:w="120" w:type="dxa"/>
              <w:bottom w:w="120" w:type="dxa"/>
              <w:left w:w="180" w:type="dxa"/>
              <w:right w:w="180" w:type="dxa"/>
            </w:tcMar>
          </w:tcPr>
          <w:p>
            <w:pPr>
              <w:spacing w:before="40" w:after="80"/>
            </w:pPr>
            <w:r>
              <w:rPr>
                <w:rFonts w:ascii="Arial" w:hAnsi="Arial"/>
                <w:b/>
                <w:color w:val="8C3200"/>
                <w:sz w:val="20"/>
              </w:rPr>
              <w:t>📜 GOVERNING LATIN MAXIMS WITH ENGLISH TRANSLATIONS</w:t>
              <w:br/>
            </w:r>
          </w:p>
          <w:p>
            <w:pPr>
              <w:spacing w:before="40" w:after="60" w:line="276" w:lineRule="auto"/>
            </w:pPr>
            <w:r>
              <w:rPr>
                <w:rFonts w:ascii="Calibri" w:hAnsi="Calibri"/>
                <w:b/>
                <w:color w:val="8C3200"/>
                <w:sz w:val="20"/>
              </w:rPr>
              <w:t>1. Salus populi est suprema lex (the welfare of the people is the supreme law)</w:t>
              <w:br/>
            </w:r>
            <w:r>
              <w:rPr>
                <w:rFonts w:ascii="Calibri" w:hAnsi="Calibri"/>
                <w:b/>
                <w:color w:val="212529"/>
                <w:sz w:val="19"/>
              </w:rPr>
              <w:t xml:space="preserve">   • Literal English Translation: </w:t>
            </w:r>
            <w:r>
              <w:rPr>
                <w:rFonts w:ascii="Calibri" w:hAnsi="Calibri"/>
                <w:i/>
                <w:color w:val="212529"/>
                <w:sz w:val="19"/>
              </w:rPr>
              <w:t>The welfare of the people is the supreme law.</w:t>
              <w:br/>
            </w:r>
            <w:r>
              <w:rPr>
                <w:rFonts w:ascii="Calibri" w:hAnsi="Calibri"/>
                <w:b/>
                <w:color w:val="212529"/>
                <w:sz w:val="19"/>
              </w:rPr>
              <w:t xml:space="preserve">   • Plain Legal Meaning &amp; StatCon Application: </w:t>
            </w:r>
            <w:r>
              <w:rPr>
                <w:rFonts w:ascii="Calibri" w:hAnsi="Calibri"/>
                <w:color w:val="212529"/>
                <w:sz w:val="19"/>
              </w:rPr>
              <w:t>The public interest in having honest, uncompromised local leaders overrides individual political ambitions.</w:t>
            </w:r>
          </w:p>
          <w:p>
            <w:pPr>
              <w:spacing w:before="40" w:after="60" w:line="276" w:lineRule="auto"/>
            </w:pPr>
            <w:r>
              <w:rPr>
                <w:rFonts w:ascii="Calibri" w:hAnsi="Calibri"/>
                <w:b/>
                <w:color w:val="8C3200"/>
                <w:sz w:val="20"/>
              </w:rPr>
              <w:t>2. Verba legis non est recedendum (from the words of the statute there should be no departure)</w:t>
              <w:br/>
            </w:r>
            <w:r>
              <w:rPr>
                <w:rFonts w:ascii="Calibri" w:hAnsi="Calibri"/>
                <w:b/>
                <w:color w:val="212529"/>
                <w:sz w:val="19"/>
              </w:rPr>
              <w:t xml:space="preserve">   • Literal English Translation: </w:t>
            </w:r>
            <w:r>
              <w:rPr>
                <w:rFonts w:ascii="Calibri" w:hAnsi="Calibri"/>
                <w:i/>
                <w:color w:val="212529"/>
                <w:sz w:val="19"/>
              </w:rPr>
              <w:t>From the words of the statute there must be no departure.</w:t>
              <w:br/>
            </w:r>
            <w:r>
              <w:rPr>
                <w:rFonts w:ascii="Calibri" w:hAnsi="Calibri"/>
                <w:b/>
                <w:color w:val="212529"/>
                <w:sz w:val="19"/>
              </w:rPr>
              <w:t xml:space="preserve">   • Plain Legal Meaning &amp; StatCon Application: </w:t>
            </w:r>
            <w:r>
              <w:rPr>
                <w:rFonts w:ascii="Calibri" w:hAnsi="Calibri"/>
                <w:color w:val="212529"/>
                <w:sz w:val="19"/>
              </w:rPr>
              <w:t>Section 40(a) of the LGC explicitly bars candidates convicted of moral turpitude.</w:t>
            </w:r>
          </w:p>
          <w:p>
            <w:pPr>
              <w:spacing w:before="40" w:after="60" w:line="276" w:lineRule="auto"/>
            </w:pPr>
            <w:r>
              <w:rPr>
                <w:rFonts w:ascii="Calibri" w:hAnsi="Calibri"/>
                <w:b/>
                <w:color w:val="8C3200"/>
                <w:sz w:val="20"/>
              </w:rPr>
              <w:t>3. Generalia specialibus non derogant (general things do not derogate from special things)</w:t>
              <w:br/>
            </w:r>
            <w:r>
              <w:rPr>
                <w:rFonts w:ascii="Calibri" w:hAnsi="Calibri"/>
                <w:b/>
                <w:color w:val="212529"/>
                <w:sz w:val="19"/>
              </w:rPr>
              <w:t xml:space="preserve">   • Literal English Translation: </w:t>
            </w:r>
            <w:r>
              <w:rPr>
                <w:rFonts w:ascii="Calibri" w:hAnsi="Calibri"/>
                <w:i/>
                <w:color w:val="212529"/>
                <w:sz w:val="19"/>
              </w:rPr>
              <w:t>General words do not derogate from special provisions.</w:t>
              <w:br/>
            </w:r>
            <w:r>
              <w:rPr>
                <w:rFonts w:ascii="Calibri" w:hAnsi="Calibri"/>
                <w:b/>
                <w:color w:val="212529"/>
                <w:sz w:val="19"/>
              </w:rPr>
              <w:t xml:space="preserve">   • Plain Legal Meaning &amp; StatCon Application: </w:t>
            </w:r>
            <w:r>
              <w:rPr>
                <w:rFonts w:ascii="Calibri" w:hAnsi="Calibri"/>
                <w:color w:val="212529"/>
                <w:sz w:val="19"/>
              </w:rPr>
              <w:t>The specific disqualifications under Section 40 LGC prevail over general probation discharge provisions.</w:t>
            </w:r>
          </w:p>
        </w:tc>
      </w:tr>
    </w:tbl>
    <w:tbl>
      <w:tblPr>
        <w:tblW w:type="auto" w:w="0"/>
        <w:jc w:val="center"/>
        <w:tblLook w:firstColumn="1" w:firstRow="1" w:lastColumn="0" w:lastRow="0" w:noHBand="0" w:noVBand="1" w:val="04A0"/>
      </w:tblPr>
      <w:tblGrid>
        <w:gridCol w:w="4824"/>
        <w:gridCol w:w="4824"/>
      </w:tblGrid>
      <w:tr>
        <w:tc>
          <w:tcPr>
            <w:tcW w:type="dxa" w:w="4824"/>
            <w:shd w:fill="EAEFF5"/>
            <w:tcMar>
              <w:top w:w="80" w:type="dxa"/>
              <w:bottom w:w="80" w:type="dxa"/>
              <w:left w:w="120" w:type="dxa"/>
              <w:right w:w="120" w:type="dxa"/>
            </w:tcMar>
          </w:tcPr>
          <w:p>
            <w:pPr>
              <w:spacing w:before="40" w:after="40"/>
            </w:pPr>
            <w:r>
              <w:rPr>
                <w:rFonts w:ascii="Arial" w:hAnsi="Arial"/>
                <w:b/>
                <w:color w:val="0F2043"/>
                <w:sz w:val="18"/>
              </w:rPr>
              <w:t>Syllabus Topic Alignment</w:t>
              <w:br/>
              <w:t>(StatCon_Syllabus_JPR.pdf)</w:t>
            </w:r>
          </w:p>
        </w:tc>
        <w:tc>
          <w:tcPr>
            <w:tcW w:type="dxa" w:w="4824"/>
            <w:shd w:fill="FAFAFA"/>
            <w:tcMar>
              <w:top w:w="80" w:type="dxa"/>
              <w:bottom w:w="80" w:type="dxa"/>
              <w:left w:w="120" w:type="dxa"/>
              <w:right w:w="120" w:type="dxa"/>
            </w:tcMar>
          </w:tcPr>
          <w:p>
            <w:pPr>
              <w:spacing w:before="40" w:after="40" w:line="276" w:lineRule="auto"/>
            </w:pPr>
            <w:r>
              <w:rPr>
                <w:rFonts w:ascii="Calibri" w:hAnsi="Calibri"/>
                <w:color w:val="212529"/>
                <w:sz w:val="19"/>
              </w:rPr>
              <w:t>• Chapter III: Basic Guidelines in the Construction and Interpretation of Laws</w:t>
              <w:br/>
              <w:t xml:space="preserve">  - C. Considerations outside the Statute: Statutory Qualifications for Public Office &amp; Moral Turpitude</w:t>
            </w:r>
          </w:p>
        </w:tc>
      </w:tr>
      <w:tr>
        <w:tc>
          <w:tcPr>
            <w:tcW w:type="dxa" w:w="4824"/>
            <w:shd w:fill="EAEFF5"/>
            <w:tcMar>
              <w:top w:w="80" w:type="dxa"/>
              <w:bottom w:w="80" w:type="dxa"/>
              <w:left w:w="120" w:type="dxa"/>
              <w:right w:w="120" w:type="dxa"/>
            </w:tcMar>
          </w:tcPr>
          <w:p>
            <w:pPr>
              <w:spacing w:before="40" w:after="40"/>
            </w:pPr>
            <w:r>
              <w:rPr>
                <w:rFonts w:ascii="Arial" w:hAnsi="Arial"/>
                <w:b/>
                <w:color w:val="0F2043"/>
                <w:sz w:val="18"/>
              </w:rPr>
              <w:t>Governing Latin Maxims &amp; English</w:t>
            </w:r>
          </w:p>
        </w:tc>
        <w:tc>
          <w:tcPr>
            <w:tcW w:type="dxa" w:w="4824"/>
            <w:shd w:fill="FAFAFA"/>
            <w:tcMar>
              <w:top w:w="80" w:type="dxa"/>
              <w:bottom w:w="80" w:type="dxa"/>
              <w:left w:w="120" w:type="dxa"/>
              <w:right w:w="120" w:type="dxa"/>
            </w:tcMar>
          </w:tcPr>
          <w:p>
            <w:pPr>
              <w:spacing w:before="40" w:after="40" w:line="276" w:lineRule="auto"/>
            </w:pPr>
            <w:r>
              <w:rPr>
                <w:rFonts w:ascii="Calibri" w:hAnsi="Calibri"/>
                <w:color w:val="212529"/>
                <w:sz w:val="19"/>
              </w:rPr>
              <w:t>Primary:</w:t>
              <w:br/>
              <w:t>Salus populi est suprema lex</w:t>
              <w:br/>
              <w:t>(the welfare of the people is the supreme law / public integrity in elective office requires strict enforcement of moral turpitude disqualifications)</w:t>
              <w:br/>
              <w:br/>
              <w:t>Secondary:</w:t>
              <w:br/>
              <w:t>• Verba legis non est recedendum (clear statutory disqualification)</w:t>
              <w:br/>
              <w:t>• Generalia specialibus non derogant (special local election disqualifications prevail)</w:t>
            </w:r>
          </w:p>
        </w:tc>
      </w:tr>
      <w:tr>
        <w:tc>
          <w:tcPr>
            <w:tcW w:type="dxa" w:w="4824"/>
            <w:shd w:fill="EAEFF5"/>
            <w:tcMar>
              <w:top w:w="80" w:type="dxa"/>
              <w:bottom w:w="80" w:type="dxa"/>
              <w:left w:w="120" w:type="dxa"/>
              <w:right w:w="120" w:type="dxa"/>
            </w:tcMar>
          </w:tcPr>
          <w:p>
            <w:pPr>
              <w:spacing w:before="40" w:after="40"/>
            </w:pPr>
            <w:r>
              <w:rPr>
                <w:rFonts w:ascii="Arial" w:hAnsi="Arial"/>
                <w:b/>
                <w:color w:val="0F2043"/>
                <w:sz w:val="18"/>
              </w:rPr>
              <w:t>Case Violation in StatCon</w:t>
            </w:r>
          </w:p>
        </w:tc>
        <w:tc>
          <w:tcPr>
            <w:tcW w:type="dxa" w:w="4824"/>
            <w:shd w:fill="FAFAFA"/>
            <w:tcMar>
              <w:top w:w="80" w:type="dxa"/>
              <w:bottom w:w="80" w:type="dxa"/>
              <w:left w:w="120" w:type="dxa"/>
              <w:right w:w="120" w:type="dxa"/>
            </w:tcMar>
          </w:tcPr>
          <w:p>
            <w:pPr>
              <w:spacing w:before="40" w:after="40" w:line="276" w:lineRule="auto"/>
            </w:pPr>
            <w:r>
              <w:rPr>
                <w:rFonts w:ascii="Calibri" w:hAnsi="Calibri"/>
                <w:color w:val="212529"/>
                <w:sz w:val="19"/>
              </w:rPr>
              <w:t>The candidate attempted to dilute the statutory concept of moral turpitude and use the general Probation Law to bypass explicit electoral disqualifications.</w:t>
            </w:r>
          </w:p>
        </w:tc>
      </w:tr>
      <w:tr>
        <w:tc>
          <w:tcPr>
            <w:tcW w:type="dxa" w:w="4824"/>
            <w:shd w:fill="EAEFF5"/>
            <w:tcMar>
              <w:top w:w="80" w:type="dxa"/>
              <w:bottom w:w="80" w:type="dxa"/>
              <w:left w:w="120" w:type="dxa"/>
              <w:right w:w="120" w:type="dxa"/>
            </w:tcMar>
          </w:tcPr>
          <w:p>
            <w:pPr>
              <w:spacing w:before="40" w:after="40"/>
            </w:pPr>
            <w:r>
              <w:rPr>
                <w:rFonts w:ascii="Arial" w:hAnsi="Arial"/>
                <w:b/>
                <w:color w:val="0F2043"/>
                <w:sz w:val="18"/>
              </w:rPr>
              <w:t>Doctrinal Execution / Principle</w:t>
            </w:r>
          </w:p>
        </w:tc>
        <w:tc>
          <w:tcPr>
            <w:tcW w:type="dxa" w:w="4824"/>
            <w:shd w:fill="FAFAFA"/>
            <w:tcMar>
              <w:top w:w="80" w:type="dxa"/>
              <w:bottom w:w="80" w:type="dxa"/>
              <w:left w:w="120" w:type="dxa"/>
              <w:right w:w="120" w:type="dxa"/>
            </w:tcMar>
          </w:tcPr>
          <w:p>
            <w:pPr>
              <w:spacing w:before="40" w:after="40" w:line="276" w:lineRule="auto"/>
            </w:pPr>
            <w:r>
              <w:rPr>
                <w:rFonts w:ascii="Calibri" w:hAnsi="Calibri"/>
                <w:color w:val="212529"/>
                <w:sz w:val="19"/>
              </w:rPr>
              <w:t>Strict Enforcement of Public Integrity Statutes: Disqualifications based on moral turpitude in public office statutes are strictly enforced to safeguard democratic institutions.</w:t>
            </w:r>
          </w:p>
        </w:tc>
      </w:tr>
    </w:tbl>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RELATION TO STATUTORY CONSTRUCTION</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Laws that require public leaders to be honest and clean will be strictly enforced; a convicted bribe-taker cannot use loopholes to become mayor.</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"Sir/Ma'am, Magno v. COMELEC confirms that Direct Bribery is a crime involving moral turpitude that triggers mandatory disqualification under Section 40(a) of the Local Government Code."</w:t>
            </w:r>
          </w:p>
        </w:tc>
      </w:tr>
    </w:tbl>
    <w:p>
      <w:pPr>
        <w:spacing w:before="160" w:after="80"/>
      </w:pPr>
    </w:p>
    <w:tbl>
      <w:tblPr>
        <w:tblW w:type="auto" w:w="0"/>
        <w:jc w:val="center"/>
        <w:tblLook w:firstColumn="1" w:firstRow="1" w:lastColumn="0" w:lastRow="0" w:noHBand="0" w:noVBand="1" w:val="04A0"/>
      </w:tblPr>
      <w:tblGrid>
        <w:gridCol w:w="9648"/>
      </w:tblGrid>
      <w:tr>
        <w:tc>
          <w:tcPr>
            <w:tcW w:type="dxa" w:w="9648"/>
            <w:shd w:fill="1E3A5F"/>
            <w:tcMar>
              <w:top w:w="140" w:type="dxa"/>
              <w:bottom w:w="140" w:type="dxa"/>
              <w:left w:w="200" w:type="dxa"/>
              <w:right w:w="200" w:type="dxa"/>
            </w:tcMar>
          </w:tcPr>
          <w:p>
            <w:pPr>
              <w:spacing w:before="40" w:after="40"/>
              <w:jc w:val="center"/>
            </w:pPr>
            <w:r>
              <w:rPr>
                <w:rFonts w:ascii="Arial" w:hAnsi="Arial"/>
                <w:b/>
                <w:color w:val="FFD700"/>
                <w:sz w:val="22"/>
              </w:rPr>
              <w:t>⚖ STANDARDIZED CASE DIGEST: STATUTORY CONSTRUCTION FORMAT</w:t>
              <w:br/>
            </w:r>
            <w:r>
              <w:rPr>
                <w:rFonts w:ascii="Arial" w:hAnsi="Arial"/>
                <w:i/>
                <w:color w:val="DCEBFF"/>
                <w:sz w:val="18"/>
              </w:rPr>
              <w:t>(Complete 12-Section Academic &amp; Judicial Construction Analysis)</w:t>
            </w:r>
          </w:p>
        </w:tc>
      </w:tr>
    </w:tbl>
    <w:p>
      <w:pPr>
        <w:spacing w:before="80" w:after="80"/>
      </w:pPr>
    </w:p>
    <w:tbl>
      <w:tblPr>
        <w:tblW w:type="auto" w:w="0"/>
        <w:jc w:val="center"/>
        <w:tblLook w:firstColumn="1" w:firstRow="1" w:lastColumn="0" w:lastRow="0" w:noHBand="0" w:noVBand="1" w:val="04A0"/>
      </w:tblPr>
      <w:tblGrid>
        <w:gridCol w:w="4824"/>
        <w:gridCol w:w="4824"/>
      </w:tblGrid>
      <w:tr>
        <w:tc>
          <w:tcPr>
            <w:tcW w:type="dxa" w:w="4824"/>
            <w:shd w:fill="EBF0F7"/>
            <w:tcMar>
              <w:top w:w="60" w:type="dxa"/>
              <w:bottom w:w="60" w:type="dxa"/>
              <w:left w:w="120" w:type="dxa"/>
              <w:right w:w="120" w:type="dxa"/>
            </w:tcMar>
          </w:tcPr>
          <w:p>
            <w:pPr>
              <w:spacing w:before="20" w:after="20"/>
            </w:pPr>
            <w:r>
              <w:rPr>
                <w:rFonts w:ascii="Arial" w:hAnsi="Arial"/>
                <w:b/>
                <w:color w:val="0F2043"/>
                <w:sz w:val="19"/>
              </w:rPr>
              <w:t>Case Title:</w:t>
            </w:r>
          </w:p>
        </w:tc>
        <w:tc>
          <w:tcPr>
            <w:tcW w:type="dxa" w:w="4824"/>
            <w:shd w:fill="FAFCFF"/>
            <w:tcMar>
              <w:top w:w="60" w:type="dxa"/>
              <w:bottom w:w="60" w:type="dxa"/>
              <w:left w:w="120" w:type="dxa"/>
              <w:right w:w="120" w:type="dxa"/>
            </w:tcMar>
          </w:tcPr>
          <w:p>
            <w:pPr>
              <w:spacing w:before="20" w:after="20"/>
            </w:pPr>
            <w:r>
              <w:rPr>
                <w:rFonts w:ascii="Calibri" w:hAnsi="Calibri"/>
                <w:b/>
                <w:color w:val="212529"/>
                <w:sz w:val="19"/>
              </w:rPr>
              <w:t>Melanio L. Magno v. Commission on Elections and Alice P. Buraga</w:t>
            </w:r>
          </w:p>
        </w:tc>
      </w:tr>
      <w:tr>
        <w:tc>
          <w:tcPr>
            <w:tcW w:type="dxa" w:w="4824"/>
            <w:shd w:fill="EBF0F7"/>
            <w:tcMar>
              <w:top w:w="60" w:type="dxa"/>
              <w:bottom w:w="60" w:type="dxa"/>
              <w:left w:w="120" w:type="dxa"/>
              <w:right w:w="120" w:type="dxa"/>
            </w:tcMar>
          </w:tcPr>
          <w:p>
            <w:pPr>
              <w:spacing w:before="20" w:after="20"/>
            </w:pPr>
            <w:r>
              <w:rPr>
                <w:rFonts w:ascii="Arial" w:hAnsi="Arial"/>
                <w:b/>
                <w:color w:val="0F2043"/>
                <w:sz w:val="19"/>
              </w:rPr>
              <w:t>G.R. No. / Record:</w:t>
            </w:r>
          </w:p>
        </w:tc>
        <w:tc>
          <w:tcPr>
            <w:tcW w:type="dxa" w:w="4824"/>
            <w:shd w:fill="FAFCFF"/>
            <w:tcMar>
              <w:top w:w="60" w:type="dxa"/>
              <w:bottom w:w="60" w:type="dxa"/>
              <w:left w:w="120" w:type="dxa"/>
              <w:right w:w="120" w:type="dxa"/>
            </w:tcMar>
          </w:tcPr>
          <w:p>
            <w:pPr>
              <w:spacing w:before="20" w:after="20"/>
            </w:pPr>
            <w:r>
              <w:rPr>
                <w:rFonts w:ascii="Calibri" w:hAnsi="Calibri"/>
                <w:b w:val="0"/>
                <w:color w:val="212529"/>
                <w:sz w:val="19"/>
              </w:rPr>
              <w:t>G.R. No. 147904</w:t>
            </w:r>
          </w:p>
        </w:tc>
      </w:tr>
      <w:tr>
        <w:tc>
          <w:tcPr>
            <w:tcW w:type="dxa" w:w="4824"/>
            <w:shd w:fill="EBF0F7"/>
            <w:tcMar>
              <w:top w:w="60" w:type="dxa"/>
              <w:bottom w:w="60" w:type="dxa"/>
              <w:left w:w="120" w:type="dxa"/>
              <w:right w:w="120" w:type="dxa"/>
            </w:tcMar>
          </w:tcPr>
          <w:p>
            <w:pPr>
              <w:spacing w:before="20" w:after="20"/>
            </w:pPr>
            <w:r>
              <w:rPr>
                <w:rFonts w:ascii="Arial" w:hAnsi="Arial"/>
                <w:b/>
                <w:color w:val="0F2043"/>
                <w:sz w:val="19"/>
              </w:rPr>
              <w:t>Date of Promulgation:</w:t>
            </w:r>
          </w:p>
        </w:tc>
        <w:tc>
          <w:tcPr>
            <w:tcW w:type="dxa" w:w="4824"/>
            <w:shd w:fill="FAFCFF"/>
            <w:tcMar>
              <w:top w:w="60" w:type="dxa"/>
              <w:bottom w:w="60" w:type="dxa"/>
              <w:left w:w="120" w:type="dxa"/>
              <w:right w:w="120" w:type="dxa"/>
            </w:tcMar>
          </w:tcPr>
          <w:p>
            <w:pPr>
              <w:spacing w:before="20" w:after="20"/>
            </w:pPr>
            <w:r>
              <w:rPr>
                <w:rFonts w:ascii="Calibri" w:hAnsi="Calibri"/>
                <w:b w:val="0"/>
                <w:color w:val="212529"/>
                <w:sz w:val="19"/>
              </w:rPr>
              <w:t>October 4, 2002</w:t>
            </w:r>
          </w:p>
        </w:tc>
      </w:tr>
      <w:tr>
        <w:tc>
          <w:tcPr>
            <w:tcW w:type="dxa" w:w="4824"/>
            <w:shd w:fill="EBF0F7"/>
            <w:tcMar>
              <w:top w:w="60" w:type="dxa"/>
              <w:bottom w:w="60" w:type="dxa"/>
              <w:left w:w="120" w:type="dxa"/>
              <w:right w:w="120" w:type="dxa"/>
            </w:tcMar>
          </w:tcPr>
          <w:p>
            <w:pPr>
              <w:spacing w:before="20" w:after="20"/>
            </w:pPr>
            <w:r>
              <w:rPr>
                <w:rFonts w:ascii="Arial" w:hAnsi="Arial"/>
                <w:b/>
                <w:color w:val="0F2043"/>
                <w:sz w:val="19"/>
              </w:rPr>
              <w:t>Ponente / Court:</w:t>
            </w:r>
          </w:p>
        </w:tc>
        <w:tc>
          <w:tcPr>
            <w:tcW w:type="dxa" w:w="4824"/>
            <w:shd w:fill="FAFCFF"/>
            <w:tcMar>
              <w:top w:w="60" w:type="dxa"/>
              <w:bottom w:w="60" w:type="dxa"/>
              <w:left w:w="120" w:type="dxa"/>
              <w:right w:w="120" w:type="dxa"/>
            </w:tcMar>
          </w:tcPr>
          <w:p>
            <w:pPr>
              <w:spacing w:before="20" w:after="20"/>
            </w:pPr>
            <w:r>
              <w:rPr>
                <w:rFonts w:ascii="Calibri" w:hAnsi="Calibri"/>
                <w:b w:val="0"/>
                <w:color w:val="212529"/>
                <w:sz w:val="19"/>
              </w:rPr>
              <w:t>En Banc</w:t>
            </w:r>
          </w:p>
        </w:tc>
      </w:tr>
    </w:tbl>
    <w:p>
      <w:pPr>
        <w:keepNext/>
        <w:spacing w:before="240" w:after="60"/>
      </w:pPr>
      <w:r>
        <w:rPr>
          <w:rFonts w:ascii="Arial" w:hAnsi="Arial"/>
          <w:b/>
          <w:color w:val="0F2043"/>
          <w:sz w:val="21"/>
        </w:rPr>
        <w:t>I. FACTS OF THE CASE</w:t>
      </w:r>
    </w:p>
    <w:tbl>
      <w:tblPr>
        <w:tblW w:type="auto" w:w="0"/>
        <w:jc w:val="center"/>
        <w:tblLook w:firstColumn="1" w:firstRow="1" w:lastColumn="0" w:lastRow="0" w:noHBand="0" w:noVBand="1" w:val="04A0"/>
      </w:tblPr>
      <w:tblGrid>
        <w:gridCol w:w="9648"/>
      </w:tblGrid>
      <w:tr>
        <w:tc>
          <w:tcPr>
            <w:tcW w:type="dxa" w:w="9648"/>
            <w:shd w:fill="F8F9FB"/>
            <w:tcMar>
              <w:top w:w="100" w:type="dxa"/>
              <w:bottom w:w="100" w:type="dxa"/>
              <w:left w:w="160" w:type="dxa"/>
              <w:right w:w="160" w:type="dxa"/>
            </w:tcMar>
          </w:tcPr>
          <w:p>
            <w:pPr>
              <w:spacing w:before="20" w:after="40"/>
            </w:pPr>
            <w:r>
              <w:rPr>
                <w:rFonts w:ascii="Arial" w:hAnsi="Arial"/>
                <w:b/>
                <w:color w:val="0F2043"/>
                <w:sz w:val="19"/>
              </w:rPr>
              <w:t>Material Facts of Controversy</w:t>
              <w:br/>
            </w:r>
          </w:p>
          <w:p>
            <w:pPr>
              <w:spacing w:before="20" w:after="40" w:line="276" w:lineRule="auto"/>
            </w:pPr>
            <w:r>
              <w:rPr>
                <w:rFonts w:ascii="Calibri" w:hAnsi="Calibri"/>
                <w:color w:val="212529"/>
                <w:sz w:val="19"/>
              </w:rPr>
              <w:t>Melanio Magno was elected Mayor of San Isidro, Isabela. His political rival Alice Buraga sought his disqualification under Section 40(a) of the Local Government Code (R.A. No. 7160), which disqualifies from running for any local elective post 'those sentenced by final judgment for an offense involving moral turpitude.' Magno had previously been convicted of Direct Bribery under Article 210 RPC, but was granted probation and successfully discharged. Magno argued that: (1) Direct Bribery does not involve moral turpitude; and (2) Section 68 of the Omnibus Election Code and the Probation Law wiped out his disqualification. COMELEC disqualified him.</w:t>
            </w:r>
          </w:p>
        </w:tc>
      </w:tr>
    </w:tbl>
    <w:p>
      <w:pPr>
        <w:keepNext/>
        <w:spacing w:before="240" w:after="60"/>
      </w:pPr>
      <w:r>
        <w:rPr>
          <w:rFonts w:ascii="Arial" w:hAnsi="Arial"/>
          <w:b/>
          <w:color w:val="0F2043"/>
          <w:sz w:val="21"/>
        </w:rPr>
        <w:t>II. FACTS RELEVANT TO STATUTORY CONSTRUCTION</w:t>
      </w:r>
    </w:p>
    <w:tbl>
      <w:tblPr>
        <w:tblW w:type="auto" w:w="0"/>
        <w:jc w:val="center"/>
        <w:tblLook w:firstColumn="1" w:firstRow="1" w:lastColumn="0" w:lastRow="0" w:noHBand="0" w:noVBand="1" w:val="04A0"/>
      </w:tblPr>
      <w:tblGrid>
        <w:gridCol w:w="9648"/>
      </w:tblGrid>
      <w:tr>
        <w:tc>
          <w:tcPr>
            <w:tcW w:type="dxa" w:w="9648"/>
            <w:shd w:fill="F8F9FB"/>
            <w:tcMar>
              <w:top w:w="100" w:type="dxa"/>
              <w:bottom w:w="100" w:type="dxa"/>
              <w:left w:w="160" w:type="dxa"/>
              <w:right w:w="160" w:type="dxa"/>
            </w:tcMar>
          </w:tcPr>
          <w:p>
            <w:pPr>
              <w:spacing w:before="20" w:after="40"/>
            </w:pPr>
            <w:r>
              <w:rPr>
                <w:rFonts w:ascii="Arial" w:hAnsi="Arial"/>
                <w:b/>
                <w:color w:val="0F2043"/>
                <w:sz w:val="19"/>
              </w:rPr>
              <w:t>Facts Giving Rise to Need for Interpretation</w:t>
              <w:br/>
            </w:r>
          </w:p>
          <w:p>
            <w:pPr>
              <w:spacing w:before="20" w:after="40" w:line="276" w:lineRule="auto"/>
            </w:pPr>
            <w:r>
              <w:rPr>
                <w:rFonts w:ascii="Calibri" w:hAnsi="Calibri"/>
                <w:b/>
                <w:color w:val="212529"/>
                <w:sz w:val="19"/>
              </w:rPr>
              <w:t xml:space="preserve">• What provision of law or rule became relevant? </w:t>
            </w:r>
            <w:r>
              <w:rPr>
                <w:rFonts w:ascii="Calibri" w:hAnsi="Calibri"/>
                <w:color w:val="212529"/>
                <w:sz w:val="19"/>
              </w:rPr>
              <w:t>1. Section 40(a), Republic Act No. 7160 (Local Government Code of 1991): Disqualifies persons convicted by final judgment of an offense involving moral turpitude from running for local elective office.</w:t>
              <w:br/>
              <w:t>2. Article 210, Revised Penal Code: Statutory definition of Direct Bribery.</w:t>
            </w:r>
          </w:p>
          <w:p>
            <w:pPr>
              <w:spacing w:before="20" w:after="40" w:line="276" w:lineRule="auto"/>
            </w:pPr>
            <w:r>
              <w:rPr>
                <w:rFonts w:ascii="Calibri" w:hAnsi="Calibri"/>
                <w:b/>
                <w:color w:val="212529"/>
                <w:sz w:val="19"/>
              </w:rPr>
              <w:t xml:space="preserve">• What circumstance made interpretation necessary? </w:t>
            </w:r>
            <w:r>
              <w:rPr>
                <w:rFonts w:ascii="Calibri" w:hAnsi="Calibri"/>
                <w:color w:val="212529"/>
                <w:sz w:val="19"/>
              </w:rPr>
              <w:t>The candidate attempted to dilute the statutory concept of moral turpitude and use the general Probation Law to bypass explicit electoral disqualifications.</w:t>
            </w:r>
          </w:p>
          <w:p>
            <w:pPr>
              <w:spacing w:before="20" w:after="40" w:line="276" w:lineRule="auto"/>
            </w:pPr>
            <w:r>
              <w:rPr>
                <w:rFonts w:ascii="Calibri" w:hAnsi="Calibri"/>
                <w:b/>
                <w:color w:val="212529"/>
                <w:sz w:val="19"/>
              </w:rPr>
              <w:t xml:space="preserve">• What competing interpretations were presented? </w:t>
            </w:r>
            <w:r>
              <w:rPr>
                <w:rFonts w:ascii="Calibri" w:hAnsi="Calibri"/>
                <w:color w:val="212529"/>
                <w:sz w:val="19"/>
              </w:rPr>
              <w:t>Petitioner argued for a favorable interpretation based on statutory intent, while Respondent contended for a literal or restrictive application.</w:t>
            </w:r>
          </w:p>
        </w:tc>
      </w:tr>
    </w:tbl>
    <w:p>
      <w:pPr>
        <w:keepNext/>
        <w:spacing w:before="240" w:after="60"/>
      </w:pPr>
      <w:r>
        <w:rPr>
          <w:rFonts w:ascii="Arial" w:hAnsi="Arial"/>
          <w:b/>
          <w:color w:val="0F2043"/>
          <w:sz w:val="21"/>
        </w:rPr>
        <w:t>III. ISSUES</w:t>
      </w:r>
    </w:p>
    <w:p>
      <w:pPr>
        <w:keepNext/>
        <w:spacing w:before="120" w:after="40"/>
      </w:pPr>
      <w:r>
        <w:rPr>
          <w:rFonts w:ascii="Arial" w:hAnsi="Arial"/>
          <w:b/>
          <w:color w:val="781E1E"/>
          <w:sz w:val="20"/>
        </w:rPr>
        <w:t>A. General Legal Issues</w:t>
      </w:r>
    </w:p>
    <w:p>
      <w:pPr>
        <w:spacing w:before="40" w:after="80" w:line="276" w:lineRule="auto"/>
      </w:pPr>
      <w:r>
        <w:rPr>
          <w:rFonts w:ascii="Calibri" w:hAnsi="Calibri"/>
          <w:i w:val="0"/>
          <w:color w:val="212529"/>
          <w:sz w:val="21"/>
        </w:rPr>
        <w:t>Whether or not the crime of Direct Bribery involves moral turpitude disqualifying a candidate under Section 40(a) of the Local Government Code, and whether probation removes such disqualification.</w:t>
      </w:r>
    </w:p>
    <w:p>
      <w:pPr>
        <w:keepNext/>
        <w:spacing w:before="120" w:after="40"/>
      </w:pPr>
      <w:r>
        <w:rPr>
          <w:rFonts w:ascii="Arial" w:hAnsi="Arial"/>
          <w:b/>
          <w:color w:val="781E1E"/>
          <w:sz w:val="20"/>
        </w:rPr>
        <w:t>B. Statutory-Construction Issue/s</w:t>
      </w:r>
    </w:p>
    <w:tbl>
      <w:tblPr>
        <w:tblW w:type="auto" w:w="0"/>
        <w:jc w:val="center"/>
        <w:tblLook w:firstColumn="1" w:firstRow="1" w:lastColumn="0" w:lastRow="0" w:noHBand="0" w:noVBand="1" w:val="04A0"/>
      </w:tblPr>
      <w:tblGrid>
        <w:gridCol w:w="9648"/>
      </w:tblGrid>
      <w:tr>
        <w:tc>
          <w:tcPr>
            <w:tcW w:type="dxa" w:w="9648"/>
            <w:shd w:fill="EBF3FA"/>
            <w:tcMar>
              <w:top w:w="100" w:type="dxa"/>
              <w:bottom w:w="100" w:type="dxa"/>
              <w:left w:w="160" w:type="dxa"/>
              <w:right w:w="160" w:type="dxa"/>
            </w:tcMar>
          </w:tcPr>
          <w:p>
            <w:pPr>
              <w:spacing w:before="20" w:after="40"/>
            </w:pPr>
            <w:r>
              <w:rPr>
                <w:rFonts w:ascii="Arial" w:hAnsi="Arial"/>
                <w:b/>
                <w:color w:val="0F2043"/>
                <w:sz w:val="19"/>
              </w:rPr>
              <w:t>Standardized StatCon Issue Statement</w:t>
              <w:br/>
            </w:r>
          </w:p>
          <w:p>
            <w:pPr>
              <w:spacing w:before="20" w:after="40" w:line="276" w:lineRule="auto"/>
            </w:pPr>
            <w:r>
              <w:rPr>
                <w:rFonts w:ascii="Calibri" w:hAnsi="Calibri"/>
                <w:color w:val="212529"/>
                <w:sz w:val="19"/>
              </w:rPr>
              <w:t>Whether the subject statutory act, classification, or terminology under the governing statute/rule means, includes, or applies to the factual controversy in Melanio L. Magno v. Commission on Elections and Alice P. Buraga, under the canon of Salus populi est suprema lex.</w:t>
            </w:r>
          </w:p>
        </w:tc>
      </w:tr>
    </w:tbl>
    <w:p>
      <w:pPr>
        <w:keepNext/>
        <w:spacing w:before="240" w:after="60"/>
      </w:pPr>
      <w:r>
        <w:rPr>
          <w:rFonts w:ascii="Arial" w:hAnsi="Arial"/>
          <w:b/>
          <w:color w:val="0F2043"/>
          <w:sz w:val="21"/>
        </w:rPr>
        <w:t>IV. PROVISION/S OF LAW CONSTRUED</w:t>
      </w:r>
    </w:p>
    <w:tbl>
      <w:tblPr>
        <w:tblW w:type="auto" w:w="0"/>
        <w:jc w:val="center"/>
        <w:tblLook w:firstColumn="1" w:firstRow="1" w:lastColumn="0" w:lastRow="0" w:noHBand="0" w:noVBand="1" w:val="04A0"/>
      </w:tblPr>
      <w:tblGrid>
        <w:gridCol w:w="9648"/>
      </w:tblGrid>
      <w:tr>
        <w:tc>
          <w:tcPr>
            <w:tcW w:type="dxa" w:w="9648"/>
            <w:shd w:fill="F8F9FB"/>
            <w:tcMar>
              <w:top w:w="100" w:type="dxa"/>
              <w:bottom w:w="100" w:type="dxa"/>
              <w:left w:w="160" w:type="dxa"/>
              <w:right w:w="160" w:type="dxa"/>
            </w:tcMar>
          </w:tcPr>
          <w:p>
            <w:pPr>
              <w:spacing w:before="20" w:after="40"/>
            </w:pPr>
            <w:r>
              <w:rPr>
                <w:rFonts w:ascii="Arial" w:hAnsi="Arial"/>
                <w:b/>
                <w:color w:val="0F2043"/>
                <w:sz w:val="19"/>
              </w:rPr>
              <w:t>Statutory / Constitutional Text &amp; Problem</w:t>
              <w:br/>
            </w:r>
          </w:p>
          <w:p>
            <w:pPr>
              <w:spacing w:before="20" w:after="40" w:line="276" w:lineRule="auto"/>
            </w:pPr>
            <w:r>
              <w:rPr>
                <w:rFonts w:ascii="Calibri" w:hAnsi="Calibri"/>
                <w:b/>
                <w:color w:val="212529"/>
                <w:sz w:val="19"/>
              </w:rPr>
              <w:t xml:space="preserve">• Quoted Provision: </w:t>
            </w:r>
            <w:r>
              <w:rPr>
                <w:rFonts w:ascii="Calibri" w:hAnsi="Calibri"/>
                <w:color w:val="212529"/>
                <w:sz w:val="19"/>
              </w:rPr>
              <w:t>1. Section 40(a), Republic Act No. 7160 (Local Government Code of 1991): Disqualifies persons convicted by final judgment of an offense involving moral turpitude from running for local elective office.</w:t>
              <w:br/>
              <w:t>2. Article 210, Revised Penal Code: Statutory definition of Direct Bribery.</w:t>
            </w:r>
          </w:p>
          <w:p>
            <w:pPr>
              <w:spacing w:before="20" w:after="40" w:line="276" w:lineRule="auto"/>
            </w:pPr>
            <w:r>
              <w:rPr>
                <w:rFonts w:ascii="Calibri" w:hAnsi="Calibri"/>
                <w:b/>
                <w:color w:val="212529"/>
                <w:sz w:val="19"/>
              </w:rPr>
              <w:t xml:space="preserve">• Interpretive Problem: </w:t>
            </w:r>
            <w:r>
              <w:rPr>
                <w:rFonts w:ascii="Calibri" w:hAnsi="Calibri"/>
                <w:color w:val="212529"/>
                <w:sz w:val="19"/>
              </w:rPr>
              <w:t>Determining the precise legislative intent and boundary of the statutory terms in light of: The candidate attempted to dilute the statutory concept of moral turpitude and use the general Probation Law to bypass e...</w:t>
            </w:r>
          </w:p>
        </w:tc>
      </w:tr>
    </w:tbl>
    <w:p>
      <w:pPr>
        <w:keepNext/>
        <w:spacing w:before="240" w:after="60"/>
      </w:pPr>
      <w:r>
        <w:rPr>
          <w:rFonts w:ascii="Arial" w:hAnsi="Arial"/>
          <w:b/>
          <w:color w:val="0F2043"/>
          <w:sz w:val="21"/>
        </w:rPr>
        <w:t>V. RULING OF THE SUPREME COURT</w:t>
      </w:r>
    </w:p>
    <w:p>
      <w:pPr>
        <w:keepNext/>
        <w:spacing w:before="120" w:after="40"/>
      </w:pPr>
      <w:r>
        <w:rPr>
          <w:rFonts w:ascii="Arial" w:hAnsi="Arial"/>
          <w:b/>
          <w:color w:val="781E1E"/>
          <w:sz w:val="20"/>
        </w:rPr>
        <w:t>A. General Ruling</w:t>
      </w:r>
    </w:p>
    <w:p>
      <w:pPr>
        <w:spacing w:before="40" w:after="80" w:line="276" w:lineRule="auto"/>
      </w:pPr>
      <w:r>
        <w:rPr>
          <w:rFonts w:ascii="Calibri" w:hAnsi="Calibri"/>
          <w:i w:val="0"/>
          <w:color w:val="212529"/>
          <w:sz w:val="21"/>
        </w:rPr>
        <w:t>The Supreme Court DISMISSED the petition, AFFIRMED the COMELEC disqualification, and DECLARED Melanio Magno disqualified from holding the office of Mayor.</w:t>
      </w:r>
    </w:p>
    <w:p>
      <w:pPr>
        <w:keepNext/>
        <w:spacing w:before="120" w:after="40"/>
      </w:pPr>
      <w:r>
        <w:rPr>
          <w:rFonts w:ascii="Arial" w:hAnsi="Arial"/>
          <w:b/>
          <w:color w:val="781E1E"/>
          <w:sz w:val="20"/>
        </w:rPr>
        <w:t>B. Ruling on the Statutory-Construction Issue</w:t>
      </w:r>
    </w:p>
    <w:tbl>
      <w:tblPr>
        <w:tblW w:type="auto" w:w="0"/>
        <w:jc w:val="center"/>
        <w:tblLook w:firstColumn="1" w:firstRow="1" w:lastColumn="0" w:lastRow="0" w:noHBand="0" w:noVBand="1" w:val="04A0"/>
      </w:tblPr>
      <w:tblGrid>
        <w:gridCol w:w="9648"/>
      </w:tblGrid>
      <w:tr>
        <w:tc>
          <w:tcPr>
            <w:tcW w:type="dxa" w:w="9648"/>
            <w:shd w:fill="F4FAF5"/>
            <w:tcMar>
              <w:top w:w="100" w:type="dxa"/>
              <w:bottom w:w="100" w:type="dxa"/>
              <w:left w:w="160" w:type="dxa"/>
              <w:right w:w="160" w:type="dxa"/>
            </w:tcMar>
          </w:tcPr>
          <w:p>
            <w:pPr>
              <w:spacing w:before="20" w:after="40"/>
            </w:pPr>
            <w:r>
              <w:rPr>
                <w:rFonts w:ascii="Arial" w:hAnsi="Arial"/>
                <w:b/>
                <w:color w:val="0F2043"/>
                <w:sz w:val="19"/>
              </w:rPr>
              <w:t>Statutory Meaning Established by Court</w:t>
              <w:br/>
            </w:r>
          </w:p>
          <w:p>
            <w:pPr>
              <w:spacing w:before="20" w:after="40" w:line="276" w:lineRule="auto"/>
            </w:pPr>
            <w:r>
              <w:rPr>
                <w:rFonts w:ascii="Calibri" w:hAnsi="Calibri"/>
                <w:color w:val="212529"/>
                <w:sz w:val="19"/>
              </w:rPr>
              <w:t>YES. Direct Bribery is INHERENTLY a crime involving moral turpitude. Section 40(a) of the Local Government Code disqualifies the convict from holding local elective office, and the completion of probation does NOT erase the statutory disqualification.</w:t>
            </w:r>
          </w:p>
        </w:tc>
      </w:tr>
    </w:tbl>
    <w:p>
      <w:pPr>
        <w:keepNext/>
        <w:spacing w:before="240" w:after="60"/>
      </w:pPr>
      <w:r>
        <w:rPr>
          <w:rFonts w:ascii="Arial" w:hAnsi="Arial"/>
          <w:b/>
          <w:color w:val="0F2043"/>
          <w:sz w:val="21"/>
        </w:rPr>
        <w:t>VI. HOW THE COURT CONSTRUED THE LAW</w:t>
      </w:r>
    </w:p>
    <w:tbl>
      <w:tblPr>
        <w:tblW w:type="auto" w:w="0"/>
        <w:jc w:val="center"/>
        <w:tblLook w:firstColumn="1" w:firstRow="1" w:lastColumn="0" w:lastRow="0" w:noHBand="0" w:noVBand="1" w:val="04A0"/>
      </w:tblPr>
      <w:tblGrid>
        <w:gridCol w:w="9648"/>
      </w:tblGrid>
      <w:tr>
        <w:tc>
          <w:tcPr>
            <w:tcW w:type="dxa" w:w="9648"/>
            <w:shd w:fill="F8F9FB"/>
            <w:tcMar>
              <w:top w:w="100" w:type="dxa"/>
              <w:bottom w:w="100" w:type="dxa"/>
              <w:left w:w="160" w:type="dxa"/>
              <w:right w:w="160" w:type="dxa"/>
            </w:tcMar>
          </w:tcPr>
          <w:p>
            <w:pPr>
              <w:spacing w:before="20" w:after="40"/>
            </w:pPr>
            <w:r>
              <w:rPr>
                <w:rFonts w:ascii="Arial" w:hAnsi="Arial"/>
                <w:b/>
                <w:color w:val="0F2043"/>
                <w:sz w:val="19"/>
              </w:rPr>
              <w:t>Methodological &amp; Doctrinal Analysis</w:t>
              <w:br/>
            </w:r>
          </w:p>
          <w:p>
            <w:pPr>
              <w:spacing w:before="20" w:after="40" w:line="276" w:lineRule="auto"/>
            </w:pPr>
            <w:r>
              <w:rPr>
                <w:rFonts w:ascii="Calibri" w:hAnsi="Calibri"/>
                <w:b/>
                <w:color w:val="212529"/>
                <w:sz w:val="19"/>
              </w:rPr>
              <w:t xml:space="preserve">A. Why Was Construction Necessary? </w:t>
            </w:r>
            <w:r>
              <w:rPr>
                <w:rFonts w:ascii="Calibri" w:hAnsi="Calibri"/>
                <w:color w:val="212529"/>
                <w:sz w:val="19"/>
              </w:rPr>
              <w:t>Ambiguity in the application and scope of the statute: The candidate attempted to dilute the statutory concept of moral turpitude and use the general Probation Law to bypass explicit electoral di.</w:t>
            </w:r>
          </w:p>
          <w:p>
            <w:pPr>
              <w:spacing w:before="20" w:after="40" w:line="276" w:lineRule="auto"/>
            </w:pPr>
            <w:r>
              <w:rPr>
                <w:rFonts w:ascii="Calibri" w:hAnsi="Calibri"/>
                <w:b/>
                <w:color w:val="212529"/>
                <w:sz w:val="19"/>
              </w:rPr>
              <w:t xml:space="preserve">B. Purpose of Construction: </w:t>
            </w:r>
            <w:r>
              <w:rPr>
                <w:rFonts w:ascii="Calibri" w:hAnsi="Calibri"/>
                <w:color w:val="212529"/>
                <w:sz w:val="19"/>
              </w:rPr>
              <w:t>To ascertain and give full effect to the true intent, spirit, and purpose of the lawmaking body.</w:t>
            </w:r>
          </w:p>
          <w:p>
            <w:pPr>
              <w:spacing w:before="20" w:after="40" w:line="276" w:lineRule="auto"/>
            </w:pPr>
            <w:r>
              <w:rPr>
                <w:rFonts w:ascii="Calibri" w:hAnsi="Calibri"/>
                <w:b/>
                <w:color w:val="212529"/>
                <w:sz w:val="19"/>
              </w:rPr>
              <w:t xml:space="preserve">C. Method, Canon, or Rule Applied: </w:t>
            </w:r>
            <w:r>
              <w:rPr>
                <w:rFonts w:ascii="Calibri" w:hAnsi="Calibri"/>
                <w:color w:val="212529"/>
                <w:sz w:val="19"/>
              </w:rPr>
              <w:t>Salus populi est suprema lex</w:t>
              <w:br/>
              <w:t xml:space="preserve">   - Application: Strict Enforcement of Public Integrity Statutes: Disqualifications based on moral turpitude in public office statutes are strictly enforced to safeguard democratic institutions.</w:t>
              <w:br/>
              <w:t xml:space="preserve">   - Result: Yes. Bribery is inherently corrupt and involves moral turpitude because it betrays public trust. The Local Government Code specifically disqualifies people convicted of moral turpitude, and probation only spares you from prison—it does not erase the fact that you committed a corrupt crime.</w:t>
            </w:r>
          </w:p>
          <w:p>
            <w:pPr>
              <w:spacing w:before="20" w:after="40" w:line="276" w:lineRule="auto"/>
            </w:pPr>
            <w:r>
              <w:rPr>
                <w:rFonts w:ascii="Calibri" w:hAnsi="Calibri"/>
                <w:b/>
                <w:color w:val="212529"/>
                <w:sz w:val="19"/>
              </w:rPr>
              <w:t xml:space="preserve">D. Other Sources Used: </w:t>
            </w:r>
            <w:r>
              <w:rPr>
                <w:rFonts w:ascii="Calibri" w:hAnsi="Calibri"/>
                <w:color w:val="212529"/>
                <w:sz w:val="19"/>
              </w:rPr>
              <w:t>Ordinary meaning of words, statute considered as a whole, legislative history, and established Supreme Court jurisprudence.</w:t>
            </w:r>
          </w:p>
        </w:tc>
      </w:tr>
    </w:tbl>
    <w:p>
      <w:pPr>
        <w:keepNext/>
        <w:spacing w:before="240" w:after="60"/>
      </w:pPr>
      <w:r>
        <w:rPr>
          <w:rFonts w:ascii="Arial" w:hAnsi="Arial"/>
          <w:b/>
          <w:color w:val="0F2043"/>
          <w:sz w:val="21"/>
        </w:rPr>
        <w:t>VII. RELEVANT STATUTORY-CONSTRUCTION CONCEPTS (A–L EVALUATION)</w:t>
      </w:r>
    </w:p>
    <w:tbl>
      <w:tblPr>
        <w:tblW w:type="auto" w:w="0"/>
        <w:jc w:val="center"/>
        <w:tblLook w:firstColumn="1" w:firstRow="1" w:lastColumn="0" w:lastRow="0" w:noHBand="0" w:noVBand="1" w:val="04A0"/>
      </w:tblPr>
      <w:tblGrid>
        <w:gridCol w:w="4824"/>
        <w:gridCol w:w="4824"/>
      </w:tblGrid>
      <w:tr>
        <w:tc>
          <w:tcPr>
            <w:tcW w:type="dxa" w:w="4824"/>
            <w:shd w:fill="EBF0F8"/>
            <w:tcMar>
              <w:top w:w="70" w:type="dxa"/>
              <w:bottom w:w="70" w:type="dxa"/>
              <w:left w:w="100" w:type="dxa"/>
              <w:right w:w="100" w:type="dxa"/>
            </w:tcMar>
          </w:tcPr>
          <w:p>
            <w:pPr>
              <w:spacing w:before="20" w:after="20"/>
            </w:pPr>
            <w:r>
              <w:rPr>
                <w:rFonts w:ascii="Arial" w:hAnsi="Arial"/>
                <w:b/>
                <w:color w:val="0F2043"/>
                <w:sz w:val="18"/>
              </w:rPr>
              <w:t>A. Situs of Statutory Construction</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Supreme Court of the Philippines, exercising its constitutional judicial power under Article VIII of the Constitution, serves as the ultimate situs and final arbiter for interpreting and construing the disputed provision.</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B. Purpose of Statutory Construction</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purpose of construction is to discover and effectuate the true legislative intent and will of the lawmaking body, preventing injustice and ensuring the statute operates harmoniously.</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C. When to Construe</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Court reaffirmed the cardinal threshold rule: Construction and interpretation are proper only where the statute is ambiguous, doubtful, or susceptible of multiple meanings. Where the law is clear, no construction is warranted.</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D. Ambiguity or Vagueness</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781E1E"/>
                <w:sz w:val="17"/>
              </w:rPr>
              <w:t xml:space="preserve"> [NOT APPLICABLE] </w:t>
            </w:r>
            <w:r>
              <w:rPr>
                <w:rFonts w:ascii="Calibri" w:hAnsi="Calibri"/>
                <w:color w:val="212529"/>
                <w:sz w:val="18"/>
              </w:rPr>
              <w:t>Not Applicable. The statutory language was clear and unambiguous; the Court declined to find ambiguity where none existed in the text.</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E. Verba Legis Non Est Recedendum</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Court adhered strictly to the literal wording of the statute, holding that from the words of a statute there should be no departure.</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F. Absoluta Sententia Expositore Non Indigent</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Court held that when the language of the law is clear and unequivocal, it requires no interpreter and leaves no room for judicial construction.</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G. Legislative Intent</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Court analyzed the true intent and policy of the lawmaking authority, ensuring that the statutory purpose is preserved and not defeated by erroneous administrative or private interpretations.</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H. Strict or Liberal Construction</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781E1E"/>
                <w:sz w:val="17"/>
              </w:rPr>
              <w:t xml:space="preserve"> [NOT APPLICABLE] </w:t>
            </w:r>
            <w:r>
              <w:rPr>
                <w:rFonts w:ascii="Calibri" w:hAnsi="Calibri"/>
                <w:color w:val="212529"/>
                <w:sz w:val="18"/>
              </w:rPr>
              <w:t>Not Applicable. The Court applied standard ordinary rules of statutory interpretation without resorting to special strict or liberal construction doctrines.</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I. Prospective or Retrospective Construction</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781E1E"/>
                <w:sz w:val="17"/>
              </w:rPr>
              <w:t xml:space="preserve"> [NOT APPLICABLE] </w:t>
            </w:r>
            <w:r>
              <w:rPr>
                <w:rFonts w:ascii="Calibri" w:hAnsi="Calibri"/>
                <w:color w:val="212529"/>
                <w:sz w:val="18"/>
              </w:rPr>
              <w:t>Not Applicable. The case involved only the contemporaneous, prospective application of the governing law.</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J. Statutory Construction vs. Judicial Legislation</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Court underscored the constitutional boundary of judicial power: Courts are empowered solely to interpret (jus dicere), not to enact or amend laws (jus dare). Supplying unwritten terms or expanding clear prohibitions constitutes prohibited judicial legislation.</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K. Legis Interpretatio Legis Vim Obtinet</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Under Article 8 of the Civil Code, the Supreme Court's authoritative interpretation of the statute forms part of the legal system of the Philippines and acquires the force of law (*legis interpretatio legis vim obtinet*).</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L. Extent and Limits of the Power to Construe</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Court respected the constitutional limits of its authority by applying the law as written and refusing to invade the legislative domain under the guise of equity or expediency.</w:t>
            </w:r>
          </w:p>
        </w:tc>
      </w:tr>
    </w:tbl>
    <w:p>
      <w:pPr>
        <w:keepNext/>
        <w:spacing w:before="240" w:after="60"/>
      </w:pPr>
      <w:r>
        <w:rPr>
          <w:rFonts w:ascii="Arial" w:hAnsi="Arial"/>
          <w:b/>
          <w:color w:val="0F2043"/>
          <w:sz w:val="21"/>
        </w:rPr>
        <w:t>VIII. OTHER CANONS OR METHODS OF CONSTRUCTION</w:t>
      </w:r>
    </w:p>
    <w:tbl>
      <w:tblPr>
        <w:tblW w:type="auto" w:w="0"/>
        <w:jc w:val="center"/>
        <w:tblLook w:firstColumn="1" w:firstRow="1" w:lastColumn="0" w:lastRow="0" w:noHBand="0" w:noVBand="1" w:val="04A0"/>
      </w:tblPr>
      <w:tblGrid>
        <w:gridCol w:w="9648"/>
      </w:tblGrid>
      <w:tr>
        <w:tc>
          <w:tcPr>
            <w:tcW w:type="dxa" w:w="9648"/>
            <w:shd w:fill="F8F9FB"/>
            <w:tcMar>
              <w:top w:w="100" w:type="dxa"/>
              <w:bottom w:w="100" w:type="dxa"/>
              <w:left w:w="160" w:type="dxa"/>
              <w:right w:w="160" w:type="dxa"/>
            </w:tcMar>
          </w:tcPr>
          <w:p>
            <w:pPr>
              <w:spacing w:before="20" w:after="40"/>
            </w:pPr>
            <w:r>
              <w:rPr>
                <w:rFonts w:ascii="Arial" w:hAnsi="Arial"/>
                <w:b/>
                <w:color w:val="0F2043"/>
                <w:sz w:val="19"/>
              </w:rPr>
              <w:t>Secondary Rules &amp; Canons Applied</w:t>
              <w:br/>
            </w:r>
          </w:p>
          <w:p>
            <w:pPr>
              <w:spacing w:before="20" w:after="40" w:line="276" w:lineRule="auto"/>
            </w:pPr>
            <w:r>
              <w:rPr>
                <w:rFonts w:ascii="Calibri" w:hAnsi="Calibri"/>
                <w:b/>
                <w:color w:val="212529"/>
                <w:sz w:val="19"/>
              </w:rPr>
              <w:t xml:space="preserve">• Canon / Maxim: </w:t>
            </w:r>
            <w:r>
              <w:rPr>
                <w:rFonts w:ascii="Calibri" w:hAnsi="Calibri"/>
                <w:color w:val="212529"/>
                <w:sz w:val="19"/>
              </w:rPr>
              <w:t>• Verba legis non est recedendum (clear statutory disqualification)</w:t>
              <w:br/>
              <w:t>• Generalia specialibus non derogant (special local election disqualifications prevail)</w:t>
            </w:r>
          </w:p>
          <w:p>
            <w:pPr>
              <w:spacing w:before="20" w:after="40" w:line="276" w:lineRule="auto"/>
            </w:pPr>
            <w:r>
              <w:rPr>
                <w:rFonts w:ascii="Calibri" w:hAnsi="Calibri"/>
                <w:b/>
                <w:color w:val="212529"/>
                <w:sz w:val="19"/>
              </w:rPr>
              <w:t xml:space="preserve">• How Applied: </w:t>
            </w:r>
            <w:r>
              <w:rPr>
                <w:rFonts w:ascii="Calibri" w:hAnsi="Calibri"/>
                <w:color w:val="212529"/>
                <w:sz w:val="19"/>
              </w:rPr>
              <w:t>Applied as corroborative canons to reinforce the primary rule of construction.</w:t>
            </w:r>
          </w:p>
          <w:p>
            <w:pPr>
              <w:spacing w:before="20" w:after="40" w:line="276" w:lineRule="auto"/>
            </w:pPr>
            <w:r>
              <w:rPr>
                <w:rFonts w:ascii="Calibri" w:hAnsi="Calibri"/>
                <w:b/>
                <w:color w:val="212529"/>
                <w:sz w:val="19"/>
              </w:rPr>
              <w:t xml:space="preserve">• Effect on Interpretation: </w:t>
            </w:r>
            <w:r>
              <w:rPr>
                <w:rFonts w:ascii="Calibri" w:hAnsi="Calibri"/>
                <w:color w:val="212529"/>
                <w:sz w:val="19"/>
              </w:rPr>
              <w:t>Harmonized the statute and prevented an absurd or unjust result.</w:t>
            </w:r>
          </w:p>
        </w:tc>
      </w:tr>
    </w:tbl>
    <w:p>
      <w:pPr>
        <w:keepNext/>
        <w:spacing w:before="240" w:after="60"/>
      </w:pPr>
      <w:r>
        <w:rPr>
          <w:rFonts w:ascii="Arial" w:hAnsi="Arial"/>
          <w:b/>
          <w:color w:val="0F2043"/>
          <w:sz w:val="21"/>
        </w:rPr>
        <w:t>IX. THE CONSTRUCTION MADE BY THE COURT</w:t>
      </w:r>
    </w:p>
    <w:tbl>
      <w:tblPr>
        <w:tblW w:type="auto" w:w="0"/>
        <w:jc w:val="center"/>
        <w:tblLook w:firstColumn="1" w:firstRow="1" w:lastColumn="0" w:lastRow="0" w:noHBand="0" w:noVBand="1" w:val="04A0"/>
      </w:tblPr>
      <w:tblGrid>
        <w:gridCol w:w="9648"/>
      </w:tblGrid>
      <w:tr>
        <w:tc>
          <w:tcPr>
            <w:tcW w:type="dxa" w:w="9648"/>
            <w:shd w:fill="F9F8F5"/>
            <w:tcMar>
              <w:top w:w="100" w:type="dxa"/>
              <w:bottom w:w="100" w:type="dxa"/>
              <w:left w:w="160" w:type="dxa"/>
              <w:right w:w="160" w:type="dxa"/>
            </w:tcMar>
          </w:tcPr>
          <w:p>
            <w:pPr>
              <w:spacing w:before="20" w:after="40"/>
            </w:pPr>
            <w:r>
              <w:rPr>
                <w:rFonts w:ascii="Arial" w:hAnsi="Arial"/>
                <w:b/>
                <w:color w:val="0F2043"/>
                <w:sz w:val="19"/>
              </w:rPr>
              <w:t>Actual Judicial Construction &amp; Ratio</w:t>
              <w:br/>
            </w:r>
          </w:p>
          <w:p>
            <w:pPr>
              <w:spacing w:before="20" w:after="40" w:line="276" w:lineRule="auto"/>
            </w:pPr>
            <w:r>
              <w:rPr>
                <w:rFonts w:ascii="Calibri" w:hAnsi="Calibri"/>
                <w:b/>
                <w:color w:val="212529"/>
                <w:sz w:val="19"/>
              </w:rPr>
              <w:t xml:space="preserve">• Construction Summary: </w:t>
            </w:r>
            <w:r>
              <w:rPr>
                <w:rFonts w:ascii="Calibri" w:hAnsi="Calibri"/>
                <w:color w:val="212529"/>
                <w:sz w:val="19"/>
              </w:rPr>
              <w:t>The Court construed the disputed statutory provisions in Melanio L. Magno v. Commission on Elections and Alice P. Buraga to mean and apply strictly in accordance with Salus populi est suprema lex, holding that Yes. Bribery is inherently corrupt and involves moral turpitude because it betrays public trust. The Local Government Code specifically disqualifies people conv.</w:t>
            </w:r>
          </w:p>
          <w:p>
            <w:pPr>
              <w:spacing w:before="20" w:after="40" w:line="276" w:lineRule="auto"/>
            </w:pPr>
            <w:r>
              <w:rPr>
                <w:rFonts w:ascii="Calibri" w:hAnsi="Calibri"/>
                <w:b/>
                <w:color w:val="212529"/>
                <w:sz w:val="19"/>
              </w:rPr>
              <w:t xml:space="preserve">• Principal Reasoning: </w:t>
            </w:r>
            <w:r>
              <w:rPr>
                <w:rFonts w:ascii="Calibri" w:hAnsi="Calibri"/>
                <w:color w:val="212529"/>
                <w:sz w:val="19"/>
              </w:rPr>
              <w:t>Moral turpitude means doing something inherently crooked. When a public officer accepts a bribe, he sells his integrity and betrays the people. Probation saves you from going to jail, but it does not give you a clean bill of moral health to run for Mayor under the strict rules of the Local Government Code.</w:t>
            </w:r>
          </w:p>
        </w:tc>
      </w:tr>
    </w:tbl>
    <w:tbl>
      <w:tblPr>
        <w:tblW w:type="auto" w:w="0"/>
        <w:jc w:val="center"/>
        <w:tblLook w:firstColumn="1" w:firstRow="1" w:lastColumn="0" w:lastRow="0" w:noHBand="0" w:noVBand="1" w:val="04A0"/>
      </w:tblPr>
      <w:tblGrid>
        <w:gridCol w:w="9648"/>
      </w:tblGrid>
      <w:tr>
        <w:tc>
          <w:tcPr>
            <w:tcW w:type="dxa" w:w="9648"/>
            <w:shd w:fill="EEF6F0"/>
            <w:tcMar>
              <w:top w:w="100" w:type="dxa"/>
              <w:bottom w:w="100" w:type="dxa"/>
              <w:left w:w="160" w:type="dxa"/>
              <w:right w:w="160" w:type="dxa"/>
            </w:tcMar>
          </w:tcPr>
          <w:p>
            <w:pPr>
              <w:spacing w:before="20" w:after="40"/>
            </w:pPr>
            <w:r>
              <w:rPr>
                <w:rFonts w:ascii="Arial" w:hAnsi="Arial"/>
                <w:b/>
                <w:color w:val="0D6E4B"/>
                <w:sz w:val="19"/>
              </w:rPr>
              <w:t>X. STATUTORY CONSTRUCTION OR JUDICIAL LEGISLATION?</w:t>
              <w:br/>
            </w:r>
          </w:p>
          <w:p>
            <w:pPr>
              <w:spacing w:before="20" w:after="60"/>
            </w:pPr>
            <w:r>
              <w:rPr>
                <w:rFonts w:ascii="Arial" w:hAnsi="Arial"/>
                <w:b/>
                <w:color w:val="0F2043"/>
                <w:sz w:val="19"/>
              </w:rPr>
              <w:t>☑ Proper statutory construction    ☐ Judicial legislation    ☐ Debatable</w:t>
            </w:r>
          </w:p>
          <w:p>
            <w:pPr>
              <w:spacing w:before="40" w:after="40" w:line="276" w:lineRule="auto"/>
            </w:pPr>
            <w:r>
              <w:rPr>
                <w:rFonts w:ascii="Calibri" w:hAnsi="Calibri"/>
                <w:b/>
                <w:color w:val="212529"/>
                <w:sz w:val="19"/>
              </w:rPr>
              <w:t>Explanation (3–5 sentences):</w:t>
              <w:br/>
            </w:r>
            <w:r>
              <w:rPr>
                <w:rFonts w:ascii="Calibri" w:hAnsi="Calibri"/>
                <w:color w:val="212529"/>
                <w:sz w:val="19"/>
              </w:rPr>
              <w:t>The Supreme Court acted within the legitimate bounds of its constitutional power to interpret the law (jus dicere). By applying Salus populi est suprema lex, the Court faithfully effectuated the legislative intent without creating new rules, modifying clear statutory text, or usurping congressional prerogative. The ruling reinforces the separation of powers and the doctrine that courts must enforce the law as enacted.</w:t>
            </w:r>
          </w:p>
        </w:tc>
      </w:tr>
    </w:tbl>
    <w:p>
      <w:pPr>
        <w:spacing w:before="80" w:after="40"/>
      </w:pPr>
    </w:p>
    <w:tbl>
      <w:tblPr>
        <w:tblW w:type="auto" w:w="0"/>
        <w:jc w:val="center"/>
        <w:tblLook w:firstColumn="1" w:firstRow="1" w:lastColumn="0" w:lastRow="0" w:noHBand="0" w:noVBand="1" w:val="04A0"/>
      </w:tblPr>
      <w:tblGrid>
        <w:gridCol w:w="9648"/>
      </w:tblGrid>
      <w:tr>
        <w:tc>
          <w:tcPr>
            <w:tcW w:type="dxa" w:w="9648"/>
            <w:shd w:fill="FBF6EE"/>
            <w:tcMar>
              <w:top w:w="100" w:type="dxa"/>
              <w:bottom w:w="100" w:type="dxa"/>
              <w:left w:w="160" w:type="dxa"/>
              <w:right w:w="160" w:type="dxa"/>
            </w:tcMar>
          </w:tcPr>
          <w:p>
            <w:pPr>
              <w:spacing w:before="20" w:after="40"/>
            </w:pPr>
            <w:r>
              <w:rPr>
                <w:rFonts w:ascii="Arial" w:hAnsi="Arial"/>
                <w:b/>
                <w:color w:val="8C3200"/>
                <w:sz w:val="19"/>
              </w:rPr>
              <w:t>XI. DOCTRINE (Statutory Construction Principle):</w:t>
              <w:br/>
            </w:r>
            <w:r>
              <w:rPr>
                <w:rFonts w:ascii="Calibri" w:hAnsi="Calibri"/>
                <w:color w:val="212529"/>
                <w:sz w:val="19"/>
              </w:rPr>
              <w:t>Strict Enforcement of Public Integrity Statutes: Disqualifications based on moral turpitude in public office statutes are strictly enforced to safeguard democratic institutions.</w:t>
              <w:br/>
              <w:br/>
            </w:r>
          </w:p>
          <w:p>
            <w:pPr>
              <w:spacing w:before="20" w:after="40"/>
            </w:pPr>
            <w:r>
              <w:rPr>
                <w:rFonts w:ascii="Arial" w:hAnsi="Arial"/>
                <w:b/>
                <w:color w:val="8C3200"/>
                <w:sz w:val="19"/>
              </w:rPr>
              <w:t>XII. ONE-SENTENCE TAKEAWAY:</w:t>
              <w:br/>
            </w:r>
            <w:r>
              <w:rPr>
                <w:rFonts w:ascii="Calibri" w:hAnsi="Calibri"/>
                <w:i/>
                <w:color w:val="212529"/>
                <w:sz w:val="19"/>
              </w:rPr>
              <w:t>This case is important in Statutory Construction because Laws that require public leaders to be honest and clean will be strictly enforced; a convicted bribe-taker cannot use loopholes to become mayor.</w:t>
            </w:r>
          </w:p>
        </w:tc>
      </w:tr>
    </w:tbl>
    <w:p>
      <w:r>
        <w:br w:type="page"/>
      </w:r>
    </w:p>
    <w:p>
      <w:pPr>
        <w:keepNext/>
        <w:spacing w:before="320" w:after="80"/>
      </w:pPr>
      <w:r>
        <w:rPr>
          <w:rFonts w:ascii="Arial" w:hAnsi="Arial"/>
          <w:b/>
          <w:color w:val="0F2043"/>
          <w:sz w:val="26"/>
        </w:rPr>
        <w:t>47. MARIA VIRGINIA V. REMO V. THE HONORABLE SECRETARY OF FOREIGN AFFAIRS</w:t>
      </w:r>
    </w:p>
    <w:p>
      <w:pPr>
        <w:spacing w:before="40" w:after="80" w:line="276" w:lineRule="auto"/>
      </w:pPr>
      <w:r>
        <w:rPr>
          <w:rFonts w:ascii="Calibri" w:hAnsi="Calibri"/>
          <w:b/>
          <w:color w:val="212529"/>
          <w:sz w:val="21"/>
        </w:rPr>
        <w:t xml:space="preserve">Citation: </w:t>
      </w:r>
      <w:r>
        <w:rPr>
          <w:rFonts w:ascii="Calibri" w:hAnsi="Calibri"/>
          <w:i/>
          <w:color w:val="212529"/>
          <w:sz w:val="21"/>
        </w:rPr>
        <w:t>G.R. No. 169202 | March 5, 2010 | 614 SCRA 281 | Second Division | Ponente: J. Carpio</w:t>
      </w:r>
    </w:p>
    <w:p>
      <w:pPr>
        <w:keepNext/>
        <w:spacing w:before="200" w:after="40"/>
      </w:pPr>
      <w:r>
        <w:rPr>
          <w:rFonts w:ascii="Arial" w:hAnsi="Arial"/>
          <w:b/>
          <w:color w:val="781E1E"/>
          <w:sz w:val="22"/>
        </w:rPr>
        <w:t>LAYER A: ALAC DIGEST, RECITATION SCRIPT &amp; STATCON ANALYSIS</w:t>
      </w:r>
    </w:p>
    <w:p>
      <w:pPr>
        <w:keepNext/>
        <w:spacing w:before="200" w:after="40"/>
      </w:pPr>
      <w:r>
        <w:rPr>
          <w:rFonts w:ascii="Arial" w:hAnsi="Arial"/>
          <w:b/>
          <w:color w:val="781E1E"/>
          <w:sz w:val="22"/>
        </w:rPr>
        <w:t>I. PARTIES &amp; PROCEDURAL BACKGROUND</w:t>
      </w:r>
    </w:p>
    <w:p>
      <w:pPr>
        <w:spacing w:before="40" w:after="80" w:line="276" w:lineRule="auto"/>
      </w:pPr>
      <w:r>
        <w:rPr>
          <w:rFonts w:ascii="Calibri" w:hAnsi="Calibri"/>
          <w:b/>
          <w:color w:val="212529"/>
          <w:sz w:val="21"/>
        </w:rPr>
        <w:t xml:space="preserve">• Plaintiff/Petitioner: </w:t>
      </w:r>
      <w:r>
        <w:rPr>
          <w:rFonts w:ascii="Calibri" w:hAnsi="Calibri"/>
          <w:i w:val="0"/>
          <w:color w:val="212529"/>
          <w:sz w:val="21"/>
        </w:rPr>
        <w:t>Maria Virginia V. Remo (Petitioner)</w:t>
      </w:r>
    </w:p>
    <w:p>
      <w:pPr>
        <w:spacing w:before="40" w:after="80" w:line="276" w:lineRule="auto"/>
      </w:pPr>
      <w:r>
        <w:rPr>
          <w:rFonts w:ascii="Calibri" w:hAnsi="Calibri"/>
          <w:b/>
          <w:color w:val="212529"/>
          <w:sz w:val="21"/>
        </w:rPr>
        <w:t xml:space="preserve">• Defendant/Respondent: </w:t>
      </w:r>
      <w:r>
        <w:rPr>
          <w:rFonts w:ascii="Calibri" w:hAnsi="Calibri"/>
          <w:i w:val="0"/>
          <w:color w:val="212529"/>
          <w:sz w:val="21"/>
        </w:rPr>
        <w:t>The Honorable Secretary of Foreign Affairs (Respondent)</w:t>
      </w:r>
    </w:p>
    <w:p>
      <w:pPr>
        <w:spacing w:before="40" w:after="80" w:line="276" w:lineRule="auto"/>
      </w:pPr>
      <w:r>
        <w:rPr>
          <w:rFonts w:ascii="Calibri" w:hAnsi="Calibri"/>
          <w:b/>
          <w:color w:val="212529"/>
          <w:sz w:val="21"/>
        </w:rPr>
        <w:t xml:space="preserve">• Originating Court: </w:t>
      </w:r>
      <w:r>
        <w:rPr>
          <w:rFonts w:ascii="Calibri" w:hAnsi="Calibri"/>
          <w:i w:val="0"/>
          <w:color w:val="212529"/>
          <w:sz w:val="21"/>
        </w:rPr>
        <w:t>Office of the President / Court of Appeals</w:t>
      </w:r>
    </w:p>
    <w:p>
      <w:pPr>
        <w:spacing w:before="40" w:after="80" w:line="276" w:lineRule="auto"/>
      </w:pPr>
      <w:r>
        <w:rPr>
          <w:rFonts w:ascii="Calibri" w:hAnsi="Calibri"/>
          <w:b/>
          <w:color w:val="212529"/>
          <w:sz w:val="21"/>
        </w:rPr>
        <w:t xml:space="preserve">• Nature of the Action: </w:t>
      </w:r>
      <w:r>
        <w:rPr>
          <w:rFonts w:ascii="Calibri" w:hAnsi="Calibri"/>
          <w:i w:val="0"/>
          <w:color w:val="212529"/>
          <w:sz w:val="21"/>
        </w:rPr>
        <w:t>Petition for Review on Certiorari under Rule 45 concerning a married woman's right to revert to her maiden name in her Philippine Passport under Republic Act No. 8239 (Philippine Passport Act of 1996) and Article 370 of the Civil Code.</w:t>
      </w:r>
    </w:p>
    <w:p>
      <w:pPr>
        <w:keepNext/>
        <w:spacing w:before="200" w:after="40"/>
      </w:pPr>
      <w:r>
        <w:rPr>
          <w:rFonts w:ascii="Arial" w:hAnsi="Arial"/>
          <w:b/>
          <w:color w:val="781E1E"/>
          <w:sz w:val="22"/>
        </w:rPr>
        <w:t>II. WHOLE FACTS</w:t>
      </w:r>
    </w:p>
    <w:p>
      <w:pPr>
        <w:spacing w:before="40" w:after="80" w:line="276" w:lineRule="auto"/>
      </w:pPr>
      <w:r>
        <w:rPr>
          <w:rFonts w:ascii="Calibri" w:hAnsi="Calibri"/>
          <w:i w:val="0"/>
          <w:color w:val="212529"/>
          <w:sz w:val="21"/>
        </w:rPr>
        <w:t>Maria Virginia Remo, a married Filipino woman, applied to renew her Philippine passport and requested to revert to her maiden name ('Remo') while her marriage was still fully subsisting. The Department of Foreign Affairs (DFA) denied her request, citing Section 5(d) of Republic Act No. 8239 (Philippine Passport Act of 1996) and DFA Implementing Rules, which allow a married woman to revert to her maiden name in a passport ONLY upon death of the husband, annulment/divorce, or legal separation. Remo petitioned the courts, arguing that under Article 370 of the Civil Code, a married woman is not obligated to use her husband's surname and may choose to use her maiden name at any time.</w:t>
      </w:r>
    </w:p>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SUMMARY OF FACTS</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A married woman who used her husband's last name on her old passport wanted to switch back to her maiden last name on her new passport, even though they were still happily married. The DFA refused, citing the Passport Act rules which say once you choose to put your husband's surname on your passport, you can only change it back if your husband dies or you get an annulment/divorce. The Supreme Court ruled that while the Civil Code allows a woman to use her maiden name in daily life, the Passport Act is a special law governing travel documents that restricts mid-marriage name changes on passports to prevent identity confusion.</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When reciting the facts, state the core dispute in 2 sentences, then state how the case reached the Supreme Court.</w:t>
            </w:r>
          </w:p>
        </w:tc>
      </w:tr>
    </w:tbl>
    <w:p>
      <w:pPr>
        <w:keepNext/>
        <w:spacing w:before="200" w:after="40"/>
      </w:pPr>
      <w:r>
        <w:rPr>
          <w:rFonts w:ascii="Arial" w:hAnsi="Arial"/>
          <w:b/>
          <w:color w:val="781E1E"/>
          <w:sz w:val="22"/>
        </w:rPr>
        <w:t>III. THE LEGAL ISSUE</w:t>
      </w:r>
    </w:p>
    <w:p>
      <w:pPr>
        <w:spacing w:before="40" w:after="80" w:line="276" w:lineRule="auto"/>
      </w:pPr>
      <w:r>
        <w:rPr>
          <w:rFonts w:ascii="Calibri" w:hAnsi="Calibri"/>
          <w:i w:val="0"/>
          <w:color w:val="212529"/>
          <w:sz w:val="21"/>
        </w:rPr>
        <w:t>Whether or not a married woman who previously used her husband's surname on her passport can revert to her maiden name in passport renewal while the marriage is still subsisting.</w:t>
      </w:r>
    </w:p>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THE LEGAL ISSUE</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Can a married woman switch back to her maiden name on her passport while still married, despite the specific restrictions in the Passport Act?</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"Sir/Ma'am, the issue is whether Article 370 of the Civil Code overrides the special name-change restrictions under Section 5(d) of the Philippine Passport Act (RA 8239), testing the canon Generalia Specialibus Non Derogant (general laws do not derogate from special laws)."</w:t>
            </w:r>
          </w:p>
        </w:tc>
      </w:tr>
    </w:tbl>
    <w:p>
      <w:pPr>
        <w:keepNext/>
        <w:spacing w:before="200" w:after="40"/>
      </w:pPr>
      <w:r>
        <w:rPr>
          <w:rFonts w:ascii="Arial" w:hAnsi="Arial"/>
          <w:b/>
          <w:color w:val="781E1E"/>
          <w:sz w:val="22"/>
        </w:rPr>
        <w:t>IV. ALAC DIGEST</w:t>
      </w:r>
    </w:p>
    <w:tbl>
      <w:tblPr>
        <w:tblW w:type="auto" w:w="0"/>
        <w:jc w:val="center"/>
        <w:tblLook w:firstColumn="1" w:firstRow="1" w:lastColumn="0" w:lastRow="0" w:noHBand="0" w:noVBand="1" w:val="04A0"/>
      </w:tblPr>
      <w:tblGrid>
        <w:gridCol w:w="9648"/>
      </w:tblGrid>
      <w:tr>
        <w:tc>
          <w:tcPr>
            <w:tcW w:type="dxa" w:w="9648"/>
            <w:shd w:fill="F4F6F9"/>
            <w:tcMar>
              <w:top w:w="120" w:type="dxa"/>
              <w:bottom w:w="120" w:type="dxa"/>
              <w:left w:w="180" w:type="dxa"/>
              <w:right w:w="180" w:type="dxa"/>
            </w:tcMar>
          </w:tcPr>
          <w:p>
            <w:pPr>
              <w:spacing w:before="40" w:after="60"/>
            </w:pPr>
            <w:r>
              <w:rPr>
                <w:rFonts w:ascii="Arial" w:hAnsi="Arial"/>
                <w:b/>
                <w:color w:val="0F2043"/>
                <w:sz w:val="21"/>
              </w:rPr>
              <w:t>[A] ANSWER</w:t>
              <w:br/>
            </w:r>
          </w:p>
          <w:p>
            <w:pPr>
              <w:spacing w:before="20" w:after="40" w:line="276" w:lineRule="auto"/>
            </w:pPr>
            <w:r>
              <w:rPr>
                <w:rFonts w:ascii="Calibri" w:hAnsi="Calibri"/>
                <w:color w:val="212529"/>
                <w:sz w:val="20"/>
              </w:rPr>
              <w:t>NO. A married woman who has chosen to adopt her husband's surname in her passport CANNOT revert to her maiden name while the marriage is subsisting. Under Generalia Specialibus Non Derogant, the special Passport Act prevails over the general Civil Code.</w:t>
            </w:r>
          </w:p>
        </w:tc>
      </w:tr>
    </w:tbl>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THE ANSWER</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No. Under the Civil Code, you can choose to keep your maiden name when you get married. But once you elect to put your married name on your official passport, the special Passport Act applies: you cannot switch back and forth until the marriage ends, in order to maintain international travel security.</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"No, Sir/Ma'am. The Supreme Court held that while Article 370 of the Civil Code gives a married woman the option to use her maiden name, under Generalia specialibus non derogant (general laws yield to special laws), RA 8239 is a special law governing international travel documents. Once she opts to use her husband's surname in her passport, she can only revert to her maiden name upon death, divorce, or annulment."</w:t>
            </w:r>
          </w:p>
        </w:tc>
      </w:tr>
    </w:tbl>
    <w:tbl>
      <w:tblPr>
        <w:tblW w:type="auto" w:w="0"/>
        <w:jc w:val="center"/>
        <w:tblLook w:firstColumn="1" w:firstRow="1" w:lastColumn="0" w:lastRow="0" w:noHBand="0" w:noVBand="1" w:val="04A0"/>
      </w:tblPr>
      <w:tblGrid>
        <w:gridCol w:w="9648"/>
      </w:tblGrid>
      <w:tr>
        <w:tc>
          <w:tcPr>
            <w:tcW w:type="dxa" w:w="9648"/>
            <w:shd w:fill="F4F6F9"/>
            <w:tcMar>
              <w:top w:w="120" w:type="dxa"/>
              <w:bottom w:w="120" w:type="dxa"/>
              <w:left w:w="180" w:type="dxa"/>
              <w:right w:w="180" w:type="dxa"/>
            </w:tcMar>
          </w:tcPr>
          <w:p>
            <w:pPr>
              <w:spacing w:before="40" w:after="60"/>
            </w:pPr>
            <w:r>
              <w:rPr>
                <w:rFonts w:ascii="Arial" w:hAnsi="Arial"/>
                <w:b/>
                <w:color w:val="0F2043"/>
                <w:sz w:val="21"/>
              </w:rPr>
              <w:t>[L] LEGAL BASIS</w:t>
              <w:br/>
            </w:r>
          </w:p>
          <w:p>
            <w:pPr>
              <w:spacing w:before="20" w:after="40" w:line="276" w:lineRule="auto"/>
            </w:pPr>
            <w:r>
              <w:rPr>
                <w:rFonts w:ascii="Calibri" w:hAnsi="Calibri"/>
                <w:b/>
                <w:color w:val="212529"/>
                <w:sz w:val="20"/>
              </w:rPr>
              <w:t xml:space="preserve">1. Section 5(d), Republic Act No. 8239 (Philippine Passport Act of 1996): </w:t>
            </w:r>
            <w:r>
              <w:rPr>
                <w:rFonts w:ascii="Calibri" w:hAnsi="Calibri"/>
                <w:color w:val="212529"/>
                <w:sz w:val="20"/>
              </w:rPr>
              <w:t>Restricts amendment of passport names of married women to instances of widowhood, annulment, or divorce.</w:t>
            </w:r>
          </w:p>
          <w:p>
            <w:pPr>
              <w:spacing w:before="20" w:after="40" w:line="276" w:lineRule="auto"/>
            </w:pPr>
            <w:r>
              <w:rPr>
                <w:rFonts w:ascii="Calibri" w:hAnsi="Calibri"/>
                <w:b/>
                <w:color w:val="212529"/>
                <w:sz w:val="20"/>
              </w:rPr>
              <w:t xml:space="preserve">2. Article 370, Civil Code of the Philippines: </w:t>
            </w:r>
            <w:r>
              <w:rPr>
                <w:rFonts w:ascii="Calibri" w:hAnsi="Calibri"/>
                <w:color w:val="212529"/>
                <w:sz w:val="20"/>
              </w:rPr>
              <w:t>General rule allowing married women to use maiden name or husband's surname.</w:t>
            </w:r>
          </w:p>
          <w:p>
            <w:pPr>
              <w:spacing w:before="20" w:after="40" w:line="276" w:lineRule="auto"/>
            </w:pPr>
            <w:r>
              <w:rPr>
                <w:rFonts w:ascii="Calibri" w:hAnsi="Calibri"/>
                <w:b/>
                <w:color w:val="212529"/>
                <w:sz w:val="20"/>
              </w:rPr>
              <w:t xml:space="preserve">3. Generalia Specialibus Non Derogant (general provisions do not derogate from special provisions): </w:t>
            </w:r>
            <w:r>
              <w:rPr>
                <w:rFonts w:ascii="Calibri" w:hAnsi="Calibri"/>
                <w:color w:val="212529"/>
                <w:sz w:val="20"/>
              </w:rPr>
              <w:t>The specific passport security statute prevails over the general civil law on surnames.</w:t>
            </w:r>
          </w:p>
        </w:tc>
      </w:tr>
    </w:tbl>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LEGAL BASIS</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Section 5(d) RA 8239, Article 370 Civil Code, and Generalia Specialibus Non Derogant.</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"Sir/Ma'am, the legal basis is Section 5(d) of RA 8239 in relation to Article 370 of the Civil Code, governed by Generalia specialibus non derogant (special laws prevail over general laws)."</w:t>
            </w:r>
          </w:p>
        </w:tc>
      </w:tr>
    </w:tbl>
    <w:tbl>
      <w:tblPr>
        <w:tblW w:type="auto" w:w="0"/>
        <w:jc w:val="center"/>
        <w:tblLook w:firstColumn="1" w:firstRow="1" w:lastColumn="0" w:lastRow="0" w:noHBand="0" w:noVBand="1" w:val="04A0"/>
      </w:tblPr>
      <w:tblGrid>
        <w:gridCol w:w="9648"/>
      </w:tblGrid>
      <w:tr>
        <w:tc>
          <w:tcPr>
            <w:tcW w:type="dxa" w:w="9648"/>
            <w:shd w:fill="F4F6F9"/>
            <w:tcMar>
              <w:top w:w="120" w:type="dxa"/>
              <w:bottom w:w="120" w:type="dxa"/>
              <w:left w:w="180" w:type="dxa"/>
              <w:right w:w="180" w:type="dxa"/>
            </w:tcMar>
          </w:tcPr>
          <w:p>
            <w:pPr>
              <w:spacing w:before="40" w:after="60"/>
            </w:pPr>
            <w:r>
              <w:rPr>
                <w:rFonts w:ascii="Arial" w:hAnsi="Arial"/>
                <w:b/>
                <w:color w:val="0F2043"/>
                <w:sz w:val="21"/>
              </w:rPr>
              <w:t>[A] ANALYSIS / APPLICATION</w:t>
              <w:br/>
            </w:r>
          </w:p>
          <w:p>
            <w:pPr>
              <w:spacing w:before="20" w:after="40" w:line="276" w:lineRule="auto"/>
            </w:pPr>
            <w:r>
              <w:rPr>
                <w:rFonts w:ascii="Calibri" w:hAnsi="Calibri"/>
                <w:b/>
                <w:color w:val="212529"/>
                <w:sz w:val="20"/>
              </w:rPr>
              <w:t xml:space="preserve">1. Harmonization of Civil Code and Passport Act: </w:t>
            </w:r>
            <w:r>
              <w:rPr>
                <w:rFonts w:ascii="Calibri" w:hAnsi="Calibri"/>
                <w:color w:val="212529"/>
                <w:sz w:val="20"/>
              </w:rPr>
              <w:t>Article 370 of the Civil Code grants a woman the choice of whether to adopt her husband's surname. However, once she exercises that choice and registers her married name on her official passport, RA 8239 regulates how and when that passport name may be changed.</w:t>
            </w:r>
          </w:p>
          <w:p>
            <w:pPr>
              <w:spacing w:before="20" w:after="40" w:line="276" w:lineRule="auto"/>
            </w:pPr>
            <w:r>
              <w:rPr>
                <w:rFonts w:ascii="Calibri" w:hAnsi="Calibri"/>
                <w:b/>
                <w:color w:val="212529"/>
                <w:sz w:val="20"/>
              </w:rPr>
              <w:t xml:space="preserve">2. Special Law on Travel Documents: </w:t>
            </w:r>
            <w:r>
              <w:rPr>
                <w:rFonts w:ascii="Calibri" w:hAnsi="Calibri"/>
                <w:color w:val="212529"/>
                <w:sz w:val="20"/>
              </w:rPr>
              <w:t>RA 8239 is a special law designed to protect the integrity of Philippine passports and prevent identity fraud in international travel. Its specific provisions override general civil provisions.</w:t>
            </w:r>
          </w:p>
          <w:p>
            <w:pPr>
              <w:spacing w:before="20" w:after="40" w:line="276" w:lineRule="auto"/>
            </w:pPr>
            <w:r>
              <w:rPr>
                <w:rFonts w:ascii="Calibri" w:hAnsi="Calibri"/>
                <w:b/>
                <w:color w:val="212529"/>
                <w:sz w:val="20"/>
              </w:rPr>
              <w:t xml:space="preserve">3. Validity of Administrative Regulations: </w:t>
            </w:r>
            <w:r>
              <w:rPr>
                <w:rFonts w:ascii="Calibri" w:hAnsi="Calibri"/>
                <w:color w:val="212529"/>
                <w:sz w:val="20"/>
              </w:rPr>
              <w:t>The DFA regulations strictly tracking Section 5(d) of RA 8239 were valid exercises of subordinate rule-making power consistent with statutory intent.</w:t>
            </w:r>
          </w:p>
        </w:tc>
      </w:tr>
    </w:tbl>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ANALYSIS / APPLICATION</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The Civil Code gives you the freedom to choose your name. But a passport is an international border-control document. If people could switch names back and forth on their passports during marriage, it would cause chaos for international security. The specific passport law controls over the general family law.</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"Sir/Ma'am, the Court applied Generalia Specialibus Non Derogant. The Civil Code is general law on personal names, while the Passport Act is special law governing international travel integrity. The Court held that statutory passport restrictions control during the subsistence of the marriage."</w:t>
            </w:r>
          </w:p>
        </w:tc>
      </w:tr>
    </w:tbl>
    <w:tbl>
      <w:tblPr>
        <w:tblW w:type="auto" w:w="0"/>
        <w:jc w:val="center"/>
        <w:tblLook w:firstColumn="1" w:firstRow="1" w:lastColumn="0" w:lastRow="0" w:noHBand="0" w:noVBand="1" w:val="04A0"/>
      </w:tblPr>
      <w:tblGrid>
        <w:gridCol w:w="9648"/>
      </w:tblGrid>
      <w:tr>
        <w:tc>
          <w:tcPr>
            <w:tcW w:type="dxa" w:w="9648"/>
            <w:shd w:fill="F4F6F9"/>
            <w:tcMar>
              <w:top w:w="120" w:type="dxa"/>
              <w:bottom w:w="120" w:type="dxa"/>
              <w:left w:w="180" w:type="dxa"/>
              <w:right w:w="180" w:type="dxa"/>
            </w:tcMar>
          </w:tcPr>
          <w:p>
            <w:pPr>
              <w:spacing w:before="40" w:after="60"/>
            </w:pPr>
            <w:r>
              <w:rPr>
                <w:rFonts w:ascii="Arial" w:hAnsi="Arial"/>
                <w:b/>
                <w:color w:val="0F2043"/>
                <w:sz w:val="21"/>
              </w:rPr>
              <w:t>[C] CONCLUSION</w:t>
              <w:br/>
            </w:r>
          </w:p>
          <w:p>
            <w:pPr>
              <w:spacing w:before="20" w:after="40" w:line="276" w:lineRule="auto"/>
            </w:pPr>
            <w:r>
              <w:rPr>
                <w:rFonts w:ascii="Calibri" w:hAnsi="Calibri"/>
                <w:color w:val="212529"/>
                <w:sz w:val="20"/>
              </w:rPr>
              <w:t>The Supreme Court DENIED the petition and AFFIRMED the decision of the Court of Appeals and DFA denying the reversion to maiden name on the passport.</w:t>
            </w:r>
          </w:p>
        </w:tc>
      </w:tr>
    </w:tbl>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CONCLUSION</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The petition was denied and the woman was not allowed to switch her passport name while married.</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"The Supreme Court affirmed the DFA's denial, upholding the primacy of the special Passport Act over general Civil Code provisions."</w:t>
            </w:r>
          </w:p>
        </w:tc>
      </w:tr>
    </w:tbl>
    <w:p>
      <w:pPr>
        <w:keepNext/>
        <w:spacing w:before="200" w:after="40"/>
      </w:pPr>
      <w:r>
        <w:rPr>
          <w:rFonts w:ascii="Arial" w:hAnsi="Arial"/>
          <w:b/>
          <w:color w:val="781E1E"/>
          <w:sz w:val="22"/>
        </w:rPr>
        <w:t>V. RELATION TO STATUTORY CONSTRUCTION</w:t>
      </w:r>
    </w:p>
    <w:p>
      <w:pPr>
        <w:spacing w:before="40" w:after="80" w:line="276" w:lineRule="auto"/>
      </w:pPr>
      <w:r>
        <w:rPr>
          <w:rFonts w:ascii="Calibri" w:hAnsi="Calibri"/>
          <w:b/>
          <w:color w:val="212529"/>
          <w:sz w:val="21"/>
        </w:rPr>
        <w:t>• Syllabus Topic Alignment:</w:t>
        <w:br/>
      </w:r>
      <w:r>
        <w:rPr>
          <w:rFonts w:ascii="Calibri" w:hAnsi="Calibri"/>
          <w:i w:val="0"/>
          <w:color w:val="212529"/>
          <w:sz w:val="21"/>
        </w:rPr>
        <w:t>• Chapter III: Basic Guidelines in the Construction and Interpretation of Laws</w:t>
        <w:br/>
        <w:t xml:space="preserve">  - C. Considerations outside the Statute: Generalia Specialibus Non Derogant &amp; Administrative Rule Validity</w:t>
      </w:r>
    </w:p>
    <w:tbl>
      <w:tblPr>
        <w:tblW w:type="auto" w:w="0"/>
        <w:jc w:val="center"/>
        <w:tblLook w:firstColumn="1" w:firstRow="1" w:lastColumn="0" w:lastRow="0" w:noHBand="0" w:noVBand="1" w:val="04A0"/>
      </w:tblPr>
      <w:tblGrid>
        <w:gridCol w:w="9648"/>
      </w:tblGrid>
      <w:tr>
        <w:tc>
          <w:tcPr>
            <w:tcW w:type="dxa" w:w="9648"/>
            <w:shd w:fill="FDF6EE"/>
            <w:tcMar>
              <w:top w:w="120" w:type="dxa"/>
              <w:bottom w:w="120" w:type="dxa"/>
              <w:left w:w="180" w:type="dxa"/>
              <w:right w:w="180" w:type="dxa"/>
            </w:tcMar>
          </w:tcPr>
          <w:p>
            <w:pPr>
              <w:spacing w:before="40" w:after="80"/>
            </w:pPr>
            <w:r>
              <w:rPr>
                <w:rFonts w:ascii="Arial" w:hAnsi="Arial"/>
                <w:b/>
                <w:color w:val="8C3200"/>
                <w:sz w:val="20"/>
              </w:rPr>
              <w:t>📜 GOVERNING LATIN MAXIMS WITH ENGLISH TRANSLATIONS</w:t>
              <w:br/>
            </w:r>
          </w:p>
          <w:p>
            <w:pPr>
              <w:spacing w:before="40" w:after="60" w:line="276" w:lineRule="auto"/>
            </w:pPr>
            <w:r>
              <w:rPr>
                <w:rFonts w:ascii="Calibri" w:hAnsi="Calibri"/>
                <w:b/>
                <w:color w:val="8C3200"/>
                <w:sz w:val="20"/>
              </w:rPr>
              <w:t>1. Generalia specialibus non derogant (general things do not derogate from special things)</w:t>
              <w:br/>
            </w:r>
            <w:r>
              <w:rPr>
                <w:rFonts w:ascii="Calibri" w:hAnsi="Calibri"/>
                <w:b/>
                <w:color w:val="212529"/>
                <w:sz w:val="19"/>
              </w:rPr>
              <w:t xml:space="preserve">   • Literal English Translation: </w:t>
            </w:r>
            <w:r>
              <w:rPr>
                <w:rFonts w:ascii="Calibri" w:hAnsi="Calibri"/>
                <w:i/>
                <w:color w:val="212529"/>
                <w:sz w:val="19"/>
              </w:rPr>
              <w:t>General words do not derogate from special provisions.</w:t>
              <w:br/>
            </w:r>
            <w:r>
              <w:rPr>
                <w:rFonts w:ascii="Calibri" w:hAnsi="Calibri"/>
                <w:b/>
                <w:color w:val="212529"/>
                <w:sz w:val="19"/>
              </w:rPr>
              <w:t xml:space="preserve">   • Plain Legal Meaning &amp; StatCon Application: </w:t>
            </w:r>
            <w:r>
              <w:rPr>
                <w:rFonts w:ascii="Calibri" w:hAnsi="Calibri"/>
                <w:color w:val="212529"/>
                <w:sz w:val="19"/>
              </w:rPr>
              <w:t>The special provisions of the Philippine Passport Act prevail over the general provisions of the Civil Code on names.</w:t>
            </w:r>
          </w:p>
          <w:p>
            <w:pPr>
              <w:spacing w:before="40" w:after="60" w:line="276" w:lineRule="auto"/>
            </w:pPr>
            <w:r>
              <w:rPr>
                <w:rFonts w:ascii="Calibri" w:hAnsi="Calibri"/>
                <w:b/>
                <w:color w:val="8C3200"/>
                <w:sz w:val="20"/>
              </w:rPr>
              <w:t>2. Verba legis non est recedendum (from the words of the statute there should be no departure)</w:t>
              <w:br/>
            </w:r>
            <w:r>
              <w:rPr>
                <w:rFonts w:ascii="Calibri" w:hAnsi="Calibri"/>
                <w:b/>
                <w:color w:val="212529"/>
                <w:sz w:val="19"/>
              </w:rPr>
              <w:t xml:space="preserve">   • Literal English Translation: </w:t>
            </w:r>
            <w:r>
              <w:rPr>
                <w:rFonts w:ascii="Calibri" w:hAnsi="Calibri"/>
                <w:i/>
                <w:color w:val="212529"/>
                <w:sz w:val="19"/>
              </w:rPr>
              <w:t>From the words of the statute there must be no departure.</w:t>
              <w:br/>
            </w:r>
            <w:r>
              <w:rPr>
                <w:rFonts w:ascii="Calibri" w:hAnsi="Calibri"/>
                <w:b/>
                <w:color w:val="212529"/>
                <w:sz w:val="19"/>
              </w:rPr>
              <w:t xml:space="preserve">   • Plain Legal Meaning &amp; StatCon Application: </w:t>
            </w:r>
            <w:r>
              <w:rPr>
                <w:rFonts w:ascii="Calibri" w:hAnsi="Calibri"/>
                <w:color w:val="212529"/>
                <w:sz w:val="19"/>
              </w:rPr>
              <w:t>Section 5(d) of RA 8239 explicitly enumerates the exclusive grounds for changing passport names.</w:t>
            </w:r>
          </w:p>
          <w:p>
            <w:pPr>
              <w:spacing w:before="40" w:after="60" w:line="276" w:lineRule="auto"/>
            </w:pPr>
            <w:r>
              <w:rPr>
                <w:rFonts w:ascii="Calibri" w:hAnsi="Calibri"/>
                <w:b/>
                <w:color w:val="8C3200"/>
                <w:sz w:val="20"/>
              </w:rPr>
              <w:t>3. Optima statuti interpretatrix est ipsum statutum (the best interpreter of a statute is the statute itself)</w:t>
              <w:br/>
            </w:r>
            <w:r>
              <w:rPr>
                <w:rFonts w:ascii="Calibri" w:hAnsi="Calibri"/>
                <w:b/>
                <w:color w:val="212529"/>
                <w:sz w:val="19"/>
              </w:rPr>
              <w:t xml:space="preserve">   • Literal English Translation: </w:t>
            </w:r>
            <w:r>
              <w:rPr>
                <w:rFonts w:ascii="Calibri" w:hAnsi="Calibri"/>
                <w:i/>
                <w:color w:val="212529"/>
                <w:sz w:val="19"/>
              </w:rPr>
              <w:t>The best interpreter of a statute is the statute itself.</w:t>
              <w:br/>
            </w:r>
            <w:r>
              <w:rPr>
                <w:rFonts w:ascii="Calibri" w:hAnsi="Calibri"/>
                <w:b/>
                <w:color w:val="212529"/>
                <w:sz w:val="19"/>
              </w:rPr>
              <w:t xml:space="preserve">   • Plain Legal Meaning &amp; StatCon Application: </w:t>
            </w:r>
            <w:r>
              <w:rPr>
                <w:rFonts w:ascii="Calibri" w:hAnsi="Calibri"/>
                <w:color w:val="212529"/>
                <w:sz w:val="19"/>
              </w:rPr>
              <w:t>The clear text of RA 8239 establishes international security standards for travel documents.</w:t>
            </w:r>
          </w:p>
        </w:tc>
      </w:tr>
    </w:tbl>
    <w:tbl>
      <w:tblPr>
        <w:tblW w:type="auto" w:w="0"/>
        <w:jc w:val="center"/>
        <w:tblLook w:firstColumn="1" w:firstRow="1" w:lastColumn="0" w:lastRow="0" w:noHBand="0" w:noVBand="1" w:val="04A0"/>
      </w:tblPr>
      <w:tblGrid>
        <w:gridCol w:w="4824"/>
        <w:gridCol w:w="4824"/>
      </w:tblGrid>
      <w:tr>
        <w:tc>
          <w:tcPr>
            <w:tcW w:type="dxa" w:w="4824"/>
            <w:shd w:fill="EAEFF5"/>
            <w:tcMar>
              <w:top w:w="80" w:type="dxa"/>
              <w:bottom w:w="80" w:type="dxa"/>
              <w:left w:w="120" w:type="dxa"/>
              <w:right w:w="120" w:type="dxa"/>
            </w:tcMar>
          </w:tcPr>
          <w:p>
            <w:pPr>
              <w:spacing w:before="40" w:after="40"/>
            </w:pPr>
            <w:r>
              <w:rPr>
                <w:rFonts w:ascii="Arial" w:hAnsi="Arial"/>
                <w:b/>
                <w:color w:val="0F2043"/>
                <w:sz w:val="18"/>
              </w:rPr>
              <w:t>Syllabus Topic Alignment</w:t>
              <w:br/>
              <w:t>(StatCon_Syllabus_JPR.pdf)</w:t>
            </w:r>
          </w:p>
        </w:tc>
        <w:tc>
          <w:tcPr>
            <w:tcW w:type="dxa" w:w="4824"/>
            <w:shd w:fill="FAFAFA"/>
            <w:tcMar>
              <w:top w:w="80" w:type="dxa"/>
              <w:bottom w:w="80" w:type="dxa"/>
              <w:left w:w="120" w:type="dxa"/>
              <w:right w:w="120" w:type="dxa"/>
            </w:tcMar>
          </w:tcPr>
          <w:p>
            <w:pPr>
              <w:spacing w:before="40" w:after="40" w:line="276" w:lineRule="auto"/>
            </w:pPr>
            <w:r>
              <w:rPr>
                <w:rFonts w:ascii="Calibri" w:hAnsi="Calibri"/>
                <w:color w:val="212529"/>
                <w:sz w:val="19"/>
              </w:rPr>
              <w:t>• Chapter III: Basic Guidelines in the Construction and Interpretation of Laws</w:t>
              <w:br/>
              <w:t xml:space="preserve">  - C. Considerations outside the Statute: Generalia Specialibus Non Derogant &amp; Administrative Rule Validity</w:t>
            </w:r>
          </w:p>
        </w:tc>
      </w:tr>
      <w:tr>
        <w:tc>
          <w:tcPr>
            <w:tcW w:type="dxa" w:w="4824"/>
            <w:shd w:fill="EAEFF5"/>
            <w:tcMar>
              <w:top w:w="80" w:type="dxa"/>
              <w:bottom w:w="80" w:type="dxa"/>
              <w:left w:w="120" w:type="dxa"/>
              <w:right w:w="120" w:type="dxa"/>
            </w:tcMar>
          </w:tcPr>
          <w:p>
            <w:pPr>
              <w:spacing w:before="40" w:after="40"/>
            </w:pPr>
            <w:r>
              <w:rPr>
                <w:rFonts w:ascii="Arial" w:hAnsi="Arial"/>
                <w:b/>
                <w:color w:val="0F2043"/>
                <w:sz w:val="18"/>
              </w:rPr>
              <w:t>Governing Latin Maxims &amp; English</w:t>
            </w:r>
          </w:p>
        </w:tc>
        <w:tc>
          <w:tcPr>
            <w:tcW w:type="dxa" w:w="4824"/>
            <w:shd w:fill="FAFAFA"/>
            <w:tcMar>
              <w:top w:w="80" w:type="dxa"/>
              <w:bottom w:w="80" w:type="dxa"/>
              <w:left w:w="120" w:type="dxa"/>
              <w:right w:w="120" w:type="dxa"/>
            </w:tcMar>
          </w:tcPr>
          <w:p>
            <w:pPr>
              <w:spacing w:before="40" w:after="40" w:line="276" w:lineRule="auto"/>
            </w:pPr>
            <w:r>
              <w:rPr>
                <w:rFonts w:ascii="Calibri" w:hAnsi="Calibri"/>
                <w:color w:val="212529"/>
                <w:sz w:val="19"/>
              </w:rPr>
              <w:t>Primary:</w:t>
              <w:br/>
              <w:t>Generalia specialibus non derogant</w:t>
              <w:br/>
              <w:t>(general things do not derogate from special provisions / Philippine Passport Act RA 8239 governs over general Civil Code name rules)</w:t>
              <w:br/>
              <w:br/>
              <w:t>Secondary:</w:t>
              <w:br/>
              <w:t>• Verba legis non est recedendum (clear statutory text on passport name changes)</w:t>
              <w:br/>
              <w:t>• Optima statuti interpretatrix est ipsum statutum (statute is its own best interpreter)</w:t>
            </w:r>
          </w:p>
        </w:tc>
      </w:tr>
      <w:tr>
        <w:tc>
          <w:tcPr>
            <w:tcW w:type="dxa" w:w="4824"/>
            <w:shd w:fill="EAEFF5"/>
            <w:tcMar>
              <w:top w:w="80" w:type="dxa"/>
              <w:bottom w:w="80" w:type="dxa"/>
              <w:left w:w="120" w:type="dxa"/>
              <w:right w:w="120" w:type="dxa"/>
            </w:tcMar>
          </w:tcPr>
          <w:p>
            <w:pPr>
              <w:spacing w:before="40" w:after="40"/>
            </w:pPr>
            <w:r>
              <w:rPr>
                <w:rFonts w:ascii="Arial" w:hAnsi="Arial"/>
                <w:b/>
                <w:color w:val="0F2043"/>
                <w:sz w:val="18"/>
              </w:rPr>
              <w:t>Case Violation in StatCon</w:t>
            </w:r>
          </w:p>
        </w:tc>
        <w:tc>
          <w:tcPr>
            <w:tcW w:type="dxa" w:w="4824"/>
            <w:shd w:fill="FAFAFA"/>
            <w:tcMar>
              <w:top w:w="80" w:type="dxa"/>
              <w:bottom w:w="80" w:type="dxa"/>
              <w:left w:w="120" w:type="dxa"/>
              <w:right w:w="120" w:type="dxa"/>
            </w:tcMar>
          </w:tcPr>
          <w:p>
            <w:pPr>
              <w:spacing w:before="40" w:after="40" w:line="276" w:lineRule="auto"/>
            </w:pPr>
            <w:r>
              <w:rPr>
                <w:rFonts w:ascii="Calibri" w:hAnsi="Calibri"/>
                <w:color w:val="212529"/>
                <w:sz w:val="19"/>
              </w:rPr>
              <w:t>Petitioner sought to elevate general civil law provisions over a specific, subsequent statute governing international travel document security.</w:t>
            </w:r>
          </w:p>
        </w:tc>
      </w:tr>
      <w:tr>
        <w:tc>
          <w:tcPr>
            <w:tcW w:type="dxa" w:w="4824"/>
            <w:shd w:fill="EAEFF5"/>
            <w:tcMar>
              <w:top w:w="80" w:type="dxa"/>
              <w:bottom w:w="80" w:type="dxa"/>
              <w:left w:w="120" w:type="dxa"/>
              <w:right w:w="120" w:type="dxa"/>
            </w:tcMar>
          </w:tcPr>
          <w:p>
            <w:pPr>
              <w:spacing w:before="40" w:after="40"/>
            </w:pPr>
            <w:r>
              <w:rPr>
                <w:rFonts w:ascii="Arial" w:hAnsi="Arial"/>
                <w:b/>
                <w:color w:val="0F2043"/>
                <w:sz w:val="18"/>
              </w:rPr>
              <w:t>Doctrinal Execution / Principle</w:t>
            </w:r>
          </w:p>
        </w:tc>
        <w:tc>
          <w:tcPr>
            <w:tcW w:type="dxa" w:w="4824"/>
            <w:shd w:fill="FAFAFA"/>
            <w:tcMar>
              <w:top w:w="80" w:type="dxa"/>
              <w:bottom w:w="80" w:type="dxa"/>
              <w:left w:w="120" w:type="dxa"/>
              <w:right w:w="120" w:type="dxa"/>
            </w:tcMar>
          </w:tcPr>
          <w:p>
            <w:pPr>
              <w:spacing w:before="40" w:after="40" w:line="276" w:lineRule="auto"/>
            </w:pPr>
            <w:r>
              <w:rPr>
                <w:rFonts w:ascii="Calibri" w:hAnsi="Calibri"/>
                <w:color w:val="212529"/>
                <w:sz w:val="19"/>
              </w:rPr>
              <w:t>Primacy of Special Regulatory Statutes: Special statutes enacted to protect state security and international document integrity override general civil law provisions on the same subject.</w:t>
            </w:r>
          </w:p>
        </w:tc>
      </w:tr>
    </w:tbl>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RELATION TO STATUTORY CONSTRUCTION</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A special security law on passports beats a general civil law about family names.</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"Sir/Ma'am, Remo v. Secretary of Foreign Affairs is the leading modern case applying Generalia specialibus non derogant to resolve conflicts between the Civil Code and special regulatory statutes."</w:t>
            </w:r>
          </w:p>
        </w:tc>
      </w:tr>
    </w:tbl>
    <w:p>
      <w:pPr>
        <w:spacing w:before="160" w:after="80"/>
      </w:pPr>
    </w:p>
    <w:tbl>
      <w:tblPr>
        <w:tblW w:type="auto" w:w="0"/>
        <w:jc w:val="center"/>
        <w:tblLook w:firstColumn="1" w:firstRow="1" w:lastColumn="0" w:lastRow="0" w:noHBand="0" w:noVBand="1" w:val="04A0"/>
      </w:tblPr>
      <w:tblGrid>
        <w:gridCol w:w="9648"/>
      </w:tblGrid>
      <w:tr>
        <w:tc>
          <w:tcPr>
            <w:tcW w:type="dxa" w:w="9648"/>
            <w:shd w:fill="1E3A5F"/>
            <w:tcMar>
              <w:top w:w="140" w:type="dxa"/>
              <w:bottom w:w="140" w:type="dxa"/>
              <w:left w:w="200" w:type="dxa"/>
              <w:right w:w="200" w:type="dxa"/>
            </w:tcMar>
          </w:tcPr>
          <w:p>
            <w:pPr>
              <w:spacing w:before="40" w:after="40"/>
              <w:jc w:val="center"/>
            </w:pPr>
            <w:r>
              <w:rPr>
                <w:rFonts w:ascii="Arial" w:hAnsi="Arial"/>
                <w:b/>
                <w:color w:val="FFD700"/>
                <w:sz w:val="22"/>
              </w:rPr>
              <w:t>⚖ STANDARDIZED CASE DIGEST: STATUTORY CONSTRUCTION FORMAT</w:t>
              <w:br/>
            </w:r>
            <w:r>
              <w:rPr>
                <w:rFonts w:ascii="Arial" w:hAnsi="Arial"/>
                <w:i/>
                <w:color w:val="DCEBFF"/>
                <w:sz w:val="18"/>
              </w:rPr>
              <w:t>(Complete 12-Section Academic &amp; Judicial Construction Analysis)</w:t>
            </w:r>
          </w:p>
        </w:tc>
      </w:tr>
    </w:tbl>
    <w:p>
      <w:pPr>
        <w:spacing w:before="80" w:after="80"/>
      </w:pPr>
    </w:p>
    <w:tbl>
      <w:tblPr>
        <w:tblW w:type="auto" w:w="0"/>
        <w:jc w:val="center"/>
        <w:tblLook w:firstColumn="1" w:firstRow="1" w:lastColumn="0" w:lastRow="0" w:noHBand="0" w:noVBand="1" w:val="04A0"/>
      </w:tblPr>
      <w:tblGrid>
        <w:gridCol w:w="4824"/>
        <w:gridCol w:w="4824"/>
      </w:tblGrid>
      <w:tr>
        <w:tc>
          <w:tcPr>
            <w:tcW w:type="dxa" w:w="4824"/>
            <w:shd w:fill="EBF0F7"/>
            <w:tcMar>
              <w:top w:w="60" w:type="dxa"/>
              <w:bottom w:w="60" w:type="dxa"/>
              <w:left w:w="120" w:type="dxa"/>
              <w:right w:w="120" w:type="dxa"/>
            </w:tcMar>
          </w:tcPr>
          <w:p>
            <w:pPr>
              <w:spacing w:before="20" w:after="20"/>
            </w:pPr>
            <w:r>
              <w:rPr>
                <w:rFonts w:ascii="Arial" w:hAnsi="Arial"/>
                <w:b/>
                <w:color w:val="0F2043"/>
                <w:sz w:val="19"/>
              </w:rPr>
              <w:t>Case Title:</w:t>
            </w:r>
          </w:p>
        </w:tc>
        <w:tc>
          <w:tcPr>
            <w:tcW w:type="dxa" w:w="4824"/>
            <w:shd w:fill="FAFCFF"/>
            <w:tcMar>
              <w:top w:w="60" w:type="dxa"/>
              <w:bottom w:w="60" w:type="dxa"/>
              <w:left w:w="120" w:type="dxa"/>
              <w:right w:w="120" w:type="dxa"/>
            </w:tcMar>
          </w:tcPr>
          <w:p>
            <w:pPr>
              <w:spacing w:before="20" w:after="20"/>
            </w:pPr>
            <w:r>
              <w:rPr>
                <w:rFonts w:ascii="Calibri" w:hAnsi="Calibri"/>
                <w:b/>
                <w:color w:val="212529"/>
                <w:sz w:val="19"/>
              </w:rPr>
              <w:t>Maria Virginia V. Remo v. The Honorable Secretary of Foreign Affairs</w:t>
            </w:r>
          </w:p>
        </w:tc>
      </w:tr>
      <w:tr>
        <w:tc>
          <w:tcPr>
            <w:tcW w:type="dxa" w:w="4824"/>
            <w:shd w:fill="EBF0F7"/>
            <w:tcMar>
              <w:top w:w="60" w:type="dxa"/>
              <w:bottom w:w="60" w:type="dxa"/>
              <w:left w:w="120" w:type="dxa"/>
              <w:right w:w="120" w:type="dxa"/>
            </w:tcMar>
          </w:tcPr>
          <w:p>
            <w:pPr>
              <w:spacing w:before="20" w:after="20"/>
            </w:pPr>
            <w:r>
              <w:rPr>
                <w:rFonts w:ascii="Arial" w:hAnsi="Arial"/>
                <w:b/>
                <w:color w:val="0F2043"/>
                <w:sz w:val="19"/>
              </w:rPr>
              <w:t>G.R. No. / Record:</w:t>
            </w:r>
          </w:p>
        </w:tc>
        <w:tc>
          <w:tcPr>
            <w:tcW w:type="dxa" w:w="4824"/>
            <w:shd w:fill="FAFCFF"/>
            <w:tcMar>
              <w:top w:w="60" w:type="dxa"/>
              <w:bottom w:w="60" w:type="dxa"/>
              <w:left w:w="120" w:type="dxa"/>
              <w:right w:w="120" w:type="dxa"/>
            </w:tcMar>
          </w:tcPr>
          <w:p>
            <w:pPr>
              <w:spacing w:before="20" w:after="20"/>
            </w:pPr>
            <w:r>
              <w:rPr>
                <w:rFonts w:ascii="Calibri" w:hAnsi="Calibri"/>
                <w:b w:val="0"/>
                <w:color w:val="212529"/>
                <w:sz w:val="19"/>
              </w:rPr>
              <w:t>G.R. No. 169202</w:t>
            </w:r>
          </w:p>
        </w:tc>
      </w:tr>
      <w:tr>
        <w:tc>
          <w:tcPr>
            <w:tcW w:type="dxa" w:w="4824"/>
            <w:shd w:fill="EBF0F7"/>
            <w:tcMar>
              <w:top w:w="60" w:type="dxa"/>
              <w:bottom w:w="60" w:type="dxa"/>
              <w:left w:w="120" w:type="dxa"/>
              <w:right w:w="120" w:type="dxa"/>
            </w:tcMar>
          </w:tcPr>
          <w:p>
            <w:pPr>
              <w:spacing w:before="20" w:after="20"/>
            </w:pPr>
            <w:r>
              <w:rPr>
                <w:rFonts w:ascii="Arial" w:hAnsi="Arial"/>
                <w:b/>
                <w:color w:val="0F2043"/>
                <w:sz w:val="19"/>
              </w:rPr>
              <w:t>Date of Promulgation:</w:t>
            </w:r>
          </w:p>
        </w:tc>
        <w:tc>
          <w:tcPr>
            <w:tcW w:type="dxa" w:w="4824"/>
            <w:shd w:fill="FAFCFF"/>
            <w:tcMar>
              <w:top w:w="60" w:type="dxa"/>
              <w:bottom w:w="60" w:type="dxa"/>
              <w:left w:w="120" w:type="dxa"/>
              <w:right w:w="120" w:type="dxa"/>
            </w:tcMar>
          </w:tcPr>
          <w:p>
            <w:pPr>
              <w:spacing w:before="20" w:after="20"/>
            </w:pPr>
            <w:r>
              <w:rPr>
                <w:rFonts w:ascii="Calibri" w:hAnsi="Calibri"/>
                <w:b w:val="0"/>
                <w:color w:val="212529"/>
                <w:sz w:val="19"/>
              </w:rPr>
              <w:t>March 5, 2010</w:t>
            </w:r>
          </w:p>
        </w:tc>
      </w:tr>
      <w:tr>
        <w:tc>
          <w:tcPr>
            <w:tcW w:type="dxa" w:w="4824"/>
            <w:shd w:fill="EBF0F7"/>
            <w:tcMar>
              <w:top w:w="60" w:type="dxa"/>
              <w:bottom w:w="60" w:type="dxa"/>
              <w:left w:w="120" w:type="dxa"/>
              <w:right w:w="120" w:type="dxa"/>
            </w:tcMar>
          </w:tcPr>
          <w:p>
            <w:pPr>
              <w:spacing w:before="20" w:after="20"/>
            </w:pPr>
            <w:r>
              <w:rPr>
                <w:rFonts w:ascii="Arial" w:hAnsi="Arial"/>
                <w:b/>
                <w:color w:val="0F2043"/>
                <w:sz w:val="19"/>
              </w:rPr>
              <w:t>Ponente / Court:</w:t>
            </w:r>
          </w:p>
        </w:tc>
        <w:tc>
          <w:tcPr>
            <w:tcW w:type="dxa" w:w="4824"/>
            <w:shd w:fill="FAFCFF"/>
            <w:tcMar>
              <w:top w:w="60" w:type="dxa"/>
              <w:bottom w:w="60" w:type="dxa"/>
              <w:left w:w="120" w:type="dxa"/>
              <w:right w:w="120" w:type="dxa"/>
            </w:tcMar>
          </w:tcPr>
          <w:p>
            <w:pPr>
              <w:spacing w:before="20" w:after="20"/>
            </w:pPr>
            <w:r>
              <w:rPr>
                <w:rFonts w:ascii="Calibri" w:hAnsi="Calibri"/>
                <w:b w:val="0"/>
                <w:color w:val="212529"/>
                <w:sz w:val="19"/>
              </w:rPr>
              <w:t>Second Division</w:t>
            </w:r>
          </w:p>
        </w:tc>
      </w:tr>
    </w:tbl>
    <w:p>
      <w:pPr>
        <w:keepNext/>
        <w:spacing w:before="240" w:after="60"/>
      </w:pPr>
      <w:r>
        <w:rPr>
          <w:rFonts w:ascii="Arial" w:hAnsi="Arial"/>
          <w:b/>
          <w:color w:val="0F2043"/>
          <w:sz w:val="21"/>
        </w:rPr>
        <w:t>I. FACTS OF THE CASE</w:t>
      </w:r>
    </w:p>
    <w:tbl>
      <w:tblPr>
        <w:tblW w:type="auto" w:w="0"/>
        <w:jc w:val="center"/>
        <w:tblLook w:firstColumn="1" w:firstRow="1" w:lastColumn="0" w:lastRow="0" w:noHBand="0" w:noVBand="1" w:val="04A0"/>
      </w:tblPr>
      <w:tblGrid>
        <w:gridCol w:w="9648"/>
      </w:tblGrid>
      <w:tr>
        <w:tc>
          <w:tcPr>
            <w:tcW w:type="dxa" w:w="9648"/>
            <w:shd w:fill="F8F9FB"/>
            <w:tcMar>
              <w:top w:w="100" w:type="dxa"/>
              <w:bottom w:w="100" w:type="dxa"/>
              <w:left w:w="160" w:type="dxa"/>
              <w:right w:w="160" w:type="dxa"/>
            </w:tcMar>
          </w:tcPr>
          <w:p>
            <w:pPr>
              <w:spacing w:before="20" w:after="40"/>
            </w:pPr>
            <w:r>
              <w:rPr>
                <w:rFonts w:ascii="Arial" w:hAnsi="Arial"/>
                <w:b/>
                <w:color w:val="0F2043"/>
                <w:sz w:val="19"/>
              </w:rPr>
              <w:t>Material Facts of Controversy</w:t>
              <w:br/>
            </w:r>
          </w:p>
          <w:p>
            <w:pPr>
              <w:spacing w:before="20" w:after="40" w:line="276" w:lineRule="auto"/>
            </w:pPr>
            <w:r>
              <w:rPr>
                <w:rFonts w:ascii="Calibri" w:hAnsi="Calibri"/>
                <w:color w:val="212529"/>
                <w:sz w:val="19"/>
              </w:rPr>
              <w:t>Maria Virginia Remo, a married Filipino woman, applied to renew her Philippine passport and requested to revert to her maiden name ('Remo') while her marriage was still fully subsisting. The Department of Foreign Affairs (DFA) denied her request, citing Section 5(d) of Republic Act No. 8239 (Philippine Passport Act of 1996) and DFA Implementing Rules, which allow a married woman to revert to her maiden name in a passport ONLY upon death of the husband, annulment/divorce, or legal separation. Remo petitioned the courts, arguing that under Article 370 of the Civil Code, a married woman is not obligated to use her husband's surname and may choose to use her maiden name at any time.</w:t>
            </w:r>
          </w:p>
        </w:tc>
      </w:tr>
    </w:tbl>
    <w:p>
      <w:pPr>
        <w:keepNext/>
        <w:spacing w:before="240" w:after="60"/>
      </w:pPr>
      <w:r>
        <w:rPr>
          <w:rFonts w:ascii="Arial" w:hAnsi="Arial"/>
          <w:b/>
          <w:color w:val="0F2043"/>
          <w:sz w:val="21"/>
        </w:rPr>
        <w:t>II. FACTS RELEVANT TO STATUTORY CONSTRUCTION</w:t>
      </w:r>
    </w:p>
    <w:tbl>
      <w:tblPr>
        <w:tblW w:type="auto" w:w="0"/>
        <w:jc w:val="center"/>
        <w:tblLook w:firstColumn="1" w:firstRow="1" w:lastColumn="0" w:lastRow="0" w:noHBand="0" w:noVBand="1" w:val="04A0"/>
      </w:tblPr>
      <w:tblGrid>
        <w:gridCol w:w="9648"/>
      </w:tblGrid>
      <w:tr>
        <w:tc>
          <w:tcPr>
            <w:tcW w:type="dxa" w:w="9648"/>
            <w:shd w:fill="F8F9FB"/>
            <w:tcMar>
              <w:top w:w="100" w:type="dxa"/>
              <w:bottom w:w="100" w:type="dxa"/>
              <w:left w:w="160" w:type="dxa"/>
              <w:right w:w="160" w:type="dxa"/>
            </w:tcMar>
          </w:tcPr>
          <w:p>
            <w:pPr>
              <w:spacing w:before="20" w:after="40"/>
            </w:pPr>
            <w:r>
              <w:rPr>
                <w:rFonts w:ascii="Arial" w:hAnsi="Arial"/>
                <w:b/>
                <w:color w:val="0F2043"/>
                <w:sz w:val="19"/>
              </w:rPr>
              <w:t>Facts Giving Rise to Need for Interpretation</w:t>
              <w:br/>
            </w:r>
          </w:p>
          <w:p>
            <w:pPr>
              <w:spacing w:before="20" w:after="40" w:line="276" w:lineRule="auto"/>
            </w:pPr>
            <w:r>
              <w:rPr>
                <w:rFonts w:ascii="Calibri" w:hAnsi="Calibri"/>
                <w:b/>
                <w:color w:val="212529"/>
                <w:sz w:val="19"/>
              </w:rPr>
              <w:t xml:space="preserve">• What provision of law or rule became relevant? </w:t>
            </w:r>
            <w:r>
              <w:rPr>
                <w:rFonts w:ascii="Calibri" w:hAnsi="Calibri"/>
                <w:color w:val="212529"/>
                <w:sz w:val="19"/>
              </w:rPr>
              <w:t>1. Section 5(d), Republic Act No. 8239 (Philippine Passport Act of 1996): Restricts amendment of passport names of married women to instances of widowhood, annulment, or divorce.</w:t>
              <w:br/>
              <w:t>2. Article 370, Civil Code of the Philippines: General rule allowing married women to use maiden name or husband's surname.</w:t>
            </w:r>
          </w:p>
          <w:p>
            <w:pPr>
              <w:spacing w:before="20" w:after="40" w:line="276" w:lineRule="auto"/>
            </w:pPr>
            <w:r>
              <w:rPr>
                <w:rFonts w:ascii="Calibri" w:hAnsi="Calibri"/>
                <w:b/>
                <w:color w:val="212529"/>
                <w:sz w:val="19"/>
              </w:rPr>
              <w:t xml:space="preserve">• What circumstance made interpretation necessary? </w:t>
            </w:r>
            <w:r>
              <w:rPr>
                <w:rFonts w:ascii="Calibri" w:hAnsi="Calibri"/>
                <w:color w:val="212529"/>
                <w:sz w:val="19"/>
              </w:rPr>
              <w:t>Petitioner sought to elevate general civil law provisions over a specific, subsequent statute governing international travel document security.</w:t>
            </w:r>
          </w:p>
          <w:p>
            <w:pPr>
              <w:spacing w:before="20" w:after="40" w:line="276" w:lineRule="auto"/>
            </w:pPr>
            <w:r>
              <w:rPr>
                <w:rFonts w:ascii="Calibri" w:hAnsi="Calibri"/>
                <w:b/>
                <w:color w:val="212529"/>
                <w:sz w:val="19"/>
              </w:rPr>
              <w:t xml:space="preserve">• What competing interpretations were presented? </w:t>
            </w:r>
            <w:r>
              <w:rPr>
                <w:rFonts w:ascii="Calibri" w:hAnsi="Calibri"/>
                <w:color w:val="212529"/>
                <w:sz w:val="19"/>
              </w:rPr>
              <w:t>Petitioner argued for a favorable interpretation based on statutory intent, while Respondent contended for a literal or restrictive application.</w:t>
            </w:r>
          </w:p>
        </w:tc>
      </w:tr>
    </w:tbl>
    <w:p>
      <w:pPr>
        <w:keepNext/>
        <w:spacing w:before="240" w:after="60"/>
      </w:pPr>
      <w:r>
        <w:rPr>
          <w:rFonts w:ascii="Arial" w:hAnsi="Arial"/>
          <w:b/>
          <w:color w:val="0F2043"/>
          <w:sz w:val="21"/>
        </w:rPr>
        <w:t>III. ISSUES</w:t>
      </w:r>
    </w:p>
    <w:p>
      <w:pPr>
        <w:keepNext/>
        <w:spacing w:before="120" w:after="40"/>
      </w:pPr>
      <w:r>
        <w:rPr>
          <w:rFonts w:ascii="Arial" w:hAnsi="Arial"/>
          <w:b/>
          <w:color w:val="781E1E"/>
          <w:sz w:val="20"/>
        </w:rPr>
        <w:t>A. General Legal Issues</w:t>
      </w:r>
    </w:p>
    <w:p>
      <w:pPr>
        <w:spacing w:before="40" w:after="80" w:line="276" w:lineRule="auto"/>
      </w:pPr>
      <w:r>
        <w:rPr>
          <w:rFonts w:ascii="Calibri" w:hAnsi="Calibri"/>
          <w:i w:val="0"/>
          <w:color w:val="212529"/>
          <w:sz w:val="21"/>
        </w:rPr>
        <w:t>Whether or not a married woman who previously used her husband's surname on her passport can revert to her maiden name in passport renewal while the marriage is still subsisting.</w:t>
      </w:r>
    </w:p>
    <w:p>
      <w:pPr>
        <w:keepNext/>
        <w:spacing w:before="120" w:after="40"/>
      </w:pPr>
      <w:r>
        <w:rPr>
          <w:rFonts w:ascii="Arial" w:hAnsi="Arial"/>
          <w:b/>
          <w:color w:val="781E1E"/>
          <w:sz w:val="20"/>
        </w:rPr>
        <w:t>B. Statutory-Construction Issue/s</w:t>
      </w:r>
    </w:p>
    <w:tbl>
      <w:tblPr>
        <w:tblW w:type="auto" w:w="0"/>
        <w:jc w:val="center"/>
        <w:tblLook w:firstColumn="1" w:firstRow="1" w:lastColumn="0" w:lastRow="0" w:noHBand="0" w:noVBand="1" w:val="04A0"/>
      </w:tblPr>
      <w:tblGrid>
        <w:gridCol w:w="9648"/>
      </w:tblGrid>
      <w:tr>
        <w:tc>
          <w:tcPr>
            <w:tcW w:type="dxa" w:w="9648"/>
            <w:shd w:fill="EBF3FA"/>
            <w:tcMar>
              <w:top w:w="100" w:type="dxa"/>
              <w:bottom w:w="100" w:type="dxa"/>
              <w:left w:w="160" w:type="dxa"/>
              <w:right w:w="160" w:type="dxa"/>
            </w:tcMar>
          </w:tcPr>
          <w:p>
            <w:pPr>
              <w:spacing w:before="20" w:after="40"/>
            </w:pPr>
            <w:r>
              <w:rPr>
                <w:rFonts w:ascii="Arial" w:hAnsi="Arial"/>
                <w:b/>
                <w:color w:val="0F2043"/>
                <w:sz w:val="19"/>
              </w:rPr>
              <w:t>Standardized StatCon Issue Statement</w:t>
              <w:br/>
            </w:r>
          </w:p>
          <w:p>
            <w:pPr>
              <w:spacing w:before="20" w:after="40" w:line="276" w:lineRule="auto"/>
            </w:pPr>
            <w:r>
              <w:rPr>
                <w:rFonts w:ascii="Calibri" w:hAnsi="Calibri"/>
                <w:color w:val="212529"/>
                <w:sz w:val="19"/>
              </w:rPr>
              <w:t>Whether the subject statutory act, classification, or terminology under the governing statute/rule means, includes, or applies to the factual controversy in Maria Virginia V. Remo v. The Honorable Secretary of Foreign Affairs, under the canon of Generalia specialibus non derogant.</w:t>
            </w:r>
          </w:p>
        </w:tc>
      </w:tr>
    </w:tbl>
    <w:p>
      <w:pPr>
        <w:keepNext/>
        <w:spacing w:before="240" w:after="60"/>
      </w:pPr>
      <w:r>
        <w:rPr>
          <w:rFonts w:ascii="Arial" w:hAnsi="Arial"/>
          <w:b/>
          <w:color w:val="0F2043"/>
          <w:sz w:val="21"/>
        </w:rPr>
        <w:t>IV. PROVISION/S OF LAW CONSTRUED</w:t>
      </w:r>
    </w:p>
    <w:tbl>
      <w:tblPr>
        <w:tblW w:type="auto" w:w="0"/>
        <w:jc w:val="center"/>
        <w:tblLook w:firstColumn="1" w:firstRow="1" w:lastColumn="0" w:lastRow="0" w:noHBand="0" w:noVBand="1" w:val="04A0"/>
      </w:tblPr>
      <w:tblGrid>
        <w:gridCol w:w="9648"/>
      </w:tblGrid>
      <w:tr>
        <w:tc>
          <w:tcPr>
            <w:tcW w:type="dxa" w:w="9648"/>
            <w:shd w:fill="F8F9FB"/>
            <w:tcMar>
              <w:top w:w="100" w:type="dxa"/>
              <w:bottom w:w="100" w:type="dxa"/>
              <w:left w:w="160" w:type="dxa"/>
              <w:right w:w="160" w:type="dxa"/>
            </w:tcMar>
          </w:tcPr>
          <w:p>
            <w:pPr>
              <w:spacing w:before="20" w:after="40"/>
            </w:pPr>
            <w:r>
              <w:rPr>
                <w:rFonts w:ascii="Arial" w:hAnsi="Arial"/>
                <w:b/>
                <w:color w:val="0F2043"/>
                <w:sz w:val="19"/>
              </w:rPr>
              <w:t>Statutory / Constitutional Text &amp; Problem</w:t>
              <w:br/>
            </w:r>
          </w:p>
          <w:p>
            <w:pPr>
              <w:spacing w:before="20" w:after="40" w:line="276" w:lineRule="auto"/>
            </w:pPr>
            <w:r>
              <w:rPr>
                <w:rFonts w:ascii="Calibri" w:hAnsi="Calibri"/>
                <w:b/>
                <w:color w:val="212529"/>
                <w:sz w:val="19"/>
              </w:rPr>
              <w:t xml:space="preserve">• Quoted Provision: </w:t>
            </w:r>
            <w:r>
              <w:rPr>
                <w:rFonts w:ascii="Calibri" w:hAnsi="Calibri"/>
                <w:color w:val="212529"/>
                <w:sz w:val="19"/>
              </w:rPr>
              <w:t>1. Section 5(d), Republic Act No. 8239 (Philippine Passport Act of 1996): Restricts amendment of passport names of married women to instances of widowhood, annulment, or divorce.</w:t>
              <w:br/>
              <w:t>2. Article 370, Civil Code of the Philippines: General rule allowing married women to use maiden name or husband's surname.</w:t>
            </w:r>
          </w:p>
          <w:p>
            <w:pPr>
              <w:spacing w:before="20" w:after="40" w:line="276" w:lineRule="auto"/>
            </w:pPr>
            <w:r>
              <w:rPr>
                <w:rFonts w:ascii="Calibri" w:hAnsi="Calibri"/>
                <w:b/>
                <w:color w:val="212529"/>
                <w:sz w:val="19"/>
              </w:rPr>
              <w:t xml:space="preserve">• Interpretive Problem: </w:t>
            </w:r>
            <w:r>
              <w:rPr>
                <w:rFonts w:ascii="Calibri" w:hAnsi="Calibri"/>
                <w:color w:val="212529"/>
                <w:sz w:val="19"/>
              </w:rPr>
              <w:t>Determining the precise legislative intent and boundary of the statutory terms in light of: Petitioner sought to elevate general civil law provisions over a specific, subsequent statute governing international tr...</w:t>
            </w:r>
          </w:p>
        </w:tc>
      </w:tr>
    </w:tbl>
    <w:p>
      <w:pPr>
        <w:keepNext/>
        <w:spacing w:before="240" w:after="60"/>
      </w:pPr>
      <w:r>
        <w:rPr>
          <w:rFonts w:ascii="Arial" w:hAnsi="Arial"/>
          <w:b/>
          <w:color w:val="0F2043"/>
          <w:sz w:val="21"/>
        </w:rPr>
        <w:t>V. RULING OF THE SUPREME COURT</w:t>
      </w:r>
    </w:p>
    <w:p>
      <w:pPr>
        <w:keepNext/>
        <w:spacing w:before="120" w:after="40"/>
      </w:pPr>
      <w:r>
        <w:rPr>
          <w:rFonts w:ascii="Arial" w:hAnsi="Arial"/>
          <w:b/>
          <w:color w:val="781E1E"/>
          <w:sz w:val="20"/>
        </w:rPr>
        <w:t>A. General Ruling</w:t>
      </w:r>
    </w:p>
    <w:p>
      <w:pPr>
        <w:spacing w:before="40" w:after="80" w:line="276" w:lineRule="auto"/>
      </w:pPr>
      <w:r>
        <w:rPr>
          <w:rFonts w:ascii="Calibri" w:hAnsi="Calibri"/>
          <w:i w:val="0"/>
          <w:color w:val="212529"/>
          <w:sz w:val="21"/>
        </w:rPr>
        <w:t>The Supreme Court DENIED the petition and AFFIRMED the decision of the Court of Appeals and DFA denying the reversion to maiden name on the passport.</w:t>
      </w:r>
    </w:p>
    <w:p>
      <w:pPr>
        <w:keepNext/>
        <w:spacing w:before="120" w:after="40"/>
      </w:pPr>
      <w:r>
        <w:rPr>
          <w:rFonts w:ascii="Arial" w:hAnsi="Arial"/>
          <w:b/>
          <w:color w:val="781E1E"/>
          <w:sz w:val="20"/>
        </w:rPr>
        <w:t>B. Ruling on the Statutory-Construction Issue</w:t>
      </w:r>
    </w:p>
    <w:tbl>
      <w:tblPr>
        <w:tblW w:type="auto" w:w="0"/>
        <w:jc w:val="center"/>
        <w:tblLook w:firstColumn="1" w:firstRow="1" w:lastColumn="0" w:lastRow="0" w:noHBand="0" w:noVBand="1" w:val="04A0"/>
      </w:tblPr>
      <w:tblGrid>
        <w:gridCol w:w="9648"/>
      </w:tblGrid>
      <w:tr>
        <w:tc>
          <w:tcPr>
            <w:tcW w:type="dxa" w:w="9648"/>
            <w:shd w:fill="F4FAF5"/>
            <w:tcMar>
              <w:top w:w="100" w:type="dxa"/>
              <w:bottom w:w="100" w:type="dxa"/>
              <w:left w:w="160" w:type="dxa"/>
              <w:right w:w="160" w:type="dxa"/>
            </w:tcMar>
          </w:tcPr>
          <w:p>
            <w:pPr>
              <w:spacing w:before="20" w:after="40"/>
            </w:pPr>
            <w:r>
              <w:rPr>
                <w:rFonts w:ascii="Arial" w:hAnsi="Arial"/>
                <w:b/>
                <w:color w:val="0F2043"/>
                <w:sz w:val="19"/>
              </w:rPr>
              <w:t>Statutory Meaning Established by Court</w:t>
              <w:br/>
            </w:r>
          </w:p>
          <w:p>
            <w:pPr>
              <w:spacing w:before="20" w:after="40" w:line="276" w:lineRule="auto"/>
            </w:pPr>
            <w:r>
              <w:rPr>
                <w:rFonts w:ascii="Calibri" w:hAnsi="Calibri"/>
                <w:color w:val="212529"/>
                <w:sz w:val="19"/>
              </w:rPr>
              <w:t>NO. A married woman who has chosen to adopt her husband's surname in her passport CANNOT revert to her maiden name while the marriage is subsisting. Under Generalia Specialibus Non Derogant, the special Passport Act prevails over the general Civil Code.</w:t>
            </w:r>
          </w:p>
        </w:tc>
      </w:tr>
    </w:tbl>
    <w:p>
      <w:pPr>
        <w:keepNext/>
        <w:spacing w:before="240" w:after="60"/>
      </w:pPr>
      <w:r>
        <w:rPr>
          <w:rFonts w:ascii="Arial" w:hAnsi="Arial"/>
          <w:b/>
          <w:color w:val="0F2043"/>
          <w:sz w:val="21"/>
        </w:rPr>
        <w:t>VI. HOW THE COURT CONSTRUED THE LAW</w:t>
      </w:r>
    </w:p>
    <w:tbl>
      <w:tblPr>
        <w:tblW w:type="auto" w:w="0"/>
        <w:jc w:val="center"/>
        <w:tblLook w:firstColumn="1" w:firstRow="1" w:lastColumn="0" w:lastRow="0" w:noHBand="0" w:noVBand="1" w:val="04A0"/>
      </w:tblPr>
      <w:tblGrid>
        <w:gridCol w:w="9648"/>
      </w:tblGrid>
      <w:tr>
        <w:tc>
          <w:tcPr>
            <w:tcW w:type="dxa" w:w="9648"/>
            <w:shd w:fill="F8F9FB"/>
            <w:tcMar>
              <w:top w:w="100" w:type="dxa"/>
              <w:bottom w:w="100" w:type="dxa"/>
              <w:left w:w="160" w:type="dxa"/>
              <w:right w:w="160" w:type="dxa"/>
            </w:tcMar>
          </w:tcPr>
          <w:p>
            <w:pPr>
              <w:spacing w:before="20" w:after="40"/>
            </w:pPr>
            <w:r>
              <w:rPr>
                <w:rFonts w:ascii="Arial" w:hAnsi="Arial"/>
                <w:b/>
                <w:color w:val="0F2043"/>
                <w:sz w:val="19"/>
              </w:rPr>
              <w:t>Methodological &amp; Doctrinal Analysis</w:t>
              <w:br/>
            </w:r>
          </w:p>
          <w:p>
            <w:pPr>
              <w:spacing w:before="20" w:after="40" w:line="276" w:lineRule="auto"/>
            </w:pPr>
            <w:r>
              <w:rPr>
                <w:rFonts w:ascii="Calibri" w:hAnsi="Calibri"/>
                <w:b/>
                <w:color w:val="212529"/>
                <w:sz w:val="19"/>
              </w:rPr>
              <w:t xml:space="preserve">A. Why Was Construction Necessary? </w:t>
            </w:r>
            <w:r>
              <w:rPr>
                <w:rFonts w:ascii="Calibri" w:hAnsi="Calibri"/>
                <w:color w:val="212529"/>
                <w:sz w:val="19"/>
              </w:rPr>
              <w:t>Ambiguity in the application and scope of the statute: Petitioner sought to elevate general civil law provisions over a specific, subsequent statute governing international travel document securi.</w:t>
            </w:r>
          </w:p>
          <w:p>
            <w:pPr>
              <w:spacing w:before="20" w:after="40" w:line="276" w:lineRule="auto"/>
            </w:pPr>
            <w:r>
              <w:rPr>
                <w:rFonts w:ascii="Calibri" w:hAnsi="Calibri"/>
                <w:b/>
                <w:color w:val="212529"/>
                <w:sz w:val="19"/>
              </w:rPr>
              <w:t xml:space="preserve">B. Purpose of Construction: </w:t>
            </w:r>
            <w:r>
              <w:rPr>
                <w:rFonts w:ascii="Calibri" w:hAnsi="Calibri"/>
                <w:color w:val="212529"/>
                <w:sz w:val="19"/>
              </w:rPr>
              <w:t>To ascertain and give full effect to the true intent, spirit, and purpose of the lawmaking body.</w:t>
            </w:r>
          </w:p>
          <w:p>
            <w:pPr>
              <w:spacing w:before="20" w:after="40" w:line="276" w:lineRule="auto"/>
            </w:pPr>
            <w:r>
              <w:rPr>
                <w:rFonts w:ascii="Calibri" w:hAnsi="Calibri"/>
                <w:b/>
                <w:color w:val="212529"/>
                <w:sz w:val="19"/>
              </w:rPr>
              <w:t xml:space="preserve">C. Method, Canon, or Rule Applied: </w:t>
            </w:r>
            <w:r>
              <w:rPr>
                <w:rFonts w:ascii="Calibri" w:hAnsi="Calibri"/>
                <w:color w:val="212529"/>
                <w:sz w:val="19"/>
              </w:rPr>
              <w:t>Generalia specialibus non derogant</w:t>
              <w:br/>
              <w:t xml:space="preserve">   - Application: Primacy of Special Regulatory Statutes: Special statutes enacted to protect state security and international document integrity override general civil law provisions on the same subject.</w:t>
              <w:br/>
              <w:t xml:space="preserve">   - Result: No. Under the Civil Code, you can choose to keep your maiden name when you get married. But once you elect to put your married name on your official passport, the special Passport Act applies: you cannot switch back and forth until the marriage ends, in order to maintain international travel security.</w:t>
            </w:r>
          </w:p>
          <w:p>
            <w:pPr>
              <w:spacing w:before="20" w:after="40" w:line="276" w:lineRule="auto"/>
            </w:pPr>
            <w:r>
              <w:rPr>
                <w:rFonts w:ascii="Calibri" w:hAnsi="Calibri"/>
                <w:b/>
                <w:color w:val="212529"/>
                <w:sz w:val="19"/>
              </w:rPr>
              <w:t xml:space="preserve">D. Other Sources Used: </w:t>
            </w:r>
            <w:r>
              <w:rPr>
                <w:rFonts w:ascii="Calibri" w:hAnsi="Calibri"/>
                <w:color w:val="212529"/>
                <w:sz w:val="19"/>
              </w:rPr>
              <w:t>Ordinary meaning of words, statute considered as a whole, legislative history, and established Supreme Court jurisprudence.</w:t>
            </w:r>
          </w:p>
        </w:tc>
      </w:tr>
    </w:tbl>
    <w:p>
      <w:pPr>
        <w:keepNext/>
        <w:spacing w:before="240" w:after="60"/>
      </w:pPr>
      <w:r>
        <w:rPr>
          <w:rFonts w:ascii="Arial" w:hAnsi="Arial"/>
          <w:b/>
          <w:color w:val="0F2043"/>
          <w:sz w:val="21"/>
        </w:rPr>
        <w:t>VII. RELEVANT STATUTORY-CONSTRUCTION CONCEPTS (A–L EVALUATION)</w:t>
      </w:r>
    </w:p>
    <w:tbl>
      <w:tblPr>
        <w:tblW w:type="auto" w:w="0"/>
        <w:jc w:val="center"/>
        <w:tblLook w:firstColumn="1" w:firstRow="1" w:lastColumn="0" w:lastRow="0" w:noHBand="0" w:noVBand="1" w:val="04A0"/>
      </w:tblPr>
      <w:tblGrid>
        <w:gridCol w:w="4824"/>
        <w:gridCol w:w="4824"/>
      </w:tblGrid>
      <w:tr>
        <w:tc>
          <w:tcPr>
            <w:tcW w:type="dxa" w:w="4824"/>
            <w:shd w:fill="EBF0F8"/>
            <w:tcMar>
              <w:top w:w="70" w:type="dxa"/>
              <w:bottom w:w="70" w:type="dxa"/>
              <w:left w:w="100" w:type="dxa"/>
              <w:right w:w="100" w:type="dxa"/>
            </w:tcMar>
          </w:tcPr>
          <w:p>
            <w:pPr>
              <w:spacing w:before="20" w:after="20"/>
            </w:pPr>
            <w:r>
              <w:rPr>
                <w:rFonts w:ascii="Arial" w:hAnsi="Arial"/>
                <w:b/>
                <w:color w:val="0F2043"/>
                <w:sz w:val="18"/>
              </w:rPr>
              <w:t>A. Situs of Statutory Construction</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Supreme Court of the Philippines, exercising its constitutional judicial power under Article VIII of the Constitution, serves as the ultimate situs and final arbiter for interpreting and construing the disputed provision.</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B. Purpose of Statutory Construction</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purpose of construction is to discover and effectuate the true legislative intent and will of the lawmaking body, preventing injustice and ensuring the statute operates harmoniously.</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C. When to Construe</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Court reaffirmed the cardinal threshold rule: Construction and interpretation are proper only where the statute is ambiguous, doubtful, or susceptible of multiple meanings. Where the law is clear, no construction is warranted.</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D. Ambiguity or Vagueness</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781E1E"/>
                <w:sz w:val="17"/>
              </w:rPr>
              <w:t xml:space="preserve"> [NOT APPLICABLE] </w:t>
            </w:r>
            <w:r>
              <w:rPr>
                <w:rFonts w:ascii="Calibri" w:hAnsi="Calibri"/>
                <w:color w:val="212529"/>
                <w:sz w:val="18"/>
              </w:rPr>
              <w:t>Not Applicable. The statutory language was clear and unambiguous; the Court declined to find ambiguity where none existed in the text.</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E. Verba Legis Non Est Recedendum</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Court adhered strictly to the literal wording of the statute, holding that from the words of a statute there should be no departure.</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F. Absoluta Sententia Expositore Non Indigent</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Court held that when the language of the law is clear and unequivocal, it requires no interpreter and leaves no room for judicial construction.</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G. Legislative Intent</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Court analyzed the true intent and policy of the lawmaking authority, ensuring that the statutory purpose is preserved and not defeated by erroneous administrative or private interpretations.</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H. Strict or Liberal Construction</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781E1E"/>
                <w:sz w:val="17"/>
              </w:rPr>
              <w:t xml:space="preserve"> [NOT APPLICABLE] </w:t>
            </w:r>
            <w:r>
              <w:rPr>
                <w:rFonts w:ascii="Calibri" w:hAnsi="Calibri"/>
                <w:color w:val="212529"/>
                <w:sz w:val="18"/>
              </w:rPr>
              <w:t>Not Applicable. The Court applied standard ordinary rules of statutory interpretation without resorting to special strict or liberal construction doctrines.</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I. Prospective or Retrospective Construction</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781E1E"/>
                <w:sz w:val="17"/>
              </w:rPr>
              <w:t xml:space="preserve"> [NOT APPLICABLE] </w:t>
            </w:r>
            <w:r>
              <w:rPr>
                <w:rFonts w:ascii="Calibri" w:hAnsi="Calibri"/>
                <w:color w:val="212529"/>
                <w:sz w:val="18"/>
              </w:rPr>
              <w:t>Not Applicable. The case involved only the contemporaneous, prospective application of the governing law.</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J. Statutory Construction vs. Judicial Legislation</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Court underscored the constitutional boundary of judicial power: Courts are empowered solely to interpret (jus dicere), not to enact or amend laws (jus dare). Supplying unwritten terms or expanding clear prohibitions constitutes prohibited judicial legislation.</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K. Legis Interpretatio Legis Vim Obtinet</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Under Article 8 of the Civil Code, the Supreme Court's authoritative interpretation of the statute forms part of the legal system of the Philippines and acquires the force of law (*legis interpretatio legis vim obtinet*).</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L. Extent and Limits of the Power to Construe</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Court respected the constitutional limits of its authority by applying the law as written and refusing to invade the legislative domain under the guise of equity or expediency.</w:t>
            </w:r>
          </w:p>
        </w:tc>
      </w:tr>
    </w:tbl>
    <w:p>
      <w:pPr>
        <w:keepNext/>
        <w:spacing w:before="240" w:after="60"/>
      </w:pPr>
      <w:r>
        <w:rPr>
          <w:rFonts w:ascii="Arial" w:hAnsi="Arial"/>
          <w:b/>
          <w:color w:val="0F2043"/>
          <w:sz w:val="21"/>
        </w:rPr>
        <w:t>VIII. OTHER CANONS OR METHODS OF CONSTRUCTION</w:t>
      </w:r>
    </w:p>
    <w:tbl>
      <w:tblPr>
        <w:tblW w:type="auto" w:w="0"/>
        <w:jc w:val="center"/>
        <w:tblLook w:firstColumn="1" w:firstRow="1" w:lastColumn="0" w:lastRow="0" w:noHBand="0" w:noVBand="1" w:val="04A0"/>
      </w:tblPr>
      <w:tblGrid>
        <w:gridCol w:w="9648"/>
      </w:tblGrid>
      <w:tr>
        <w:tc>
          <w:tcPr>
            <w:tcW w:type="dxa" w:w="9648"/>
            <w:shd w:fill="F8F9FB"/>
            <w:tcMar>
              <w:top w:w="100" w:type="dxa"/>
              <w:bottom w:w="100" w:type="dxa"/>
              <w:left w:w="160" w:type="dxa"/>
              <w:right w:w="160" w:type="dxa"/>
            </w:tcMar>
          </w:tcPr>
          <w:p>
            <w:pPr>
              <w:spacing w:before="20" w:after="40"/>
            </w:pPr>
            <w:r>
              <w:rPr>
                <w:rFonts w:ascii="Arial" w:hAnsi="Arial"/>
                <w:b/>
                <w:color w:val="0F2043"/>
                <w:sz w:val="19"/>
              </w:rPr>
              <w:t>Secondary Rules &amp; Canons Applied</w:t>
              <w:br/>
            </w:r>
          </w:p>
          <w:p>
            <w:pPr>
              <w:spacing w:before="20" w:after="40" w:line="276" w:lineRule="auto"/>
            </w:pPr>
            <w:r>
              <w:rPr>
                <w:rFonts w:ascii="Calibri" w:hAnsi="Calibri"/>
                <w:b/>
                <w:color w:val="212529"/>
                <w:sz w:val="19"/>
              </w:rPr>
              <w:t xml:space="preserve">• Canon / Maxim: </w:t>
            </w:r>
            <w:r>
              <w:rPr>
                <w:rFonts w:ascii="Calibri" w:hAnsi="Calibri"/>
                <w:color w:val="212529"/>
                <w:sz w:val="19"/>
              </w:rPr>
              <w:t>• Verba legis non est recedendum (clear statutory text on passport name changes)</w:t>
              <w:br/>
              <w:t>• Optima statuti interpretatrix est ipsum statutum (statute is its own best interpreter)</w:t>
            </w:r>
          </w:p>
          <w:p>
            <w:pPr>
              <w:spacing w:before="20" w:after="40" w:line="276" w:lineRule="auto"/>
            </w:pPr>
            <w:r>
              <w:rPr>
                <w:rFonts w:ascii="Calibri" w:hAnsi="Calibri"/>
                <w:b/>
                <w:color w:val="212529"/>
                <w:sz w:val="19"/>
              </w:rPr>
              <w:t xml:space="preserve">• How Applied: </w:t>
            </w:r>
            <w:r>
              <w:rPr>
                <w:rFonts w:ascii="Calibri" w:hAnsi="Calibri"/>
                <w:color w:val="212529"/>
                <w:sz w:val="19"/>
              </w:rPr>
              <w:t>Applied as corroborative canons to reinforce the primary rule of construction.</w:t>
            </w:r>
          </w:p>
          <w:p>
            <w:pPr>
              <w:spacing w:before="20" w:after="40" w:line="276" w:lineRule="auto"/>
            </w:pPr>
            <w:r>
              <w:rPr>
                <w:rFonts w:ascii="Calibri" w:hAnsi="Calibri"/>
                <w:b/>
                <w:color w:val="212529"/>
                <w:sz w:val="19"/>
              </w:rPr>
              <w:t xml:space="preserve">• Effect on Interpretation: </w:t>
            </w:r>
            <w:r>
              <w:rPr>
                <w:rFonts w:ascii="Calibri" w:hAnsi="Calibri"/>
                <w:color w:val="212529"/>
                <w:sz w:val="19"/>
              </w:rPr>
              <w:t>Harmonized the statute and prevented an absurd or unjust result.</w:t>
            </w:r>
          </w:p>
        </w:tc>
      </w:tr>
    </w:tbl>
    <w:p>
      <w:pPr>
        <w:keepNext/>
        <w:spacing w:before="240" w:after="60"/>
      </w:pPr>
      <w:r>
        <w:rPr>
          <w:rFonts w:ascii="Arial" w:hAnsi="Arial"/>
          <w:b/>
          <w:color w:val="0F2043"/>
          <w:sz w:val="21"/>
        </w:rPr>
        <w:t>IX. THE CONSTRUCTION MADE BY THE COURT</w:t>
      </w:r>
    </w:p>
    <w:tbl>
      <w:tblPr>
        <w:tblW w:type="auto" w:w="0"/>
        <w:jc w:val="center"/>
        <w:tblLook w:firstColumn="1" w:firstRow="1" w:lastColumn="0" w:lastRow="0" w:noHBand="0" w:noVBand="1" w:val="04A0"/>
      </w:tblPr>
      <w:tblGrid>
        <w:gridCol w:w="9648"/>
      </w:tblGrid>
      <w:tr>
        <w:tc>
          <w:tcPr>
            <w:tcW w:type="dxa" w:w="9648"/>
            <w:shd w:fill="F9F8F5"/>
            <w:tcMar>
              <w:top w:w="100" w:type="dxa"/>
              <w:bottom w:w="100" w:type="dxa"/>
              <w:left w:w="160" w:type="dxa"/>
              <w:right w:w="160" w:type="dxa"/>
            </w:tcMar>
          </w:tcPr>
          <w:p>
            <w:pPr>
              <w:spacing w:before="20" w:after="40"/>
            </w:pPr>
            <w:r>
              <w:rPr>
                <w:rFonts w:ascii="Arial" w:hAnsi="Arial"/>
                <w:b/>
                <w:color w:val="0F2043"/>
                <w:sz w:val="19"/>
              </w:rPr>
              <w:t>Actual Judicial Construction &amp; Ratio</w:t>
              <w:br/>
            </w:r>
          </w:p>
          <w:p>
            <w:pPr>
              <w:spacing w:before="20" w:after="40" w:line="276" w:lineRule="auto"/>
            </w:pPr>
            <w:r>
              <w:rPr>
                <w:rFonts w:ascii="Calibri" w:hAnsi="Calibri"/>
                <w:b/>
                <w:color w:val="212529"/>
                <w:sz w:val="19"/>
              </w:rPr>
              <w:t xml:space="preserve">• Construction Summary: </w:t>
            </w:r>
            <w:r>
              <w:rPr>
                <w:rFonts w:ascii="Calibri" w:hAnsi="Calibri"/>
                <w:color w:val="212529"/>
                <w:sz w:val="19"/>
              </w:rPr>
              <w:t>The Court construed the disputed statutory provisions in Maria Virginia V. Remo v. The Honorable Secretary of Foreign Affairs to mean and apply strictly in accordance with Generalia specialibus non derogant, holding that No. Under the Civil Code, you can choose to keep your maiden name when you get married. But once you elect to put your married name on your official passport, t.</w:t>
            </w:r>
          </w:p>
          <w:p>
            <w:pPr>
              <w:spacing w:before="20" w:after="40" w:line="276" w:lineRule="auto"/>
            </w:pPr>
            <w:r>
              <w:rPr>
                <w:rFonts w:ascii="Calibri" w:hAnsi="Calibri"/>
                <w:b/>
                <w:color w:val="212529"/>
                <w:sz w:val="19"/>
              </w:rPr>
              <w:t xml:space="preserve">• Principal Reasoning: </w:t>
            </w:r>
            <w:r>
              <w:rPr>
                <w:rFonts w:ascii="Calibri" w:hAnsi="Calibri"/>
                <w:color w:val="212529"/>
                <w:sz w:val="19"/>
              </w:rPr>
              <w:t>The Civil Code gives you the freedom to choose your name. But a passport is an international border-control document. If people could switch names back and forth on their passports during marriage, it would cause chaos for international security. The specific passport law controls over the general family law.</w:t>
            </w:r>
          </w:p>
        </w:tc>
      </w:tr>
    </w:tbl>
    <w:tbl>
      <w:tblPr>
        <w:tblW w:type="auto" w:w="0"/>
        <w:jc w:val="center"/>
        <w:tblLook w:firstColumn="1" w:firstRow="1" w:lastColumn="0" w:lastRow="0" w:noHBand="0" w:noVBand="1" w:val="04A0"/>
      </w:tblPr>
      <w:tblGrid>
        <w:gridCol w:w="9648"/>
      </w:tblGrid>
      <w:tr>
        <w:tc>
          <w:tcPr>
            <w:tcW w:type="dxa" w:w="9648"/>
            <w:shd w:fill="EEF6F0"/>
            <w:tcMar>
              <w:top w:w="100" w:type="dxa"/>
              <w:bottom w:w="100" w:type="dxa"/>
              <w:left w:w="160" w:type="dxa"/>
              <w:right w:w="160" w:type="dxa"/>
            </w:tcMar>
          </w:tcPr>
          <w:p>
            <w:pPr>
              <w:spacing w:before="20" w:after="40"/>
            </w:pPr>
            <w:r>
              <w:rPr>
                <w:rFonts w:ascii="Arial" w:hAnsi="Arial"/>
                <w:b/>
                <w:color w:val="0D6E4B"/>
                <w:sz w:val="19"/>
              </w:rPr>
              <w:t>X. STATUTORY CONSTRUCTION OR JUDICIAL LEGISLATION?</w:t>
              <w:br/>
            </w:r>
          </w:p>
          <w:p>
            <w:pPr>
              <w:spacing w:before="20" w:after="60"/>
            </w:pPr>
            <w:r>
              <w:rPr>
                <w:rFonts w:ascii="Arial" w:hAnsi="Arial"/>
                <w:b/>
                <w:color w:val="0F2043"/>
                <w:sz w:val="19"/>
              </w:rPr>
              <w:t>☑ Proper statutory construction    ☐ Judicial legislation    ☐ Debatable</w:t>
            </w:r>
          </w:p>
          <w:p>
            <w:pPr>
              <w:spacing w:before="40" w:after="40" w:line="276" w:lineRule="auto"/>
            </w:pPr>
            <w:r>
              <w:rPr>
                <w:rFonts w:ascii="Calibri" w:hAnsi="Calibri"/>
                <w:b/>
                <w:color w:val="212529"/>
                <w:sz w:val="19"/>
              </w:rPr>
              <w:t>Explanation (3–5 sentences):</w:t>
              <w:br/>
            </w:r>
            <w:r>
              <w:rPr>
                <w:rFonts w:ascii="Calibri" w:hAnsi="Calibri"/>
                <w:color w:val="212529"/>
                <w:sz w:val="19"/>
              </w:rPr>
              <w:t>The Supreme Court acted within the legitimate bounds of its constitutional power to interpret the law (jus dicere). By applying Generalia specialibus non derogant, the Court faithfully effectuated the legislative intent without creating new rules, modifying clear statutory text, or usurping congressional prerogative. The ruling reinforces the separation of powers and the doctrine that courts must enforce the law as enacted.</w:t>
            </w:r>
          </w:p>
        </w:tc>
      </w:tr>
    </w:tbl>
    <w:p>
      <w:pPr>
        <w:spacing w:before="80" w:after="40"/>
      </w:pPr>
    </w:p>
    <w:tbl>
      <w:tblPr>
        <w:tblW w:type="auto" w:w="0"/>
        <w:jc w:val="center"/>
        <w:tblLook w:firstColumn="1" w:firstRow="1" w:lastColumn="0" w:lastRow="0" w:noHBand="0" w:noVBand="1" w:val="04A0"/>
      </w:tblPr>
      <w:tblGrid>
        <w:gridCol w:w="9648"/>
      </w:tblGrid>
      <w:tr>
        <w:tc>
          <w:tcPr>
            <w:tcW w:type="dxa" w:w="9648"/>
            <w:shd w:fill="FBF6EE"/>
            <w:tcMar>
              <w:top w:w="100" w:type="dxa"/>
              <w:bottom w:w="100" w:type="dxa"/>
              <w:left w:w="160" w:type="dxa"/>
              <w:right w:w="160" w:type="dxa"/>
            </w:tcMar>
          </w:tcPr>
          <w:p>
            <w:pPr>
              <w:spacing w:before="20" w:after="40"/>
            </w:pPr>
            <w:r>
              <w:rPr>
                <w:rFonts w:ascii="Arial" w:hAnsi="Arial"/>
                <w:b/>
                <w:color w:val="8C3200"/>
                <w:sz w:val="19"/>
              </w:rPr>
              <w:t>XI. DOCTRINE (Statutory Construction Principle):</w:t>
              <w:br/>
            </w:r>
            <w:r>
              <w:rPr>
                <w:rFonts w:ascii="Calibri" w:hAnsi="Calibri"/>
                <w:color w:val="212529"/>
                <w:sz w:val="19"/>
              </w:rPr>
              <w:t>Primacy of Special Regulatory Statutes: Special statutes enacted to protect state security and international document integrity override general civil law provisions on the same subject.</w:t>
              <w:br/>
              <w:br/>
            </w:r>
          </w:p>
          <w:p>
            <w:pPr>
              <w:spacing w:before="20" w:after="40"/>
            </w:pPr>
            <w:r>
              <w:rPr>
                <w:rFonts w:ascii="Arial" w:hAnsi="Arial"/>
                <w:b/>
                <w:color w:val="8C3200"/>
                <w:sz w:val="19"/>
              </w:rPr>
              <w:t>XII. ONE-SENTENCE TAKEAWAY:</w:t>
              <w:br/>
            </w:r>
            <w:r>
              <w:rPr>
                <w:rFonts w:ascii="Calibri" w:hAnsi="Calibri"/>
                <w:i/>
                <w:color w:val="212529"/>
                <w:sz w:val="19"/>
              </w:rPr>
              <w:t>This case is important in Statutory Construction because A special security law on passports beats a general civil law about family names.</w:t>
            </w:r>
          </w:p>
        </w:tc>
      </w:tr>
    </w:tbl>
    <w:p>
      <w:r>
        <w:br w:type="page"/>
      </w:r>
    </w:p>
    <w:p>
      <w:pPr>
        <w:keepNext/>
        <w:spacing w:before="320" w:after="80"/>
      </w:pPr>
      <w:r>
        <w:rPr>
          <w:rFonts w:ascii="Arial" w:hAnsi="Arial"/>
          <w:b/>
          <w:color w:val="0F2043"/>
          <w:sz w:val="26"/>
        </w:rPr>
        <w:t>48. COMMISSIONER OF INTERNAL REVENUE V. PHILIPPINE AIRLINES, INC. (PAL)</w:t>
      </w:r>
    </w:p>
    <w:p>
      <w:pPr>
        <w:spacing w:before="40" w:after="80" w:line="276" w:lineRule="auto"/>
      </w:pPr>
      <w:r>
        <w:rPr>
          <w:rFonts w:ascii="Calibri" w:hAnsi="Calibri"/>
          <w:b/>
          <w:color w:val="212529"/>
          <w:sz w:val="21"/>
        </w:rPr>
        <w:t xml:space="preserve">Citation: </w:t>
      </w:r>
      <w:r>
        <w:rPr>
          <w:rFonts w:ascii="Calibri" w:hAnsi="Calibri"/>
          <w:i/>
          <w:color w:val="212529"/>
          <w:sz w:val="21"/>
        </w:rPr>
        <w:t>G.R. No. 180066 | July 7, 2009 | 592 SCRA 237 | Third Division | Ponente: J. Chico-Nazario</w:t>
      </w:r>
    </w:p>
    <w:p>
      <w:pPr>
        <w:keepNext/>
        <w:spacing w:before="200" w:after="40"/>
      </w:pPr>
      <w:r>
        <w:rPr>
          <w:rFonts w:ascii="Arial" w:hAnsi="Arial"/>
          <w:b/>
          <w:color w:val="781E1E"/>
          <w:sz w:val="22"/>
        </w:rPr>
        <w:t>LAYER A: ALAC DIGEST, RECITATION SCRIPT &amp; STATCON ANALYSIS</w:t>
      </w:r>
    </w:p>
    <w:p>
      <w:pPr>
        <w:keepNext/>
        <w:spacing w:before="200" w:after="40"/>
      </w:pPr>
      <w:r>
        <w:rPr>
          <w:rFonts w:ascii="Arial" w:hAnsi="Arial"/>
          <w:b/>
          <w:color w:val="781E1E"/>
          <w:sz w:val="22"/>
        </w:rPr>
        <w:t>I. PARTIES &amp; PROCEDURAL BACKGROUND</w:t>
      </w:r>
    </w:p>
    <w:p>
      <w:pPr>
        <w:spacing w:before="40" w:after="80" w:line="276" w:lineRule="auto"/>
      </w:pPr>
      <w:r>
        <w:rPr>
          <w:rFonts w:ascii="Calibri" w:hAnsi="Calibri"/>
          <w:b/>
          <w:color w:val="212529"/>
          <w:sz w:val="21"/>
        </w:rPr>
        <w:t xml:space="preserve">• Plaintiff/Petitioner: </w:t>
      </w:r>
      <w:r>
        <w:rPr>
          <w:rFonts w:ascii="Calibri" w:hAnsi="Calibri"/>
          <w:i w:val="0"/>
          <w:color w:val="212529"/>
          <w:sz w:val="21"/>
        </w:rPr>
        <w:t>Commissioner of Internal Revenue (Petitioner)</w:t>
      </w:r>
    </w:p>
    <w:p>
      <w:pPr>
        <w:spacing w:before="40" w:after="80" w:line="276" w:lineRule="auto"/>
      </w:pPr>
      <w:r>
        <w:rPr>
          <w:rFonts w:ascii="Calibri" w:hAnsi="Calibri"/>
          <w:b/>
          <w:color w:val="212529"/>
          <w:sz w:val="21"/>
        </w:rPr>
        <w:t xml:space="preserve">• Defendant/Respondent: </w:t>
      </w:r>
      <w:r>
        <w:rPr>
          <w:rFonts w:ascii="Calibri" w:hAnsi="Calibri"/>
          <w:i w:val="0"/>
          <w:color w:val="212529"/>
          <w:sz w:val="21"/>
        </w:rPr>
        <w:t>Philippine Airlines, Inc. (PAL) (Respondent)</w:t>
      </w:r>
    </w:p>
    <w:p>
      <w:pPr>
        <w:spacing w:before="40" w:after="80" w:line="276" w:lineRule="auto"/>
      </w:pPr>
      <w:r>
        <w:rPr>
          <w:rFonts w:ascii="Calibri" w:hAnsi="Calibri"/>
          <w:b/>
          <w:color w:val="212529"/>
          <w:sz w:val="21"/>
        </w:rPr>
        <w:t xml:space="preserve">• Originating Court: </w:t>
      </w:r>
      <w:r>
        <w:rPr>
          <w:rFonts w:ascii="Calibri" w:hAnsi="Calibri"/>
          <w:i w:val="0"/>
          <w:color w:val="212529"/>
          <w:sz w:val="21"/>
        </w:rPr>
        <w:t>Court of Tax Appeals (En Banc) / Supreme Court</w:t>
      </w:r>
    </w:p>
    <w:p>
      <w:pPr>
        <w:spacing w:before="40" w:after="80" w:line="276" w:lineRule="auto"/>
      </w:pPr>
      <w:r>
        <w:rPr>
          <w:rFonts w:ascii="Calibri" w:hAnsi="Calibri"/>
          <w:b/>
          <w:color w:val="212529"/>
          <w:sz w:val="21"/>
        </w:rPr>
        <w:t xml:space="preserve">• Nature of the Action: </w:t>
      </w:r>
      <w:r>
        <w:rPr>
          <w:rFonts w:ascii="Calibri" w:hAnsi="Calibri"/>
          <w:i w:val="0"/>
          <w:color w:val="212529"/>
          <w:sz w:val="21"/>
        </w:rPr>
        <w:t>Petition for Review on Certiorari under Rule 45 concerning whether PAL is exempt from the 10% Minimum Corporate Income Tax (MCIT) under its special legislative franchise (P.D. No. 1590) versus the general National Internal Revenue Code of 1997.</w:t>
      </w:r>
    </w:p>
    <w:p>
      <w:pPr>
        <w:keepNext/>
        <w:spacing w:before="200" w:after="40"/>
      </w:pPr>
      <w:r>
        <w:rPr>
          <w:rFonts w:ascii="Arial" w:hAnsi="Arial"/>
          <w:b/>
          <w:color w:val="781E1E"/>
          <w:sz w:val="22"/>
        </w:rPr>
        <w:t>II. WHOLE FACTS</w:t>
      </w:r>
    </w:p>
    <w:p>
      <w:pPr>
        <w:spacing w:before="40" w:after="80" w:line="276" w:lineRule="auto"/>
      </w:pPr>
      <w:r>
        <w:rPr>
          <w:rFonts w:ascii="Calibri" w:hAnsi="Calibri"/>
          <w:i w:val="0"/>
          <w:color w:val="212529"/>
          <w:sz w:val="21"/>
        </w:rPr>
        <w:t>Under Section 13 of Presidential Decree No. 1590 (PAL's special legislative franchise), PAL was given the option to pay either: (a) basic corporate income tax, or (b) a franchise tax of 2% of gross revenues, 'whichever is lower', in lieu of all other taxes. In 1997, Congress enacted the National Internal Revenue Code (NIRC), introducing Section 27(E) which imposes a 2% Minimum Corporate Income Tax (MCIT) on gross income whenever the business incurs a net loss. When PAL suffered heavy operational losses and reported zero taxable income, the BIR assessed PAL for deficiency MCIT. PAL protested, invoking its franchise exemption under PD 1590 and Generalia Specialibus Non Derogant.</w:t>
      </w:r>
    </w:p>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SUMMARY OF FACTS</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Philippine Airlines (PAL) has a special legislative franchise (PD 1590) saying it only needs to pay basic income tax or a 2% franchise tax, 'whichever is lower, in lieu of all other taxes.' When PAL suffered losses and made zero net income, the BIR demanded Minimum Corporate Income Tax (MCIT) under the new 1997 Tax Code. The Supreme Court ruled that PAL's special franchise is a special law that cannot be repealed or modified by a general tax code without an express repealing clause.</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When reciting the facts, state the core dispute in 2 sentences, then state how the case reached the Supreme Court.</w:t>
            </w:r>
          </w:p>
        </w:tc>
      </w:tr>
    </w:tbl>
    <w:p>
      <w:pPr>
        <w:keepNext/>
        <w:spacing w:before="200" w:after="40"/>
      </w:pPr>
      <w:r>
        <w:rPr>
          <w:rFonts w:ascii="Arial" w:hAnsi="Arial"/>
          <w:b/>
          <w:color w:val="781E1E"/>
          <w:sz w:val="22"/>
        </w:rPr>
        <w:t>III. THE LEGAL ISSUE</w:t>
      </w:r>
    </w:p>
    <w:p>
      <w:pPr>
        <w:spacing w:before="40" w:after="80" w:line="276" w:lineRule="auto"/>
      </w:pPr>
      <w:r>
        <w:rPr>
          <w:rFonts w:ascii="Calibri" w:hAnsi="Calibri"/>
          <w:i w:val="0"/>
          <w:color w:val="212529"/>
          <w:sz w:val="21"/>
        </w:rPr>
        <w:t>Whether or not PAL is subject to the Minimum Corporate Income Tax (MCIT) under the 1997 NIRC, despite the 'in lieu of all other taxes' clause in its special legislative franchise (P.D. No. 1590).</w:t>
      </w:r>
    </w:p>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THE LEGAL ISSUE</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Does the general Tax Code's Minimum Corporate Income Tax apply to PAL, or does PAL's special charter franchise protect it?</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"Sir/Ma'am, the issue is whether the general provisions of the 1997 NIRC repealed the special tax exemptions in PAL's charter (PD 1590), testing the bedrock canon Generalia Specialibus Non Derogant (general laws do not derogate from special laws)."</w:t>
            </w:r>
          </w:p>
        </w:tc>
      </w:tr>
    </w:tbl>
    <w:p>
      <w:pPr>
        <w:keepNext/>
        <w:spacing w:before="200" w:after="40"/>
      </w:pPr>
      <w:r>
        <w:rPr>
          <w:rFonts w:ascii="Arial" w:hAnsi="Arial"/>
          <w:b/>
          <w:color w:val="781E1E"/>
          <w:sz w:val="22"/>
        </w:rPr>
        <w:t>IV. ALAC DIGEST</w:t>
      </w:r>
    </w:p>
    <w:tbl>
      <w:tblPr>
        <w:tblW w:type="auto" w:w="0"/>
        <w:jc w:val="center"/>
        <w:tblLook w:firstColumn="1" w:firstRow="1" w:lastColumn="0" w:lastRow="0" w:noHBand="0" w:noVBand="1" w:val="04A0"/>
      </w:tblPr>
      <w:tblGrid>
        <w:gridCol w:w="9648"/>
      </w:tblGrid>
      <w:tr>
        <w:tc>
          <w:tcPr>
            <w:tcW w:type="dxa" w:w="9648"/>
            <w:shd w:fill="F4F6F9"/>
            <w:tcMar>
              <w:top w:w="120" w:type="dxa"/>
              <w:bottom w:w="120" w:type="dxa"/>
              <w:left w:w="180" w:type="dxa"/>
              <w:right w:w="180" w:type="dxa"/>
            </w:tcMar>
          </w:tcPr>
          <w:p>
            <w:pPr>
              <w:spacing w:before="40" w:after="60"/>
            </w:pPr>
            <w:r>
              <w:rPr>
                <w:rFonts w:ascii="Arial" w:hAnsi="Arial"/>
                <w:b/>
                <w:color w:val="0F2043"/>
                <w:sz w:val="21"/>
              </w:rPr>
              <w:t>[A] ANSWER</w:t>
              <w:br/>
            </w:r>
          </w:p>
          <w:p>
            <w:pPr>
              <w:spacing w:before="20" w:after="40" w:line="276" w:lineRule="auto"/>
            </w:pPr>
            <w:r>
              <w:rPr>
                <w:rFonts w:ascii="Calibri" w:hAnsi="Calibri"/>
                <w:color w:val="212529"/>
                <w:sz w:val="20"/>
              </w:rPr>
              <w:t>NO. PAL is NOT subject to MCIT. PAL's special franchise (P.D. No. 1590) is a SPECIAL LAW that prevails over the general provisions of the NIRC. Under Generalia Specialibus Non Derogant, a general law does not repeal a special law unless the intent to repeal is explicit.</w:t>
            </w:r>
          </w:p>
        </w:tc>
      </w:tr>
    </w:tbl>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THE ANSWER</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No. PAL's franchise is a special contract with the State that says 'in lieu of all other taxes'. A general tax code does not secretly repeal a special franchise law without saying so directly.</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"No, Sir/Ma'am. The Supreme Court held that under Generalia specialibus non derogant (general laws do not derogate from special provisions) and the 'in lieu of all other taxes' clause of PD 1590, PAL's special franchise tax regime prevails over the general MCIT provisions of the 1997 NIRC."</w:t>
            </w:r>
          </w:p>
        </w:tc>
      </w:tr>
    </w:tbl>
    <w:tbl>
      <w:tblPr>
        <w:tblW w:type="auto" w:w="0"/>
        <w:jc w:val="center"/>
        <w:tblLook w:firstColumn="1" w:firstRow="1" w:lastColumn="0" w:lastRow="0" w:noHBand="0" w:noVBand="1" w:val="04A0"/>
      </w:tblPr>
      <w:tblGrid>
        <w:gridCol w:w="9648"/>
      </w:tblGrid>
      <w:tr>
        <w:tc>
          <w:tcPr>
            <w:tcW w:type="dxa" w:w="9648"/>
            <w:shd w:fill="F4F6F9"/>
            <w:tcMar>
              <w:top w:w="120" w:type="dxa"/>
              <w:bottom w:w="120" w:type="dxa"/>
              <w:left w:w="180" w:type="dxa"/>
              <w:right w:w="180" w:type="dxa"/>
            </w:tcMar>
          </w:tcPr>
          <w:p>
            <w:pPr>
              <w:spacing w:before="40" w:after="60"/>
            </w:pPr>
            <w:r>
              <w:rPr>
                <w:rFonts w:ascii="Arial" w:hAnsi="Arial"/>
                <w:b/>
                <w:color w:val="0F2043"/>
                <w:sz w:val="21"/>
              </w:rPr>
              <w:t>[L] LEGAL BASIS</w:t>
              <w:br/>
            </w:r>
          </w:p>
          <w:p>
            <w:pPr>
              <w:spacing w:before="20" w:after="40" w:line="276" w:lineRule="auto"/>
            </w:pPr>
            <w:r>
              <w:rPr>
                <w:rFonts w:ascii="Calibri" w:hAnsi="Calibri"/>
                <w:b/>
                <w:color w:val="212529"/>
                <w:sz w:val="20"/>
              </w:rPr>
              <w:t xml:space="preserve">1. Section 13, Presidential Decree No. 1590 (PAL Legislative Franchise): </w:t>
            </w:r>
            <w:r>
              <w:rPr>
                <w:rFonts w:ascii="Calibri" w:hAnsi="Calibri"/>
                <w:color w:val="212529"/>
                <w:sz w:val="20"/>
              </w:rPr>
              <w:t>Confers the 'in lieu of all other taxes' privilege and two-option tax formula.</w:t>
            </w:r>
          </w:p>
          <w:p>
            <w:pPr>
              <w:spacing w:before="20" w:after="40" w:line="276" w:lineRule="auto"/>
            </w:pPr>
            <w:r>
              <w:rPr>
                <w:rFonts w:ascii="Calibri" w:hAnsi="Calibri"/>
                <w:b/>
                <w:color w:val="212529"/>
                <w:sz w:val="20"/>
              </w:rPr>
              <w:t xml:space="preserve">2. Section 27(E), National Internal Revenue Code of 1997: </w:t>
            </w:r>
            <w:r>
              <w:rPr>
                <w:rFonts w:ascii="Calibri" w:hAnsi="Calibri"/>
                <w:color w:val="212529"/>
                <w:sz w:val="20"/>
              </w:rPr>
              <w:t>General imposition of Minimum Corporate Income Tax (MCIT) on domestic corporations.</w:t>
            </w:r>
          </w:p>
          <w:p>
            <w:pPr>
              <w:spacing w:before="20" w:after="40" w:line="276" w:lineRule="auto"/>
            </w:pPr>
            <w:r>
              <w:rPr>
                <w:rFonts w:ascii="Calibri" w:hAnsi="Calibri"/>
                <w:b/>
                <w:color w:val="212529"/>
                <w:sz w:val="20"/>
              </w:rPr>
              <w:t xml:space="preserve">3. Generalia Specialibus Non Derogant (general things do not derogate from special things): </w:t>
            </w:r>
            <w:r>
              <w:rPr>
                <w:rFonts w:ascii="Calibri" w:hAnsi="Calibri"/>
                <w:color w:val="212529"/>
                <w:sz w:val="20"/>
              </w:rPr>
              <w:t>A general tax statute cannot amend or repeal a prior special legislative franchise without an express and specific repealing clause.</w:t>
            </w:r>
          </w:p>
        </w:tc>
      </w:tr>
    </w:tbl>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LEGAL BASIS</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Section 13 PD 1590, Section 27(E) NIRC, and Generalia Specialibus Non Derogant.</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"Sir/Ma'am, the legal basis is Section 13 of PD 1590 in relation to Section 27(E) of the 1997 NIRC, governed by the immortal canon Generalia specialibus non derogant (general provisions yield to special laws)."</w:t>
            </w:r>
          </w:p>
        </w:tc>
      </w:tr>
    </w:tbl>
    <w:tbl>
      <w:tblPr>
        <w:tblW w:type="auto" w:w="0"/>
        <w:jc w:val="center"/>
        <w:tblLook w:firstColumn="1" w:firstRow="1" w:lastColumn="0" w:lastRow="0" w:noHBand="0" w:noVBand="1" w:val="04A0"/>
      </w:tblPr>
      <w:tblGrid>
        <w:gridCol w:w="9648"/>
      </w:tblGrid>
      <w:tr>
        <w:tc>
          <w:tcPr>
            <w:tcW w:type="dxa" w:w="9648"/>
            <w:shd w:fill="F4F6F9"/>
            <w:tcMar>
              <w:top w:w="120" w:type="dxa"/>
              <w:bottom w:w="120" w:type="dxa"/>
              <w:left w:w="180" w:type="dxa"/>
              <w:right w:w="180" w:type="dxa"/>
            </w:tcMar>
          </w:tcPr>
          <w:p>
            <w:pPr>
              <w:spacing w:before="40" w:after="60"/>
            </w:pPr>
            <w:r>
              <w:rPr>
                <w:rFonts w:ascii="Arial" w:hAnsi="Arial"/>
                <w:b/>
                <w:color w:val="0F2043"/>
                <w:sz w:val="21"/>
              </w:rPr>
              <w:t>[A] ANALYSIS / APPLICATION</w:t>
              <w:br/>
            </w:r>
          </w:p>
          <w:p>
            <w:pPr>
              <w:spacing w:before="20" w:after="40" w:line="276" w:lineRule="auto"/>
            </w:pPr>
            <w:r>
              <w:rPr>
                <w:rFonts w:ascii="Calibri" w:hAnsi="Calibri"/>
                <w:b/>
                <w:color w:val="212529"/>
                <w:sz w:val="20"/>
              </w:rPr>
              <w:t xml:space="preserve">1. Special Law vs. General Law: </w:t>
            </w:r>
            <w:r>
              <w:rPr>
                <w:rFonts w:ascii="Calibri" w:hAnsi="Calibri"/>
                <w:color w:val="212529"/>
                <w:sz w:val="20"/>
              </w:rPr>
              <w:t>PD 1590 is a special law tailored exclusively for PAL to foster national air transportation. The NIRC is a general law of nationwide application. It is a fundamental rule of statutory construction that a special law prevails over a general law.</w:t>
            </w:r>
          </w:p>
          <w:p>
            <w:pPr>
              <w:spacing w:before="20" w:after="40" w:line="276" w:lineRule="auto"/>
            </w:pPr>
            <w:r>
              <w:rPr>
                <w:rFonts w:ascii="Calibri" w:hAnsi="Calibri"/>
                <w:b/>
                <w:color w:val="212529"/>
                <w:sz w:val="20"/>
              </w:rPr>
              <w:t xml:space="preserve">2. Presumption Against Implied Repeals: </w:t>
            </w:r>
            <w:r>
              <w:rPr>
                <w:rFonts w:ascii="Calibri" w:hAnsi="Calibri"/>
                <w:color w:val="212529"/>
                <w:sz w:val="20"/>
              </w:rPr>
              <w:t>Repeals by implication are not favored. In the absence of an express repeal of PD 1590 in the 1997 NIRC, the special charter remains fully operational and exempt from MCIT.</w:t>
            </w:r>
          </w:p>
          <w:p>
            <w:pPr>
              <w:spacing w:before="20" w:after="40" w:line="276" w:lineRule="auto"/>
            </w:pPr>
            <w:r>
              <w:rPr>
                <w:rFonts w:ascii="Calibri" w:hAnsi="Calibri"/>
                <w:b/>
                <w:color w:val="212529"/>
                <w:sz w:val="20"/>
              </w:rPr>
              <w:t xml:space="preserve">3. The 'In Lieu of All Other Taxes' Clause: </w:t>
            </w:r>
            <w:r>
              <w:rPr>
                <w:rFonts w:ascii="Calibri" w:hAnsi="Calibri"/>
                <w:color w:val="212529"/>
                <w:sz w:val="20"/>
              </w:rPr>
              <w:t>The explicit statutory covenant that payment of franchise tax or income tax shall be 'in lieu of all other taxes' creates a complete statutory exemption from additional corporate taxes like MCIT.</w:t>
            </w:r>
          </w:p>
        </w:tc>
      </w:tr>
    </w:tbl>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ANALYSIS / APPLICATION</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PAL was granted a special charter to keep the country's flag carrier flying. The charter specifically promised that PAL would only pay basic income tax or 2% franchise tax, and nothing else. When Congress passed the new general Tax Code, it never explicitly mentioned repealing PAL's charter. A general law never overrides a special charter unless Congress specifically orders a repeal.</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"Sir/Ma'am, the Court applied Generalia Specialibus Non Derogant and the presumption against implied repeals. PAL's charter is a special law with an 'in lieu of all other taxes' clause. The general enactment of the 1997 NIRC did not repeal or modify PAL's special franchise tax regime."</w:t>
            </w:r>
          </w:p>
        </w:tc>
      </w:tr>
    </w:tbl>
    <w:tbl>
      <w:tblPr>
        <w:tblW w:type="auto" w:w="0"/>
        <w:jc w:val="center"/>
        <w:tblLook w:firstColumn="1" w:firstRow="1" w:lastColumn="0" w:lastRow="0" w:noHBand="0" w:noVBand="1" w:val="04A0"/>
      </w:tblPr>
      <w:tblGrid>
        <w:gridCol w:w="9648"/>
      </w:tblGrid>
      <w:tr>
        <w:tc>
          <w:tcPr>
            <w:tcW w:type="dxa" w:w="9648"/>
            <w:shd w:fill="F4F6F9"/>
            <w:tcMar>
              <w:top w:w="120" w:type="dxa"/>
              <w:bottom w:w="120" w:type="dxa"/>
              <w:left w:w="180" w:type="dxa"/>
              <w:right w:w="180" w:type="dxa"/>
            </w:tcMar>
          </w:tcPr>
          <w:p>
            <w:pPr>
              <w:spacing w:before="40" w:after="60"/>
            </w:pPr>
            <w:r>
              <w:rPr>
                <w:rFonts w:ascii="Arial" w:hAnsi="Arial"/>
                <w:b/>
                <w:color w:val="0F2043"/>
                <w:sz w:val="21"/>
              </w:rPr>
              <w:t>[C] CONCLUSION</w:t>
              <w:br/>
            </w:r>
          </w:p>
          <w:p>
            <w:pPr>
              <w:spacing w:before="20" w:after="40" w:line="276" w:lineRule="auto"/>
            </w:pPr>
            <w:r>
              <w:rPr>
                <w:rFonts w:ascii="Calibri" w:hAnsi="Calibri"/>
                <w:color w:val="212529"/>
                <w:sz w:val="20"/>
              </w:rPr>
              <w:t>The Supreme Court DENIED the CIR's petition, AFFIRMED the Court of Tax Appeals, and CANCELLED the MCIT assessment against Philippine Airlines.</w:t>
            </w:r>
          </w:p>
        </w:tc>
      </w:tr>
    </w:tbl>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CONCLUSION</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PAL won and the BIR's MCIT tax assessment was cancelled.</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"The Supreme Court cancelled the tax assessment, upholding PAL's franchise exemption under Generalia Specialibus Non Derogant."</w:t>
            </w:r>
          </w:p>
        </w:tc>
      </w:tr>
    </w:tbl>
    <w:p>
      <w:pPr>
        <w:keepNext/>
        <w:spacing w:before="200" w:after="40"/>
      </w:pPr>
      <w:r>
        <w:rPr>
          <w:rFonts w:ascii="Arial" w:hAnsi="Arial"/>
          <w:b/>
          <w:color w:val="781E1E"/>
          <w:sz w:val="22"/>
        </w:rPr>
        <w:t>V. RELATION TO STATUTORY CONSTRUCTION</w:t>
      </w:r>
    </w:p>
    <w:p>
      <w:pPr>
        <w:spacing w:before="40" w:after="80" w:line="276" w:lineRule="auto"/>
      </w:pPr>
      <w:r>
        <w:rPr>
          <w:rFonts w:ascii="Calibri" w:hAnsi="Calibri"/>
          <w:b/>
          <w:color w:val="212529"/>
          <w:sz w:val="21"/>
        </w:rPr>
        <w:t>• Syllabus Topic Alignment:</w:t>
        <w:br/>
      </w:r>
      <w:r>
        <w:rPr>
          <w:rFonts w:ascii="Calibri" w:hAnsi="Calibri"/>
          <w:i w:val="0"/>
          <w:color w:val="212529"/>
          <w:sz w:val="21"/>
        </w:rPr>
        <w:t>• Chapter III: Basic Guidelines in the Construction and Interpretation of Laws</w:t>
        <w:br/>
        <w:t xml:space="preserve">  - C. Considerations outside the Statute: Special Legislative Franchises vs. General Tax Codes (Generalia Specialibus Non Derogant)</w:t>
      </w:r>
    </w:p>
    <w:tbl>
      <w:tblPr>
        <w:tblW w:type="auto" w:w="0"/>
        <w:jc w:val="center"/>
        <w:tblLook w:firstColumn="1" w:firstRow="1" w:lastColumn="0" w:lastRow="0" w:noHBand="0" w:noVBand="1" w:val="04A0"/>
      </w:tblPr>
      <w:tblGrid>
        <w:gridCol w:w="9648"/>
      </w:tblGrid>
      <w:tr>
        <w:tc>
          <w:tcPr>
            <w:tcW w:type="dxa" w:w="9648"/>
            <w:shd w:fill="FDF6EE"/>
            <w:tcMar>
              <w:top w:w="120" w:type="dxa"/>
              <w:bottom w:w="120" w:type="dxa"/>
              <w:left w:w="180" w:type="dxa"/>
              <w:right w:w="180" w:type="dxa"/>
            </w:tcMar>
          </w:tcPr>
          <w:p>
            <w:pPr>
              <w:spacing w:before="40" w:after="80"/>
            </w:pPr>
            <w:r>
              <w:rPr>
                <w:rFonts w:ascii="Arial" w:hAnsi="Arial"/>
                <w:b/>
                <w:color w:val="8C3200"/>
                <w:sz w:val="20"/>
              </w:rPr>
              <w:t>📜 GOVERNING LATIN MAXIMS WITH ENGLISH TRANSLATIONS</w:t>
              <w:br/>
            </w:r>
          </w:p>
          <w:p>
            <w:pPr>
              <w:spacing w:before="40" w:after="60" w:line="276" w:lineRule="auto"/>
            </w:pPr>
            <w:r>
              <w:rPr>
                <w:rFonts w:ascii="Calibri" w:hAnsi="Calibri"/>
                <w:b/>
                <w:color w:val="8C3200"/>
                <w:sz w:val="20"/>
              </w:rPr>
              <w:t>1. Generalia specialibus non derogant (general things do not derogate from special things)</w:t>
              <w:br/>
            </w:r>
            <w:r>
              <w:rPr>
                <w:rFonts w:ascii="Calibri" w:hAnsi="Calibri"/>
                <w:b/>
                <w:color w:val="212529"/>
                <w:sz w:val="19"/>
              </w:rPr>
              <w:t xml:space="preserve">   • Literal English Translation: </w:t>
            </w:r>
            <w:r>
              <w:rPr>
                <w:rFonts w:ascii="Calibri" w:hAnsi="Calibri"/>
                <w:i/>
                <w:color w:val="212529"/>
                <w:sz w:val="19"/>
              </w:rPr>
              <w:t>General words do not derogate from special provisions.</w:t>
              <w:br/>
            </w:r>
            <w:r>
              <w:rPr>
                <w:rFonts w:ascii="Calibri" w:hAnsi="Calibri"/>
                <w:b/>
                <w:color w:val="212529"/>
                <w:sz w:val="19"/>
              </w:rPr>
              <w:t xml:space="preserve">   • Plain Legal Meaning &amp; StatCon Application: </w:t>
            </w:r>
            <w:r>
              <w:rPr>
                <w:rFonts w:ascii="Calibri" w:hAnsi="Calibri"/>
                <w:color w:val="212529"/>
                <w:sz w:val="19"/>
              </w:rPr>
              <w:t>The general National Internal Revenue Code does not repeal the special legislative franchise of PAL (PD 1590).</w:t>
            </w:r>
          </w:p>
          <w:p>
            <w:pPr>
              <w:spacing w:before="40" w:after="60" w:line="276" w:lineRule="auto"/>
            </w:pPr>
            <w:r>
              <w:rPr>
                <w:rFonts w:ascii="Calibri" w:hAnsi="Calibri"/>
                <w:b/>
                <w:color w:val="8C3200"/>
                <w:sz w:val="20"/>
              </w:rPr>
              <w:t>2. Leges posteriores priores contrarias abrogant (later laws repeal earlier contrary laws)</w:t>
              <w:br/>
            </w:r>
            <w:r>
              <w:rPr>
                <w:rFonts w:ascii="Calibri" w:hAnsi="Calibri"/>
                <w:b/>
                <w:color w:val="212529"/>
                <w:sz w:val="19"/>
              </w:rPr>
              <w:t xml:space="preserve">   • Literal English Translation: </w:t>
            </w:r>
            <w:r>
              <w:rPr>
                <w:rFonts w:ascii="Calibri" w:hAnsi="Calibri"/>
                <w:i/>
                <w:color w:val="212529"/>
                <w:sz w:val="19"/>
              </w:rPr>
              <w:t>Later laws repeal earlier contrary laws.</w:t>
              <w:br/>
            </w:r>
            <w:r>
              <w:rPr>
                <w:rFonts w:ascii="Calibri" w:hAnsi="Calibri"/>
                <w:b/>
                <w:color w:val="212529"/>
                <w:sz w:val="19"/>
              </w:rPr>
              <w:t xml:space="preserve">   • Plain Legal Meaning &amp; StatCon Application: </w:t>
            </w:r>
            <w:r>
              <w:rPr>
                <w:rFonts w:ascii="Calibri" w:hAnsi="Calibri"/>
                <w:color w:val="212529"/>
                <w:sz w:val="19"/>
              </w:rPr>
              <w:t>This rule applies only when laws are of the same general class, not when a general law encounters a special charter.</w:t>
            </w:r>
          </w:p>
          <w:p>
            <w:pPr>
              <w:spacing w:before="40" w:after="60" w:line="276" w:lineRule="auto"/>
            </w:pPr>
            <w:r>
              <w:rPr>
                <w:rFonts w:ascii="Calibri" w:hAnsi="Calibri"/>
                <w:b/>
                <w:color w:val="8C3200"/>
                <w:sz w:val="20"/>
              </w:rPr>
              <w:t>3. Pacta sunt servanda (agreements must be kept)</w:t>
              <w:br/>
            </w:r>
            <w:r>
              <w:rPr>
                <w:rFonts w:ascii="Calibri" w:hAnsi="Calibri"/>
                <w:b/>
                <w:color w:val="212529"/>
                <w:sz w:val="19"/>
              </w:rPr>
              <w:t xml:space="preserve">   • Literal English Translation: </w:t>
            </w:r>
            <w:r>
              <w:rPr>
                <w:rFonts w:ascii="Calibri" w:hAnsi="Calibri"/>
                <w:i/>
                <w:color w:val="212529"/>
                <w:sz w:val="19"/>
              </w:rPr>
              <w:t>Agreements must be observed.</w:t>
              <w:br/>
            </w:r>
            <w:r>
              <w:rPr>
                <w:rFonts w:ascii="Calibri" w:hAnsi="Calibri"/>
                <w:b/>
                <w:color w:val="212529"/>
                <w:sz w:val="19"/>
              </w:rPr>
              <w:t xml:space="preserve">   • Plain Legal Meaning &amp; StatCon Application: </w:t>
            </w:r>
            <w:r>
              <w:rPr>
                <w:rFonts w:ascii="Calibri" w:hAnsi="Calibri"/>
                <w:color w:val="212529"/>
                <w:sz w:val="19"/>
              </w:rPr>
              <w:t>The legislative franchise is a binding statutory contract between the State and the grantee.</w:t>
            </w:r>
          </w:p>
        </w:tc>
      </w:tr>
    </w:tbl>
    <w:tbl>
      <w:tblPr>
        <w:tblW w:type="auto" w:w="0"/>
        <w:jc w:val="center"/>
        <w:tblLook w:firstColumn="1" w:firstRow="1" w:lastColumn="0" w:lastRow="0" w:noHBand="0" w:noVBand="1" w:val="04A0"/>
      </w:tblPr>
      <w:tblGrid>
        <w:gridCol w:w="4824"/>
        <w:gridCol w:w="4824"/>
      </w:tblGrid>
      <w:tr>
        <w:tc>
          <w:tcPr>
            <w:tcW w:type="dxa" w:w="4824"/>
            <w:shd w:fill="EAEFF5"/>
            <w:tcMar>
              <w:top w:w="80" w:type="dxa"/>
              <w:bottom w:w="80" w:type="dxa"/>
              <w:left w:w="120" w:type="dxa"/>
              <w:right w:w="120" w:type="dxa"/>
            </w:tcMar>
          </w:tcPr>
          <w:p>
            <w:pPr>
              <w:spacing w:before="40" w:after="40"/>
            </w:pPr>
            <w:r>
              <w:rPr>
                <w:rFonts w:ascii="Arial" w:hAnsi="Arial"/>
                <w:b/>
                <w:color w:val="0F2043"/>
                <w:sz w:val="18"/>
              </w:rPr>
              <w:t>Syllabus Topic Alignment</w:t>
              <w:br/>
              <w:t>(StatCon_Syllabus_JPR.pdf)</w:t>
            </w:r>
          </w:p>
        </w:tc>
        <w:tc>
          <w:tcPr>
            <w:tcW w:type="dxa" w:w="4824"/>
            <w:shd w:fill="FAFAFA"/>
            <w:tcMar>
              <w:top w:w="80" w:type="dxa"/>
              <w:bottom w:w="80" w:type="dxa"/>
              <w:left w:w="120" w:type="dxa"/>
              <w:right w:w="120" w:type="dxa"/>
            </w:tcMar>
          </w:tcPr>
          <w:p>
            <w:pPr>
              <w:spacing w:before="40" w:after="40" w:line="276" w:lineRule="auto"/>
            </w:pPr>
            <w:r>
              <w:rPr>
                <w:rFonts w:ascii="Calibri" w:hAnsi="Calibri"/>
                <w:color w:val="212529"/>
                <w:sz w:val="19"/>
              </w:rPr>
              <w:t>• Chapter III: Basic Guidelines in the Construction and Interpretation of Laws</w:t>
              <w:br/>
              <w:t xml:space="preserve">  - C. Considerations outside the Statute: Special Legislative Franchises vs. General Tax Codes (Generalia Specialibus Non Derogant)</w:t>
            </w:r>
          </w:p>
        </w:tc>
      </w:tr>
      <w:tr>
        <w:tc>
          <w:tcPr>
            <w:tcW w:type="dxa" w:w="4824"/>
            <w:shd w:fill="EAEFF5"/>
            <w:tcMar>
              <w:top w:w="80" w:type="dxa"/>
              <w:bottom w:w="80" w:type="dxa"/>
              <w:left w:w="120" w:type="dxa"/>
              <w:right w:w="120" w:type="dxa"/>
            </w:tcMar>
          </w:tcPr>
          <w:p>
            <w:pPr>
              <w:spacing w:before="40" w:after="40"/>
            </w:pPr>
            <w:r>
              <w:rPr>
                <w:rFonts w:ascii="Arial" w:hAnsi="Arial"/>
                <w:b/>
                <w:color w:val="0F2043"/>
                <w:sz w:val="18"/>
              </w:rPr>
              <w:t>Governing Latin Maxims &amp; English</w:t>
            </w:r>
          </w:p>
        </w:tc>
        <w:tc>
          <w:tcPr>
            <w:tcW w:type="dxa" w:w="4824"/>
            <w:shd w:fill="FAFAFA"/>
            <w:tcMar>
              <w:top w:w="80" w:type="dxa"/>
              <w:bottom w:w="80" w:type="dxa"/>
              <w:left w:w="120" w:type="dxa"/>
              <w:right w:w="120" w:type="dxa"/>
            </w:tcMar>
          </w:tcPr>
          <w:p>
            <w:pPr>
              <w:spacing w:before="40" w:after="40" w:line="276" w:lineRule="auto"/>
            </w:pPr>
            <w:r>
              <w:rPr>
                <w:rFonts w:ascii="Calibri" w:hAnsi="Calibri"/>
                <w:color w:val="212529"/>
                <w:sz w:val="19"/>
              </w:rPr>
              <w:t>Primary:</w:t>
              <w:br/>
              <w:t>Generalia specialibus non derogant</w:t>
              <w:br/>
              <w:t>(general things do not derogate from special provisions / special legislative franchises with 'in lieu of all taxes' clauses prevail over general tax codes)</w:t>
              <w:br/>
              <w:br/>
              <w:t>Secondary:</w:t>
              <w:br/>
              <w:t>• Leges posteriores priores contrarias abrogant (limits of implied repeal)</w:t>
              <w:br/>
              <w:t>• Pacta sunt servanda (franchise covenants)</w:t>
            </w:r>
          </w:p>
        </w:tc>
      </w:tr>
      <w:tr>
        <w:tc>
          <w:tcPr>
            <w:tcW w:type="dxa" w:w="4824"/>
            <w:shd w:fill="EAEFF5"/>
            <w:tcMar>
              <w:top w:w="80" w:type="dxa"/>
              <w:bottom w:w="80" w:type="dxa"/>
              <w:left w:w="120" w:type="dxa"/>
              <w:right w:w="120" w:type="dxa"/>
            </w:tcMar>
          </w:tcPr>
          <w:p>
            <w:pPr>
              <w:spacing w:before="40" w:after="40"/>
            </w:pPr>
            <w:r>
              <w:rPr>
                <w:rFonts w:ascii="Arial" w:hAnsi="Arial"/>
                <w:b/>
                <w:color w:val="0F2043"/>
                <w:sz w:val="18"/>
              </w:rPr>
              <w:t>Case Violation in StatCon</w:t>
            </w:r>
          </w:p>
        </w:tc>
        <w:tc>
          <w:tcPr>
            <w:tcW w:type="dxa" w:w="4824"/>
            <w:shd w:fill="FAFAFA"/>
            <w:tcMar>
              <w:top w:w="80" w:type="dxa"/>
              <w:bottom w:w="80" w:type="dxa"/>
              <w:left w:w="120" w:type="dxa"/>
              <w:right w:w="120" w:type="dxa"/>
            </w:tcMar>
          </w:tcPr>
          <w:p>
            <w:pPr>
              <w:spacing w:before="40" w:after="40" w:line="276" w:lineRule="auto"/>
            </w:pPr>
            <w:r>
              <w:rPr>
                <w:rFonts w:ascii="Calibri" w:hAnsi="Calibri"/>
                <w:color w:val="212529"/>
                <w:sz w:val="19"/>
              </w:rPr>
              <w:t>The BIR attempted to enforce a general tax code provision against a special corporate charter without showing any express legislative repeal.</w:t>
            </w:r>
          </w:p>
        </w:tc>
      </w:tr>
      <w:tr>
        <w:tc>
          <w:tcPr>
            <w:tcW w:type="dxa" w:w="4824"/>
            <w:shd w:fill="EAEFF5"/>
            <w:tcMar>
              <w:top w:w="80" w:type="dxa"/>
              <w:bottom w:w="80" w:type="dxa"/>
              <w:left w:w="120" w:type="dxa"/>
              <w:right w:w="120" w:type="dxa"/>
            </w:tcMar>
          </w:tcPr>
          <w:p>
            <w:pPr>
              <w:spacing w:before="40" w:after="40"/>
            </w:pPr>
            <w:r>
              <w:rPr>
                <w:rFonts w:ascii="Arial" w:hAnsi="Arial"/>
                <w:b/>
                <w:color w:val="0F2043"/>
                <w:sz w:val="18"/>
              </w:rPr>
              <w:t>Doctrinal Execution / Principle</w:t>
            </w:r>
          </w:p>
        </w:tc>
        <w:tc>
          <w:tcPr>
            <w:tcW w:type="dxa" w:w="4824"/>
            <w:shd w:fill="FAFAFA"/>
            <w:tcMar>
              <w:top w:w="80" w:type="dxa"/>
              <w:bottom w:w="80" w:type="dxa"/>
              <w:left w:w="120" w:type="dxa"/>
              <w:right w:w="120" w:type="dxa"/>
            </w:tcMar>
          </w:tcPr>
          <w:p>
            <w:pPr>
              <w:spacing w:before="40" w:after="40" w:line="276" w:lineRule="auto"/>
            </w:pPr>
            <w:r>
              <w:rPr>
                <w:rFonts w:ascii="Calibri" w:hAnsi="Calibri"/>
                <w:color w:val="212529"/>
                <w:sz w:val="19"/>
              </w:rPr>
              <w:t>Inviolability of Special Franchises Against General Tax Codes: A general tax statute will not be construed to repeal or alter a special legislative franchise containing an 'in lieu of all taxes' clause unless the legislative intent to repeal is explicit.</w:t>
            </w:r>
          </w:p>
        </w:tc>
      </w:tr>
    </w:tbl>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RELATION TO STATUTORY CONSTRUCTION</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A general tax book for everybody does not cancel a special tax charter contract given to a specific company unless Congress explicitly writes 'we hereby cancel their charter'.</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"Sir/Ma'am, CIR v. PAL is the leading modern tax jurisprudence on Generalia specialibus non derogant: special legislative franchises with 'in lieu of all taxes' clauses cannot be repealed by general tax codes."</w:t>
            </w:r>
          </w:p>
        </w:tc>
      </w:tr>
    </w:tbl>
    <w:p>
      <w:pPr>
        <w:spacing w:before="160" w:after="80"/>
      </w:pPr>
    </w:p>
    <w:tbl>
      <w:tblPr>
        <w:tblW w:type="auto" w:w="0"/>
        <w:jc w:val="center"/>
        <w:tblLook w:firstColumn="1" w:firstRow="1" w:lastColumn="0" w:lastRow="0" w:noHBand="0" w:noVBand="1" w:val="04A0"/>
      </w:tblPr>
      <w:tblGrid>
        <w:gridCol w:w="9648"/>
      </w:tblGrid>
      <w:tr>
        <w:tc>
          <w:tcPr>
            <w:tcW w:type="dxa" w:w="9648"/>
            <w:shd w:fill="1E3A5F"/>
            <w:tcMar>
              <w:top w:w="140" w:type="dxa"/>
              <w:bottom w:w="140" w:type="dxa"/>
              <w:left w:w="200" w:type="dxa"/>
              <w:right w:w="200" w:type="dxa"/>
            </w:tcMar>
          </w:tcPr>
          <w:p>
            <w:pPr>
              <w:spacing w:before="40" w:after="40"/>
              <w:jc w:val="center"/>
            </w:pPr>
            <w:r>
              <w:rPr>
                <w:rFonts w:ascii="Arial" w:hAnsi="Arial"/>
                <w:b/>
                <w:color w:val="FFD700"/>
                <w:sz w:val="22"/>
              </w:rPr>
              <w:t>⚖ STANDARDIZED CASE DIGEST: STATUTORY CONSTRUCTION FORMAT</w:t>
              <w:br/>
            </w:r>
            <w:r>
              <w:rPr>
                <w:rFonts w:ascii="Arial" w:hAnsi="Arial"/>
                <w:i/>
                <w:color w:val="DCEBFF"/>
                <w:sz w:val="18"/>
              </w:rPr>
              <w:t>(Complete 12-Section Academic &amp; Judicial Construction Analysis)</w:t>
            </w:r>
          </w:p>
        </w:tc>
      </w:tr>
    </w:tbl>
    <w:p>
      <w:pPr>
        <w:spacing w:before="80" w:after="80"/>
      </w:pPr>
    </w:p>
    <w:tbl>
      <w:tblPr>
        <w:tblW w:type="auto" w:w="0"/>
        <w:jc w:val="center"/>
        <w:tblLook w:firstColumn="1" w:firstRow="1" w:lastColumn="0" w:lastRow="0" w:noHBand="0" w:noVBand="1" w:val="04A0"/>
      </w:tblPr>
      <w:tblGrid>
        <w:gridCol w:w="4824"/>
        <w:gridCol w:w="4824"/>
      </w:tblGrid>
      <w:tr>
        <w:tc>
          <w:tcPr>
            <w:tcW w:type="dxa" w:w="4824"/>
            <w:shd w:fill="EBF0F7"/>
            <w:tcMar>
              <w:top w:w="60" w:type="dxa"/>
              <w:bottom w:w="60" w:type="dxa"/>
              <w:left w:w="120" w:type="dxa"/>
              <w:right w:w="120" w:type="dxa"/>
            </w:tcMar>
          </w:tcPr>
          <w:p>
            <w:pPr>
              <w:spacing w:before="20" w:after="20"/>
            </w:pPr>
            <w:r>
              <w:rPr>
                <w:rFonts w:ascii="Arial" w:hAnsi="Arial"/>
                <w:b/>
                <w:color w:val="0F2043"/>
                <w:sz w:val="19"/>
              </w:rPr>
              <w:t>Case Title:</w:t>
            </w:r>
          </w:p>
        </w:tc>
        <w:tc>
          <w:tcPr>
            <w:tcW w:type="dxa" w:w="4824"/>
            <w:shd w:fill="FAFCFF"/>
            <w:tcMar>
              <w:top w:w="60" w:type="dxa"/>
              <w:bottom w:w="60" w:type="dxa"/>
              <w:left w:w="120" w:type="dxa"/>
              <w:right w:w="120" w:type="dxa"/>
            </w:tcMar>
          </w:tcPr>
          <w:p>
            <w:pPr>
              <w:spacing w:before="20" w:after="20"/>
            </w:pPr>
            <w:r>
              <w:rPr>
                <w:rFonts w:ascii="Calibri" w:hAnsi="Calibri"/>
                <w:b/>
                <w:color w:val="212529"/>
                <w:sz w:val="19"/>
              </w:rPr>
              <w:t>Commissioner of Internal Revenue v. Philippine Airlines, Inc. (PAL)</w:t>
            </w:r>
          </w:p>
        </w:tc>
      </w:tr>
      <w:tr>
        <w:tc>
          <w:tcPr>
            <w:tcW w:type="dxa" w:w="4824"/>
            <w:shd w:fill="EBF0F7"/>
            <w:tcMar>
              <w:top w:w="60" w:type="dxa"/>
              <w:bottom w:w="60" w:type="dxa"/>
              <w:left w:w="120" w:type="dxa"/>
              <w:right w:w="120" w:type="dxa"/>
            </w:tcMar>
          </w:tcPr>
          <w:p>
            <w:pPr>
              <w:spacing w:before="20" w:after="20"/>
            </w:pPr>
            <w:r>
              <w:rPr>
                <w:rFonts w:ascii="Arial" w:hAnsi="Arial"/>
                <w:b/>
                <w:color w:val="0F2043"/>
                <w:sz w:val="19"/>
              </w:rPr>
              <w:t>G.R. No. / Record:</w:t>
            </w:r>
          </w:p>
        </w:tc>
        <w:tc>
          <w:tcPr>
            <w:tcW w:type="dxa" w:w="4824"/>
            <w:shd w:fill="FAFCFF"/>
            <w:tcMar>
              <w:top w:w="60" w:type="dxa"/>
              <w:bottom w:w="60" w:type="dxa"/>
              <w:left w:w="120" w:type="dxa"/>
              <w:right w:w="120" w:type="dxa"/>
            </w:tcMar>
          </w:tcPr>
          <w:p>
            <w:pPr>
              <w:spacing w:before="20" w:after="20"/>
            </w:pPr>
            <w:r>
              <w:rPr>
                <w:rFonts w:ascii="Calibri" w:hAnsi="Calibri"/>
                <w:b w:val="0"/>
                <w:color w:val="212529"/>
                <w:sz w:val="19"/>
              </w:rPr>
              <w:t>G.R. No. 180066</w:t>
            </w:r>
          </w:p>
        </w:tc>
      </w:tr>
      <w:tr>
        <w:tc>
          <w:tcPr>
            <w:tcW w:type="dxa" w:w="4824"/>
            <w:shd w:fill="EBF0F7"/>
            <w:tcMar>
              <w:top w:w="60" w:type="dxa"/>
              <w:bottom w:w="60" w:type="dxa"/>
              <w:left w:w="120" w:type="dxa"/>
              <w:right w:w="120" w:type="dxa"/>
            </w:tcMar>
          </w:tcPr>
          <w:p>
            <w:pPr>
              <w:spacing w:before="20" w:after="20"/>
            </w:pPr>
            <w:r>
              <w:rPr>
                <w:rFonts w:ascii="Arial" w:hAnsi="Arial"/>
                <w:b/>
                <w:color w:val="0F2043"/>
                <w:sz w:val="19"/>
              </w:rPr>
              <w:t>Date of Promulgation:</w:t>
            </w:r>
          </w:p>
        </w:tc>
        <w:tc>
          <w:tcPr>
            <w:tcW w:type="dxa" w:w="4824"/>
            <w:shd w:fill="FAFCFF"/>
            <w:tcMar>
              <w:top w:w="60" w:type="dxa"/>
              <w:bottom w:w="60" w:type="dxa"/>
              <w:left w:w="120" w:type="dxa"/>
              <w:right w:w="120" w:type="dxa"/>
            </w:tcMar>
          </w:tcPr>
          <w:p>
            <w:pPr>
              <w:spacing w:before="20" w:after="20"/>
            </w:pPr>
            <w:r>
              <w:rPr>
                <w:rFonts w:ascii="Calibri" w:hAnsi="Calibri"/>
                <w:b w:val="0"/>
                <w:color w:val="212529"/>
                <w:sz w:val="19"/>
              </w:rPr>
              <w:t>July 7, 2009</w:t>
            </w:r>
          </w:p>
        </w:tc>
      </w:tr>
      <w:tr>
        <w:tc>
          <w:tcPr>
            <w:tcW w:type="dxa" w:w="4824"/>
            <w:shd w:fill="EBF0F7"/>
            <w:tcMar>
              <w:top w:w="60" w:type="dxa"/>
              <w:bottom w:w="60" w:type="dxa"/>
              <w:left w:w="120" w:type="dxa"/>
              <w:right w:w="120" w:type="dxa"/>
            </w:tcMar>
          </w:tcPr>
          <w:p>
            <w:pPr>
              <w:spacing w:before="20" w:after="20"/>
            </w:pPr>
            <w:r>
              <w:rPr>
                <w:rFonts w:ascii="Arial" w:hAnsi="Arial"/>
                <w:b/>
                <w:color w:val="0F2043"/>
                <w:sz w:val="19"/>
              </w:rPr>
              <w:t>Ponente / Court:</w:t>
            </w:r>
          </w:p>
        </w:tc>
        <w:tc>
          <w:tcPr>
            <w:tcW w:type="dxa" w:w="4824"/>
            <w:shd w:fill="FAFCFF"/>
            <w:tcMar>
              <w:top w:w="60" w:type="dxa"/>
              <w:bottom w:w="60" w:type="dxa"/>
              <w:left w:w="120" w:type="dxa"/>
              <w:right w:w="120" w:type="dxa"/>
            </w:tcMar>
          </w:tcPr>
          <w:p>
            <w:pPr>
              <w:spacing w:before="20" w:after="20"/>
            </w:pPr>
            <w:r>
              <w:rPr>
                <w:rFonts w:ascii="Calibri" w:hAnsi="Calibri"/>
                <w:b w:val="0"/>
                <w:color w:val="212529"/>
                <w:sz w:val="19"/>
              </w:rPr>
              <w:t>Third Division</w:t>
            </w:r>
          </w:p>
        </w:tc>
      </w:tr>
    </w:tbl>
    <w:p>
      <w:pPr>
        <w:keepNext/>
        <w:spacing w:before="240" w:after="60"/>
      </w:pPr>
      <w:r>
        <w:rPr>
          <w:rFonts w:ascii="Arial" w:hAnsi="Arial"/>
          <w:b/>
          <w:color w:val="0F2043"/>
          <w:sz w:val="21"/>
        </w:rPr>
        <w:t>I. FACTS OF THE CASE</w:t>
      </w:r>
    </w:p>
    <w:tbl>
      <w:tblPr>
        <w:tblW w:type="auto" w:w="0"/>
        <w:jc w:val="center"/>
        <w:tblLook w:firstColumn="1" w:firstRow="1" w:lastColumn="0" w:lastRow="0" w:noHBand="0" w:noVBand="1" w:val="04A0"/>
      </w:tblPr>
      <w:tblGrid>
        <w:gridCol w:w="9648"/>
      </w:tblGrid>
      <w:tr>
        <w:tc>
          <w:tcPr>
            <w:tcW w:type="dxa" w:w="9648"/>
            <w:shd w:fill="F8F9FB"/>
            <w:tcMar>
              <w:top w:w="100" w:type="dxa"/>
              <w:bottom w:w="100" w:type="dxa"/>
              <w:left w:w="160" w:type="dxa"/>
              <w:right w:w="160" w:type="dxa"/>
            </w:tcMar>
          </w:tcPr>
          <w:p>
            <w:pPr>
              <w:spacing w:before="20" w:after="40"/>
            </w:pPr>
            <w:r>
              <w:rPr>
                <w:rFonts w:ascii="Arial" w:hAnsi="Arial"/>
                <w:b/>
                <w:color w:val="0F2043"/>
                <w:sz w:val="19"/>
              </w:rPr>
              <w:t>Material Facts of Controversy</w:t>
              <w:br/>
            </w:r>
          </w:p>
          <w:p>
            <w:pPr>
              <w:spacing w:before="20" w:after="40" w:line="276" w:lineRule="auto"/>
            </w:pPr>
            <w:r>
              <w:rPr>
                <w:rFonts w:ascii="Calibri" w:hAnsi="Calibri"/>
                <w:color w:val="212529"/>
                <w:sz w:val="19"/>
              </w:rPr>
              <w:t>Under Section 13 of Presidential Decree No. 1590 (PAL's special legislative franchise), PAL was given the option to pay either: (a) basic corporate income tax, or (b) a franchise tax of 2% of gross revenues, 'whichever is lower', in lieu of all other taxes. In 1997, Congress enacted the National Internal Revenue Code (NIRC), introducing Section 27(E) which imposes a 2% Minimum Corporate Income Tax (MCIT) on gross income whenever the business incurs a net loss. When PAL suffered heavy operational losses and reported zero taxable income, the BIR assessed PAL for deficiency MCIT. PAL protested, invoking its franchise exemption under PD 1590 and Generalia Specialibus Non Derogant.</w:t>
            </w:r>
          </w:p>
        </w:tc>
      </w:tr>
    </w:tbl>
    <w:p>
      <w:pPr>
        <w:keepNext/>
        <w:spacing w:before="240" w:after="60"/>
      </w:pPr>
      <w:r>
        <w:rPr>
          <w:rFonts w:ascii="Arial" w:hAnsi="Arial"/>
          <w:b/>
          <w:color w:val="0F2043"/>
          <w:sz w:val="21"/>
        </w:rPr>
        <w:t>II. FACTS RELEVANT TO STATUTORY CONSTRUCTION</w:t>
      </w:r>
    </w:p>
    <w:tbl>
      <w:tblPr>
        <w:tblW w:type="auto" w:w="0"/>
        <w:jc w:val="center"/>
        <w:tblLook w:firstColumn="1" w:firstRow="1" w:lastColumn="0" w:lastRow="0" w:noHBand="0" w:noVBand="1" w:val="04A0"/>
      </w:tblPr>
      <w:tblGrid>
        <w:gridCol w:w="9648"/>
      </w:tblGrid>
      <w:tr>
        <w:tc>
          <w:tcPr>
            <w:tcW w:type="dxa" w:w="9648"/>
            <w:shd w:fill="F8F9FB"/>
            <w:tcMar>
              <w:top w:w="100" w:type="dxa"/>
              <w:bottom w:w="100" w:type="dxa"/>
              <w:left w:w="160" w:type="dxa"/>
              <w:right w:w="160" w:type="dxa"/>
            </w:tcMar>
          </w:tcPr>
          <w:p>
            <w:pPr>
              <w:spacing w:before="20" w:after="40"/>
            </w:pPr>
            <w:r>
              <w:rPr>
                <w:rFonts w:ascii="Arial" w:hAnsi="Arial"/>
                <w:b/>
                <w:color w:val="0F2043"/>
                <w:sz w:val="19"/>
              </w:rPr>
              <w:t>Facts Giving Rise to Need for Interpretation</w:t>
              <w:br/>
            </w:r>
          </w:p>
          <w:p>
            <w:pPr>
              <w:spacing w:before="20" w:after="40" w:line="276" w:lineRule="auto"/>
            </w:pPr>
            <w:r>
              <w:rPr>
                <w:rFonts w:ascii="Calibri" w:hAnsi="Calibri"/>
                <w:b/>
                <w:color w:val="212529"/>
                <w:sz w:val="19"/>
              </w:rPr>
              <w:t xml:space="preserve">• What provision of law or rule became relevant? </w:t>
            </w:r>
            <w:r>
              <w:rPr>
                <w:rFonts w:ascii="Calibri" w:hAnsi="Calibri"/>
                <w:color w:val="212529"/>
                <w:sz w:val="19"/>
              </w:rPr>
              <w:t>1. Section 13, Presidential Decree No. 1590 (PAL Legislative Franchise): Confers the 'in lieu of all other taxes' privilege and two-option tax formula.</w:t>
              <w:br/>
              <w:t>2. Section 27(E), National Internal Revenue Code of 1997: General imposition of Minimum Corporate Income Tax (MCIT) on domestic corporations.</w:t>
            </w:r>
          </w:p>
          <w:p>
            <w:pPr>
              <w:spacing w:before="20" w:after="40" w:line="276" w:lineRule="auto"/>
            </w:pPr>
            <w:r>
              <w:rPr>
                <w:rFonts w:ascii="Calibri" w:hAnsi="Calibri"/>
                <w:b/>
                <w:color w:val="212529"/>
                <w:sz w:val="19"/>
              </w:rPr>
              <w:t xml:space="preserve">• What circumstance made interpretation necessary? </w:t>
            </w:r>
            <w:r>
              <w:rPr>
                <w:rFonts w:ascii="Calibri" w:hAnsi="Calibri"/>
                <w:color w:val="212529"/>
                <w:sz w:val="19"/>
              </w:rPr>
              <w:t>The BIR attempted to enforce a general tax code provision against a special corporate charter without showing any express legislative repeal.</w:t>
            </w:r>
          </w:p>
          <w:p>
            <w:pPr>
              <w:spacing w:before="20" w:after="40" w:line="276" w:lineRule="auto"/>
            </w:pPr>
            <w:r>
              <w:rPr>
                <w:rFonts w:ascii="Calibri" w:hAnsi="Calibri"/>
                <w:b/>
                <w:color w:val="212529"/>
                <w:sz w:val="19"/>
              </w:rPr>
              <w:t xml:space="preserve">• What competing interpretations were presented? </w:t>
            </w:r>
            <w:r>
              <w:rPr>
                <w:rFonts w:ascii="Calibri" w:hAnsi="Calibri"/>
                <w:color w:val="212529"/>
                <w:sz w:val="19"/>
              </w:rPr>
              <w:t>Petitioner argued for a favorable interpretation based on statutory intent, while Respondent contended for a literal or restrictive application.</w:t>
            </w:r>
          </w:p>
        </w:tc>
      </w:tr>
    </w:tbl>
    <w:p>
      <w:pPr>
        <w:keepNext/>
        <w:spacing w:before="240" w:after="60"/>
      </w:pPr>
      <w:r>
        <w:rPr>
          <w:rFonts w:ascii="Arial" w:hAnsi="Arial"/>
          <w:b/>
          <w:color w:val="0F2043"/>
          <w:sz w:val="21"/>
        </w:rPr>
        <w:t>III. ISSUES</w:t>
      </w:r>
    </w:p>
    <w:p>
      <w:pPr>
        <w:keepNext/>
        <w:spacing w:before="120" w:after="40"/>
      </w:pPr>
      <w:r>
        <w:rPr>
          <w:rFonts w:ascii="Arial" w:hAnsi="Arial"/>
          <w:b/>
          <w:color w:val="781E1E"/>
          <w:sz w:val="20"/>
        </w:rPr>
        <w:t>A. General Legal Issues</w:t>
      </w:r>
    </w:p>
    <w:p>
      <w:pPr>
        <w:spacing w:before="40" w:after="80" w:line="276" w:lineRule="auto"/>
      </w:pPr>
      <w:r>
        <w:rPr>
          <w:rFonts w:ascii="Calibri" w:hAnsi="Calibri"/>
          <w:i w:val="0"/>
          <w:color w:val="212529"/>
          <w:sz w:val="21"/>
        </w:rPr>
        <w:t>Whether or not PAL is subject to the Minimum Corporate Income Tax (MCIT) under the 1997 NIRC, despite the 'in lieu of all other taxes' clause in its special legislative franchise (P.D. No. 1590).</w:t>
      </w:r>
    </w:p>
    <w:p>
      <w:pPr>
        <w:keepNext/>
        <w:spacing w:before="120" w:after="40"/>
      </w:pPr>
      <w:r>
        <w:rPr>
          <w:rFonts w:ascii="Arial" w:hAnsi="Arial"/>
          <w:b/>
          <w:color w:val="781E1E"/>
          <w:sz w:val="20"/>
        </w:rPr>
        <w:t>B. Statutory-Construction Issue/s</w:t>
      </w:r>
    </w:p>
    <w:tbl>
      <w:tblPr>
        <w:tblW w:type="auto" w:w="0"/>
        <w:jc w:val="center"/>
        <w:tblLook w:firstColumn="1" w:firstRow="1" w:lastColumn="0" w:lastRow="0" w:noHBand="0" w:noVBand="1" w:val="04A0"/>
      </w:tblPr>
      <w:tblGrid>
        <w:gridCol w:w="9648"/>
      </w:tblGrid>
      <w:tr>
        <w:tc>
          <w:tcPr>
            <w:tcW w:type="dxa" w:w="9648"/>
            <w:shd w:fill="EBF3FA"/>
            <w:tcMar>
              <w:top w:w="100" w:type="dxa"/>
              <w:bottom w:w="100" w:type="dxa"/>
              <w:left w:w="160" w:type="dxa"/>
              <w:right w:w="160" w:type="dxa"/>
            </w:tcMar>
          </w:tcPr>
          <w:p>
            <w:pPr>
              <w:spacing w:before="20" w:after="40"/>
            </w:pPr>
            <w:r>
              <w:rPr>
                <w:rFonts w:ascii="Arial" w:hAnsi="Arial"/>
                <w:b/>
                <w:color w:val="0F2043"/>
                <w:sz w:val="19"/>
              </w:rPr>
              <w:t>Standardized StatCon Issue Statement</w:t>
              <w:br/>
            </w:r>
          </w:p>
          <w:p>
            <w:pPr>
              <w:spacing w:before="20" w:after="40" w:line="276" w:lineRule="auto"/>
            </w:pPr>
            <w:r>
              <w:rPr>
                <w:rFonts w:ascii="Calibri" w:hAnsi="Calibri"/>
                <w:color w:val="212529"/>
                <w:sz w:val="19"/>
              </w:rPr>
              <w:t>Whether the subject statutory act, classification, or terminology under the governing statute/rule means, includes, or applies to the factual controversy in Commissioner of Internal Revenue v. Philippine Airlines, Inc. (PAL), under the canon of Generalia specialibus non derogant.</w:t>
            </w:r>
          </w:p>
        </w:tc>
      </w:tr>
    </w:tbl>
    <w:p>
      <w:pPr>
        <w:keepNext/>
        <w:spacing w:before="240" w:after="60"/>
      </w:pPr>
      <w:r>
        <w:rPr>
          <w:rFonts w:ascii="Arial" w:hAnsi="Arial"/>
          <w:b/>
          <w:color w:val="0F2043"/>
          <w:sz w:val="21"/>
        </w:rPr>
        <w:t>IV. PROVISION/S OF LAW CONSTRUED</w:t>
      </w:r>
    </w:p>
    <w:tbl>
      <w:tblPr>
        <w:tblW w:type="auto" w:w="0"/>
        <w:jc w:val="center"/>
        <w:tblLook w:firstColumn="1" w:firstRow="1" w:lastColumn="0" w:lastRow="0" w:noHBand="0" w:noVBand="1" w:val="04A0"/>
      </w:tblPr>
      <w:tblGrid>
        <w:gridCol w:w="9648"/>
      </w:tblGrid>
      <w:tr>
        <w:tc>
          <w:tcPr>
            <w:tcW w:type="dxa" w:w="9648"/>
            <w:shd w:fill="F8F9FB"/>
            <w:tcMar>
              <w:top w:w="100" w:type="dxa"/>
              <w:bottom w:w="100" w:type="dxa"/>
              <w:left w:w="160" w:type="dxa"/>
              <w:right w:w="160" w:type="dxa"/>
            </w:tcMar>
          </w:tcPr>
          <w:p>
            <w:pPr>
              <w:spacing w:before="20" w:after="40"/>
            </w:pPr>
            <w:r>
              <w:rPr>
                <w:rFonts w:ascii="Arial" w:hAnsi="Arial"/>
                <w:b/>
                <w:color w:val="0F2043"/>
                <w:sz w:val="19"/>
              </w:rPr>
              <w:t>Statutory / Constitutional Text &amp; Problem</w:t>
              <w:br/>
            </w:r>
          </w:p>
          <w:p>
            <w:pPr>
              <w:spacing w:before="20" w:after="40" w:line="276" w:lineRule="auto"/>
            </w:pPr>
            <w:r>
              <w:rPr>
                <w:rFonts w:ascii="Calibri" w:hAnsi="Calibri"/>
                <w:b/>
                <w:color w:val="212529"/>
                <w:sz w:val="19"/>
              </w:rPr>
              <w:t xml:space="preserve">• Quoted Provision: </w:t>
            </w:r>
            <w:r>
              <w:rPr>
                <w:rFonts w:ascii="Calibri" w:hAnsi="Calibri"/>
                <w:color w:val="212529"/>
                <w:sz w:val="19"/>
              </w:rPr>
              <w:t>1. Section 13, Presidential Decree No. 1590 (PAL Legislative Franchise): Confers the 'in lieu of all other taxes' privilege and two-option tax formula.</w:t>
              <w:br/>
              <w:t>2. Section 27(E), National Internal Revenue Code of 1997: General imposition of Minimum Corporate Income Tax (MCIT) on domestic corporations.</w:t>
            </w:r>
          </w:p>
          <w:p>
            <w:pPr>
              <w:spacing w:before="20" w:after="40" w:line="276" w:lineRule="auto"/>
            </w:pPr>
            <w:r>
              <w:rPr>
                <w:rFonts w:ascii="Calibri" w:hAnsi="Calibri"/>
                <w:b/>
                <w:color w:val="212529"/>
                <w:sz w:val="19"/>
              </w:rPr>
              <w:t xml:space="preserve">• Interpretive Problem: </w:t>
            </w:r>
            <w:r>
              <w:rPr>
                <w:rFonts w:ascii="Calibri" w:hAnsi="Calibri"/>
                <w:color w:val="212529"/>
                <w:sz w:val="19"/>
              </w:rPr>
              <w:t>Determining the precise legislative intent and boundary of the statutory terms in light of: The BIR attempted to enforce a general tax code provision against a special corporate charter without showing any expres...</w:t>
            </w:r>
          </w:p>
        </w:tc>
      </w:tr>
    </w:tbl>
    <w:p>
      <w:pPr>
        <w:keepNext/>
        <w:spacing w:before="240" w:after="60"/>
      </w:pPr>
      <w:r>
        <w:rPr>
          <w:rFonts w:ascii="Arial" w:hAnsi="Arial"/>
          <w:b/>
          <w:color w:val="0F2043"/>
          <w:sz w:val="21"/>
        </w:rPr>
        <w:t>V. RULING OF THE SUPREME COURT</w:t>
      </w:r>
    </w:p>
    <w:p>
      <w:pPr>
        <w:keepNext/>
        <w:spacing w:before="120" w:after="40"/>
      </w:pPr>
      <w:r>
        <w:rPr>
          <w:rFonts w:ascii="Arial" w:hAnsi="Arial"/>
          <w:b/>
          <w:color w:val="781E1E"/>
          <w:sz w:val="20"/>
        </w:rPr>
        <w:t>A. General Ruling</w:t>
      </w:r>
    </w:p>
    <w:p>
      <w:pPr>
        <w:spacing w:before="40" w:after="80" w:line="276" w:lineRule="auto"/>
      </w:pPr>
      <w:r>
        <w:rPr>
          <w:rFonts w:ascii="Calibri" w:hAnsi="Calibri"/>
          <w:i w:val="0"/>
          <w:color w:val="212529"/>
          <w:sz w:val="21"/>
        </w:rPr>
        <w:t>The Supreme Court DENIED the CIR's petition, AFFIRMED the Court of Tax Appeals, and CANCELLED the MCIT assessment against Philippine Airlines.</w:t>
      </w:r>
    </w:p>
    <w:p>
      <w:pPr>
        <w:keepNext/>
        <w:spacing w:before="120" w:after="40"/>
      </w:pPr>
      <w:r>
        <w:rPr>
          <w:rFonts w:ascii="Arial" w:hAnsi="Arial"/>
          <w:b/>
          <w:color w:val="781E1E"/>
          <w:sz w:val="20"/>
        </w:rPr>
        <w:t>B. Ruling on the Statutory-Construction Issue</w:t>
      </w:r>
    </w:p>
    <w:tbl>
      <w:tblPr>
        <w:tblW w:type="auto" w:w="0"/>
        <w:jc w:val="center"/>
        <w:tblLook w:firstColumn="1" w:firstRow="1" w:lastColumn="0" w:lastRow="0" w:noHBand="0" w:noVBand="1" w:val="04A0"/>
      </w:tblPr>
      <w:tblGrid>
        <w:gridCol w:w="9648"/>
      </w:tblGrid>
      <w:tr>
        <w:tc>
          <w:tcPr>
            <w:tcW w:type="dxa" w:w="9648"/>
            <w:shd w:fill="F4FAF5"/>
            <w:tcMar>
              <w:top w:w="100" w:type="dxa"/>
              <w:bottom w:w="100" w:type="dxa"/>
              <w:left w:w="160" w:type="dxa"/>
              <w:right w:w="160" w:type="dxa"/>
            </w:tcMar>
          </w:tcPr>
          <w:p>
            <w:pPr>
              <w:spacing w:before="20" w:after="40"/>
            </w:pPr>
            <w:r>
              <w:rPr>
                <w:rFonts w:ascii="Arial" w:hAnsi="Arial"/>
                <w:b/>
                <w:color w:val="0F2043"/>
                <w:sz w:val="19"/>
              </w:rPr>
              <w:t>Statutory Meaning Established by Court</w:t>
              <w:br/>
            </w:r>
          </w:p>
          <w:p>
            <w:pPr>
              <w:spacing w:before="20" w:after="40" w:line="276" w:lineRule="auto"/>
            </w:pPr>
            <w:r>
              <w:rPr>
                <w:rFonts w:ascii="Calibri" w:hAnsi="Calibri"/>
                <w:color w:val="212529"/>
                <w:sz w:val="19"/>
              </w:rPr>
              <w:t>NO. PAL is NOT subject to MCIT. PAL's special franchise (P.D. No. 1590) is a SPECIAL LAW that prevails over the general provisions of the NIRC. Under Generalia Specialibus Non Derogant, a general law does not repeal a special law unless the intent to repeal is explicit.</w:t>
            </w:r>
          </w:p>
        </w:tc>
      </w:tr>
    </w:tbl>
    <w:p>
      <w:pPr>
        <w:keepNext/>
        <w:spacing w:before="240" w:after="60"/>
      </w:pPr>
      <w:r>
        <w:rPr>
          <w:rFonts w:ascii="Arial" w:hAnsi="Arial"/>
          <w:b/>
          <w:color w:val="0F2043"/>
          <w:sz w:val="21"/>
        </w:rPr>
        <w:t>VI. HOW THE COURT CONSTRUED THE LAW</w:t>
      </w:r>
    </w:p>
    <w:tbl>
      <w:tblPr>
        <w:tblW w:type="auto" w:w="0"/>
        <w:jc w:val="center"/>
        <w:tblLook w:firstColumn="1" w:firstRow="1" w:lastColumn="0" w:lastRow="0" w:noHBand="0" w:noVBand="1" w:val="04A0"/>
      </w:tblPr>
      <w:tblGrid>
        <w:gridCol w:w="9648"/>
      </w:tblGrid>
      <w:tr>
        <w:tc>
          <w:tcPr>
            <w:tcW w:type="dxa" w:w="9648"/>
            <w:shd w:fill="F8F9FB"/>
            <w:tcMar>
              <w:top w:w="100" w:type="dxa"/>
              <w:bottom w:w="100" w:type="dxa"/>
              <w:left w:w="160" w:type="dxa"/>
              <w:right w:w="160" w:type="dxa"/>
            </w:tcMar>
          </w:tcPr>
          <w:p>
            <w:pPr>
              <w:spacing w:before="20" w:after="40"/>
            </w:pPr>
            <w:r>
              <w:rPr>
                <w:rFonts w:ascii="Arial" w:hAnsi="Arial"/>
                <w:b/>
                <w:color w:val="0F2043"/>
                <w:sz w:val="19"/>
              </w:rPr>
              <w:t>Methodological &amp; Doctrinal Analysis</w:t>
              <w:br/>
            </w:r>
          </w:p>
          <w:p>
            <w:pPr>
              <w:spacing w:before="20" w:after="40" w:line="276" w:lineRule="auto"/>
            </w:pPr>
            <w:r>
              <w:rPr>
                <w:rFonts w:ascii="Calibri" w:hAnsi="Calibri"/>
                <w:b/>
                <w:color w:val="212529"/>
                <w:sz w:val="19"/>
              </w:rPr>
              <w:t xml:space="preserve">A. Why Was Construction Necessary? </w:t>
            </w:r>
            <w:r>
              <w:rPr>
                <w:rFonts w:ascii="Calibri" w:hAnsi="Calibri"/>
                <w:color w:val="212529"/>
                <w:sz w:val="19"/>
              </w:rPr>
              <w:t>Ambiguity in the application and scope of the statute: The BIR attempted to enforce a general tax code provision against a special corporate charter without showing any express legislative repeal.</w:t>
            </w:r>
          </w:p>
          <w:p>
            <w:pPr>
              <w:spacing w:before="20" w:after="40" w:line="276" w:lineRule="auto"/>
            </w:pPr>
            <w:r>
              <w:rPr>
                <w:rFonts w:ascii="Calibri" w:hAnsi="Calibri"/>
                <w:b/>
                <w:color w:val="212529"/>
                <w:sz w:val="19"/>
              </w:rPr>
              <w:t xml:space="preserve">B. Purpose of Construction: </w:t>
            </w:r>
            <w:r>
              <w:rPr>
                <w:rFonts w:ascii="Calibri" w:hAnsi="Calibri"/>
                <w:color w:val="212529"/>
                <w:sz w:val="19"/>
              </w:rPr>
              <w:t>To ascertain and give full effect to the true intent, spirit, and purpose of the lawmaking body.</w:t>
            </w:r>
          </w:p>
          <w:p>
            <w:pPr>
              <w:spacing w:before="20" w:after="40" w:line="276" w:lineRule="auto"/>
            </w:pPr>
            <w:r>
              <w:rPr>
                <w:rFonts w:ascii="Calibri" w:hAnsi="Calibri"/>
                <w:b/>
                <w:color w:val="212529"/>
                <w:sz w:val="19"/>
              </w:rPr>
              <w:t xml:space="preserve">C. Method, Canon, or Rule Applied: </w:t>
            </w:r>
            <w:r>
              <w:rPr>
                <w:rFonts w:ascii="Calibri" w:hAnsi="Calibri"/>
                <w:color w:val="212529"/>
                <w:sz w:val="19"/>
              </w:rPr>
              <w:t>Generalia specialibus non derogant</w:t>
              <w:br/>
              <w:t xml:space="preserve">   - Application: Inviolability of Special Franchises Against General Tax Codes: A general tax statute will not be construed to repeal or alter a special legislative franchise containing an 'in lieu of all taxes' clause unless the legislative intent to repeal is explicit.</w:t>
              <w:br/>
              <w:t xml:space="preserve">   - Result: No. PAL's franchise is a special contract with the State that says 'in lieu of all other taxes'. A general tax code does not secretly repeal a special franchise law without saying so directly.</w:t>
            </w:r>
          </w:p>
          <w:p>
            <w:pPr>
              <w:spacing w:before="20" w:after="40" w:line="276" w:lineRule="auto"/>
            </w:pPr>
            <w:r>
              <w:rPr>
                <w:rFonts w:ascii="Calibri" w:hAnsi="Calibri"/>
                <w:b/>
                <w:color w:val="212529"/>
                <w:sz w:val="19"/>
              </w:rPr>
              <w:t xml:space="preserve">D. Other Sources Used: </w:t>
            </w:r>
            <w:r>
              <w:rPr>
                <w:rFonts w:ascii="Calibri" w:hAnsi="Calibri"/>
                <w:color w:val="212529"/>
                <w:sz w:val="19"/>
              </w:rPr>
              <w:t>Ordinary meaning of words, statute considered as a whole, legislative history, and established Supreme Court jurisprudence.</w:t>
            </w:r>
          </w:p>
        </w:tc>
      </w:tr>
    </w:tbl>
    <w:p>
      <w:pPr>
        <w:keepNext/>
        <w:spacing w:before="240" w:after="60"/>
      </w:pPr>
      <w:r>
        <w:rPr>
          <w:rFonts w:ascii="Arial" w:hAnsi="Arial"/>
          <w:b/>
          <w:color w:val="0F2043"/>
          <w:sz w:val="21"/>
        </w:rPr>
        <w:t>VII. RELEVANT STATUTORY-CONSTRUCTION CONCEPTS (A–L EVALUATION)</w:t>
      </w:r>
    </w:p>
    <w:tbl>
      <w:tblPr>
        <w:tblW w:type="auto" w:w="0"/>
        <w:jc w:val="center"/>
        <w:tblLook w:firstColumn="1" w:firstRow="1" w:lastColumn="0" w:lastRow="0" w:noHBand="0" w:noVBand="1" w:val="04A0"/>
      </w:tblPr>
      <w:tblGrid>
        <w:gridCol w:w="4824"/>
        <w:gridCol w:w="4824"/>
      </w:tblGrid>
      <w:tr>
        <w:tc>
          <w:tcPr>
            <w:tcW w:type="dxa" w:w="4824"/>
            <w:shd w:fill="EBF0F8"/>
            <w:tcMar>
              <w:top w:w="70" w:type="dxa"/>
              <w:bottom w:w="70" w:type="dxa"/>
              <w:left w:w="100" w:type="dxa"/>
              <w:right w:w="100" w:type="dxa"/>
            </w:tcMar>
          </w:tcPr>
          <w:p>
            <w:pPr>
              <w:spacing w:before="20" w:after="20"/>
            </w:pPr>
            <w:r>
              <w:rPr>
                <w:rFonts w:ascii="Arial" w:hAnsi="Arial"/>
                <w:b/>
                <w:color w:val="0F2043"/>
                <w:sz w:val="18"/>
              </w:rPr>
              <w:t>A. Situs of Statutory Construction</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Supreme Court of the Philippines, exercising its constitutional judicial power under Article VIII of the Constitution, serves as the ultimate situs and final arbiter for interpreting and construing the disputed provision.</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B. Purpose of Statutory Construction</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purpose of construction is to discover and effectuate the true legislative intent and will of the lawmaking body, preventing injustice and ensuring the statute operates harmoniously.</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C. When to Construe</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Construction became imperative because the text contained an ambiguity, competing interpretations, or conflicting statutory provisions that required judicial determination of legislative intent.</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D. Ambiguity or Vagueness</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controversy centered on the ambiguity, silence, or conflicting scope of the statutory language, which the Court resolved by examining legislative intent and governing maxims.</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E. Verba Legis Non Est Recedendum</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781E1E"/>
                <w:sz w:val="17"/>
              </w:rPr>
              <w:t xml:space="preserve"> [NOT APPLICABLE] </w:t>
            </w:r>
            <w:r>
              <w:rPr>
                <w:rFonts w:ascii="Calibri" w:hAnsi="Calibri"/>
                <w:color w:val="212529"/>
                <w:sz w:val="18"/>
              </w:rPr>
              <w:t>Not Applicable. The Court looked beyond literal words to discover the underlying legislative spirit, context, and intent.</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F. Absoluta Sententia Expositore Non Indigent</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781E1E"/>
                <w:sz w:val="17"/>
              </w:rPr>
              <w:t xml:space="preserve"> [NOT APPLICABLE] </w:t>
            </w:r>
            <w:r>
              <w:rPr>
                <w:rFonts w:ascii="Calibri" w:hAnsi="Calibri"/>
                <w:color w:val="212529"/>
                <w:sz w:val="18"/>
              </w:rPr>
              <w:t>Not Applicable. The statutory language required expository interpretation due to textual gaps, broad phrasing, or conflicting provisions.</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G. Legislative Intent</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Court analyzed the true intent and policy of the lawmaking authority, ensuring that the statutory purpose is preserved and not defeated by erroneous administrative or private interpretations.</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H. Strict or Liberal Construction</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Court applied the recognized standard of construction tailored to the nature of the statute (e.g., penal and tax statutes are strictly construed against the State, whereas social legislation and remedial rules are liberally construed).</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I. Prospective or Retrospective Construction</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781E1E"/>
                <w:sz w:val="17"/>
              </w:rPr>
              <w:t xml:space="preserve"> [NOT APPLICABLE] </w:t>
            </w:r>
            <w:r>
              <w:rPr>
                <w:rFonts w:ascii="Calibri" w:hAnsi="Calibri"/>
                <w:color w:val="212529"/>
                <w:sz w:val="18"/>
              </w:rPr>
              <w:t>Not Applicable. The case involved only the contemporaneous, prospective application of the governing law.</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J. Statutory Construction vs. Judicial Legislation</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Court underscored the constitutional boundary of judicial power: Courts are empowered solely to interpret (jus dicere), not to enact or amend laws (jus dare). Supplying unwritten terms or expanding clear prohibitions constitutes prohibited judicial legislation.</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K. Legis Interpretatio Legis Vim Obtinet</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Under Article 8 of the Civil Code, the Supreme Court's authoritative interpretation of the statute forms part of the legal system of the Philippines and acquires the force of law (*legis interpretatio legis vim obtinet*).</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L. Extent and Limits of the Power to Construe</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Court respected the constitutional limits of its authority by applying the law as written and refusing to invade the legislative domain under the guise of equity or expediency.</w:t>
            </w:r>
          </w:p>
        </w:tc>
      </w:tr>
    </w:tbl>
    <w:p>
      <w:pPr>
        <w:keepNext/>
        <w:spacing w:before="240" w:after="60"/>
      </w:pPr>
      <w:r>
        <w:rPr>
          <w:rFonts w:ascii="Arial" w:hAnsi="Arial"/>
          <w:b/>
          <w:color w:val="0F2043"/>
          <w:sz w:val="21"/>
        </w:rPr>
        <w:t>VIII. OTHER CANONS OR METHODS OF CONSTRUCTION</w:t>
      </w:r>
    </w:p>
    <w:tbl>
      <w:tblPr>
        <w:tblW w:type="auto" w:w="0"/>
        <w:jc w:val="center"/>
        <w:tblLook w:firstColumn="1" w:firstRow="1" w:lastColumn="0" w:lastRow="0" w:noHBand="0" w:noVBand="1" w:val="04A0"/>
      </w:tblPr>
      <w:tblGrid>
        <w:gridCol w:w="9648"/>
      </w:tblGrid>
      <w:tr>
        <w:tc>
          <w:tcPr>
            <w:tcW w:type="dxa" w:w="9648"/>
            <w:shd w:fill="F8F9FB"/>
            <w:tcMar>
              <w:top w:w="100" w:type="dxa"/>
              <w:bottom w:w="100" w:type="dxa"/>
              <w:left w:w="160" w:type="dxa"/>
              <w:right w:w="160" w:type="dxa"/>
            </w:tcMar>
          </w:tcPr>
          <w:p>
            <w:pPr>
              <w:spacing w:before="20" w:after="40"/>
            </w:pPr>
            <w:r>
              <w:rPr>
                <w:rFonts w:ascii="Arial" w:hAnsi="Arial"/>
                <w:b/>
                <w:color w:val="0F2043"/>
                <w:sz w:val="19"/>
              </w:rPr>
              <w:t>Secondary Rules &amp; Canons Applied</w:t>
              <w:br/>
            </w:r>
          </w:p>
          <w:p>
            <w:pPr>
              <w:spacing w:before="20" w:after="40" w:line="276" w:lineRule="auto"/>
            </w:pPr>
            <w:r>
              <w:rPr>
                <w:rFonts w:ascii="Calibri" w:hAnsi="Calibri"/>
                <w:b/>
                <w:color w:val="212529"/>
                <w:sz w:val="19"/>
              </w:rPr>
              <w:t xml:space="preserve">• Canon / Maxim: </w:t>
            </w:r>
            <w:r>
              <w:rPr>
                <w:rFonts w:ascii="Calibri" w:hAnsi="Calibri"/>
                <w:color w:val="212529"/>
                <w:sz w:val="19"/>
              </w:rPr>
              <w:t>• Leges posteriores priores contrarias abrogant (limits of implied repeal)</w:t>
              <w:br/>
              <w:t>• Pacta sunt servanda (franchise covenants)</w:t>
            </w:r>
          </w:p>
          <w:p>
            <w:pPr>
              <w:spacing w:before="20" w:after="40" w:line="276" w:lineRule="auto"/>
            </w:pPr>
            <w:r>
              <w:rPr>
                <w:rFonts w:ascii="Calibri" w:hAnsi="Calibri"/>
                <w:b/>
                <w:color w:val="212529"/>
                <w:sz w:val="19"/>
              </w:rPr>
              <w:t xml:space="preserve">• How Applied: </w:t>
            </w:r>
            <w:r>
              <w:rPr>
                <w:rFonts w:ascii="Calibri" w:hAnsi="Calibri"/>
                <w:color w:val="212529"/>
                <w:sz w:val="19"/>
              </w:rPr>
              <w:t>Applied as corroborative canons to reinforce the primary rule of construction.</w:t>
            </w:r>
          </w:p>
          <w:p>
            <w:pPr>
              <w:spacing w:before="20" w:after="40" w:line="276" w:lineRule="auto"/>
            </w:pPr>
            <w:r>
              <w:rPr>
                <w:rFonts w:ascii="Calibri" w:hAnsi="Calibri"/>
                <w:b/>
                <w:color w:val="212529"/>
                <w:sz w:val="19"/>
              </w:rPr>
              <w:t xml:space="preserve">• Effect on Interpretation: </w:t>
            </w:r>
            <w:r>
              <w:rPr>
                <w:rFonts w:ascii="Calibri" w:hAnsi="Calibri"/>
                <w:color w:val="212529"/>
                <w:sz w:val="19"/>
              </w:rPr>
              <w:t>Harmonized the statute and prevented an absurd or unjust result.</w:t>
            </w:r>
          </w:p>
        </w:tc>
      </w:tr>
    </w:tbl>
    <w:p>
      <w:pPr>
        <w:keepNext/>
        <w:spacing w:before="240" w:after="60"/>
      </w:pPr>
      <w:r>
        <w:rPr>
          <w:rFonts w:ascii="Arial" w:hAnsi="Arial"/>
          <w:b/>
          <w:color w:val="0F2043"/>
          <w:sz w:val="21"/>
        </w:rPr>
        <w:t>IX. THE CONSTRUCTION MADE BY THE COURT</w:t>
      </w:r>
    </w:p>
    <w:tbl>
      <w:tblPr>
        <w:tblW w:type="auto" w:w="0"/>
        <w:jc w:val="center"/>
        <w:tblLook w:firstColumn="1" w:firstRow="1" w:lastColumn="0" w:lastRow="0" w:noHBand="0" w:noVBand="1" w:val="04A0"/>
      </w:tblPr>
      <w:tblGrid>
        <w:gridCol w:w="9648"/>
      </w:tblGrid>
      <w:tr>
        <w:tc>
          <w:tcPr>
            <w:tcW w:type="dxa" w:w="9648"/>
            <w:shd w:fill="F9F8F5"/>
            <w:tcMar>
              <w:top w:w="100" w:type="dxa"/>
              <w:bottom w:w="100" w:type="dxa"/>
              <w:left w:w="160" w:type="dxa"/>
              <w:right w:w="160" w:type="dxa"/>
            </w:tcMar>
          </w:tcPr>
          <w:p>
            <w:pPr>
              <w:spacing w:before="20" w:after="40"/>
            </w:pPr>
            <w:r>
              <w:rPr>
                <w:rFonts w:ascii="Arial" w:hAnsi="Arial"/>
                <w:b/>
                <w:color w:val="0F2043"/>
                <w:sz w:val="19"/>
              </w:rPr>
              <w:t>Actual Judicial Construction &amp; Ratio</w:t>
              <w:br/>
            </w:r>
          </w:p>
          <w:p>
            <w:pPr>
              <w:spacing w:before="20" w:after="40" w:line="276" w:lineRule="auto"/>
            </w:pPr>
            <w:r>
              <w:rPr>
                <w:rFonts w:ascii="Calibri" w:hAnsi="Calibri"/>
                <w:b/>
                <w:color w:val="212529"/>
                <w:sz w:val="19"/>
              </w:rPr>
              <w:t xml:space="preserve">• Construction Summary: </w:t>
            </w:r>
            <w:r>
              <w:rPr>
                <w:rFonts w:ascii="Calibri" w:hAnsi="Calibri"/>
                <w:color w:val="212529"/>
                <w:sz w:val="19"/>
              </w:rPr>
              <w:t>The Court construed the disputed statutory provisions in Commissioner of Internal Revenue v. Philippine Airlines, Inc. (PAL) to mean and apply strictly in accordance with Generalia specialibus non derogant, holding that No. PAL's franchise is a special contract with the State that says 'in lieu of all other taxes'. A general tax code does not secretly repeal a special franchise.</w:t>
            </w:r>
          </w:p>
          <w:p>
            <w:pPr>
              <w:spacing w:before="20" w:after="40" w:line="276" w:lineRule="auto"/>
            </w:pPr>
            <w:r>
              <w:rPr>
                <w:rFonts w:ascii="Calibri" w:hAnsi="Calibri"/>
                <w:b/>
                <w:color w:val="212529"/>
                <w:sz w:val="19"/>
              </w:rPr>
              <w:t xml:space="preserve">• Principal Reasoning: </w:t>
            </w:r>
            <w:r>
              <w:rPr>
                <w:rFonts w:ascii="Calibri" w:hAnsi="Calibri"/>
                <w:color w:val="212529"/>
                <w:sz w:val="19"/>
              </w:rPr>
              <w:t>PAL was granted a special charter to keep the country's flag carrier flying. The charter specifically promised that PAL would only pay basic income tax or 2% franchise tax, and nothing else. When Congress passed the new general Tax Code, it never explicitly mentioned repealing PAL's charter. A general law never overrides a special charter unless Congress specifically orders a repeal.</w:t>
            </w:r>
          </w:p>
        </w:tc>
      </w:tr>
    </w:tbl>
    <w:tbl>
      <w:tblPr>
        <w:tblW w:type="auto" w:w="0"/>
        <w:jc w:val="center"/>
        <w:tblLook w:firstColumn="1" w:firstRow="1" w:lastColumn="0" w:lastRow="0" w:noHBand="0" w:noVBand="1" w:val="04A0"/>
      </w:tblPr>
      <w:tblGrid>
        <w:gridCol w:w="9648"/>
      </w:tblGrid>
      <w:tr>
        <w:tc>
          <w:tcPr>
            <w:tcW w:type="dxa" w:w="9648"/>
            <w:shd w:fill="EEF6F0"/>
            <w:tcMar>
              <w:top w:w="100" w:type="dxa"/>
              <w:bottom w:w="100" w:type="dxa"/>
              <w:left w:w="160" w:type="dxa"/>
              <w:right w:w="160" w:type="dxa"/>
            </w:tcMar>
          </w:tcPr>
          <w:p>
            <w:pPr>
              <w:spacing w:before="20" w:after="40"/>
            </w:pPr>
            <w:r>
              <w:rPr>
                <w:rFonts w:ascii="Arial" w:hAnsi="Arial"/>
                <w:b/>
                <w:color w:val="0D6E4B"/>
                <w:sz w:val="19"/>
              </w:rPr>
              <w:t>X. STATUTORY CONSTRUCTION OR JUDICIAL LEGISLATION?</w:t>
              <w:br/>
            </w:r>
          </w:p>
          <w:p>
            <w:pPr>
              <w:spacing w:before="20" w:after="60"/>
            </w:pPr>
            <w:r>
              <w:rPr>
                <w:rFonts w:ascii="Arial" w:hAnsi="Arial"/>
                <w:b/>
                <w:color w:val="0F2043"/>
                <w:sz w:val="19"/>
              </w:rPr>
              <w:t>☑ Proper statutory construction    ☐ Judicial legislation    ☐ Debatable</w:t>
            </w:r>
          </w:p>
          <w:p>
            <w:pPr>
              <w:spacing w:before="40" w:after="40" w:line="276" w:lineRule="auto"/>
            </w:pPr>
            <w:r>
              <w:rPr>
                <w:rFonts w:ascii="Calibri" w:hAnsi="Calibri"/>
                <w:b/>
                <w:color w:val="212529"/>
                <w:sz w:val="19"/>
              </w:rPr>
              <w:t>Explanation (3–5 sentences):</w:t>
              <w:br/>
            </w:r>
            <w:r>
              <w:rPr>
                <w:rFonts w:ascii="Calibri" w:hAnsi="Calibri"/>
                <w:color w:val="212529"/>
                <w:sz w:val="19"/>
              </w:rPr>
              <w:t>The Supreme Court acted within the legitimate bounds of its constitutional power to interpret the law (jus dicere). By applying Generalia specialibus non derogant, the Court faithfully effectuated the legislative intent without creating new rules, modifying clear statutory text, or usurping congressional prerogative. The ruling reinforces the separation of powers and the doctrine that courts must enforce the law as enacted.</w:t>
            </w:r>
          </w:p>
        </w:tc>
      </w:tr>
    </w:tbl>
    <w:p>
      <w:pPr>
        <w:spacing w:before="80" w:after="40"/>
      </w:pPr>
    </w:p>
    <w:tbl>
      <w:tblPr>
        <w:tblW w:type="auto" w:w="0"/>
        <w:jc w:val="center"/>
        <w:tblLook w:firstColumn="1" w:firstRow="1" w:lastColumn="0" w:lastRow="0" w:noHBand="0" w:noVBand="1" w:val="04A0"/>
      </w:tblPr>
      <w:tblGrid>
        <w:gridCol w:w="9648"/>
      </w:tblGrid>
      <w:tr>
        <w:tc>
          <w:tcPr>
            <w:tcW w:type="dxa" w:w="9648"/>
            <w:shd w:fill="FBF6EE"/>
            <w:tcMar>
              <w:top w:w="100" w:type="dxa"/>
              <w:bottom w:w="100" w:type="dxa"/>
              <w:left w:w="160" w:type="dxa"/>
              <w:right w:w="160" w:type="dxa"/>
            </w:tcMar>
          </w:tcPr>
          <w:p>
            <w:pPr>
              <w:spacing w:before="20" w:after="40"/>
            </w:pPr>
            <w:r>
              <w:rPr>
                <w:rFonts w:ascii="Arial" w:hAnsi="Arial"/>
                <w:b/>
                <w:color w:val="8C3200"/>
                <w:sz w:val="19"/>
              </w:rPr>
              <w:t>XI. DOCTRINE (Statutory Construction Principle):</w:t>
              <w:br/>
            </w:r>
            <w:r>
              <w:rPr>
                <w:rFonts w:ascii="Calibri" w:hAnsi="Calibri"/>
                <w:color w:val="212529"/>
                <w:sz w:val="19"/>
              </w:rPr>
              <w:t>Inviolability of Special Franchises Against General Tax Codes: A general tax statute will not be construed to repeal or alter a special legislative franchise containing an 'in lieu of all taxes' clause unless the legislative intent to repeal is explicit.</w:t>
              <w:br/>
              <w:br/>
            </w:r>
          </w:p>
          <w:p>
            <w:pPr>
              <w:spacing w:before="20" w:after="40"/>
            </w:pPr>
            <w:r>
              <w:rPr>
                <w:rFonts w:ascii="Arial" w:hAnsi="Arial"/>
                <w:b/>
                <w:color w:val="8C3200"/>
                <w:sz w:val="19"/>
              </w:rPr>
              <w:t>XII. ONE-SENTENCE TAKEAWAY:</w:t>
              <w:br/>
            </w:r>
            <w:r>
              <w:rPr>
                <w:rFonts w:ascii="Calibri" w:hAnsi="Calibri"/>
                <w:i/>
                <w:color w:val="212529"/>
                <w:sz w:val="19"/>
              </w:rPr>
              <w:t>This case is important in Statutory Construction because A general tax book for everybody does not cancel a special tax charter contract given to a specific company unless Congress explicitly writes 'we hereby cancel their charter'.</w:t>
            </w:r>
          </w:p>
        </w:tc>
      </w:tr>
    </w:tbl>
    <w:p>
      <w:r>
        <w:br w:type="page"/>
      </w:r>
    </w:p>
    <w:p>
      <w:pPr>
        <w:keepNext/>
        <w:spacing w:before="320" w:after="80"/>
      </w:pPr>
      <w:r>
        <w:rPr>
          <w:rFonts w:ascii="Arial" w:hAnsi="Arial"/>
          <w:b/>
          <w:color w:val="0F2043"/>
          <w:sz w:val="26"/>
        </w:rPr>
        <w:t>49. REPUBLIC OF THE PHILIPPINES V. DEL MONTE MOTORS, INC.</w:t>
      </w:r>
    </w:p>
    <w:p>
      <w:pPr>
        <w:spacing w:before="40" w:after="80" w:line="276" w:lineRule="auto"/>
      </w:pPr>
      <w:r>
        <w:rPr>
          <w:rFonts w:ascii="Calibri" w:hAnsi="Calibri"/>
          <w:b/>
          <w:color w:val="212529"/>
          <w:sz w:val="21"/>
        </w:rPr>
        <w:t xml:space="preserve">Citation: </w:t>
      </w:r>
      <w:r>
        <w:rPr>
          <w:rFonts w:ascii="Calibri" w:hAnsi="Calibri"/>
          <w:i/>
          <w:color w:val="212529"/>
          <w:sz w:val="21"/>
        </w:rPr>
        <w:t>G.R. No. 156956 | October 9, 2006 | 504 SCRA 86 | First Division | Ponente: J. Panganiban</w:t>
      </w:r>
    </w:p>
    <w:p>
      <w:pPr>
        <w:keepNext/>
        <w:spacing w:before="200" w:after="40"/>
      </w:pPr>
      <w:r>
        <w:rPr>
          <w:rFonts w:ascii="Arial" w:hAnsi="Arial"/>
          <w:b/>
          <w:color w:val="781E1E"/>
          <w:sz w:val="22"/>
        </w:rPr>
        <w:t>LAYER A: ALAC DIGEST, RECITATION SCRIPT &amp; STATCON ANALYSIS</w:t>
      </w:r>
    </w:p>
    <w:p>
      <w:pPr>
        <w:keepNext/>
        <w:spacing w:before="200" w:after="40"/>
      </w:pPr>
      <w:r>
        <w:rPr>
          <w:rFonts w:ascii="Arial" w:hAnsi="Arial"/>
          <w:b/>
          <w:color w:val="781E1E"/>
          <w:sz w:val="22"/>
        </w:rPr>
        <w:t>I. PARTIES &amp; PROCEDURAL BACKGROUND</w:t>
      </w:r>
    </w:p>
    <w:p>
      <w:pPr>
        <w:spacing w:before="40" w:after="80" w:line="276" w:lineRule="auto"/>
      </w:pPr>
      <w:r>
        <w:rPr>
          <w:rFonts w:ascii="Calibri" w:hAnsi="Calibri"/>
          <w:b/>
          <w:color w:val="212529"/>
          <w:sz w:val="21"/>
        </w:rPr>
        <w:t xml:space="preserve">• Plaintiff/Petitioner: </w:t>
      </w:r>
      <w:r>
        <w:rPr>
          <w:rFonts w:ascii="Calibri" w:hAnsi="Calibri"/>
          <w:i w:val="0"/>
          <w:color w:val="212529"/>
          <w:sz w:val="21"/>
        </w:rPr>
        <w:t>Republic of the Philippines, represented by the Metropolitan Manila Development Authority (MMDA) (Petitioner)</w:t>
      </w:r>
    </w:p>
    <w:p>
      <w:pPr>
        <w:spacing w:before="40" w:after="80" w:line="276" w:lineRule="auto"/>
      </w:pPr>
      <w:r>
        <w:rPr>
          <w:rFonts w:ascii="Calibri" w:hAnsi="Calibri"/>
          <w:b/>
          <w:color w:val="212529"/>
          <w:sz w:val="21"/>
        </w:rPr>
        <w:t xml:space="preserve">• Defendant/Respondent: </w:t>
      </w:r>
      <w:r>
        <w:rPr>
          <w:rFonts w:ascii="Calibri" w:hAnsi="Calibri"/>
          <w:i w:val="0"/>
          <w:color w:val="212529"/>
          <w:sz w:val="21"/>
        </w:rPr>
        <w:t>Del Monte Motors, Inc. and the Court of Appeals (Respondents)</w:t>
      </w:r>
    </w:p>
    <w:p>
      <w:pPr>
        <w:spacing w:before="40" w:after="80" w:line="276" w:lineRule="auto"/>
      </w:pPr>
      <w:r>
        <w:rPr>
          <w:rFonts w:ascii="Calibri" w:hAnsi="Calibri"/>
          <w:b/>
          <w:color w:val="212529"/>
          <w:sz w:val="21"/>
        </w:rPr>
        <w:t xml:space="preserve">• Originating Court: </w:t>
      </w:r>
      <w:r>
        <w:rPr>
          <w:rFonts w:ascii="Calibri" w:hAnsi="Calibri"/>
          <w:i w:val="0"/>
          <w:color w:val="212529"/>
          <w:sz w:val="21"/>
        </w:rPr>
        <w:t>Regional Trial Court of Quezon City (Branch 224) / Court of Appeals</w:t>
      </w:r>
    </w:p>
    <w:p>
      <w:pPr>
        <w:spacing w:before="40" w:after="80" w:line="276" w:lineRule="auto"/>
      </w:pPr>
      <w:r>
        <w:rPr>
          <w:rFonts w:ascii="Calibri" w:hAnsi="Calibri"/>
          <w:b/>
          <w:color w:val="212529"/>
          <w:sz w:val="21"/>
        </w:rPr>
        <w:t xml:space="preserve">• Nature of the Action: </w:t>
      </w:r>
      <w:r>
        <w:rPr>
          <w:rFonts w:ascii="Calibri" w:hAnsi="Calibri"/>
          <w:i w:val="0"/>
          <w:color w:val="212529"/>
          <w:sz w:val="21"/>
        </w:rPr>
        <w:t>Petition for Review on Certiorari under Rule 45 assailing the garnishment of MMDA public funds in Land Bank of the Philippines to satisfy a money judgment in favor of a private contractor.</w:t>
      </w:r>
    </w:p>
    <w:p>
      <w:pPr>
        <w:keepNext/>
        <w:spacing w:before="200" w:after="40"/>
      </w:pPr>
      <w:r>
        <w:rPr>
          <w:rFonts w:ascii="Arial" w:hAnsi="Arial"/>
          <w:b/>
          <w:color w:val="781E1E"/>
          <w:sz w:val="22"/>
        </w:rPr>
        <w:t>II. WHOLE FACTS</w:t>
      </w:r>
    </w:p>
    <w:p>
      <w:pPr>
        <w:spacing w:before="40" w:after="80" w:line="276" w:lineRule="auto"/>
      </w:pPr>
      <w:r>
        <w:rPr>
          <w:rFonts w:ascii="Calibri" w:hAnsi="Calibri"/>
          <w:i w:val="0"/>
          <w:color w:val="212529"/>
          <w:sz w:val="21"/>
        </w:rPr>
        <w:t>Del Monte Motors obtained a final money judgment against the Metropolitan Manila Development Authority (MMDA) arising from a contract for the supply of mobile clinics. Del Monte secured a writ of execution and caused the sheriff to garnish MMDA's public deposit accounts held at the Land Bank of the Philippines. MMDA petitioned the Supreme Court, contending that under Presidential Decree No. 1445 (Government Auditing Code) and settled public policy, public funds allocated for governmental functions are EXEMPT FROM GARNISHMENT and execution, and can only be disbursed through a claim filed with the Commission on Audit (COA).</w:t>
      </w:r>
    </w:p>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SUMMARY OF FACTS</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A bus manufacturer won a money judgment against the MMDA for supplying mobile clinics and had the court sheriff garnish (freeze and seize) MMDA's bank accounts at Land Bank. The government went to the Supreme Court, arguing that public funds intended for flood control, garbage collection, and traffic management cannot be seized by court sheriffs because state money can only be disbursed through proper government appropriation and COA approval. The Supreme Court ruled that public funds are strictly exempt from garnishment.</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When reciting the facts, state the core dispute in 2 sentences, then state how the case reached the Supreme Court.</w:t>
            </w:r>
          </w:p>
        </w:tc>
      </w:tr>
    </w:tbl>
    <w:p>
      <w:pPr>
        <w:keepNext/>
        <w:spacing w:before="200" w:after="40"/>
      </w:pPr>
      <w:r>
        <w:rPr>
          <w:rFonts w:ascii="Arial" w:hAnsi="Arial"/>
          <w:b/>
          <w:color w:val="781E1E"/>
          <w:sz w:val="22"/>
        </w:rPr>
        <w:t>III. THE LEGAL ISSUE</w:t>
      </w:r>
    </w:p>
    <w:p>
      <w:pPr>
        <w:spacing w:before="40" w:after="80" w:line="276" w:lineRule="auto"/>
      </w:pPr>
      <w:r>
        <w:rPr>
          <w:rFonts w:ascii="Calibri" w:hAnsi="Calibri"/>
          <w:i w:val="0"/>
          <w:color w:val="212529"/>
          <w:sz w:val="21"/>
        </w:rPr>
        <w:t>Whether or not public funds of a government agency (MMDA) deposited in a government depository bank are subject to garnishment and execution to satisfy a civil money judgment.</w:t>
      </w:r>
    </w:p>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THE LEGAL ISSUE</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Can a winning contractor freeze and seize the government's bank accounts to collect a debt?</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"Sir/Ma'am, the issue is whether public funds allocated for governmental services are subject to judicial garnishment, testing the canon of Salus Populi Est Suprema Lex (the welfare of the people is the supreme law) and the statutory immunity of public funds under PD 1445."</w:t>
            </w:r>
          </w:p>
        </w:tc>
      </w:tr>
    </w:tbl>
    <w:p>
      <w:pPr>
        <w:keepNext/>
        <w:spacing w:before="200" w:after="40"/>
      </w:pPr>
      <w:r>
        <w:rPr>
          <w:rFonts w:ascii="Arial" w:hAnsi="Arial"/>
          <w:b/>
          <w:color w:val="781E1E"/>
          <w:sz w:val="22"/>
        </w:rPr>
        <w:t>IV. ALAC DIGEST</w:t>
      </w:r>
    </w:p>
    <w:tbl>
      <w:tblPr>
        <w:tblW w:type="auto" w:w="0"/>
        <w:jc w:val="center"/>
        <w:tblLook w:firstColumn="1" w:firstRow="1" w:lastColumn="0" w:lastRow="0" w:noHBand="0" w:noVBand="1" w:val="04A0"/>
      </w:tblPr>
      <w:tblGrid>
        <w:gridCol w:w="9648"/>
      </w:tblGrid>
      <w:tr>
        <w:tc>
          <w:tcPr>
            <w:tcW w:type="dxa" w:w="9648"/>
            <w:shd w:fill="F4F6F9"/>
            <w:tcMar>
              <w:top w:w="120" w:type="dxa"/>
              <w:bottom w:w="120" w:type="dxa"/>
              <w:left w:w="180" w:type="dxa"/>
              <w:right w:w="180" w:type="dxa"/>
            </w:tcMar>
          </w:tcPr>
          <w:p>
            <w:pPr>
              <w:spacing w:before="40" w:after="60"/>
            </w:pPr>
            <w:r>
              <w:rPr>
                <w:rFonts w:ascii="Arial" w:hAnsi="Arial"/>
                <w:b/>
                <w:color w:val="0F2043"/>
                <w:sz w:val="21"/>
              </w:rPr>
              <w:t>[A] ANSWER</w:t>
              <w:br/>
            </w:r>
          </w:p>
          <w:p>
            <w:pPr>
              <w:spacing w:before="20" w:after="40" w:line="276" w:lineRule="auto"/>
            </w:pPr>
            <w:r>
              <w:rPr>
                <w:rFonts w:ascii="Calibri" w:hAnsi="Calibri"/>
                <w:color w:val="212529"/>
                <w:sz w:val="20"/>
              </w:rPr>
              <w:t>NO. Public funds of government agencies like MMDA are STRICTLY EXEMPT from garnishment and execution. Public policy and statutory auditing laws demand that government funds cannot be seized to satisfy private claims without legislative appropriation and COA approval.</w:t>
            </w:r>
          </w:p>
        </w:tc>
      </w:tr>
    </w:tbl>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THE ANSWER</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No. Government money belongs to the public for traffic, flood control, and emergency services. A sheriff cannot seize government accounts. The winning party must file a claim with the Commission on Audit (COA) to get paid through proper budget appropriations.</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"No, Sir/Ma'am. The Supreme Court held that under Salus populi est suprema lex (the welfare of the people is the supreme law) and Section 84 of PD 1445, public funds are exempt from garnishment. The proper remedy to enforce a money judgment against the government is to file a claim before the Commission on Audit (COA)."</w:t>
            </w:r>
          </w:p>
        </w:tc>
      </w:tr>
    </w:tbl>
    <w:tbl>
      <w:tblPr>
        <w:tblW w:type="auto" w:w="0"/>
        <w:jc w:val="center"/>
        <w:tblLook w:firstColumn="1" w:firstRow="1" w:lastColumn="0" w:lastRow="0" w:noHBand="0" w:noVBand="1" w:val="04A0"/>
      </w:tblPr>
      <w:tblGrid>
        <w:gridCol w:w="9648"/>
      </w:tblGrid>
      <w:tr>
        <w:tc>
          <w:tcPr>
            <w:tcW w:type="dxa" w:w="9648"/>
            <w:shd w:fill="F4F6F9"/>
            <w:tcMar>
              <w:top w:w="120" w:type="dxa"/>
              <w:bottom w:w="120" w:type="dxa"/>
              <w:left w:w="180" w:type="dxa"/>
              <w:right w:w="180" w:type="dxa"/>
            </w:tcMar>
          </w:tcPr>
          <w:p>
            <w:pPr>
              <w:spacing w:before="40" w:after="60"/>
            </w:pPr>
            <w:r>
              <w:rPr>
                <w:rFonts w:ascii="Arial" w:hAnsi="Arial"/>
                <w:b/>
                <w:color w:val="0F2043"/>
                <w:sz w:val="21"/>
              </w:rPr>
              <w:t>[L] LEGAL BASIS</w:t>
              <w:br/>
            </w:r>
          </w:p>
          <w:p>
            <w:pPr>
              <w:spacing w:before="20" w:after="40" w:line="276" w:lineRule="auto"/>
            </w:pPr>
            <w:r>
              <w:rPr>
                <w:rFonts w:ascii="Calibri" w:hAnsi="Calibri"/>
                <w:b/>
                <w:color w:val="212529"/>
                <w:sz w:val="20"/>
              </w:rPr>
              <w:t xml:space="preserve">1. Presidential Decree No. 1445 (Government Auditing Code of the Philippines): </w:t>
            </w:r>
            <w:r>
              <w:rPr>
                <w:rFonts w:ascii="Calibri" w:hAnsi="Calibri"/>
                <w:color w:val="212529"/>
                <w:sz w:val="20"/>
              </w:rPr>
              <w:t>Mandatory procedure for settlement of money claims against the government through COA.</w:t>
            </w:r>
          </w:p>
          <w:p>
            <w:pPr>
              <w:spacing w:before="20" w:after="40" w:line="276" w:lineRule="auto"/>
            </w:pPr>
            <w:r>
              <w:rPr>
                <w:rFonts w:ascii="Calibri" w:hAnsi="Calibri"/>
                <w:b/>
                <w:color w:val="212529"/>
                <w:sz w:val="20"/>
              </w:rPr>
              <w:t xml:space="preserve">2. Article VI, Section 29(1), 1987 Constitution: </w:t>
            </w:r>
            <w:r>
              <w:rPr>
                <w:rFonts w:ascii="Calibri" w:hAnsi="Calibri"/>
                <w:color w:val="212529"/>
                <w:sz w:val="20"/>
              </w:rPr>
              <w:t>No money shall be paid out of the Treasury except in pursuance of an appropriation made by law.</w:t>
            </w:r>
          </w:p>
          <w:p>
            <w:pPr>
              <w:spacing w:before="20" w:after="40" w:line="276" w:lineRule="auto"/>
            </w:pPr>
            <w:r>
              <w:rPr>
                <w:rFonts w:ascii="Calibri" w:hAnsi="Calibri"/>
                <w:b/>
                <w:color w:val="212529"/>
                <w:sz w:val="20"/>
              </w:rPr>
              <w:t xml:space="preserve">3. Salus Populi Est Suprema Lex (the welfare of the people is the supreme law): </w:t>
            </w:r>
            <w:r>
              <w:rPr>
                <w:rFonts w:ascii="Calibri" w:hAnsi="Calibri"/>
                <w:color w:val="212529"/>
                <w:sz w:val="20"/>
              </w:rPr>
              <w:t>Public operations and municipal services must not be paralyzed by private enforcement actions.</w:t>
            </w:r>
          </w:p>
        </w:tc>
      </w:tr>
    </w:tbl>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LEGAL BASIS</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PD 1445, Article VI Sec 29(1) Constitution, and Salus Populi Est Suprema Lex.</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"Sir/Ma'am, the legal basis is PD 1445, Article VI, Section 29 of the Constitution, and the supreme canon Salus populi est suprema lex (the welfare of the people is the supreme law)."</w:t>
            </w:r>
          </w:p>
        </w:tc>
      </w:tr>
    </w:tbl>
    <w:tbl>
      <w:tblPr>
        <w:tblW w:type="auto" w:w="0"/>
        <w:jc w:val="center"/>
        <w:tblLook w:firstColumn="1" w:firstRow="1" w:lastColumn="0" w:lastRow="0" w:noHBand="0" w:noVBand="1" w:val="04A0"/>
      </w:tblPr>
      <w:tblGrid>
        <w:gridCol w:w="9648"/>
      </w:tblGrid>
      <w:tr>
        <w:tc>
          <w:tcPr>
            <w:tcW w:type="dxa" w:w="9648"/>
            <w:shd w:fill="F4F6F9"/>
            <w:tcMar>
              <w:top w:w="120" w:type="dxa"/>
              <w:bottom w:w="120" w:type="dxa"/>
              <w:left w:w="180" w:type="dxa"/>
              <w:right w:w="180" w:type="dxa"/>
            </w:tcMar>
          </w:tcPr>
          <w:p>
            <w:pPr>
              <w:spacing w:before="40" w:after="60"/>
            </w:pPr>
            <w:r>
              <w:rPr>
                <w:rFonts w:ascii="Arial" w:hAnsi="Arial"/>
                <w:b/>
                <w:color w:val="0F2043"/>
                <w:sz w:val="21"/>
              </w:rPr>
              <w:t>[A] ANALYSIS / APPLICATION</w:t>
              <w:br/>
            </w:r>
          </w:p>
          <w:p>
            <w:pPr>
              <w:spacing w:before="20" w:after="40" w:line="276" w:lineRule="auto"/>
            </w:pPr>
            <w:r>
              <w:rPr>
                <w:rFonts w:ascii="Calibri" w:hAnsi="Calibri"/>
                <w:b/>
                <w:color w:val="212529"/>
                <w:sz w:val="20"/>
              </w:rPr>
              <w:t xml:space="preserve">1. Public Character of MMDA Funds: </w:t>
            </w:r>
            <w:r>
              <w:rPr>
                <w:rFonts w:ascii="Calibri" w:hAnsi="Calibri"/>
                <w:color w:val="212529"/>
                <w:sz w:val="20"/>
              </w:rPr>
              <w:t>MMDA funds in Land Bank are public funds earmarked by law for vital governmental functions including traffic management, flood control, and solid waste disposal.</w:t>
            </w:r>
          </w:p>
          <w:p>
            <w:pPr>
              <w:spacing w:before="20" w:after="40" w:line="276" w:lineRule="auto"/>
            </w:pPr>
            <w:r>
              <w:rPr>
                <w:rFonts w:ascii="Calibri" w:hAnsi="Calibri"/>
                <w:b/>
                <w:color w:val="212529"/>
                <w:sz w:val="20"/>
              </w:rPr>
              <w:t xml:space="preserve">2. Prohibition Against Garnishment of State Funds: </w:t>
            </w:r>
            <w:r>
              <w:rPr>
                <w:rFonts w:ascii="Calibri" w:hAnsi="Calibri"/>
                <w:color w:val="212529"/>
                <w:sz w:val="20"/>
              </w:rPr>
              <w:t>Garnishment of public funds would paralyze essential public services, endangering public order and health. Public policy strictly immunizes government bank accounts from execution.</w:t>
            </w:r>
          </w:p>
          <w:p>
            <w:pPr>
              <w:spacing w:before="20" w:after="40" w:line="276" w:lineRule="auto"/>
            </w:pPr>
            <w:r>
              <w:rPr>
                <w:rFonts w:ascii="Calibri" w:hAnsi="Calibri"/>
                <w:b/>
                <w:color w:val="212529"/>
                <w:sz w:val="20"/>
              </w:rPr>
              <w:t xml:space="preserve">3. Exclusive Remedy Through COA: </w:t>
            </w:r>
            <w:r>
              <w:rPr>
                <w:rFonts w:ascii="Calibri" w:hAnsi="Calibri"/>
                <w:color w:val="212529"/>
                <w:sz w:val="20"/>
              </w:rPr>
              <w:t>A final judgment against the government establishes the validity of the claim, but the creditor must file a claim with the COA, which has primary jurisdiction over government disbursements.</w:t>
            </w:r>
          </w:p>
        </w:tc>
      </w:tr>
    </w:tbl>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ANALYSIS / APPLICATION</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If contractors could freeze government bank accounts, the MMDA wouldn't have money to pay traffic enforcers, pump floodwaters, or pick up trash. The city would grind to a halt. To protect the public welfare, the law says court sheriffs cannot touch government bank accounts; creditors must go through COA.</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"Sir/Ma'am, the Court applied Salus Populi Est Suprema Lex and constitutional fiscal doctrines. Public funds are held in trust for vital state services. The Court held that garnishment of MMDA funds is void ab initio, and the judgment creditor must present its claim before COA."</w:t>
            </w:r>
          </w:p>
        </w:tc>
      </w:tr>
    </w:tbl>
    <w:tbl>
      <w:tblPr>
        <w:tblW w:type="auto" w:w="0"/>
        <w:jc w:val="center"/>
        <w:tblLook w:firstColumn="1" w:firstRow="1" w:lastColumn="0" w:lastRow="0" w:noHBand="0" w:noVBand="1" w:val="04A0"/>
      </w:tblPr>
      <w:tblGrid>
        <w:gridCol w:w="9648"/>
      </w:tblGrid>
      <w:tr>
        <w:tc>
          <w:tcPr>
            <w:tcW w:type="dxa" w:w="9648"/>
            <w:shd w:fill="F4F6F9"/>
            <w:tcMar>
              <w:top w:w="120" w:type="dxa"/>
              <w:bottom w:w="120" w:type="dxa"/>
              <w:left w:w="180" w:type="dxa"/>
              <w:right w:w="180" w:type="dxa"/>
            </w:tcMar>
          </w:tcPr>
          <w:p>
            <w:pPr>
              <w:spacing w:before="40" w:after="60"/>
            </w:pPr>
            <w:r>
              <w:rPr>
                <w:rFonts w:ascii="Arial" w:hAnsi="Arial"/>
                <w:b/>
                <w:color w:val="0F2043"/>
                <w:sz w:val="21"/>
              </w:rPr>
              <w:t>[C] CONCLUSION</w:t>
              <w:br/>
            </w:r>
          </w:p>
          <w:p>
            <w:pPr>
              <w:spacing w:before="20" w:after="40" w:line="276" w:lineRule="auto"/>
            </w:pPr>
            <w:r>
              <w:rPr>
                <w:rFonts w:ascii="Calibri" w:hAnsi="Calibri"/>
                <w:color w:val="212529"/>
                <w:sz w:val="20"/>
              </w:rPr>
              <w:t>The Supreme Court GRANTED the petition, ANNULLED the notices of garnishment, and DECLARED MMDA public funds exempt from execution.</w:t>
            </w:r>
          </w:p>
        </w:tc>
      </w:tr>
    </w:tbl>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CONCLUSION</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The freeze on the government's bank accounts was lifted and declared illegal.</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"The Supreme Court lifted the garnishment, reaffirming that public funds are exempt from execution under public policy and statutory auditing laws."</w:t>
            </w:r>
          </w:p>
        </w:tc>
      </w:tr>
    </w:tbl>
    <w:p>
      <w:pPr>
        <w:keepNext/>
        <w:spacing w:before="200" w:after="40"/>
      </w:pPr>
      <w:r>
        <w:rPr>
          <w:rFonts w:ascii="Arial" w:hAnsi="Arial"/>
          <w:b/>
          <w:color w:val="781E1E"/>
          <w:sz w:val="22"/>
        </w:rPr>
        <w:t>V. RELATION TO STATUTORY CONSTRUCTION</w:t>
      </w:r>
    </w:p>
    <w:p>
      <w:pPr>
        <w:spacing w:before="40" w:after="80" w:line="276" w:lineRule="auto"/>
      </w:pPr>
      <w:r>
        <w:rPr>
          <w:rFonts w:ascii="Calibri" w:hAnsi="Calibri"/>
          <w:b/>
          <w:color w:val="212529"/>
          <w:sz w:val="21"/>
        </w:rPr>
        <w:t>• Syllabus Topic Alignment:</w:t>
        <w:br/>
      </w:r>
      <w:r>
        <w:rPr>
          <w:rFonts w:ascii="Calibri" w:hAnsi="Calibri"/>
          <w:i w:val="0"/>
          <w:color w:val="212529"/>
          <w:sz w:val="21"/>
        </w:rPr>
        <w:t>• Chapter III: Basic Guidelines in the Construction and Interpretation of Laws</w:t>
        <w:br/>
        <w:t xml:space="preserve">  - C. Considerations outside the Statute: Immunity of Public Funds from Garnishment &amp; Public Policy (Salus Populi)</w:t>
      </w:r>
    </w:p>
    <w:tbl>
      <w:tblPr>
        <w:tblW w:type="auto" w:w="0"/>
        <w:jc w:val="center"/>
        <w:tblLook w:firstColumn="1" w:firstRow="1" w:lastColumn="0" w:lastRow="0" w:noHBand="0" w:noVBand="1" w:val="04A0"/>
      </w:tblPr>
      <w:tblGrid>
        <w:gridCol w:w="9648"/>
      </w:tblGrid>
      <w:tr>
        <w:tc>
          <w:tcPr>
            <w:tcW w:type="dxa" w:w="9648"/>
            <w:shd w:fill="FDF6EE"/>
            <w:tcMar>
              <w:top w:w="120" w:type="dxa"/>
              <w:bottom w:w="120" w:type="dxa"/>
              <w:left w:w="180" w:type="dxa"/>
              <w:right w:w="180" w:type="dxa"/>
            </w:tcMar>
          </w:tcPr>
          <w:p>
            <w:pPr>
              <w:spacing w:before="40" w:after="80"/>
            </w:pPr>
            <w:r>
              <w:rPr>
                <w:rFonts w:ascii="Arial" w:hAnsi="Arial"/>
                <w:b/>
                <w:color w:val="8C3200"/>
                <w:sz w:val="20"/>
              </w:rPr>
              <w:t>📜 GOVERNING LATIN MAXIMS WITH ENGLISH TRANSLATIONS</w:t>
              <w:br/>
            </w:r>
          </w:p>
          <w:p>
            <w:pPr>
              <w:spacing w:before="40" w:after="60" w:line="276" w:lineRule="auto"/>
            </w:pPr>
            <w:r>
              <w:rPr>
                <w:rFonts w:ascii="Calibri" w:hAnsi="Calibri"/>
                <w:b/>
                <w:color w:val="8C3200"/>
                <w:sz w:val="20"/>
              </w:rPr>
              <w:t>1. Salus populi est suprema lex (the welfare of the people is the supreme law)</w:t>
              <w:br/>
            </w:r>
            <w:r>
              <w:rPr>
                <w:rFonts w:ascii="Calibri" w:hAnsi="Calibri"/>
                <w:b/>
                <w:color w:val="212529"/>
                <w:sz w:val="19"/>
              </w:rPr>
              <w:t xml:space="preserve">   • Literal English Translation: </w:t>
            </w:r>
            <w:r>
              <w:rPr>
                <w:rFonts w:ascii="Calibri" w:hAnsi="Calibri"/>
                <w:i/>
                <w:color w:val="212529"/>
                <w:sz w:val="19"/>
              </w:rPr>
              <w:t>The welfare of the people is the supreme law.</w:t>
              <w:br/>
            </w:r>
            <w:r>
              <w:rPr>
                <w:rFonts w:ascii="Calibri" w:hAnsi="Calibri"/>
                <w:b/>
                <w:color w:val="212529"/>
                <w:sz w:val="19"/>
              </w:rPr>
              <w:t xml:space="preserve">   • Plain Legal Meaning &amp; StatCon Application: </w:t>
            </w:r>
            <w:r>
              <w:rPr>
                <w:rFonts w:ascii="Calibri" w:hAnsi="Calibri"/>
                <w:color w:val="212529"/>
                <w:sz w:val="19"/>
              </w:rPr>
              <w:t>Public funds essential for urban sanitation and flood control cannot be diverted to private execution.</w:t>
            </w:r>
          </w:p>
          <w:p>
            <w:pPr>
              <w:spacing w:before="40" w:after="60" w:line="276" w:lineRule="auto"/>
            </w:pPr>
            <w:r>
              <w:rPr>
                <w:rFonts w:ascii="Calibri" w:hAnsi="Calibri"/>
                <w:b/>
                <w:color w:val="8C3200"/>
                <w:sz w:val="20"/>
              </w:rPr>
              <w:t>2. Nemo potest gladius principis in se convertere (no one can turn the sword of the sovereign against itself)</w:t>
              <w:br/>
            </w:r>
            <w:r>
              <w:rPr>
                <w:rFonts w:ascii="Calibri" w:hAnsi="Calibri"/>
                <w:b/>
                <w:color w:val="212529"/>
                <w:sz w:val="19"/>
              </w:rPr>
              <w:t xml:space="preserve">   • Literal English Translation: </w:t>
            </w:r>
            <w:r>
              <w:rPr>
                <w:rFonts w:ascii="Calibri" w:hAnsi="Calibri"/>
                <w:i/>
                <w:color w:val="212529"/>
                <w:sz w:val="19"/>
              </w:rPr>
              <w:t>No one can turn the sovereign's power against itself.</w:t>
              <w:br/>
            </w:r>
            <w:r>
              <w:rPr>
                <w:rFonts w:ascii="Calibri" w:hAnsi="Calibri"/>
                <w:b/>
                <w:color w:val="212529"/>
                <w:sz w:val="19"/>
              </w:rPr>
              <w:t xml:space="preserve">   • Plain Legal Meaning &amp; StatCon Application: </w:t>
            </w:r>
            <w:r>
              <w:rPr>
                <w:rFonts w:ascii="Calibri" w:hAnsi="Calibri"/>
                <w:color w:val="212529"/>
                <w:sz w:val="19"/>
              </w:rPr>
              <w:t>Judicial processes of execution cannot be used to paralyze government functions.</w:t>
            </w:r>
          </w:p>
          <w:p>
            <w:pPr>
              <w:spacing w:before="40" w:after="60" w:line="276" w:lineRule="auto"/>
            </w:pPr>
            <w:r>
              <w:rPr>
                <w:rFonts w:ascii="Calibri" w:hAnsi="Calibri"/>
                <w:b/>
                <w:color w:val="8C3200"/>
                <w:sz w:val="20"/>
              </w:rPr>
              <w:t>3. Dura lex, sed lex (the law is harsh, but it is the law)</w:t>
              <w:br/>
            </w:r>
            <w:r>
              <w:rPr>
                <w:rFonts w:ascii="Calibri" w:hAnsi="Calibri"/>
                <w:b/>
                <w:color w:val="212529"/>
                <w:sz w:val="19"/>
              </w:rPr>
              <w:t xml:space="preserve">   • Literal English Translation: </w:t>
            </w:r>
            <w:r>
              <w:rPr>
                <w:rFonts w:ascii="Calibri" w:hAnsi="Calibri"/>
                <w:i/>
                <w:color w:val="212529"/>
                <w:sz w:val="19"/>
              </w:rPr>
              <w:t>The law is harsh, but it is the law.</w:t>
              <w:br/>
            </w:r>
            <w:r>
              <w:rPr>
                <w:rFonts w:ascii="Calibri" w:hAnsi="Calibri"/>
                <w:b/>
                <w:color w:val="212529"/>
                <w:sz w:val="19"/>
              </w:rPr>
              <w:t xml:space="preserve">   • Plain Legal Meaning &amp; StatCon Application: </w:t>
            </w:r>
            <w:r>
              <w:rPr>
                <w:rFonts w:ascii="Calibri" w:hAnsi="Calibri"/>
                <w:color w:val="212529"/>
                <w:sz w:val="19"/>
              </w:rPr>
              <w:t>The constitutional and statutory requirement for appropriation prior to disbursement is absolute.</w:t>
            </w:r>
          </w:p>
        </w:tc>
      </w:tr>
    </w:tbl>
    <w:tbl>
      <w:tblPr>
        <w:tblW w:type="auto" w:w="0"/>
        <w:jc w:val="center"/>
        <w:tblLook w:firstColumn="1" w:firstRow="1" w:lastColumn="0" w:lastRow="0" w:noHBand="0" w:noVBand="1" w:val="04A0"/>
      </w:tblPr>
      <w:tblGrid>
        <w:gridCol w:w="4824"/>
        <w:gridCol w:w="4824"/>
      </w:tblGrid>
      <w:tr>
        <w:tc>
          <w:tcPr>
            <w:tcW w:type="dxa" w:w="4824"/>
            <w:shd w:fill="EAEFF5"/>
            <w:tcMar>
              <w:top w:w="80" w:type="dxa"/>
              <w:bottom w:w="80" w:type="dxa"/>
              <w:left w:w="120" w:type="dxa"/>
              <w:right w:w="120" w:type="dxa"/>
            </w:tcMar>
          </w:tcPr>
          <w:p>
            <w:pPr>
              <w:spacing w:before="40" w:after="40"/>
            </w:pPr>
            <w:r>
              <w:rPr>
                <w:rFonts w:ascii="Arial" w:hAnsi="Arial"/>
                <w:b/>
                <w:color w:val="0F2043"/>
                <w:sz w:val="18"/>
              </w:rPr>
              <w:t>Syllabus Topic Alignment</w:t>
              <w:br/>
              <w:t>(StatCon_Syllabus_JPR.pdf)</w:t>
            </w:r>
          </w:p>
        </w:tc>
        <w:tc>
          <w:tcPr>
            <w:tcW w:type="dxa" w:w="4824"/>
            <w:shd w:fill="FAFAFA"/>
            <w:tcMar>
              <w:top w:w="80" w:type="dxa"/>
              <w:bottom w:w="80" w:type="dxa"/>
              <w:left w:w="120" w:type="dxa"/>
              <w:right w:w="120" w:type="dxa"/>
            </w:tcMar>
          </w:tcPr>
          <w:p>
            <w:pPr>
              <w:spacing w:before="40" w:after="40" w:line="276" w:lineRule="auto"/>
            </w:pPr>
            <w:r>
              <w:rPr>
                <w:rFonts w:ascii="Calibri" w:hAnsi="Calibri"/>
                <w:color w:val="212529"/>
                <w:sz w:val="19"/>
              </w:rPr>
              <w:t>• Chapter III: Basic Guidelines in the Construction and Interpretation of Laws</w:t>
              <w:br/>
              <w:t xml:space="preserve">  - C. Considerations outside the Statute: Immunity of Public Funds from Garnishment &amp; Public Policy (Salus Populi)</w:t>
            </w:r>
          </w:p>
        </w:tc>
      </w:tr>
      <w:tr>
        <w:tc>
          <w:tcPr>
            <w:tcW w:type="dxa" w:w="4824"/>
            <w:shd w:fill="EAEFF5"/>
            <w:tcMar>
              <w:top w:w="80" w:type="dxa"/>
              <w:bottom w:w="80" w:type="dxa"/>
              <w:left w:w="120" w:type="dxa"/>
              <w:right w:w="120" w:type="dxa"/>
            </w:tcMar>
          </w:tcPr>
          <w:p>
            <w:pPr>
              <w:spacing w:before="40" w:after="40"/>
            </w:pPr>
            <w:r>
              <w:rPr>
                <w:rFonts w:ascii="Arial" w:hAnsi="Arial"/>
                <w:b/>
                <w:color w:val="0F2043"/>
                <w:sz w:val="18"/>
              </w:rPr>
              <w:t>Governing Latin Maxims &amp; English</w:t>
            </w:r>
          </w:p>
        </w:tc>
        <w:tc>
          <w:tcPr>
            <w:tcW w:type="dxa" w:w="4824"/>
            <w:shd w:fill="FAFAFA"/>
            <w:tcMar>
              <w:top w:w="80" w:type="dxa"/>
              <w:bottom w:w="80" w:type="dxa"/>
              <w:left w:w="120" w:type="dxa"/>
              <w:right w:w="120" w:type="dxa"/>
            </w:tcMar>
          </w:tcPr>
          <w:p>
            <w:pPr>
              <w:spacing w:before="40" w:after="40" w:line="276" w:lineRule="auto"/>
            </w:pPr>
            <w:r>
              <w:rPr>
                <w:rFonts w:ascii="Calibri" w:hAnsi="Calibri"/>
                <w:color w:val="212529"/>
                <w:sz w:val="19"/>
              </w:rPr>
              <w:t>Primary:</w:t>
              <w:br/>
              <w:t>Salus populi est suprema lex</w:t>
              <w:br/>
              <w:t>(the welfare of the people is the supreme law / public funds dedicated to vital state services are exempt from judicial garnishment)</w:t>
              <w:br/>
              <w:br/>
              <w:t>Secondary:</w:t>
              <w:br/>
              <w:t>• Nemo potest gladius principis in se convertere (sovereign funds protected)</w:t>
              <w:br/>
              <w:t>• Dura lex sed lex (mandatory constitutional appropriation requirement)</w:t>
            </w:r>
          </w:p>
        </w:tc>
      </w:tr>
      <w:tr>
        <w:tc>
          <w:tcPr>
            <w:tcW w:type="dxa" w:w="4824"/>
            <w:shd w:fill="EAEFF5"/>
            <w:tcMar>
              <w:top w:w="80" w:type="dxa"/>
              <w:bottom w:w="80" w:type="dxa"/>
              <w:left w:w="120" w:type="dxa"/>
              <w:right w:w="120" w:type="dxa"/>
            </w:tcMar>
          </w:tcPr>
          <w:p>
            <w:pPr>
              <w:spacing w:before="40" w:after="40"/>
            </w:pPr>
            <w:r>
              <w:rPr>
                <w:rFonts w:ascii="Arial" w:hAnsi="Arial"/>
                <w:b/>
                <w:color w:val="0F2043"/>
                <w:sz w:val="18"/>
              </w:rPr>
              <w:t>Case Violation in StatCon</w:t>
            </w:r>
          </w:p>
        </w:tc>
        <w:tc>
          <w:tcPr>
            <w:tcW w:type="dxa" w:w="4824"/>
            <w:shd w:fill="FAFAFA"/>
            <w:tcMar>
              <w:top w:w="80" w:type="dxa"/>
              <w:bottom w:w="80" w:type="dxa"/>
              <w:left w:w="120" w:type="dxa"/>
              <w:right w:w="120" w:type="dxa"/>
            </w:tcMar>
          </w:tcPr>
          <w:p>
            <w:pPr>
              <w:spacing w:before="40" w:after="40" w:line="276" w:lineRule="auto"/>
            </w:pPr>
            <w:r>
              <w:rPr>
                <w:rFonts w:ascii="Calibri" w:hAnsi="Calibri"/>
                <w:color w:val="212529"/>
                <w:sz w:val="19"/>
              </w:rPr>
              <w:t>The trial court permitted the garnishment of public funds, violating public policy and constitutional rules on public treasury disbursements.</w:t>
            </w:r>
          </w:p>
        </w:tc>
      </w:tr>
      <w:tr>
        <w:tc>
          <w:tcPr>
            <w:tcW w:type="dxa" w:w="4824"/>
            <w:shd w:fill="EAEFF5"/>
            <w:tcMar>
              <w:top w:w="80" w:type="dxa"/>
              <w:bottom w:w="80" w:type="dxa"/>
              <w:left w:w="120" w:type="dxa"/>
              <w:right w:w="120" w:type="dxa"/>
            </w:tcMar>
          </w:tcPr>
          <w:p>
            <w:pPr>
              <w:spacing w:before="40" w:after="40"/>
            </w:pPr>
            <w:r>
              <w:rPr>
                <w:rFonts w:ascii="Arial" w:hAnsi="Arial"/>
                <w:b/>
                <w:color w:val="0F2043"/>
                <w:sz w:val="18"/>
              </w:rPr>
              <w:t>Doctrinal Execution / Principle</w:t>
            </w:r>
          </w:p>
        </w:tc>
        <w:tc>
          <w:tcPr>
            <w:tcW w:type="dxa" w:w="4824"/>
            <w:shd w:fill="FAFAFA"/>
            <w:tcMar>
              <w:top w:w="80" w:type="dxa"/>
              <w:bottom w:w="80" w:type="dxa"/>
              <w:left w:w="120" w:type="dxa"/>
              <w:right w:w="120" w:type="dxa"/>
            </w:tcMar>
          </w:tcPr>
          <w:p>
            <w:pPr>
              <w:spacing w:before="40" w:after="40" w:line="276" w:lineRule="auto"/>
            </w:pPr>
            <w:r>
              <w:rPr>
                <w:rFonts w:ascii="Calibri" w:hAnsi="Calibri"/>
                <w:color w:val="212529"/>
                <w:sz w:val="19"/>
              </w:rPr>
              <w:t>Doctrine of Immunity of Public Funds: All public funds in government depositories are held in trust for the public welfare and are strictly immune from garnishment and execution.</w:t>
            </w:r>
          </w:p>
        </w:tc>
      </w:tr>
    </w:tbl>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RELATION TO STATUTORY CONSTRUCTION</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Government money meant for public services can never be seized by court sheriffs; winning a case against the government means you must ask COA for payment through proper budgets.</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"Sir/Ma'am, Republic v. Del Monte Motors confirms that under Salus populi est suprema lex and PD 1445, public funds are exempt from garnishment and must be claimed before COA."</w:t>
            </w:r>
          </w:p>
        </w:tc>
      </w:tr>
    </w:tbl>
    <w:p>
      <w:pPr>
        <w:spacing w:before="160" w:after="80"/>
      </w:pPr>
    </w:p>
    <w:tbl>
      <w:tblPr>
        <w:tblW w:type="auto" w:w="0"/>
        <w:jc w:val="center"/>
        <w:tblLook w:firstColumn="1" w:firstRow="1" w:lastColumn="0" w:lastRow="0" w:noHBand="0" w:noVBand="1" w:val="04A0"/>
      </w:tblPr>
      <w:tblGrid>
        <w:gridCol w:w="9648"/>
      </w:tblGrid>
      <w:tr>
        <w:tc>
          <w:tcPr>
            <w:tcW w:type="dxa" w:w="9648"/>
            <w:shd w:fill="1E3A5F"/>
            <w:tcMar>
              <w:top w:w="140" w:type="dxa"/>
              <w:bottom w:w="140" w:type="dxa"/>
              <w:left w:w="200" w:type="dxa"/>
              <w:right w:w="200" w:type="dxa"/>
            </w:tcMar>
          </w:tcPr>
          <w:p>
            <w:pPr>
              <w:spacing w:before="40" w:after="40"/>
              <w:jc w:val="center"/>
            </w:pPr>
            <w:r>
              <w:rPr>
                <w:rFonts w:ascii="Arial" w:hAnsi="Arial"/>
                <w:b/>
                <w:color w:val="FFD700"/>
                <w:sz w:val="22"/>
              </w:rPr>
              <w:t>⚖ STANDARDIZED CASE DIGEST: STATUTORY CONSTRUCTION FORMAT</w:t>
              <w:br/>
            </w:r>
            <w:r>
              <w:rPr>
                <w:rFonts w:ascii="Arial" w:hAnsi="Arial"/>
                <w:i/>
                <w:color w:val="DCEBFF"/>
                <w:sz w:val="18"/>
              </w:rPr>
              <w:t>(Complete 12-Section Academic &amp; Judicial Construction Analysis)</w:t>
            </w:r>
          </w:p>
        </w:tc>
      </w:tr>
    </w:tbl>
    <w:p>
      <w:pPr>
        <w:spacing w:before="80" w:after="80"/>
      </w:pPr>
    </w:p>
    <w:tbl>
      <w:tblPr>
        <w:tblW w:type="auto" w:w="0"/>
        <w:jc w:val="center"/>
        <w:tblLook w:firstColumn="1" w:firstRow="1" w:lastColumn="0" w:lastRow="0" w:noHBand="0" w:noVBand="1" w:val="04A0"/>
      </w:tblPr>
      <w:tblGrid>
        <w:gridCol w:w="4824"/>
        <w:gridCol w:w="4824"/>
      </w:tblGrid>
      <w:tr>
        <w:tc>
          <w:tcPr>
            <w:tcW w:type="dxa" w:w="4824"/>
            <w:shd w:fill="EBF0F7"/>
            <w:tcMar>
              <w:top w:w="60" w:type="dxa"/>
              <w:bottom w:w="60" w:type="dxa"/>
              <w:left w:w="120" w:type="dxa"/>
              <w:right w:w="120" w:type="dxa"/>
            </w:tcMar>
          </w:tcPr>
          <w:p>
            <w:pPr>
              <w:spacing w:before="20" w:after="20"/>
            </w:pPr>
            <w:r>
              <w:rPr>
                <w:rFonts w:ascii="Arial" w:hAnsi="Arial"/>
                <w:b/>
                <w:color w:val="0F2043"/>
                <w:sz w:val="19"/>
              </w:rPr>
              <w:t>Case Title:</w:t>
            </w:r>
          </w:p>
        </w:tc>
        <w:tc>
          <w:tcPr>
            <w:tcW w:type="dxa" w:w="4824"/>
            <w:shd w:fill="FAFCFF"/>
            <w:tcMar>
              <w:top w:w="60" w:type="dxa"/>
              <w:bottom w:w="60" w:type="dxa"/>
              <w:left w:w="120" w:type="dxa"/>
              <w:right w:w="120" w:type="dxa"/>
            </w:tcMar>
          </w:tcPr>
          <w:p>
            <w:pPr>
              <w:spacing w:before="20" w:after="20"/>
            </w:pPr>
            <w:r>
              <w:rPr>
                <w:rFonts w:ascii="Calibri" w:hAnsi="Calibri"/>
                <w:b/>
                <w:color w:val="212529"/>
                <w:sz w:val="19"/>
              </w:rPr>
              <w:t>Republic of the Philippines v. Del Monte Motors, Inc.</w:t>
            </w:r>
          </w:p>
        </w:tc>
      </w:tr>
      <w:tr>
        <w:tc>
          <w:tcPr>
            <w:tcW w:type="dxa" w:w="4824"/>
            <w:shd w:fill="EBF0F7"/>
            <w:tcMar>
              <w:top w:w="60" w:type="dxa"/>
              <w:bottom w:w="60" w:type="dxa"/>
              <w:left w:w="120" w:type="dxa"/>
              <w:right w:w="120" w:type="dxa"/>
            </w:tcMar>
          </w:tcPr>
          <w:p>
            <w:pPr>
              <w:spacing w:before="20" w:after="20"/>
            </w:pPr>
            <w:r>
              <w:rPr>
                <w:rFonts w:ascii="Arial" w:hAnsi="Arial"/>
                <w:b/>
                <w:color w:val="0F2043"/>
                <w:sz w:val="19"/>
              </w:rPr>
              <w:t>G.R. No. / Record:</w:t>
            </w:r>
          </w:p>
        </w:tc>
        <w:tc>
          <w:tcPr>
            <w:tcW w:type="dxa" w:w="4824"/>
            <w:shd w:fill="FAFCFF"/>
            <w:tcMar>
              <w:top w:w="60" w:type="dxa"/>
              <w:bottom w:w="60" w:type="dxa"/>
              <w:left w:w="120" w:type="dxa"/>
              <w:right w:w="120" w:type="dxa"/>
            </w:tcMar>
          </w:tcPr>
          <w:p>
            <w:pPr>
              <w:spacing w:before="20" w:after="20"/>
            </w:pPr>
            <w:r>
              <w:rPr>
                <w:rFonts w:ascii="Calibri" w:hAnsi="Calibri"/>
                <w:b w:val="0"/>
                <w:color w:val="212529"/>
                <w:sz w:val="19"/>
              </w:rPr>
              <w:t>G.R. No. 156956</w:t>
            </w:r>
          </w:p>
        </w:tc>
      </w:tr>
      <w:tr>
        <w:tc>
          <w:tcPr>
            <w:tcW w:type="dxa" w:w="4824"/>
            <w:shd w:fill="EBF0F7"/>
            <w:tcMar>
              <w:top w:w="60" w:type="dxa"/>
              <w:bottom w:w="60" w:type="dxa"/>
              <w:left w:w="120" w:type="dxa"/>
              <w:right w:w="120" w:type="dxa"/>
            </w:tcMar>
          </w:tcPr>
          <w:p>
            <w:pPr>
              <w:spacing w:before="20" w:after="20"/>
            </w:pPr>
            <w:r>
              <w:rPr>
                <w:rFonts w:ascii="Arial" w:hAnsi="Arial"/>
                <w:b/>
                <w:color w:val="0F2043"/>
                <w:sz w:val="19"/>
              </w:rPr>
              <w:t>Date of Promulgation:</w:t>
            </w:r>
          </w:p>
        </w:tc>
        <w:tc>
          <w:tcPr>
            <w:tcW w:type="dxa" w:w="4824"/>
            <w:shd w:fill="FAFCFF"/>
            <w:tcMar>
              <w:top w:w="60" w:type="dxa"/>
              <w:bottom w:w="60" w:type="dxa"/>
              <w:left w:w="120" w:type="dxa"/>
              <w:right w:w="120" w:type="dxa"/>
            </w:tcMar>
          </w:tcPr>
          <w:p>
            <w:pPr>
              <w:spacing w:before="20" w:after="20"/>
            </w:pPr>
            <w:r>
              <w:rPr>
                <w:rFonts w:ascii="Calibri" w:hAnsi="Calibri"/>
                <w:b w:val="0"/>
                <w:color w:val="212529"/>
                <w:sz w:val="19"/>
              </w:rPr>
              <w:t>October 9, 2006</w:t>
            </w:r>
          </w:p>
        </w:tc>
      </w:tr>
      <w:tr>
        <w:tc>
          <w:tcPr>
            <w:tcW w:type="dxa" w:w="4824"/>
            <w:shd w:fill="EBF0F7"/>
            <w:tcMar>
              <w:top w:w="60" w:type="dxa"/>
              <w:bottom w:w="60" w:type="dxa"/>
              <w:left w:w="120" w:type="dxa"/>
              <w:right w:w="120" w:type="dxa"/>
            </w:tcMar>
          </w:tcPr>
          <w:p>
            <w:pPr>
              <w:spacing w:before="20" w:after="20"/>
            </w:pPr>
            <w:r>
              <w:rPr>
                <w:rFonts w:ascii="Arial" w:hAnsi="Arial"/>
                <w:b/>
                <w:color w:val="0F2043"/>
                <w:sz w:val="19"/>
              </w:rPr>
              <w:t>Ponente / Court:</w:t>
            </w:r>
          </w:p>
        </w:tc>
        <w:tc>
          <w:tcPr>
            <w:tcW w:type="dxa" w:w="4824"/>
            <w:shd w:fill="FAFCFF"/>
            <w:tcMar>
              <w:top w:w="60" w:type="dxa"/>
              <w:bottom w:w="60" w:type="dxa"/>
              <w:left w:w="120" w:type="dxa"/>
              <w:right w:w="120" w:type="dxa"/>
            </w:tcMar>
          </w:tcPr>
          <w:p>
            <w:pPr>
              <w:spacing w:before="20" w:after="20"/>
            </w:pPr>
            <w:r>
              <w:rPr>
                <w:rFonts w:ascii="Calibri" w:hAnsi="Calibri"/>
                <w:b w:val="0"/>
                <w:color w:val="212529"/>
                <w:sz w:val="19"/>
              </w:rPr>
              <w:t>First Division</w:t>
            </w:r>
          </w:p>
        </w:tc>
      </w:tr>
    </w:tbl>
    <w:p>
      <w:pPr>
        <w:keepNext/>
        <w:spacing w:before="240" w:after="60"/>
      </w:pPr>
      <w:r>
        <w:rPr>
          <w:rFonts w:ascii="Arial" w:hAnsi="Arial"/>
          <w:b/>
          <w:color w:val="0F2043"/>
          <w:sz w:val="21"/>
        </w:rPr>
        <w:t>I. FACTS OF THE CASE</w:t>
      </w:r>
    </w:p>
    <w:tbl>
      <w:tblPr>
        <w:tblW w:type="auto" w:w="0"/>
        <w:jc w:val="center"/>
        <w:tblLook w:firstColumn="1" w:firstRow="1" w:lastColumn="0" w:lastRow="0" w:noHBand="0" w:noVBand="1" w:val="04A0"/>
      </w:tblPr>
      <w:tblGrid>
        <w:gridCol w:w="9648"/>
      </w:tblGrid>
      <w:tr>
        <w:tc>
          <w:tcPr>
            <w:tcW w:type="dxa" w:w="9648"/>
            <w:shd w:fill="F8F9FB"/>
            <w:tcMar>
              <w:top w:w="100" w:type="dxa"/>
              <w:bottom w:w="100" w:type="dxa"/>
              <w:left w:w="160" w:type="dxa"/>
              <w:right w:w="160" w:type="dxa"/>
            </w:tcMar>
          </w:tcPr>
          <w:p>
            <w:pPr>
              <w:spacing w:before="20" w:after="40"/>
            </w:pPr>
            <w:r>
              <w:rPr>
                <w:rFonts w:ascii="Arial" w:hAnsi="Arial"/>
                <w:b/>
                <w:color w:val="0F2043"/>
                <w:sz w:val="19"/>
              </w:rPr>
              <w:t>Material Facts of Controversy</w:t>
              <w:br/>
            </w:r>
          </w:p>
          <w:p>
            <w:pPr>
              <w:spacing w:before="20" w:after="40" w:line="276" w:lineRule="auto"/>
            </w:pPr>
            <w:r>
              <w:rPr>
                <w:rFonts w:ascii="Calibri" w:hAnsi="Calibri"/>
                <w:color w:val="212529"/>
                <w:sz w:val="19"/>
              </w:rPr>
              <w:t>Del Monte Motors obtained a final money judgment against the Metropolitan Manila Development Authority (MMDA) arising from a contract for the supply of mobile clinics. Del Monte secured a writ of execution and caused the sheriff to garnish MMDA's public deposit accounts held at the Land Bank of the Philippines. MMDA petitioned the Supreme Court, contending that under Presidential Decree No. 1445 (Government Auditing Code) and settled public policy, public funds allocated for governmental functions are EXEMPT FROM GARNISHMENT and execution, and can only be disbursed through a claim filed with the Commission on Audit (COA).</w:t>
            </w:r>
          </w:p>
        </w:tc>
      </w:tr>
    </w:tbl>
    <w:p>
      <w:pPr>
        <w:keepNext/>
        <w:spacing w:before="240" w:after="60"/>
      </w:pPr>
      <w:r>
        <w:rPr>
          <w:rFonts w:ascii="Arial" w:hAnsi="Arial"/>
          <w:b/>
          <w:color w:val="0F2043"/>
          <w:sz w:val="21"/>
        </w:rPr>
        <w:t>II. FACTS RELEVANT TO STATUTORY CONSTRUCTION</w:t>
      </w:r>
    </w:p>
    <w:tbl>
      <w:tblPr>
        <w:tblW w:type="auto" w:w="0"/>
        <w:jc w:val="center"/>
        <w:tblLook w:firstColumn="1" w:firstRow="1" w:lastColumn="0" w:lastRow="0" w:noHBand="0" w:noVBand="1" w:val="04A0"/>
      </w:tblPr>
      <w:tblGrid>
        <w:gridCol w:w="9648"/>
      </w:tblGrid>
      <w:tr>
        <w:tc>
          <w:tcPr>
            <w:tcW w:type="dxa" w:w="9648"/>
            <w:shd w:fill="F8F9FB"/>
            <w:tcMar>
              <w:top w:w="100" w:type="dxa"/>
              <w:bottom w:w="100" w:type="dxa"/>
              <w:left w:w="160" w:type="dxa"/>
              <w:right w:w="160" w:type="dxa"/>
            </w:tcMar>
          </w:tcPr>
          <w:p>
            <w:pPr>
              <w:spacing w:before="20" w:after="40"/>
            </w:pPr>
            <w:r>
              <w:rPr>
                <w:rFonts w:ascii="Arial" w:hAnsi="Arial"/>
                <w:b/>
                <w:color w:val="0F2043"/>
                <w:sz w:val="19"/>
              </w:rPr>
              <w:t>Facts Giving Rise to Need for Interpretation</w:t>
              <w:br/>
            </w:r>
          </w:p>
          <w:p>
            <w:pPr>
              <w:spacing w:before="20" w:after="40" w:line="276" w:lineRule="auto"/>
            </w:pPr>
            <w:r>
              <w:rPr>
                <w:rFonts w:ascii="Calibri" w:hAnsi="Calibri"/>
                <w:b/>
                <w:color w:val="212529"/>
                <w:sz w:val="19"/>
              </w:rPr>
              <w:t xml:space="preserve">• What provision of law or rule became relevant? </w:t>
            </w:r>
            <w:r>
              <w:rPr>
                <w:rFonts w:ascii="Calibri" w:hAnsi="Calibri"/>
                <w:color w:val="212529"/>
                <w:sz w:val="19"/>
              </w:rPr>
              <w:t>1. Presidential Decree No. 1445 (Government Auditing Code of the Philippines): Mandatory procedure for settlement of money claims against the government through COA.</w:t>
              <w:br/>
              <w:t>2. Article VI, Section 29(1), 1987 Constitution: No money shall be paid out of the Treasury except in pursuance of an appropriation made by law.</w:t>
            </w:r>
          </w:p>
          <w:p>
            <w:pPr>
              <w:spacing w:before="20" w:after="40" w:line="276" w:lineRule="auto"/>
            </w:pPr>
            <w:r>
              <w:rPr>
                <w:rFonts w:ascii="Calibri" w:hAnsi="Calibri"/>
                <w:b/>
                <w:color w:val="212529"/>
                <w:sz w:val="19"/>
              </w:rPr>
              <w:t xml:space="preserve">• What circumstance made interpretation necessary? </w:t>
            </w:r>
            <w:r>
              <w:rPr>
                <w:rFonts w:ascii="Calibri" w:hAnsi="Calibri"/>
                <w:color w:val="212529"/>
                <w:sz w:val="19"/>
              </w:rPr>
              <w:t>The trial court permitted the garnishment of public funds, violating public policy and constitutional rules on public treasury disbursements.</w:t>
            </w:r>
          </w:p>
          <w:p>
            <w:pPr>
              <w:spacing w:before="20" w:after="40" w:line="276" w:lineRule="auto"/>
            </w:pPr>
            <w:r>
              <w:rPr>
                <w:rFonts w:ascii="Calibri" w:hAnsi="Calibri"/>
                <w:b/>
                <w:color w:val="212529"/>
                <w:sz w:val="19"/>
              </w:rPr>
              <w:t xml:space="preserve">• What competing interpretations were presented? </w:t>
            </w:r>
            <w:r>
              <w:rPr>
                <w:rFonts w:ascii="Calibri" w:hAnsi="Calibri"/>
                <w:color w:val="212529"/>
                <w:sz w:val="19"/>
              </w:rPr>
              <w:t>Petitioner argued for a favorable interpretation based on statutory intent, while Respondent contended for a literal or restrictive application.</w:t>
            </w:r>
          </w:p>
        </w:tc>
      </w:tr>
    </w:tbl>
    <w:p>
      <w:pPr>
        <w:keepNext/>
        <w:spacing w:before="240" w:after="60"/>
      </w:pPr>
      <w:r>
        <w:rPr>
          <w:rFonts w:ascii="Arial" w:hAnsi="Arial"/>
          <w:b/>
          <w:color w:val="0F2043"/>
          <w:sz w:val="21"/>
        </w:rPr>
        <w:t>III. ISSUES</w:t>
      </w:r>
    </w:p>
    <w:p>
      <w:pPr>
        <w:keepNext/>
        <w:spacing w:before="120" w:after="40"/>
      </w:pPr>
      <w:r>
        <w:rPr>
          <w:rFonts w:ascii="Arial" w:hAnsi="Arial"/>
          <w:b/>
          <w:color w:val="781E1E"/>
          <w:sz w:val="20"/>
        </w:rPr>
        <w:t>A. General Legal Issues</w:t>
      </w:r>
    </w:p>
    <w:p>
      <w:pPr>
        <w:spacing w:before="40" w:after="80" w:line="276" w:lineRule="auto"/>
      </w:pPr>
      <w:r>
        <w:rPr>
          <w:rFonts w:ascii="Calibri" w:hAnsi="Calibri"/>
          <w:i w:val="0"/>
          <w:color w:val="212529"/>
          <w:sz w:val="21"/>
        </w:rPr>
        <w:t>Whether or not public funds of a government agency (MMDA) deposited in a government depository bank are subject to garnishment and execution to satisfy a civil money judgment.</w:t>
      </w:r>
    </w:p>
    <w:p>
      <w:pPr>
        <w:keepNext/>
        <w:spacing w:before="120" w:after="40"/>
      </w:pPr>
      <w:r>
        <w:rPr>
          <w:rFonts w:ascii="Arial" w:hAnsi="Arial"/>
          <w:b/>
          <w:color w:val="781E1E"/>
          <w:sz w:val="20"/>
        </w:rPr>
        <w:t>B. Statutory-Construction Issue/s</w:t>
      </w:r>
    </w:p>
    <w:tbl>
      <w:tblPr>
        <w:tblW w:type="auto" w:w="0"/>
        <w:jc w:val="center"/>
        <w:tblLook w:firstColumn="1" w:firstRow="1" w:lastColumn="0" w:lastRow="0" w:noHBand="0" w:noVBand="1" w:val="04A0"/>
      </w:tblPr>
      <w:tblGrid>
        <w:gridCol w:w="9648"/>
      </w:tblGrid>
      <w:tr>
        <w:tc>
          <w:tcPr>
            <w:tcW w:type="dxa" w:w="9648"/>
            <w:shd w:fill="EBF3FA"/>
            <w:tcMar>
              <w:top w:w="100" w:type="dxa"/>
              <w:bottom w:w="100" w:type="dxa"/>
              <w:left w:w="160" w:type="dxa"/>
              <w:right w:w="160" w:type="dxa"/>
            </w:tcMar>
          </w:tcPr>
          <w:p>
            <w:pPr>
              <w:spacing w:before="20" w:after="40"/>
            </w:pPr>
            <w:r>
              <w:rPr>
                <w:rFonts w:ascii="Arial" w:hAnsi="Arial"/>
                <w:b/>
                <w:color w:val="0F2043"/>
                <w:sz w:val="19"/>
              </w:rPr>
              <w:t>Standardized StatCon Issue Statement</w:t>
              <w:br/>
            </w:r>
          </w:p>
          <w:p>
            <w:pPr>
              <w:spacing w:before="20" w:after="40" w:line="276" w:lineRule="auto"/>
            </w:pPr>
            <w:r>
              <w:rPr>
                <w:rFonts w:ascii="Calibri" w:hAnsi="Calibri"/>
                <w:color w:val="212529"/>
                <w:sz w:val="19"/>
              </w:rPr>
              <w:t>Whether the subject statutory act, classification, or terminology under the governing statute/rule means, includes, or applies to the factual controversy in Republic of the Philippines v. Del Monte Motors, Inc., under the canon of Salus populi est suprema lex.</w:t>
            </w:r>
          </w:p>
        </w:tc>
      </w:tr>
    </w:tbl>
    <w:p>
      <w:pPr>
        <w:keepNext/>
        <w:spacing w:before="240" w:after="60"/>
      </w:pPr>
      <w:r>
        <w:rPr>
          <w:rFonts w:ascii="Arial" w:hAnsi="Arial"/>
          <w:b/>
          <w:color w:val="0F2043"/>
          <w:sz w:val="21"/>
        </w:rPr>
        <w:t>IV. PROVISION/S OF LAW CONSTRUED</w:t>
      </w:r>
    </w:p>
    <w:tbl>
      <w:tblPr>
        <w:tblW w:type="auto" w:w="0"/>
        <w:jc w:val="center"/>
        <w:tblLook w:firstColumn="1" w:firstRow="1" w:lastColumn="0" w:lastRow="0" w:noHBand="0" w:noVBand="1" w:val="04A0"/>
      </w:tblPr>
      <w:tblGrid>
        <w:gridCol w:w="9648"/>
      </w:tblGrid>
      <w:tr>
        <w:tc>
          <w:tcPr>
            <w:tcW w:type="dxa" w:w="9648"/>
            <w:shd w:fill="F8F9FB"/>
            <w:tcMar>
              <w:top w:w="100" w:type="dxa"/>
              <w:bottom w:w="100" w:type="dxa"/>
              <w:left w:w="160" w:type="dxa"/>
              <w:right w:w="160" w:type="dxa"/>
            </w:tcMar>
          </w:tcPr>
          <w:p>
            <w:pPr>
              <w:spacing w:before="20" w:after="40"/>
            </w:pPr>
            <w:r>
              <w:rPr>
                <w:rFonts w:ascii="Arial" w:hAnsi="Arial"/>
                <w:b/>
                <w:color w:val="0F2043"/>
                <w:sz w:val="19"/>
              </w:rPr>
              <w:t>Statutory / Constitutional Text &amp; Problem</w:t>
              <w:br/>
            </w:r>
          </w:p>
          <w:p>
            <w:pPr>
              <w:spacing w:before="20" w:after="40" w:line="276" w:lineRule="auto"/>
            </w:pPr>
            <w:r>
              <w:rPr>
                <w:rFonts w:ascii="Calibri" w:hAnsi="Calibri"/>
                <w:b/>
                <w:color w:val="212529"/>
                <w:sz w:val="19"/>
              </w:rPr>
              <w:t xml:space="preserve">• Quoted Provision: </w:t>
            </w:r>
            <w:r>
              <w:rPr>
                <w:rFonts w:ascii="Calibri" w:hAnsi="Calibri"/>
                <w:color w:val="212529"/>
                <w:sz w:val="19"/>
              </w:rPr>
              <w:t>1. Presidential Decree No. 1445 (Government Auditing Code of the Philippines): Mandatory procedure for settlement of money claims against the government through COA.</w:t>
              <w:br/>
              <w:t>2. Article VI, Section 29(1), 1987 Constitution: No money shall be paid out of the Treasury except in pursuance of an appropriation made by law.</w:t>
            </w:r>
          </w:p>
          <w:p>
            <w:pPr>
              <w:spacing w:before="20" w:after="40" w:line="276" w:lineRule="auto"/>
            </w:pPr>
            <w:r>
              <w:rPr>
                <w:rFonts w:ascii="Calibri" w:hAnsi="Calibri"/>
                <w:b/>
                <w:color w:val="212529"/>
                <w:sz w:val="19"/>
              </w:rPr>
              <w:t xml:space="preserve">• Interpretive Problem: </w:t>
            </w:r>
            <w:r>
              <w:rPr>
                <w:rFonts w:ascii="Calibri" w:hAnsi="Calibri"/>
                <w:color w:val="212529"/>
                <w:sz w:val="19"/>
              </w:rPr>
              <w:t>Determining the precise legislative intent and boundary of the statutory terms in light of: The trial court permitted the garnishment of public funds, violating public policy and constitutional rules on public tr...</w:t>
            </w:r>
          </w:p>
        </w:tc>
      </w:tr>
    </w:tbl>
    <w:p>
      <w:pPr>
        <w:keepNext/>
        <w:spacing w:before="240" w:after="60"/>
      </w:pPr>
      <w:r>
        <w:rPr>
          <w:rFonts w:ascii="Arial" w:hAnsi="Arial"/>
          <w:b/>
          <w:color w:val="0F2043"/>
          <w:sz w:val="21"/>
        </w:rPr>
        <w:t>V. RULING OF THE SUPREME COURT</w:t>
      </w:r>
    </w:p>
    <w:p>
      <w:pPr>
        <w:keepNext/>
        <w:spacing w:before="120" w:after="40"/>
      </w:pPr>
      <w:r>
        <w:rPr>
          <w:rFonts w:ascii="Arial" w:hAnsi="Arial"/>
          <w:b/>
          <w:color w:val="781E1E"/>
          <w:sz w:val="20"/>
        </w:rPr>
        <w:t>A. General Ruling</w:t>
      </w:r>
    </w:p>
    <w:p>
      <w:pPr>
        <w:spacing w:before="40" w:after="80" w:line="276" w:lineRule="auto"/>
      </w:pPr>
      <w:r>
        <w:rPr>
          <w:rFonts w:ascii="Calibri" w:hAnsi="Calibri"/>
          <w:i w:val="0"/>
          <w:color w:val="212529"/>
          <w:sz w:val="21"/>
        </w:rPr>
        <w:t>The Supreme Court GRANTED the petition, ANNULLED the notices of garnishment, and DECLARED MMDA public funds exempt from execution.</w:t>
      </w:r>
    </w:p>
    <w:p>
      <w:pPr>
        <w:keepNext/>
        <w:spacing w:before="120" w:after="40"/>
      </w:pPr>
      <w:r>
        <w:rPr>
          <w:rFonts w:ascii="Arial" w:hAnsi="Arial"/>
          <w:b/>
          <w:color w:val="781E1E"/>
          <w:sz w:val="20"/>
        </w:rPr>
        <w:t>B. Ruling on the Statutory-Construction Issue</w:t>
      </w:r>
    </w:p>
    <w:tbl>
      <w:tblPr>
        <w:tblW w:type="auto" w:w="0"/>
        <w:jc w:val="center"/>
        <w:tblLook w:firstColumn="1" w:firstRow="1" w:lastColumn="0" w:lastRow="0" w:noHBand="0" w:noVBand="1" w:val="04A0"/>
      </w:tblPr>
      <w:tblGrid>
        <w:gridCol w:w="9648"/>
      </w:tblGrid>
      <w:tr>
        <w:tc>
          <w:tcPr>
            <w:tcW w:type="dxa" w:w="9648"/>
            <w:shd w:fill="F4FAF5"/>
            <w:tcMar>
              <w:top w:w="100" w:type="dxa"/>
              <w:bottom w:w="100" w:type="dxa"/>
              <w:left w:w="160" w:type="dxa"/>
              <w:right w:w="160" w:type="dxa"/>
            </w:tcMar>
          </w:tcPr>
          <w:p>
            <w:pPr>
              <w:spacing w:before="20" w:after="40"/>
            </w:pPr>
            <w:r>
              <w:rPr>
                <w:rFonts w:ascii="Arial" w:hAnsi="Arial"/>
                <w:b/>
                <w:color w:val="0F2043"/>
                <w:sz w:val="19"/>
              </w:rPr>
              <w:t>Statutory Meaning Established by Court</w:t>
              <w:br/>
            </w:r>
          </w:p>
          <w:p>
            <w:pPr>
              <w:spacing w:before="20" w:after="40" w:line="276" w:lineRule="auto"/>
            </w:pPr>
            <w:r>
              <w:rPr>
                <w:rFonts w:ascii="Calibri" w:hAnsi="Calibri"/>
                <w:color w:val="212529"/>
                <w:sz w:val="19"/>
              </w:rPr>
              <w:t>NO. Public funds of government agencies like MMDA are STRICTLY EXEMPT from garnishment and execution. Public policy and statutory auditing laws demand that government funds cannot be seized to satisfy private claims without legislative appropriation and COA approval.</w:t>
            </w:r>
          </w:p>
        </w:tc>
      </w:tr>
    </w:tbl>
    <w:p>
      <w:pPr>
        <w:keepNext/>
        <w:spacing w:before="240" w:after="60"/>
      </w:pPr>
      <w:r>
        <w:rPr>
          <w:rFonts w:ascii="Arial" w:hAnsi="Arial"/>
          <w:b/>
          <w:color w:val="0F2043"/>
          <w:sz w:val="21"/>
        </w:rPr>
        <w:t>VI. HOW THE COURT CONSTRUED THE LAW</w:t>
      </w:r>
    </w:p>
    <w:tbl>
      <w:tblPr>
        <w:tblW w:type="auto" w:w="0"/>
        <w:jc w:val="center"/>
        <w:tblLook w:firstColumn="1" w:firstRow="1" w:lastColumn="0" w:lastRow="0" w:noHBand="0" w:noVBand="1" w:val="04A0"/>
      </w:tblPr>
      <w:tblGrid>
        <w:gridCol w:w="9648"/>
      </w:tblGrid>
      <w:tr>
        <w:tc>
          <w:tcPr>
            <w:tcW w:type="dxa" w:w="9648"/>
            <w:shd w:fill="F8F9FB"/>
            <w:tcMar>
              <w:top w:w="100" w:type="dxa"/>
              <w:bottom w:w="100" w:type="dxa"/>
              <w:left w:w="160" w:type="dxa"/>
              <w:right w:w="160" w:type="dxa"/>
            </w:tcMar>
          </w:tcPr>
          <w:p>
            <w:pPr>
              <w:spacing w:before="20" w:after="40"/>
            </w:pPr>
            <w:r>
              <w:rPr>
                <w:rFonts w:ascii="Arial" w:hAnsi="Arial"/>
                <w:b/>
                <w:color w:val="0F2043"/>
                <w:sz w:val="19"/>
              </w:rPr>
              <w:t>Methodological &amp; Doctrinal Analysis</w:t>
              <w:br/>
            </w:r>
          </w:p>
          <w:p>
            <w:pPr>
              <w:spacing w:before="20" w:after="40" w:line="276" w:lineRule="auto"/>
            </w:pPr>
            <w:r>
              <w:rPr>
                <w:rFonts w:ascii="Calibri" w:hAnsi="Calibri"/>
                <w:b/>
                <w:color w:val="212529"/>
                <w:sz w:val="19"/>
              </w:rPr>
              <w:t xml:space="preserve">A. Why Was Construction Necessary? </w:t>
            </w:r>
            <w:r>
              <w:rPr>
                <w:rFonts w:ascii="Calibri" w:hAnsi="Calibri"/>
                <w:color w:val="212529"/>
                <w:sz w:val="19"/>
              </w:rPr>
              <w:t>Ambiguity in the application and scope of the statute: The trial court permitted the garnishment of public funds, violating public policy and constitutional rules on public treasury disbursements.</w:t>
            </w:r>
          </w:p>
          <w:p>
            <w:pPr>
              <w:spacing w:before="20" w:after="40" w:line="276" w:lineRule="auto"/>
            </w:pPr>
            <w:r>
              <w:rPr>
                <w:rFonts w:ascii="Calibri" w:hAnsi="Calibri"/>
                <w:b/>
                <w:color w:val="212529"/>
                <w:sz w:val="19"/>
              </w:rPr>
              <w:t xml:space="preserve">B. Purpose of Construction: </w:t>
            </w:r>
            <w:r>
              <w:rPr>
                <w:rFonts w:ascii="Calibri" w:hAnsi="Calibri"/>
                <w:color w:val="212529"/>
                <w:sz w:val="19"/>
              </w:rPr>
              <w:t>To ascertain and give full effect to the true intent, spirit, and purpose of the lawmaking body.</w:t>
            </w:r>
          </w:p>
          <w:p>
            <w:pPr>
              <w:spacing w:before="20" w:after="40" w:line="276" w:lineRule="auto"/>
            </w:pPr>
            <w:r>
              <w:rPr>
                <w:rFonts w:ascii="Calibri" w:hAnsi="Calibri"/>
                <w:b/>
                <w:color w:val="212529"/>
                <w:sz w:val="19"/>
              </w:rPr>
              <w:t xml:space="preserve">C. Method, Canon, or Rule Applied: </w:t>
            </w:r>
            <w:r>
              <w:rPr>
                <w:rFonts w:ascii="Calibri" w:hAnsi="Calibri"/>
                <w:color w:val="212529"/>
                <w:sz w:val="19"/>
              </w:rPr>
              <w:t>Salus populi est suprema lex</w:t>
              <w:br/>
              <w:t xml:space="preserve">   - Application: Doctrine of Immunity of Public Funds: All public funds in government depositories are held in trust for the public welfare and are strictly immune from garnishment and execution.</w:t>
              <w:br/>
              <w:t xml:space="preserve">   - Result: No. Government money belongs to the public for traffic, flood control, and emergency services. A sheriff cannot seize government accounts. The winning party must file a claim with the Commission on Audit (COA) to get paid through proper budget appropriations.</w:t>
            </w:r>
          </w:p>
          <w:p>
            <w:pPr>
              <w:spacing w:before="20" w:after="40" w:line="276" w:lineRule="auto"/>
            </w:pPr>
            <w:r>
              <w:rPr>
                <w:rFonts w:ascii="Calibri" w:hAnsi="Calibri"/>
                <w:b/>
                <w:color w:val="212529"/>
                <w:sz w:val="19"/>
              </w:rPr>
              <w:t xml:space="preserve">D. Other Sources Used: </w:t>
            </w:r>
            <w:r>
              <w:rPr>
                <w:rFonts w:ascii="Calibri" w:hAnsi="Calibri"/>
                <w:color w:val="212529"/>
                <w:sz w:val="19"/>
              </w:rPr>
              <w:t>Ordinary meaning of words, statute considered as a whole, legislative history, and established Supreme Court jurisprudence.</w:t>
            </w:r>
          </w:p>
        </w:tc>
      </w:tr>
    </w:tbl>
    <w:p>
      <w:pPr>
        <w:keepNext/>
        <w:spacing w:before="240" w:after="60"/>
      </w:pPr>
      <w:r>
        <w:rPr>
          <w:rFonts w:ascii="Arial" w:hAnsi="Arial"/>
          <w:b/>
          <w:color w:val="0F2043"/>
          <w:sz w:val="21"/>
        </w:rPr>
        <w:t>VII. RELEVANT STATUTORY-CONSTRUCTION CONCEPTS (A–L EVALUATION)</w:t>
      </w:r>
    </w:p>
    <w:tbl>
      <w:tblPr>
        <w:tblW w:type="auto" w:w="0"/>
        <w:jc w:val="center"/>
        <w:tblLook w:firstColumn="1" w:firstRow="1" w:lastColumn="0" w:lastRow="0" w:noHBand="0" w:noVBand="1" w:val="04A0"/>
      </w:tblPr>
      <w:tblGrid>
        <w:gridCol w:w="4824"/>
        <w:gridCol w:w="4824"/>
      </w:tblGrid>
      <w:tr>
        <w:tc>
          <w:tcPr>
            <w:tcW w:type="dxa" w:w="4824"/>
            <w:shd w:fill="EBF0F8"/>
            <w:tcMar>
              <w:top w:w="70" w:type="dxa"/>
              <w:bottom w:w="70" w:type="dxa"/>
              <w:left w:w="100" w:type="dxa"/>
              <w:right w:w="100" w:type="dxa"/>
            </w:tcMar>
          </w:tcPr>
          <w:p>
            <w:pPr>
              <w:spacing w:before="20" w:after="20"/>
            </w:pPr>
            <w:r>
              <w:rPr>
                <w:rFonts w:ascii="Arial" w:hAnsi="Arial"/>
                <w:b/>
                <w:color w:val="0F2043"/>
                <w:sz w:val="18"/>
              </w:rPr>
              <w:t>A. Situs of Statutory Construction</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Supreme Court of the Philippines, exercising its constitutional judicial power under Article VIII of the Constitution, serves as the ultimate situs and final arbiter for interpreting and construing the disputed provision.</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B. Purpose of Statutory Construction</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purpose of construction is to discover and effectuate the true legislative intent and will of the lawmaking body, preventing injustice and ensuring the statute operates harmoniously.</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C. When to Construe</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Court reaffirmed the cardinal threshold rule: Construction and interpretation are proper only where the statute is ambiguous, doubtful, or susceptible of multiple meanings. Where the law is clear, no construction is warranted.</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D. Ambiguity or Vagueness</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781E1E"/>
                <w:sz w:val="17"/>
              </w:rPr>
              <w:t xml:space="preserve"> [NOT APPLICABLE] </w:t>
            </w:r>
            <w:r>
              <w:rPr>
                <w:rFonts w:ascii="Calibri" w:hAnsi="Calibri"/>
                <w:color w:val="212529"/>
                <w:sz w:val="18"/>
              </w:rPr>
              <w:t>Not Applicable. The statutory language was clear and unambiguous; the Court declined to find ambiguity where none existed in the text.</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E. Verba Legis Non Est Recedendum</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781E1E"/>
                <w:sz w:val="17"/>
              </w:rPr>
              <w:t xml:space="preserve"> [NOT APPLICABLE] </w:t>
            </w:r>
            <w:r>
              <w:rPr>
                <w:rFonts w:ascii="Calibri" w:hAnsi="Calibri"/>
                <w:color w:val="212529"/>
                <w:sz w:val="18"/>
              </w:rPr>
              <w:t>Not Applicable. The Court looked beyond literal words to discover the underlying legislative spirit, context, and intent.</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F. Absoluta Sententia Expositore Non Indigent</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Court held that when the language of the law is clear and unequivocal, it requires no interpreter and leaves no room for judicial construction.</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G. Legislative Intent</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Court analyzed the true intent and policy of the lawmaking authority, ensuring that the statutory purpose is preserved and not defeated by erroneous administrative or private interpretations.</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H. Strict or Liberal Construction</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781E1E"/>
                <w:sz w:val="17"/>
              </w:rPr>
              <w:t xml:space="preserve"> [NOT APPLICABLE] </w:t>
            </w:r>
            <w:r>
              <w:rPr>
                <w:rFonts w:ascii="Calibri" w:hAnsi="Calibri"/>
                <w:color w:val="212529"/>
                <w:sz w:val="18"/>
              </w:rPr>
              <w:t>Not Applicable. The Court applied standard ordinary rules of statutory interpretation without resorting to special strict or liberal construction doctrines.</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I. Prospective or Retrospective Construction</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781E1E"/>
                <w:sz w:val="17"/>
              </w:rPr>
              <w:t xml:space="preserve"> [NOT APPLICABLE] </w:t>
            </w:r>
            <w:r>
              <w:rPr>
                <w:rFonts w:ascii="Calibri" w:hAnsi="Calibri"/>
                <w:color w:val="212529"/>
                <w:sz w:val="18"/>
              </w:rPr>
              <w:t>Not Applicable. The case involved only the contemporaneous, prospective application of the governing law.</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J. Statutory Construction vs. Judicial Legislation</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Court underscored the constitutional boundary of judicial power: Courts are empowered solely to interpret (jus dicere), not to enact or amend laws (jus dare). Supplying unwritten terms or expanding clear prohibitions constitutes prohibited judicial legislation.</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K. Legis Interpretatio Legis Vim Obtinet</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Under Article 8 of the Civil Code, the Supreme Court's authoritative interpretation of the statute forms part of the legal system of the Philippines and acquires the force of law (*legis interpretatio legis vim obtinet*).</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L. Extent and Limits of the Power to Construe</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Court respected the constitutional limits of its authority by applying the law as written and refusing to invade the legislative domain under the guise of equity or expediency.</w:t>
            </w:r>
          </w:p>
        </w:tc>
      </w:tr>
    </w:tbl>
    <w:p>
      <w:pPr>
        <w:keepNext/>
        <w:spacing w:before="240" w:after="60"/>
      </w:pPr>
      <w:r>
        <w:rPr>
          <w:rFonts w:ascii="Arial" w:hAnsi="Arial"/>
          <w:b/>
          <w:color w:val="0F2043"/>
          <w:sz w:val="21"/>
        </w:rPr>
        <w:t>VIII. OTHER CANONS OR METHODS OF CONSTRUCTION</w:t>
      </w:r>
    </w:p>
    <w:tbl>
      <w:tblPr>
        <w:tblW w:type="auto" w:w="0"/>
        <w:jc w:val="center"/>
        <w:tblLook w:firstColumn="1" w:firstRow="1" w:lastColumn="0" w:lastRow="0" w:noHBand="0" w:noVBand="1" w:val="04A0"/>
      </w:tblPr>
      <w:tblGrid>
        <w:gridCol w:w="9648"/>
      </w:tblGrid>
      <w:tr>
        <w:tc>
          <w:tcPr>
            <w:tcW w:type="dxa" w:w="9648"/>
            <w:shd w:fill="F8F9FB"/>
            <w:tcMar>
              <w:top w:w="100" w:type="dxa"/>
              <w:bottom w:w="100" w:type="dxa"/>
              <w:left w:w="160" w:type="dxa"/>
              <w:right w:w="160" w:type="dxa"/>
            </w:tcMar>
          </w:tcPr>
          <w:p>
            <w:pPr>
              <w:spacing w:before="20" w:after="40"/>
            </w:pPr>
            <w:r>
              <w:rPr>
                <w:rFonts w:ascii="Arial" w:hAnsi="Arial"/>
                <w:b/>
                <w:color w:val="0F2043"/>
                <w:sz w:val="19"/>
              </w:rPr>
              <w:t>Secondary Rules &amp; Canons Applied</w:t>
              <w:br/>
            </w:r>
          </w:p>
          <w:p>
            <w:pPr>
              <w:spacing w:before="20" w:after="40" w:line="276" w:lineRule="auto"/>
            </w:pPr>
            <w:r>
              <w:rPr>
                <w:rFonts w:ascii="Calibri" w:hAnsi="Calibri"/>
                <w:b/>
                <w:color w:val="212529"/>
                <w:sz w:val="19"/>
              </w:rPr>
              <w:t xml:space="preserve">• Canon / Maxim: </w:t>
            </w:r>
            <w:r>
              <w:rPr>
                <w:rFonts w:ascii="Calibri" w:hAnsi="Calibri"/>
                <w:color w:val="212529"/>
                <w:sz w:val="19"/>
              </w:rPr>
              <w:t>• Nemo potest gladius principis in se convertere (sovereign funds protected)</w:t>
              <w:br/>
              <w:t>• Dura lex sed lex (mandatory constitutional appropriation requirement)</w:t>
            </w:r>
          </w:p>
          <w:p>
            <w:pPr>
              <w:spacing w:before="20" w:after="40" w:line="276" w:lineRule="auto"/>
            </w:pPr>
            <w:r>
              <w:rPr>
                <w:rFonts w:ascii="Calibri" w:hAnsi="Calibri"/>
                <w:b/>
                <w:color w:val="212529"/>
                <w:sz w:val="19"/>
              </w:rPr>
              <w:t xml:space="preserve">• How Applied: </w:t>
            </w:r>
            <w:r>
              <w:rPr>
                <w:rFonts w:ascii="Calibri" w:hAnsi="Calibri"/>
                <w:color w:val="212529"/>
                <w:sz w:val="19"/>
              </w:rPr>
              <w:t>Applied as corroborative canons to reinforce the primary rule of construction.</w:t>
            </w:r>
          </w:p>
          <w:p>
            <w:pPr>
              <w:spacing w:before="20" w:after="40" w:line="276" w:lineRule="auto"/>
            </w:pPr>
            <w:r>
              <w:rPr>
                <w:rFonts w:ascii="Calibri" w:hAnsi="Calibri"/>
                <w:b/>
                <w:color w:val="212529"/>
                <w:sz w:val="19"/>
              </w:rPr>
              <w:t xml:space="preserve">• Effect on Interpretation: </w:t>
            </w:r>
            <w:r>
              <w:rPr>
                <w:rFonts w:ascii="Calibri" w:hAnsi="Calibri"/>
                <w:color w:val="212529"/>
                <w:sz w:val="19"/>
              </w:rPr>
              <w:t>Harmonized the statute and prevented an absurd or unjust result.</w:t>
            </w:r>
          </w:p>
        </w:tc>
      </w:tr>
    </w:tbl>
    <w:p>
      <w:pPr>
        <w:keepNext/>
        <w:spacing w:before="240" w:after="60"/>
      </w:pPr>
      <w:r>
        <w:rPr>
          <w:rFonts w:ascii="Arial" w:hAnsi="Arial"/>
          <w:b/>
          <w:color w:val="0F2043"/>
          <w:sz w:val="21"/>
        </w:rPr>
        <w:t>IX. THE CONSTRUCTION MADE BY THE COURT</w:t>
      </w:r>
    </w:p>
    <w:tbl>
      <w:tblPr>
        <w:tblW w:type="auto" w:w="0"/>
        <w:jc w:val="center"/>
        <w:tblLook w:firstColumn="1" w:firstRow="1" w:lastColumn="0" w:lastRow="0" w:noHBand="0" w:noVBand="1" w:val="04A0"/>
      </w:tblPr>
      <w:tblGrid>
        <w:gridCol w:w="9648"/>
      </w:tblGrid>
      <w:tr>
        <w:tc>
          <w:tcPr>
            <w:tcW w:type="dxa" w:w="9648"/>
            <w:shd w:fill="F9F8F5"/>
            <w:tcMar>
              <w:top w:w="100" w:type="dxa"/>
              <w:bottom w:w="100" w:type="dxa"/>
              <w:left w:w="160" w:type="dxa"/>
              <w:right w:w="160" w:type="dxa"/>
            </w:tcMar>
          </w:tcPr>
          <w:p>
            <w:pPr>
              <w:spacing w:before="20" w:after="40"/>
            </w:pPr>
            <w:r>
              <w:rPr>
                <w:rFonts w:ascii="Arial" w:hAnsi="Arial"/>
                <w:b/>
                <w:color w:val="0F2043"/>
                <w:sz w:val="19"/>
              </w:rPr>
              <w:t>Actual Judicial Construction &amp; Ratio</w:t>
              <w:br/>
            </w:r>
          </w:p>
          <w:p>
            <w:pPr>
              <w:spacing w:before="20" w:after="40" w:line="276" w:lineRule="auto"/>
            </w:pPr>
            <w:r>
              <w:rPr>
                <w:rFonts w:ascii="Calibri" w:hAnsi="Calibri"/>
                <w:b/>
                <w:color w:val="212529"/>
                <w:sz w:val="19"/>
              </w:rPr>
              <w:t xml:space="preserve">• Construction Summary: </w:t>
            </w:r>
            <w:r>
              <w:rPr>
                <w:rFonts w:ascii="Calibri" w:hAnsi="Calibri"/>
                <w:color w:val="212529"/>
                <w:sz w:val="19"/>
              </w:rPr>
              <w:t>The Court construed the disputed statutory provisions in Republic of the Philippines v. Del Monte Motors, Inc. to mean and apply strictly in accordance with Salus populi est suprema lex, holding that No. Government money belongs to the public for traffic, flood control, and emergency services. A sheriff cannot seize government accounts. The winning party mus.</w:t>
            </w:r>
          </w:p>
          <w:p>
            <w:pPr>
              <w:spacing w:before="20" w:after="40" w:line="276" w:lineRule="auto"/>
            </w:pPr>
            <w:r>
              <w:rPr>
                <w:rFonts w:ascii="Calibri" w:hAnsi="Calibri"/>
                <w:b/>
                <w:color w:val="212529"/>
                <w:sz w:val="19"/>
              </w:rPr>
              <w:t xml:space="preserve">• Principal Reasoning: </w:t>
            </w:r>
            <w:r>
              <w:rPr>
                <w:rFonts w:ascii="Calibri" w:hAnsi="Calibri"/>
                <w:color w:val="212529"/>
                <w:sz w:val="19"/>
              </w:rPr>
              <w:t>If contractors could freeze government bank accounts, the MMDA wouldn't have money to pay traffic enforcers, pump floodwaters, or pick up trash. The city would grind to a halt. To protect the public welfare, the law says court sheriffs cannot touch government bank accounts; creditors must go through COA.</w:t>
            </w:r>
          </w:p>
        </w:tc>
      </w:tr>
    </w:tbl>
    <w:tbl>
      <w:tblPr>
        <w:tblW w:type="auto" w:w="0"/>
        <w:jc w:val="center"/>
        <w:tblLook w:firstColumn="1" w:firstRow="1" w:lastColumn="0" w:lastRow="0" w:noHBand="0" w:noVBand="1" w:val="04A0"/>
      </w:tblPr>
      <w:tblGrid>
        <w:gridCol w:w="9648"/>
      </w:tblGrid>
      <w:tr>
        <w:tc>
          <w:tcPr>
            <w:tcW w:type="dxa" w:w="9648"/>
            <w:shd w:fill="EEF6F0"/>
            <w:tcMar>
              <w:top w:w="100" w:type="dxa"/>
              <w:bottom w:w="100" w:type="dxa"/>
              <w:left w:w="160" w:type="dxa"/>
              <w:right w:w="160" w:type="dxa"/>
            </w:tcMar>
          </w:tcPr>
          <w:p>
            <w:pPr>
              <w:spacing w:before="20" w:after="40"/>
            </w:pPr>
            <w:r>
              <w:rPr>
                <w:rFonts w:ascii="Arial" w:hAnsi="Arial"/>
                <w:b/>
                <w:color w:val="0D6E4B"/>
                <w:sz w:val="19"/>
              </w:rPr>
              <w:t>X. STATUTORY CONSTRUCTION OR JUDICIAL LEGISLATION?</w:t>
              <w:br/>
            </w:r>
          </w:p>
          <w:p>
            <w:pPr>
              <w:spacing w:before="20" w:after="60"/>
            </w:pPr>
            <w:r>
              <w:rPr>
                <w:rFonts w:ascii="Arial" w:hAnsi="Arial"/>
                <w:b/>
                <w:color w:val="0F2043"/>
                <w:sz w:val="19"/>
              </w:rPr>
              <w:t>☑ Proper statutory construction    ☐ Judicial legislation    ☐ Debatable</w:t>
            </w:r>
          </w:p>
          <w:p>
            <w:pPr>
              <w:spacing w:before="40" w:after="40" w:line="276" w:lineRule="auto"/>
            </w:pPr>
            <w:r>
              <w:rPr>
                <w:rFonts w:ascii="Calibri" w:hAnsi="Calibri"/>
                <w:b/>
                <w:color w:val="212529"/>
                <w:sz w:val="19"/>
              </w:rPr>
              <w:t>Explanation (3–5 sentences):</w:t>
              <w:br/>
            </w:r>
            <w:r>
              <w:rPr>
                <w:rFonts w:ascii="Calibri" w:hAnsi="Calibri"/>
                <w:color w:val="212529"/>
                <w:sz w:val="19"/>
              </w:rPr>
              <w:t>The Supreme Court acted within the legitimate bounds of its constitutional power to interpret the law (jus dicere). By applying Salus populi est suprema lex, the Court faithfully effectuated the legislative intent without creating new rules, modifying clear statutory text, or usurping congressional prerogative. The ruling reinforces the separation of powers and the doctrine that courts must enforce the law as enacted.</w:t>
            </w:r>
          </w:p>
        </w:tc>
      </w:tr>
    </w:tbl>
    <w:p>
      <w:pPr>
        <w:spacing w:before="80" w:after="40"/>
      </w:pPr>
    </w:p>
    <w:tbl>
      <w:tblPr>
        <w:tblW w:type="auto" w:w="0"/>
        <w:jc w:val="center"/>
        <w:tblLook w:firstColumn="1" w:firstRow="1" w:lastColumn="0" w:lastRow="0" w:noHBand="0" w:noVBand="1" w:val="04A0"/>
      </w:tblPr>
      <w:tblGrid>
        <w:gridCol w:w="9648"/>
      </w:tblGrid>
      <w:tr>
        <w:tc>
          <w:tcPr>
            <w:tcW w:type="dxa" w:w="9648"/>
            <w:shd w:fill="FBF6EE"/>
            <w:tcMar>
              <w:top w:w="100" w:type="dxa"/>
              <w:bottom w:w="100" w:type="dxa"/>
              <w:left w:w="160" w:type="dxa"/>
              <w:right w:w="160" w:type="dxa"/>
            </w:tcMar>
          </w:tcPr>
          <w:p>
            <w:pPr>
              <w:spacing w:before="20" w:after="40"/>
            </w:pPr>
            <w:r>
              <w:rPr>
                <w:rFonts w:ascii="Arial" w:hAnsi="Arial"/>
                <w:b/>
                <w:color w:val="8C3200"/>
                <w:sz w:val="19"/>
              </w:rPr>
              <w:t>XI. DOCTRINE (Statutory Construction Principle):</w:t>
              <w:br/>
            </w:r>
            <w:r>
              <w:rPr>
                <w:rFonts w:ascii="Calibri" w:hAnsi="Calibri"/>
                <w:color w:val="212529"/>
                <w:sz w:val="19"/>
              </w:rPr>
              <w:t>Doctrine of Immunity of Public Funds: All public funds in government depositories are held in trust for the public welfare and are strictly immune from garnishment and execution.</w:t>
              <w:br/>
              <w:br/>
            </w:r>
          </w:p>
          <w:p>
            <w:pPr>
              <w:spacing w:before="20" w:after="40"/>
            </w:pPr>
            <w:r>
              <w:rPr>
                <w:rFonts w:ascii="Arial" w:hAnsi="Arial"/>
                <w:b/>
                <w:color w:val="8C3200"/>
                <w:sz w:val="19"/>
              </w:rPr>
              <w:t>XII. ONE-SENTENCE TAKEAWAY:</w:t>
              <w:br/>
            </w:r>
            <w:r>
              <w:rPr>
                <w:rFonts w:ascii="Calibri" w:hAnsi="Calibri"/>
                <w:i/>
                <w:color w:val="212529"/>
                <w:sz w:val="19"/>
              </w:rPr>
              <w:t>This case is important in Statutory Construction because Government money meant for public services can never be seized by court sheriffs; winning a case against the government means you must ask COA for payment through proper budgets.</w:t>
            </w:r>
          </w:p>
        </w:tc>
      </w:tr>
    </w:tbl>
    <w:sectPr w:rsidR="00FC693F" w:rsidRPr="0006063C" w:rsidSect="00034616">
      <w:pgSz w:w="12240" w:h="15840"/>
      <w:pgMar w:top="1296" w:right="1296" w:bottom="1296"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