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0F2043"/>
            <w:tcMar>
              <w:top w:w="200" w:type="dxa"/>
              <w:bottom w:w="200" w:type="dxa"/>
              <w:left w:w="240" w:type="dxa"/>
              <w:right w:w="240" w:type="dxa"/>
            </w:tcMar>
          </w:tcPr>
          <w:p>
            <w:pPr>
              <w:spacing w:before="80" w:after="40"/>
              <w:jc w:val="center"/>
            </w:pPr>
            <w:r>
              <w:rPr>
                <w:rFonts w:ascii="Arial" w:hAnsi="Arial"/>
                <w:b/>
                <w:color w:val="FFFFFF"/>
                <w:sz w:val="28"/>
              </w:rPr>
              <w:t>MANILA LAW COLLEGE</w:t>
              <w:br/>
            </w:r>
            <w:r>
              <w:rPr>
                <w:rFonts w:ascii="Arial" w:hAnsi="Arial"/>
                <w:color w:val="D2E1F5"/>
                <w:sz w:val="20"/>
              </w:rPr>
              <w:t>Manila Law College | Statutory Construction (2 Units) | Instructor: Atty. Jason P. Raposas</w:t>
              <w:br/>
            </w:r>
            <w:r>
              <w:rPr>
                <w:rFonts w:ascii="Arial" w:hAnsi="Arial"/>
                <w:b/>
                <w:color w:val="FFD700"/>
                <w:sz w:val="24"/>
              </w:rPr>
              <w:t>STATUTORY CONSTRUCTION COMPENDIUM: PHASE 3 (CHAPTER IV)</w:t>
              <w:br/>
            </w:r>
            <w:r>
              <w:rPr>
                <w:rFonts w:ascii="Arial" w:hAnsi="Arial"/>
                <w:i/>
                <w:color w:val="E6EBF5"/>
                <w:sz w:val="19"/>
              </w:rPr>
              <w:t>Chapter IV: Aids to Construction (Cases 50 to 69) | Dual Layer ALAC + 12-Section Case Digest Format</w:t>
            </w:r>
          </w:p>
        </w:tc>
      </w:tr>
    </w:tbl>
    <w:p>
      <w:r>
        <w:br w:type="page"/>
      </w:r>
    </w:p>
    <w:tbl>
      <w:tblPr>
        <w:tblW w:type="auto" w:w="0"/>
        <w:jc w:val="center"/>
        <w:tblLook w:firstColumn="1" w:firstRow="1" w:lastColumn="0" w:lastRow="0" w:noHBand="0" w:noVBand="1" w:val="04A0"/>
      </w:tblPr>
      <w:tblGrid>
        <w:gridCol w:w="9648"/>
      </w:tblGrid>
      <w:tr>
        <w:tc>
          <w:tcPr>
            <w:tcW w:type="dxa" w:w="9648"/>
            <w:shd w:fill="0F2043"/>
            <w:tcMar>
              <w:top w:w="160" w:type="dxa"/>
              <w:bottom w:w="160" w:type="dxa"/>
              <w:left w:w="200" w:type="dxa"/>
              <w:right w:w="200" w:type="dxa"/>
            </w:tcMar>
          </w:tcPr>
          <w:p>
            <w:pPr>
              <w:spacing w:before="40" w:after="40"/>
              <w:jc w:val="center"/>
            </w:pPr>
            <w:r>
              <w:rPr>
                <w:rFonts w:ascii="Arial" w:hAnsi="Arial"/>
                <w:b/>
                <w:color w:val="FFD700"/>
                <w:sz w:val="26"/>
              </w:rPr>
              <w:t>CHAPTER IV</w:t>
              <w:br/>
            </w:r>
            <w:r>
              <w:rPr>
                <w:rFonts w:ascii="Arial" w:hAnsi="Arial"/>
                <w:b/>
                <w:color w:val="FFFFFF"/>
                <w:sz w:val="24"/>
              </w:rPr>
              <w:t>AIDS TO CONSTRUCTION</w:t>
              <w:br/>
            </w:r>
            <w:r>
              <w:rPr>
                <w:rFonts w:ascii="Arial" w:hAnsi="Arial"/>
                <w:i/>
                <w:color w:val="D7E6FA"/>
                <w:sz w:val="19"/>
              </w:rPr>
              <w:t>Cases 50 to 69 | Intrinsic Aids, Extrinsic Aids &amp; Statutory Presumptions</w:t>
            </w:r>
          </w:p>
          <w:p>
            <w:pPr>
              <w:spacing w:before="120" w:after="40" w:line="276" w:lineRule="auto"/>
            </w:pPr>
            <w:r>
              <w:rPr>
                <w:rFonts w:ascii="Arial" w:hAnsi="Arial"/>
                <w:b/>
                <w:color w:val="FFD700"/>
                <w:sz w:val="19"/>
              </w:rPr>
              <w:t>Key Syllabus Coverage:</w:t>
              <w:br/>
            </w:r>
          </w:p>
          <w:p>
            <w:pPr>
              <w:spacing w:before="20" w:after="20"/>
            </w:pPr>
            <w:r>
              <w:rPr>
                <w:rFonts w:ascii="Calibri" w:hAnsi="Calibri"/>
                <w:color w:val="F0F5FF"/>
                <w:sz w:val="18"/>
              </w:rPr>
              <w:t>• A. Intrinsic Aids (Cases 50–59): Preambles, Title, Punctuation Marks, Capitalization, Headnotes/Epigraphs, Lingual Text and Language Reconciliations</w:t>
            </w:r>
          </w:p>
          <w:p>
            <w:pPr>
              <w:spacing w:before="20" w:after="20"/>
            </w:pPr>
            <w:r>
              <w:rPr>
                <w:rFonts w:ascii="Calibri" w:hAnsi="Calibri"/>
                <w:color w:val="F0F5FF"/>
                <w:sz w:val="18"/>
              </w:rPr>
              <w:t>• B. Extrinsic Aids (Cases 60–65): Policy and Purpose of Law, Legislative History (Debates, Reports, Committee Journals), Legal Environment, Contemporaneous Construction (Executive/Administrative Interpretation), Dictionaries</w:t>
            </w:r>
          </w:p>
          <w:p>
            <w:pPr>
              <w:spacing w:before="20" w:after="20"/>
            </w:pPr>
            <w:r>
              <w:rPr>
                <w:rFonts w:ascii="Calibri" w:hAnsi="Calibri"/>
                <w:color w:val="F0F5FF"/>
                <w:sz w:val="18"/>
              </w:rPr>
              <w:t>• C. Presumptions in Aid of Construction (Cases 66–69): Presumption Against Unconstitutionality, Presumption Against Injustice, Presumption Against Implied Repeals, Presumption Against Ineffectiveness, Presumption Against Absurdity</w:t>
            </w:r>
          </w:p>
        </w:tc>
      </w:tr>
    </w:tbl>
    <w:p>
      <w:pPr>
        <w:spacing w:before="160"/>
      </w:pPr>
    </w:p>
    <w:p>
      <w:pPr>
        <w:keepNext/>
        <w:spacing w:before="320" w:after="80"/>
      </w:pPr>
      <w:r>
        <w:rPr>
          <w:rFonts w:ascii="Arial" w:hAnsi="Arial"/>
          <w:b/>
          <w:color w:val="0F2043"/>
          <w:sz w:val="26"/>
        </w:rPr>
        <w:t>50. PEOPLE OF THE PHILIPPINES V. MARIO FRANCISCO Y MARTIN</w:t>
      </w:r>
    </w:p>
    <w:p>
      <w:pPr>
        <w:spacing w:before="40" w:after="80" w:line="276" w:lineRule="auto"/>
      </w:pPr>
      <w:r>
        <w:rPr>
          <w:rFonts w:ascii="Calibri" w:hAnsi="Calibri"/>
          <w:b/>
          <w:color w:val="212529"/>
          <w:sz w:val="21"/>
        </w:rPr>
        <w:t xml:space="preserve">Citation: </w:t>
      </w:r>
      <w:r>
        <w:rPr>
          <w:rFonts w:ascii="Calibri" w:hAnsi="Calibri"/>
          <w:i/>
          <w:color w:val="212529"/>
          <w:sz w:val="21"/>
        </w:rPr>
        <w:t>G.R. No. 106357 | September 3, 1998 | 295 SCRA 159 | En Banc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Mario Francisco y Martin (Appellant)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Quezon City (Branch 95)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 conviction for Illegal Possession of Firearms under P.D. No. 1866, as amended by Republic Act No. 8294, involving the statutory effect of homicide committed with an unlicensed firearm.</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Mario Francisco was charged with Murder and separately charged with Illegal Possession of Unlicensed Firearms under P.D. No. 1866 for shooting and killing a person with an unlicensed .38 caliber revolver. During the pendency of the appeal, Congress enacted Republic Act No. 8294, which amended P.D. No. 1866. Under Section 1 of RA 8294, the law provided that if homicide or murder is committed with the use of an unlicensed firearm, such use of an unlicensed firearm shall be considered merely as an AGGRAVATING CIRCUMSTANCE in the homicide or murder case, and no separate conviction for illegal possession of firearm can be sustained. Francisco sought the retroactive dismissal of the separate illegal possession charge.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shot and killed someone with an unlicensed gun and was convicted of both Murder and Illegal Possession of Firearms. While his appeal was pending, a new law (RA 8294) was enacted stating that if an unlicensed gun is used to kill someone, the gun is merely an aggravating circumstance in the murder case, and you cannot be convicted of a separate gun-possession crime. The Supreme Court retroactively dismissed the separate firearms conviction, holding that penal laws favorable to the accused apply retroactively.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amendatory provisions of R.A. No. 8294 apply retroactively to bar a separate conviction for Illegal Possession of Firearms when homicide or murder is committed with the weapon.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new firearm law (RA 8294) apply retroactively to cancel a separate gun-possession conviction if the gun was used in a killing?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RA 8294 applies retroactively to dismiss a separate charge of illegal possession of firearms where homicide was committed, testing the canon Favorabilia Sunt Amplianda (beneficial penal laws are retroactive) and Title/Context of the amendatory statute as an intrinsic aid."</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R.A. No. 8294 applies RETROACTIVELY because it is favorable to the accused. Under the amended law, use of an unlicensed firearm in a killing is merely an aggravating circumstance, precluding a separate conviction for illegal possession of firearms.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Under Article 22 of the Revised Penal Code, penal laws that favor the accused apply retroactively. Because the new statute decriminalized separate firearm possession when used in a killing, the separate firearm charge was dismissed.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Article 22 of the Revised Penal Code and Favorabilia sunt amplianda, odiosa restringenda, RA 8294 operates retroactively in favor of the accused, extinguishing the separate offense of illegal possession of firearms."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 Presidential Decree No. 1866 (as amended by Republic Act No. 8294): </w:t>
            </w:r>
            <w:r>
              <w:rPr>
                <w:rFonts w:ascii="Calibri" w:hAnsi="Calibri"/>
                <w:color w:val="212529"/>
                <w:sz w:val="20"/>
              </w:rPr>
              <w:t>Provides that use of an unlicensed firearm in murder or homicide is an aggravating circumstance, not a separate distinct crime.</w:t>
            </w:r>
          </w:p>
          <w:p>
            <w:pPr>
              <w:spacing w:before="20" w:after="40" w:line="276" w:lineRule="auto"/>
            </w:pPr>
            <w:r>
              <w:rPr>
                <w:rFonts w:ascii="Calibri" w:hAnsi="Calibri"/>
                <w:b/>
                <w:color w:val="212529"/>
                <w:sz w:val="20"/>
              </w:rPr>
              <w:t xml:space="preserve">2. Article 22, Revised Penal Code: </w:t>
            </w:r>
            <w:r>
              <w:rPr>
                <w:rFonts w:ascii="Calibri" w:hAnsi="Calibri"/>
                <w:color w:val="212529"/>
                <w:sz w:val="20"/>
              </w:rPr>
              <w:t>Mandatory retroactive application of penal laws favorable to the accused.</w:t>
            </w:r>
          </w:p>
          <w:p>
            <w:pPr>
              <w:spacing w:before="20" w:after="40" w:line="276" w:lineRule="auto"/>
            </w:pPr>
            <w:r>
              <w:rPr>
                <w:rFonts w:ascii="Calibri" w:hAnsi="Calibri"/>
                <w:b/>
                <w:color w:val="212529"/>
                <w:sz w:val="20"/>
              </w:rPr>
              <w:t xml:space="preserve">3. Favorabilia Sunt Amplianda, Odiosa Restringenda (favorable things should be enlarged, hateful things restricted): </w:t>
            </w:r>
            <w:r>
              <w:rPr>
                <w:rFonts w:ascii="Calibri" w:hAnsi="Calibri"/>
                <w:color w:val="212529"/>
                <w:sz w:val="20"/>
              </w:rPr>
              <w:t>Beneficial statutory changes must be extended to all pending cases.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 RA 8294, Article 22 RPC, and Favorabilia Sunt Amplianda.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 of RA 8294 in relation to Article 22 RPC, governed by Favorabilia sunt amplianda, odiosa restringenda (favorable penal laws are enlarged)."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Statutory Intent of RA 8294: </w:t>
            </w:r>
            <w:r>
              <w:rPr>
                <w:rFonts w:ascii="Calibri" w:hAnsi="Calibri"/>
                <w:color w:val="212529"/>
                <w:sz w:val="20"/>
              </w:rPr>
              <w:t>The amendatory statute intended to treat the unlicensed firearm as a mere qualifying/aggravating circumstance of the primary homicide/murder offense, eliminating the double jeopardy-like dual convictions under the old PD 1866.</w:t>
            </w:r>
          </w:p>
          <w:p>
            <w:pPr>
              <w:spacing w:before="20" w:after="40" w:line="276" w:lineRule="auto"/>
            </w:pPr>
            <w:r>
              <w:rPr>
                <w:rFonts w:ascii="Calibri" w:hAnsi="Calibri"/>
                <w:b/>
                <w:color w:val="212529"/>
                <w:sz w:val="20"/>
              </w:rPr>
              <w:t xml:space="preserve">2. Retroactivity of Favorable Penal Statutes: </w:t>
            </w:r>
            <w:r>
              <w:rPr>
                <w:rFonts w:ascii="Calibri" w:hAnsi="Calibri"/>
                <w:color w:val="212529"/>
                <w:sz w:val="20"/>
              </w:rPr>
              <w:t>Where an amendatory statute reduces a penalty or decriminalizes a separate offense, it must be given retroactive application to pending appeals pursuant to Article 22 RPC.</w:t>
            </w:r>
          </w:p>
          <w:p>
            <w:pPr>
              <w:spacing w:before="20" w:after="40" w:line="276" w:lineRule="auto"/>
            </w:pPr>
            <w:r>
              <w:rPr>
                <w:rFonts w:ascii="Calibri" w:hAnsi="Calibri"/>
                <w:b/>
                <w:color w:val="212529"/>
                <w:sz w:val="20"/>
              </w:rPr>
              <w:t xml:space="preserve">3. Title and Preamble as Intrinsic Aids: </w:t>
            </w:r>
            <w:r>
              <w:rPr>
                <w:rFonts w:ascii="Calibri" w:hAnsi="Calibri"/>
                <w:color w:val="212529"/>
                <w:sz w:val="20"/>
              </w:rPr>
              <w:t>The title and legislative text of RA 8294 clearly convey the intent to rationalize penalties for illegal firearm possession.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Congress passed RA 8294 to fix an unfair situation where a person was convicted twice for the exact same shooting incident. Because the new law treats the gun only as an aggravating factor, and because criminal laws that help the accused reach backward, the separate firearm conviction had to be thrown out.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examined the text and context of RA 8294 as intrinsic aids. The statute unified the offense. Applying Article 22 RPC, the Court retroactively dismissed the standalone firearm conviction."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MODIFIED the judgment, AFFIRMING the conviction for Murder with the special aggravating circumstance of use of unlicensed firearm, but ACQUITTING and DISMISSING the separate charge for Illegal Possession of Firearms.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separate firearms conviction was cancelled and dismissed retroactively.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separate firearms conviction retroactively under the beneficial provisions of RA 8294."</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Title and Textual Context of Amendatory Penal Statutes (Favorabilia Sunt Amplianda)</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Favorabilia sunt amplianda, odiosa restringenda (favorable things should be enlarged, hateful things restricted)</w:t>
              <w:br/>
            </w:r>
            <w:r>
              <w:rPr>
                <w:rFonts w:ascii="Calibri" w:hAnsi="Calibri"/>
                <w:b/>
                <w:color w:val="212529"/>
                <w:sz w:val="19"/>
              </w:rPr>
              <w:t xml:space="preserve">   • Literal English Translation: </w:t>
            </w:r>
            <w:r>
              <w:rPr>
                <w:rFonts w:ascii="Calibri" w:hAnsi="Calibri"/>
                <w:i/>
                <w:color w:val="212529"/>
                <w:sz w:val="19"/>
              </w:rPr>
              <w:t>Matters of favor should be enlarged, and hateful matters restrained.</w:t>
              <w:br/>
            </w:r>
            <w:r>
              <w:rPr>
                <w:rFonts w:ascii="Calibri" w:hAnsi="Calibri"/>
                <w:b/>
                <w:color w:val="212529"/>
                <w:sz w:val="19"/>
              </w:rPr>
              <w:t xml:space="preserve">   • Plain Legal Meaning &amp; StatCon Application: </w:t>
            </w:r>
            <w:r>
              <w:rPr>
                <w:rFonts w:ascii="Calibri" w:hAnsi="Calibri"/>
                <w:color w:val="212529"/>
                <w:sz w:val="19"/>
              </w:rPr>
              <w:t>Beneficial amendatory penal statutes apply retroactively to pending cases.</w:t>
            </w:r>
          </w:p>
          <w:p>
            <w:pPr>
              <w:spacing w:before="40" w:after="60" w:line="276" w:lineRule="auto"/>
            </w:pPr>
            <w:r>
              <w:rPr>
                <w:rFonts w:ascii="Calibri" w:hAnsi="Calibri"/>
                <w:b/>
                <w:color w:val="8C3200"/>
                <w:sz w:val="20"/>
              </w:rPr>
              <w:t>2. Lex prospicit, non respicit (the law looks forward, not backward)</w:t>
              <w:br/>
            </w:r>
            <w:r>
              <w:rPr>
                <w:rFonts w:ascii="Calibri" w:hAnsi="Calibri"/>
                <w:b/>
                <w:color w:val="212529"/>
                <w:sz w:val="19"/>
              </w:rPr>
              <w:t xml:space="preserve">   • Literal English Translation: </w:t>
            </w:r>
            <w:r>
              <w:rPr>
                <w:rFonts w:ascii="Calibri" w:hAnsi="Calibri"/>
                <w:i/>
                <w:color w:val="212529"/>
                <w:sz w:val="19"/>
              </w:rPr>
              <w:t>The law looks forward, not backward.</w:t>
              <w:br/>
            </w:r>
            <w:r>
              <w:rPr>
                <w:rFonts w:ascii="Calibri" w:hAnsi="Calibri"/>
                <w:b/>
                <w:color w:val="212529"/>
                <w:sz w:val="19"/>
              </w:rPr>
              <w:t xml:space="preserve">   • Plain Legal Meaning &amp; StatCon Application: </w:t>
            </w:r>
            <w:r>
              <w:rPr>
                <w:rFonts w:ascii="Calibri" w:hAnsi="Calibri"/>
                <w:color w:val="212529"/>
                <w:sz w:val="19"/>
              </w:rPr>
              <w:t>The general rule of prospectivity yields to the constitutional and statutory mandate of retroactive leniency in penal law.</w:t>
            </w:r>
          </w:p>
          <w:p>
            <w:pPr>
              <w:spacing w:before="40" w:after="60" w:line="276" w:lineRule="auto"/>
            </w:pPr>
            <w:r>
              <w:rPr>
                <w:rFonts w:ascii="Calibri" w:hAnsi="Calibri"/>
                <w:b/>
                <w:color w:val="8C3200"/>
                <w:sz w:val="20"/>
              </w:rPr>
              <w:t>3. Ex antecedentibus et consequentibus fit optima interpretatio (the best interpretation is made from what precedes and what follows)</w:t>
              <w:br/>
            </w:r>
            <w:r>
              <w:rPr>
                <w:rFonts w:ascii="Calibri" w:hAnsi="Calibri"/>
                <w:b/>
                <w:color w:val="212529"/>
                <w:sz w:val="19"/>
              </w:rPr>
              <w:t xml:space="preserve">   • Literal English Translation: </w:t>
            </w:r>
            <w:r>
              <w:rPr>
                <w:rFonts w:ascii="Calibri" w:hAnsi="Calibri"/>
                <w:i/>
                <w:color w:val="212529"/>
                <w:sz w:val="19"/>
              </w:rPr>
              <w:t>The best interpretation arises from comparing all parts of the statute.</w:t>
              <w:br/>
            </w:r>
            <w:r>
              <w:rPr>
                <w:rFonts w:ascii="Calibri" w:hAnsi="Calibri"/>
                <w:b/>
                <w:color w:val="212529"/>
                <w:sz w:val="19"/>
              </w:rPr>
              <w:t xml:space="preserve">   • Plain Legal Meaning &amp; StatCon Application: </w:t>
            </w:r>
            <w:r>
              <w:rPr>
                <w:rFonts w:ascii="Calibri" w:hAnsi="Calibri"/>
                <w:color w:val="212529"/>
                <w:sz w:val="19"/>
              </w:rPr>
              <w:t>The amendatory clauses of RA 8294 must be read in context with the entire penal framework.</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Title and Textual Context of Amendatory Penal Statutes (Favorabilia Sunt Amplianda)</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Favorabilia sunt amplianda, odiosa restringenda</w:t>
              <w:br/>
              <w:t>(favorable things should be enlarged, hateful things restricted / retroactive application of beneficial amendatory penal statutes under RA 8294)</w:t>
              <w:br/>
              <w:br/>
              <w:t>Secondary:</w:t>
              <w:br/>
              <w:t>• Lex prospicit non respicit (exception for favorable penal laws)</w:t>
              <w:br/>
              <w:t>• Ex antecedentibus et consequentibus (holistic contextual reading)</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court convicted the appellant under a repealed dual-liability scheme that was superseded by a favorable amendatory statute.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Retroactive Application of Favorable Penal Enactments: Intrinsic textual amendments that reduce penalties or absorb separate offenses operate retroactively for the benefit of the accused.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Congress changes a criminal law to reduce penalties or remove a second charge, the new benefit applies immediately to all pending cases.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Francisco shows how the text of an amendatory penal statute is construed intrinsically to apply retroactively in favor of the accused—Favorabilia sunt amplianda."</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Mario Francisco y Martin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106357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3, 1998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Mario Francisco was charged with Murder and separately charged with Illegal Possession of Unlicensed Firearms under P.D. No. 1866 for shooting and killing a person with an unlicensed .38 caliber revolver. During the pendency of the appeal, Congress enacted Republic Act No. 8294, which amended P.D. No. 1866. Under Section 1 of RA 8294, the law provided that if homicide or murder is committed with the use of an unlicensed firearm, such use of an unlicensed firearm shall be considered merely as an AGGRAVATING CIRCUMSTANCE in the homicide or murder case, and no separate conviction for illegal possession of firearm can be sustained. Francisco sought the retroactive dismissal of the separate illegal possession charge.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 Presidential Decree No. 1866 (as amended by Republic Act No. 8294): Provides that use of an unlicensed firearm in murder or homicide is an aggravating circumstance, not a separate distinct crime.</w:t>
              <w:br/>
              <w:t>2. Article 22, Revised Penal Code: Mandatory retroactive application of penal laws favorable to the accused.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court convicted the appellant under a repealed dual-liability scheme that was superseded by a favorable amendatory statute.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amendatory provisions of R.A. No. 8294 apply retroactively to bar a separate conviction for Illegal Possession of Firearms when homicide or murder is committed with the weapon.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Mario Francisco y Martin, under the canon of Favorabilia sunt amplianda, odiosa restringenda.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 Presidential Decree No. 1866 (as amended by Republic Act No. 8294): Provides that use of an unlicensed firearm in murder or homicide is an aggravating circumstance, not a separate distinct crime.</w:t>
              <w:br/>
              <w:t>2. Article 22, Revised Penal Code: Mandatory retroactive application of penal laws favorable to the accused.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court convicted the appellant under a repealed dual-liability scheme that was superseded by a favorable amenda...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MODIFIED the judgment, AFFIRMING the conviction for Murder with the special aggravating circumstance of use of unlicensed firearm, but ACQUITTING and DISMISSING the separate charge for Illegal Possession of Firearms.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R.A. No. 8294 applies RETROACTIVELY because it is favorable to the accused. Under the amended law, use of an unlicensed firearm in a killing is merely an aggravating circumstance, precluding a separate conviction for illegal possession of firearms.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court convicted the appellant under a repealed dual-liability scheme that was superseded by a favorable amendatory statute..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Favorabilia sunt amplianda, odiosa restringenda</w:t>
              <w:br/>
              <w:t xml:space="preserve">   - Application: Retroactive Application of Favorable Penal Enactments: Intrinsic textual amendments that reduce penalties or absorb separate offenses operate retroactively for the benefit of the accused.</w:t>
              <w:br/>
              <w:t xml:space="preserve">   - Result: Yes. Under Article 22 of the Revised Penal Code, penal laws that favor the accused apply retroactively. Because the new statute decriminalized separate firearm possession when used in a killing, the separate firearm charge was dismissed.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Lex prospicit non respicit (exception for favorable penal laws)</w:t>
              <w:br/>
              <w:t>• Ex antecedentibus et consequentibus (holistic contextual reading)</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Mario Francisco y Martin to mean and apply strictly in accordance with Favorabilia sunt amplianda, odiosa restringenda, holding that Yes. Under Article 22 of the Revised Penal Code, penal laws that favor the accused apply retroactively. Because the new statute decriminalized separate firearm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Congress passed RA 8294 to fix an unfair situation where a person was convicted twice for the exact same shooting incident. Because the new law treats the gun only as an aggravating factor, and because criminal laws that help the accused reach backward, the separate firearm conviction had to be thrown out.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Favorabilia sunt amplianda, odiosa restringenda,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Retroactive Application of Favorable Penal Enactments: Intrinsic textual amendments that reduce penalties or absorb separate offenses operate retroactively for the benefit of the accused.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Congress changes a criminal law to reduce penalties or remove a second charge, the new benefit applies immediately to all pending cases.</w:t>
            </w:r>
          </w:p>
        </w:tc>
      </w:tr>
    </w:tbl>
    <w:p>
      <w:r>
        <w:br w:type="page"/>
      </w:r>
    </w:p>
    <w:p>
      <w:pPr>
        <w:keepNext/>
        <w:spacing w:before="320" w:after="80"/>
      </w:pPr>
      <w:r>
        <w:rPr>
          <w:rFonts w:ascii="Arial" w:hAnsi="Arial"/>
          <w:b/>
          <w:color w:val="0F2043"/>
          <w:sz w:val="26"/>
        </w:rPr>
        <w:t>51. PHILIPPINE NATIONAL BANK (PNB) V. OFFICE OF THE PRESIDENT, HLURB, AND SPOUSES JAIME &amp; ROSITA TAPIO</w:t>
      </w:r>
    </w:p>
    <w:p>
      <w:pPr>
        <w:spacing w:before="40" w:after="80" w:line="276" w:lineRule="auto"/>
      </w:pPr>
      <w:r>
        <w:rPr>
          <w:rFonts w:ascii="Calibri" w:hAnsi="Calibri"/>
          <w:b/>
          <w:color w:val="212529"/>
          <w:sz w:val="21"/>
        </w:rPr>
        <w:t xml:space="preserve">Citation: </w:t>
      </w:r>
      <w:r>
        <w:rPr>
          <w:rFonts w:ascii="Calibri" w:hAnsi="Calibri"/>
          <w:i/>
          <w:color w:val="212529"/>
          <w:sz w:val="21"/>
        </w:rPr>
        <w:t>G.R. No. 104528 | January 18, 1996 | 252 SCRA 5 | Second Division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Philippine National Bank (PNB)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Office of the President, HLURB, and Spouses Jaime &amp; Rosita Tapio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HLURB</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65 concerning whether a bank mortgage over a subdivision project can defeat the rights of prior installment lot buyers under Presidential Decree No. 957.</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Spouses Tapio bought a subdivision lot on installment from Marikina Village, Inc. and paid the purchase price in full. Unknown to the buyers, the developer had previously mortgaged the entire subdivision property to the Philippine National Bank (PNB) without the required prior clearance from the NHA/HLURB under Section 18 of P.D. No. 957. When the developer defaulted, PNB foreclosed on the entire subdivision, including the lot fully paid for by the Tapios, and refused to release the title. PNB argued that its registered real estate mortgage under the Civil Code and Mortgage Law was superior to the unrecorded installment sale.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couple bought a subdivision lot on installment and paid every single centavo. Meanwhile, the developer secretly mortgaged the entire subdivision to PNB without housing authority approval and then defaulted. PNB foreclosed and tried to kick the buyers off the land. PNB argued that a bank mortgage is protected by the Civil Code. The Supreme Court ruled in favor of the buyers, looking at the Preamble of PD 957 as an intrinsic aid: the law was created specifically to protect innocent home buyers from fraudulent developers and banks.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mortgage and foreclosure by PNB over a subdivision lot prevails over the rights of an installment buyer who paid the purchase price in full, using the Preamble of P.D. No. 957 as an intrinsic aid to construction.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bank mortgage over a subdivision defeat the rights of an innocent buyer who fully paid for his lot, when interpreted using the Preamble of the Subdivision Buyers Law (PD 957)?</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PNB's mortgage overrides the buyer's rights under PD 957, testing the role of the Preamble as an Intrinsic Aid to Statutory Construction and the principle Salus Populi Est Suprema Lex."</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PNB's mortgage and foreclosure CANNOT defeat the title of the installment buyer. The PREAMBLE of P.D. No. 957 reveals the primary legislative intent: to protect innocent subdivision buyers against the unscrupulous practice of developers mortgaging lots to banks without buyer knowledge.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Preamble of PD 957 expressly states that the law was made to protect home buyers from being victimized by developers who mortgage lots to banks. The bank cannot take the lot from a buyer who paid in full.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the Preamble of PD 957 is an intrinsic key to unlock legislative intent. The preamble explicitly identifies the mischief to be eradicated: subdivision developers mortgaging lots to banks to the detriment of buyers. PNB is bound to release the clean title to the buyer."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Preamble and Section 18, Presidential Decree No. 957: </w:t>
            </w:r>
            <w:r>
              <w:rPr>
                <w:rFonts w:ascii="Calibri" w:hAnsi="Calibri"/>
                <w:color w:val="212529"/>
                <w:sz w:val="20"/>
              </w:rPr>
              <w:t>Preamble declares state policy to protect real estate buyers; Section 18 prohibits mortgages without NHA approval.</w:t>
            </w:r>
          </w:p>
          <w:p>
            <w:pPr>
              <w:spacing w:before="20" w:after="40" w:line="276" w:lineRule="auto"/>
            </w:pPr>
            <w:r>
              <w:rPr>
                <w:rFonts w:ascii="Calibri" w:hAnsi="Calibri"/>
                <w:b/>
                <w:color w:val="212529"/>
                <w:sz w:val="20"/>
              </w:rPr>
              <w:t xml:space="preserve">2. Preamble as an Intrinsic Aid to Statutory Construction: </w:t>
            </w:r>
            <w:r>
              <w:rPr>
                <w:rFonts w:ascii="Calibri" w:hAnsi="Calibri"/>
                <w:color w:val="212529"/>
                <w:sz w:val="20"/>
              </w:rPr>
              <w:t>The preamble is the key to open the minds of the lawmakers as to the mischiefs to be remedied and the objects to be accomplished.</w:t>
            </w:r>
          </w:p>
          <w:p>
            <w:pPr>
              <w:spacing w:before="20" w:after="40" w:line="276" w:lineRule="auto"/>
            </w:pPr>
            <w:r>
              <w:rPr>
                <w:rFonts w:ascii="Calibri" w:hAnsi="Calibri"/>
                <w:b/>
                <w:color w:val="212529"/>
                <w:sz w:val="20"/>
              </w:rPr>
              <w:t xml:space="preserve">3. Salus Populi Est Suprema Lex (the welfare of the people is the supreme law): </w:t>
            </w:r>
            <w:r>
              <w:rPr>
                <w:rFonts w:ascii="Calibri" w:hAnsi="Calibri"/>
                <w:color w:val="212529"/>
                <w:sz w:val="20"/>
              </w:rPr>
              <w:t>Social welfare legislation protecting home ownership overrides general commercial mortgage laws.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Preamble and Section 18 PD 957, Preamble as an Intrinsic Aid, and Salus Populi Est Suprema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the Preamble and Section 18 of PD 957, utilizing the Preamble as an Intrinsic Aid to determine legislative intent under Salus populi est suprema lex."</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Preamble as the Key to Legislative Intent: </w:t>
            </w:r>
            <w:r>
              <w:rPr>
                <w:rFonts w:ascii="Calibri" w:hAnsi="Calibri"/>
                <w:color w:val="212529"/>
                <w:sz w:val="20"/>
              </w:rPr>
              <w:t>The 'Whereas' clauses of PD 957 expressly highlight that numerous innocent lot buyers are cheated when developers mortgage subdivision lands without their knowledge. The preamble directly guides the interpretation of Section 18.</w:t>
            </w:r>
          </w:p>
          <w:p>
            <w:pPr>
              <w:spacing w:before="20" w:after="40" w:line="276" w:lineRule="auto"/>
            </w:pPr>
            <w:r>
              <w:rPr>
                <w:rFonts w:ascii="Calibri" w:hAnsi="Calibri"/>
                <w:b/>
                <w:color w:val="212529"/>
                <w:sz w:val="20"/>
              </w:rPr>
              <w:t xml:space="preserve">2. Duty of Financing Banks: </w:t>
            </w:r>
            <w:r>
              <w:rPr>
                <w:rFonts w:ascii="Calibri" w:hAnsi="Calibri"/>
                <w:color w:val="212529"/>
                <w:sz w:val="20"/>
              </w:rPr>
              <w:t>Banks financing subdivision developers are not ordinary commercial creditors; they have a statutory duty under PD 957 to ensure that the developer has secured NHA clearance before accepting the subdivision as collateral.</w:t>
            </w:r>
          </w:p>
          <w:p>
            <w:pPr>
              <w:spacing w:before="20" w:after="40" w:line="276" w:lineRule="auto"/>
            </w:pPr>
            <w:r>
              <w:rPr>
                <w:rFonts w:ascii="Calibri" w:hAnsi="Calibri"/>
                <w:b/>
                <w:color w:val="212529"/>
                <w:sz w:val="20"/>
              </w:rPr>
              <w:t xml:space="preserve">3. Subordination of Bank Mortgage to Buyer's Title: </w:t>
            </w:r>
            <w:r>
              <w:rPr>
                <w:rFonts w:ascii="Calibri" w:hAnsi="Calibri"/>
                <w:color w:val="212529"/>
                <w:sz w:val="20"/>
              </w:rPr>
              <w:t>A bank that forecloses on a subdivision project merely steps into the shoes of the developer and is bound to respect the fully paid contracts of innocent lot buyers.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looked directly at the 'Whereas' clauses in the front of PD 957. The preamble says in plain words that the law was written because developers take buyers' money and simultaneously mortgage the land to banks. Because the preamble explains the soul of the law, the bank cannot claim ignorance and must deliver the land title to the buyer.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utilized the Preamble as an intrinsic aid. The Whereas clauses of PD 957 demonstrate the legislative intent to prioritize buyer security over bank mortgages. PNB stepped into the developer's shoes and was legally compelled to release the title."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PNB's petition, AFFIRMED the Office of the President and HLURB, and ORDERED PNB to release the clean certificate of title to the Tapio spouses.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PNB lost and was ordered to surrender the clean title to the home buyers.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ordered PNB to deliver the title to the buyers, using the Preamble of PD 957 as an intrinsic aid to uphold buyer protection."</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The Preamble as the Key to Legislative Intent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preamble of PD 957 expresses the soul and social purpose of the decree.</w:t>
            </w:r>
          </w:p>
          <w:p>
            <w:pPr>
              <w:spacing w:before="40" w:after="60" w:line="276" w:lineRule="auto"/>
            </w:pPr>
            <w:r>
              <w:rPr>
                <w:rFonts w:ascii="Calibri" w:hAnsi="Calibri"/>
                <w:b/>
                <w:color w:val="8C3200"/>
                <w:sz w:val="20"/>
              </w:rPr>
              <w:t>2.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Protecting families in their home purchases is a paramount public policy.</w:t>
            </w:r>
          </w:p>
          <w:p>
            <w:pPr>
              <w:spacing w:before="40" w:after="60" w:line="276" w:lineRule="auto"/>
            </w:pPr>
            <w:r>
              <w:rPr>
                <w:rFonts w:ascii="Calibri" w:hAnsi="Calibri"/>
                <w:b/>
                <w:color w:val="8C3200"/>
                <w:sz w:val="20"/>
              </w:rPr>
              <w:t>3. Nemo dat quod non habet (no one gives what he does not have)</w:t>
              <w:br/>
            </w:r>
            <w:r>
              <w:rPr>
                <w:rFonts w:ascii="Calibri" w:hAnsi="Calibri"/>
                <w:b/>
                <w:color w:val="212529"/>
                <w:sz w:val="19"/>
              </w:rPr>
              <w:t xml:space="preserve">   • Literal English Translation: </w:t>
            </w:r>
            <w:r>
              <w:rPr>
                <w:rFonts w:ascii="Calibri" w:hAnsi="Calibri"/>
                <w:i/>
                <w:color w:val="212529"/>
                <w:sz w:val="19"/>
              </w:rPr>
              <w:t>No one can give what he does not possess.</w:t>
              <w:br/>
            </w:r>
            <w:r>
              <w:rPr>
                <w:rFonts w:ascii="Calibri" w:hAnsi="Calibri"/>
                <w:b/>
                <w:color w:val="212529"/>
                <w:sz w:val="19"/>
              </w:rPr>
              <w:t xml:space="preserve">   • Plain Legal Meaning &amp; StatCon Application: </w:t>
            </w:r>
            <w:r>
              <w:rPr>
                <w:rFonts w:ascii="Calibri" w:hAnsi="Calibri"/>
                <w:color w:val="212529"/>
                <w:sz w:val="19"/>
              </w:rPr>
              <w:t>The bank cannot acquire greater rights over the lot than the defaulting developer possessed against the fully paid buyer.</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The Preamble as the Key to Legislative Intent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Ratio legis est anima legis</w:t>
              <w:br/>
              <w:t>(the reason of the law is the soul of the law / the Preamble is the key to unlock legislative purpose in social legislation)</w:t>
              <w:br/>
              <w:br/>
              <w:t>Secondary:</w:t>
              <w:br/>
              <w:t>• Salus populi est suprema lex (buyer protection as supreme law)</w:t>
              <w:br/>
              <w:t>• Nemo dat quod non habet (bank acquires no better right than developer)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PNB attempted to enforce general Civil Code mortgage doctrines in complete disregard of the explicit statutory policy set forth in the Preamble of PD 957.</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Preamble as an Intrinsic Aid: The preamble of a statute may be consulted to discover the true intent of the legislature and to resolve ambiguities regarding the scope of statutory protections.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'Whereas' clauses (Preamble) at the beginning of a law explain why the law was made and tell judges how to interpret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PNB v. Office of the President is the leading case on the use of the Preamble as an intrinsic aid in statutory construction to enforce consumer protection."</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Philippine National Bank (PNB) v. Office of the President, HLURB, and Spouses Jaime &amp; Rosita Tapio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104528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18, 1996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Spouses Tapio bought a subdivision lot on installment from Marikina Village, Inc. and paid the purchase price in full. Unknown to the buyers, the developer had previously mortgaged the entire subdivision property to the Philippine National Bank (PNB) without the required prior clearance from the NHA/HLURB under Section 18 of P.D. No. 957. When the developer defaulted, PNB foreclosed on the entire subdivision, including the lot fully paid for by the Tapios, and refused to release the title. PNB argued that its registered real estate mortgage under the Civil Code and Mortgage Law was superior to the unrecorded installment sale.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Preamble and Section 18, Presidential Decree No. 957: Preamble declares state policy to protect real estate buyers; Section 18 prohibits mortgages without NHA approval.</w:t>
              <w:br/>
              <w:t>2. Preamble as an Intrinsic Aid to Statutory Construction: The preamble is the key to open the minds of the lawmakers as to the mischiefs to be remedied and the objects to be accomplished.</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PNB attempted to enforce general Civil Code mortgage doctrines in complete disregard of the explicit statutory policy set forth in the Preamble of PD 957.</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mortgage and foreclosure by PNB over a subdivision lot prevails over the rights of an installment buyer who paid the purchase price in full, using the Preamble of P.D. No. 957 as an intrinsic aid to construction.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Philippine National Bank (PNB) v. Office of the President, HLURB, and Spouses Jaime &amp; Rosita Tapio, under the canon of Ratio legis est anima legis.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Preamble and Section 18, Presidential Decree No. 957: Preamble declares state policy to protect real estate buyers; Section 18 prohibits mortgages without NHA approval.</w:t>
              <w:br/>
              <w:t>2. Preamble as an Intrinsic Aid to Statutory Construction: The preamble is the key to open the minds of the lawmakers as to the mischiefs to be remedied and the objects to be accomplished.</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PNB attempted to enforce general Civil Code mortgage doctrines in complete disregard of the explicit statutory policy se...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PNB's petition, AFFIRMED the Office of the President and HLURB, and ORDERED PNB to release the clean certificate of title to the Tapio spouses.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PNB's mortgage and foreclosure CANNOT defeat the title of the installment buyer. The PREAMBLE of P.D. No. 957 reveals the primary legislative intent: to protect innocent subdivision buyers against the unscrupulous practice of developers mortgaging lots to banks without buyer knowledge.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PNB attempted to enforce general Civil Code mortgage doctrines in complete disregard of the explicit statutory policy set forth in the Pream.</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Ratio legis est anima legis</w:t>
              <w:br/>
              <w:t xml:space="preserve">   - Application: The Preamble as an Intrinsic Aid: The preamble of a statute may be consulted to discover the true intent of the legislature and to resolve ambiguities regarding the scope of statutory protections.</w:t>
              <w:br/>
              <w:t xml:space="preserve">   - Result: No. The Preamble of PD 957 expressly states that the law was made to protect home buyers from being victimized by developers who mortgage lots to banks. The bank cannot take the lot from a buyer who paid in full.</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Salus populi est suprema lex (buyer protection as supreme law)</w:t>
              <w:br/>
              <w:t>• Nemo dat quod non habet (bank acquires no better right than developer)</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Philippine National Bank (PNB) v. Office of the President, HLURB, and Spouses Jaime &amp; Rosita Tapio to mean and apply strictly in accordance with Ratio legis est anima legis, holding that No. The Preamble of PD 957 expressly states that the law was made to protect home buyers from being victimized by developers who mortgage lots to banks. The ban.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looked directly at the 'Whereas' clauses in the front of PD 957. The preamble says in plain words that the law was written because developers take buyers' money and simultaneously mortgage the land to banks. Because the preamble explains the soul of the law, the bank cannot claim ignorance and must deliver the land title to the buyer.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Ratio legis est anima legis,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Preamble as an Intrinsic Aid: The preamble of a statute may be consulted to discover the true intent of the legislature and to resolve ambiguities regarding the scope of statutory protections.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'Whereas' clauses (Preamble) at the beginning of a law explain why the law was made and tell judges how to interpret it.</w:t>
            </w:r>
          </w:p>
        </w:tc>
      </w:tr>
    </w:tbl>
    <w:p>
      <w:r>
        <w:br w:type="page"/>
      </w:r>
    </w:p>
    <w:p>
      <w:pPr>
        <w:keepNext/>
        <w:spacing w:before="320" w:after="80"/>
      </w:pPr>
      <w:r>
        <w:rPr>
          <w:rFonts w:ascii="Arial" w:hAnsi="Arial"/>
          <w:b/>
          <w:color w:val="0F2043"/>
          <w:sz w:val="26"/>
        </w:rPr>
        <w:t>52. BIENVENIDO A. EBARLE V. HON. QUIRICO SUCALDITO AND ALUDIO P. MONTEMAYOR</w:t>
      </w:r>
    </w:p>
    <w:p>
      <w:pPr>
        <w:spacing w:before="40" w:after="80" w:line="276" w:lineRule="auto"/>
      </w:pPr>
      <w:r>
        <w:rPr>
          <w:rFonts w:ascii="Calibri" w:hAnsi="Calibri"/>
          <w:b/>
          <w:color w:val="212529"/>
          <w:sz w:val="21"/>
        </w:rPr>
        <w:t xml:space="preserve">Citation: </w:t>
      </w:r>
      <w:r>
        <w:rPr>
          <w:rFonts w:ascii="Calibri" w:hAnsi="Calibri"/>
          <w:i/>
          <w:color w:val="212529"/>
          <w:sz w:val="21"/>
        </w:rPr>
        <w:t>G.R. No. L-33628 | December 29, 1987 | 156 SCRA 803 | En Banc | Ponente: J. Sarmiento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Bienvenido A. Ebarle, Provincial Governor of Zamboanga del Sur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Quirico Sucaldito (City Fiscal of Pagadian City) and Aludio P. Montemayor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City Fiscal of Pagadian City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under Rule 65 challenging criminal complaints for graft and corruption filed against an elective provincial governor under Executive Order No. 264.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Aludio Montemayor filed several criminal complaints for Graft, Corruption, and Anti-Dummy violations against Zamboanga del Sur Provincial Governor Bienvenido Ebarle before the City Fiscal of Pagadian City. Governor Ebarle moved to dismiss the complaints, arguing that under Executive Order No. 264 (promulgated in 1970), administrative complaints against government officials must first be submitted to the department head under oath before any prosecution can commence. Ebarle argued that EO 264 applied to both administrative and criminal complaints against elective officials, relying on the broad wording in the body of the order.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private citizen filed criminal graft charges against a Provincial Governor before the City Prosecutor. The Governor demanded that the charges be thrown out, claiming that an old Executive Order (EO 264) requires all complaints against government officials to be submitted first to the department head for investigation. The Supreme Court looked at the Title and Preamble of EO 264 and ruled that the Executive Order applies strictly to administrative disciplinary complaints against appointive civil service employees, not to criminal prosecutions of elective governors.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Executive Order No. 264 applies to criminal complaints filed against elective public officials, using the Title and Preamble of the Executive Order as intrinsic aids.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EO 264 require criminal graft charges against an elected Governor to be filed first with a department secretary?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EO 264 applies to criminal prosecutions of elective officials, testing the Title, Preamble, and Noscitur a Sociis as Intrinsic Aids to Statutory Construction."</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Executive Order No. 264 applies EXCLUSIVELY to administrative complaints against appointive civil service personnel. The TITLE and PREAMBLE of EO 264 explicitly limit its scope to administrative disciplinary proceedings, not criminal investigations.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Title and Preamble of the Executive Order make it crystal clear: it was written only for administrative office discipline inside executive departments, not criminal court cases against elected officials.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Title and Preamble as intrinsic aids and Noscitur a sociis (known by its associates), EO 264 is strictly confined to administrative investigations of appointive personnel. It cannot be used as an umbrella to shield elective officials from criminal prosecution before the City Fiscal."</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Title and Preamble of Executive Order No. 264 (Series of 1970): </w:t>
            </w:r>
            <w:r>
              <w:rPr>
                <w:rFonts w:ascii="Calibri" w:hAnsi="Calibri"/>
                <w:color w:val="212529"/>
                <w:sz w:val="20"/>
              </w:rPr>
              <w:t>Entitled 'Outlining the Procedure for Dealing with Complaints against Public Officials and Employees', referring to administrative discipline under the Civil Service.</w:t>
            </w:r>
          </w:p>
          <w:p>
            <w:pPr>
              <w:spacing w:before="20" w:after="40" w:line="276" w:lineRule="auto"/>
            </w:pPr>
            <w:r>
              <w:rPr>
                <w:rFonts w:ascii="Calibri" w:hAnsi="Calibri"/>
                <w:b/>
                <w:color w:val="212529"/>
                <w:sz w:val="20"/>
              </w:rPr>
              <w:t xml:space="preserve">2. Title and Preamble as Intrinsic Aids to Construction: </w:t>
            </w:r>
            <w:r>
              <w:rPr>
                <w:rFonts w:ascii="Calibri" w:hAnsi="Calibri"/>
                <w:color w:val="212529"/>
                <w:sz w:val="20"/>
              </w:rPr>
              <w:t>The title and preamble of an executive act define and delimit the scope of its enacting clauses.</w:t>
            </w:r>
          </w:p>
          <w:p>
            <w:pPr>
              <w:spacing w:before="20" w:after="40" w:line="276" w:lineRule="auto"/>
            </w:pPr>
            <w:r>
              <w:rPr>
                <w:rFonts w:ascii="Calibri" w:hAnsi="Calibri"/>
                <w:b/>
                <w:color w:val="212529"/>
                <w:sz w:val="20"/>
              </w:rPr>
              <w:t xml:space="preserve">3. Noscitur a Sociis (a thing is known by its companions): </w:t>
            </w:r>
            <w:r>
              <w:rPr>
                <w:rFonts w:ascii="Calibri" w:hAnsi="Calibri"/>
                <w:color w:val="212529"/>
                <w:sz w:val="20"/>
              </w:rPr>
              <w:t>The term 'complaints' in EO 264 is associated with administrative misconduct, not criminal offenses.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Title and Preamble of EO 264, Intrinsic Aids doctrine, and Noscitur a Sociis.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the Title and Preamble of EO 264, interpreted through Intrinsic Aids to Statutory Construction and Noscitur a sociis (known by its companions)."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Title as an Intrinsic Guide: </w:t>
            </w:r>
            <w:r>
              <w:rPr>
                <w:rFonts w:ascii="Calibri" w:hAnsi="Calibri"/>
                <w:color w:val="212529"/>
                <w:sz w:val="20"/>
              </w:rPr>
              <w:t>The title of EO 264 and its whereas clauses refer expressly to commission of administrative irregularities by civil service employees under departmental heads.</w:t>
            </w:r>
          </w:p>
          <w:p>
            <w:pPr>
              <w:spacing w:before="20" w:after="40" w:line="276" w:lineRule="auto"/>
            </w:pPr>
            <w:r>
              <w:rPr>
                <w:rFonts w:ascii="Calibri" w:hAnsi="Calibri"/>
                <w:b/>
                <w:color w:val="212529"/>
                <w:sz w:val="20"/>
              </w:rPr>
              <w:t xml:space="preserve">2. Distinction Between Administrative and Criminal Actions: </w:t>
            </w:r>
            <w:r>
              <w:rPr>
                <w:rFonts w:ascii="Calibri" w:hAnsi="Calibri"/>
                <w:color w:val="212529"/>
                <w:sz w:val="20"/>
              </w:rPr>
              <w:t>A provincial fiscal or city prosecutor has the constitutional and statutory duty to investigate public crimes. An executive order dealing with administrative office procedures cannot restrict the criminal jurisdiction of prosecutors.</w:t>
            </w:r>
          </w:p>
          <w:p>
            <w:pPr>
              <w:spacing w:before="20" w:after="40" w:line="276" w:lineRule="auto"/>
            </w:pPr>
            <w:r>
              <w:rPr>
                <w:rFonts w:ascii="Calibri" w:hAnsi="Calibri"/>
                <w:b/>
                <w:color w:val="212529"/>
                <w:sz w:val="20"/>
              </w:rPr>
              <w:t xml:space="preserve">3. Elective vs. Appointive Officials: </w:t>
            </w:r>
            <w:r>
              <w:rPr>
                <w:rFonts w:ascii="Calibri" w:hAnsi="Calibri"/>
                <w:color w:val="212529"/>
                <w:sz w:val="20"/>
              </w:rPr>
              <w:t>Elective governors have no 'department head' in the civil service hierarchy; applying EO 264 to them would lead to an impossible administrative absurdity.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Governor tried to take one generic word ('complaints') from the middle of the order and ignore everything else. But the Title and Preamble show that the order was meant for civil service bosses disciplining subordinates. You cannot use an office discipline rule to stop a criminal prosecutor from investigating graft.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Title and Preamble as intrinsic aids. The title limits the order to administrative discipline. The Court held that isolated general words in the body cannot be expanded beyond the restrictive scope established in the title and preamble."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Governor Ebarle's petition and ORDERED the City Fiscal to proceed with the preliminary investigation of the criminal charges.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Governor lost and the prosecutor was ordered to proceed with the criminal investigation.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petition, ruling that the Title and Preamble of EO 264 restrict its operation to administrative cases only."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Title and Preamble as Delimiting Instruments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Noscitur a sociis (a thing is known by its associates)</w:t>
              <w:br/>
            </w:r>
            <w:r>
              <w:rPr>
                <w:rFonts w:ascii="Calibri" w:hAnsi="Calibri"/>
                <w:b/>
                <w:color w:val="212529"/>
                <w:sz w:val="19"/>
              </w:rPr>
              <w:t xml:space="preserve">   • Literal English Translation: </w:t>
            </w:r>
            <w:r>
              <w:rPr>
                <w:rFonts w:ascii="Calibri" w:hAnsi="Calibri"/>
                <w:i/>
                <w:color w:val="212529"/>
                <w:sz w:val="19"/>
              </w:rPr>
              <w:t>It is known by its companions.</w:t>
              <w:br/>
            </w:r>
            <w:r>
              <w:rPr>
                <w:rFonts w:ascii="Calibri" w:hAnsi="Calibri"/>
                <w:b/>
                <w:color w:val="212529"/>
                <w:sz w:val="19"/>
              </w:rPr>
              <w:t xml:space="preserve">   • Plain Legal Meaning &amp; StatCon Application: </w:t>
            </w:r>
            <w:r>
              <w:rPr>
                <w:rFonts w:ascii="Calibri" w:hAnsi="Calibri"/>
                <w:color w:val="212529"/>
                <w:sz w:val="19"/>
              </w:rPr>
              <w:t>The word 'complaints' in EO 264 is defined and colored by its association with administrative misconduct in the title.</w:t>
            </w:r>
          </w:p>
          <w:p>
            <w:pPr>
              <w:spacing w:before="40" w:after="60" w:line="276" w:lineRule="auto"/>
            </w:pPr>
            <w:r>
              <w:rPr>
                <w:rFonts w:ascii="Calibri" w:hAnsi="Calibri"/>
                <w:b/>
                <w:color w:val="8C3200"/>
                <w:sz w:val="20"/>
              </w:rPr>
              <w:t>2. Ex antecedentibus et consequentibus fit optima interpretatio (the best interpretation is made from what precedes and what follows)</w:t>
              <w:br/>
            </w:r>
            <w:r>
              <w:rPr>
                <w:rFonts w:ascii="Calibri" w:hAnsi="Calibri"/>
                <w:b/>
                <w:color w:val="212529"/>
                <w:sz w:val="19"/>
              </w:rPr>
              <w:t xml:space="preserve">   • Literal English Translation: </w:t>
            </w:r>
            <w:r>
              <w:rPr>
                <w:rFonts w:ascii="Calibri" w:hAnsi="Calibri"/>
                <w:i/>
                <w:color w:val="212529"/>
                <w:sz w:val="19"/>
              </w:rPr>
              <w:t>The best interpretation arises from comparing the whole context.</w:t>
              <w:br/>
            </w:r>
            <w:r>
              <w:rPr>
                <w:rFonts w:ascii="Calibri" w:hAnsi="Calibri"/>
                <w:b/>
                <w:color w:val="212529"/>
                <w:sz w:val="19"/>
              </w:rPr>
              <w:t xml:space="preserve">   • Plain Legal Meaning &amp; StatCon Application: </w:t>
            </w:r>
            <w:r>
              <w:rPr>
                <w:rFonts w:ascii="Calibri" w:hAnsi="Calibri"/>
                <w:color w:val="212529"/>
                <w:sz w:val="19"/>
              </w:rPr>
              <w:t>The body of an executive order must be read in conformity with its title and preamble.</w:t>
            </w:r>
          </w:p>
          <w:p>
            <w:pPr>
              <w:spacing w:before="40" w:after="60" w:line="276" w:lineRule="auto"/>
            </w:pPr>
            <w:r>
              <w:rPr>
                <w:rFonts w:ascii="Calibri" w:hAnsi="Calibri"/>
                <w:b/>
                <w:color w:val="8C3200"/>
                <w:sz w:val="20"/>
              </w:rPr>
              <w:t>3.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 absurdity.</w:t>
              <w:br/>
            </w:r>
            <w:r>
              <w:rPr>
                <w:rFonts w:ascii="Calibri" w:hAnsi="Calibri"/>
                <w:b/>
                <w:color w:val="212529"/>
                <w:sz w:val="19"/>
              </w:rPr>
              <w:t xml:space="preserve">   • Plain Legal Meaning &amp; StatCon Application: </w:t>
            </w:r>
            <w:r>
              <w:rPr>
                <w:rFonts w:ascii="Calibri" w:hAnsi="Calibri"/>
                <w:color w:val="212529"/>
                <w:sz w:val="19"/>
              </w:rPr>
              <w:t>It is absurd to require an elective governor to submit a complaint to a non-existent department head.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Title and Preamble as Delimiting Instruments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Noscitur a sociis</w:t>
              <w:br/>
              <w:t>(a thing is known by its associates / the meaning of 'complaints' in EO 264 is restricted by its title and preamble to administrative cases)</w:t>
              <w:br/>
              <w:br/>
              <w:t>Secondary:</w:t>
              <w:br/>
              <w:t>• Ex antecedentibus et consequentibus (reading body with title and preamble)</w:t>
              <w:br/>
              <w:t>• Lex non intendit absurdum (the law avoids absurd constructions)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Governor isolated a single phrase from the text, ignoring the clear limiting context provided by the Title and Preamble of the Executive Order.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Title and Preamble as Restrictive Intrinsic Aids: The title and preamble of an act serve as intrinsic guides that restrict and qualify broad or ambiguous terms in the body of the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You cannot pluck one broad word from a law and ignore the Title and Introduction that explain what the law is really about.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Ebarle v. Sucaldito demonstrates that the Title and Preamble are indispensable intrinsic aids that restrict general terms in the body of an enactment."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Bienvenido A. Ebarle v. Hon. Quirico Sucaldito and Aludio P. Montemayor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L-33628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December 29, 1987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Aludio Montemayor filed several criminal complaints for Graft, Corruption, and Anti-Dummy violations against Zamboanga del Sur Provincial Governor Bienvenido Ebarle before the City Fiscal of Pagadian City. Governor Ebarle moved to dismiss the complaints, arguing that under Executive Order No. 264 (promulgated in 1970), administrative complaints against government officials must first be submitted to the department head under oath before any prosecution can commence. Ebarle argued that EO 264 applied to both administrative and criminal complaints against elective officials, relying on the broad wording in the body of the order.</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Title and Preamble of Executive Order No. 264 (Series of 1970): Entitled 'Outlining the Procedure for Dealing with Complaints against Public Officials and Employees', referring to administrative discipline under the Civil Service.</w:t>
              <w:br/>
              <w:t>2. Title and Preamble as Intrinsic Aids to Construction: The title and preamble of an executive act define and delimit the scope of its enacting clauses.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Governor isolated a single phrase from the text, ignoring the clear limiting context provided by the Title and Preamble of the Executive Order.</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Executive Order No. 264 applies to criminal complaints filed against elective public officials, using the Title and Preamble of the Executive Order as intrinsic aids.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Bienvenido A. Ebarle v. Hon. Quirico Sucaldito and Aludio P. Montemayor, under the canon of Noscitur a sociis.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Title and Preamble of Executive Order No. 264 (Series of 1970): Entitled 'Outlining the Procedure for Dealing with Complaints against Public Officials and Employees', referring to administrative discipline under the Civil Service.</w:t>
              <w:br/>
              <w:t>2. Title and Preamble as Intrinsic Aids to Construction: The title and preamble of an executive act define and delimit the scope of its enacting clauses.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term is associated with or preceded by specific words, creating uncertainty as to its exact scope and whether general words are restricted by specific company.</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Governor Ebarle's petition and ORDERED the City Fiscal to proceed with the preliminary investigation of the criminal charges.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Executive Order No. 264 applies EXCLUSIVELY to administrative complaints against appointive civil service personnel. The TITLE and PREAMBLE of EO 264 explicitly limit its scope to administrative disciplinary proceedings, not criminal investigations.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The presence of general terms alongside specific enumerations created ambiguity as to the intended scope and class of covered acts or subjects.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legislative intent and give harmonious effect to associated words by restricting general terms to the class of specific words.</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Noscitur a sociis</w:t>
              <w:br/>
              <w:t xml:space="preserve">   - Application: Title and Preamble as Restrictive Intrinsic Aids: The title and preamble of an act serve as intrinsic guides that restrict and qualify broad or ambiguous terms in the body of the statute.</w:t>
              <w:br/>
              <w:t xml:space="preserve">   - Result: No. The Title and Preamble of the Executive Order make it crystal clear: it was written only for administrative office discipline inside executive departments, not criminal court cases against elected officials.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Ex antecedentibus et consequentibus (reading body with title and preamble)</w:t>
              <w:br/>
              <w:t>• Lex non intendit absurdum (the law avoids absurd constructions)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Bienvenido A. Ebarle v. Hon. Quirico Sucaldito and Aludio P. Montemayor to mean and apply strictly in accordance with Noscitur a sociis, holding that No. The Title and Preamble of the Executive Order make it crystal clear: it was written only for administrative office discipline inside executive departments,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Governor tried to take one generic word ('complaints') from the middle of the order and ignore everything else. But the Title and Preamble show that the order was meant for civil service bosses disciplining subordinates. You cannot use an office discipline rule to stop a criminal prosecutor from investigating graft.</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Noscitur a sociis,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Title and Preamble as Restrictive Intrinsic Aids: The title and preamble of an act serve as intrinsic guides that restrict and qualify broad or ambiguous terms in the body of the statute.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You cannot pluck one broad word from a law and ignore the Title and Introduction that explain what the law is really about.</w:t>
            </w:r>
          </w:p>
        </w:tc>
      </w:tr>
    </w:tbl>
    <w:p>
      <w:r>
        <w:br w:type="page"/>
      </w:r>
    </w:p>
    <w:p>
      <w:pPr>
        <w:keepNext/>
        <w:spacing w:before="320" w:after="80"/>
      </w:pPr>
      <w:r>
        <w:rPr>
          <w:rFonts w:ascii="Arial" w:hAnsi="Arial"/>
          <w:b/>
          <w:color w:val="0F2043"/>
          <w:sz w:val="26"/>
        </w:rPr>
        <w:t>53. COMMISSIONER OF CUSTOMS V. AGAPITO RELUNIA</w:t>
      </w:r>
    </w:p>
    <w:p>
      <w:pPr>
        <w:spacing w:before="40" w:after="80" w:line="276" w:lineRule="auto"/>
      </w:pPr>
      <w:r>
        <w:rPr>
          <w:rFonts w:ascii="Calibri" w:hAnsi="Calibri"/>
          <w:b/>
          <w:color w:val="212529"/>
          <w:sz w:val="21"/>
        </w:rPr>
        <w:t xml:space="preserve">Citation: </w:t>
      </w:r>
      <w:r>
        <w:rPr>
          <w:rFonts w:ascii="Calibri" w:hAnsi="Calibri"/>
          <w:i/>
          <w:color w:val="212529"/>
          <w:sz w:val="21"/>
        </w:rPr>
        <w:t>G.R. No. L-11860 | May 29, 1959 | 105 Phil. 875 | En Banc | Ponente: J. Labrador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Customs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Agapito Relunia and the Court of Tax Appeals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of CTA decision granting duty-free and tax-free importation of a passenger automobile by a returning military officer under Republic Act No. 1394.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Lieutenant Colonel Agapito Relunia, an officer of the Armed Forces of the Philippines returning from a military training assignment in the United States, brought home a 1954 Chevrolet automobile. The Collector of Customs assessed customs duties and special import tax under Republic Act No. 1394. Relunia claimed tax exemption under Section 6 of RA 1394, which exempts personal effects brought in by returning residents. The section contained several clauses separated by semicolons and commas. The CTA ruled that the semicolon separated the exemption clause for personal effects from the monetary limitations, allowing the tax-free entry of the car. The Commissioner of Customs appealed.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military officer returned from the US with a Chevrolet car and claimed it was exempt from import tax as 'personal effects' under a tax law. The tax court agreed with him, relying on where a semicolon was placed in the sentence. The Supreme Court reversed the tax court, ruling that punctuation marks like semicolons are low-level grammatical aids that cannot be used to invent a massive tax exemption for expensive cars that contradicts the clear legislative intent.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passenger automobile is exempt from customs duties as 'personal effects' under Section 6 of R.A. No. 1394 based on the grammatical placement of semicolons and commas.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Is an imported car tax-exempt just because of where a semicolon is placed in the tax exemption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punctuation marks (semicolons) can override legislative intent and the canon of Strictissimi Juris in tax exemptions under RA 1394."</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automobile is NOT EXEMPT from customs duties and taxes. Punctuation marks (such as semicolons) are LOW-RANKING INTRINSIC AIDS and can never prevail over the clear legislative intent and strict construction of tax exemptions.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An automobile is not a simple 'personal effect' like clothes or books. Punctuation marks like semicolons cannot be used to create a giant tax loophole that Congress never intended.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punctuation marks are the most fallible and lowest-ranking intrinsic aids in statutory construction. Under Strictissimi Juris in tax exemptions, an automobile cannot qualify as personal effects through grammatical semicolon manipulation."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 Republic Act No. 1394 (Special Import Tax Act): </w:t>
            </w:r>
            <w:r>
              <w:rPr>
                <w:rFonts w:ascii="Calibri" w:hAnsi="Calibri"/>
                <w:color w:val="212529"/>
                <w:sz w:val="20"/>
              </w:rPr>
              <w:t>Tax exemptions on importations, interpreted in relation to the Tariff and Customs Code.</w:t>
            </w:r>
          </w:p>
          <w:p>
            <w:pPr>
              <w:spacing w:before="20" w:after="40" w:line="276" w:lineRule="auto"/>
            </w:pPr>
            <w:r>
              <w:rPr>
                <w:rFonts w:ascii="Calibri" w:hAnsi="Calibri"/>
                <w:b/>
                <w:color w:val="212529"/>
                <w:sz w:val="20"/>
              </w:rPr>
              <w:t xml:space="preserve">2. Punctuation as an Auxiliary Intrinsic Aid: </w:t>
            </w:r>
            <w:r>
              <w:rPr>
                <w:rFonts w:ascii="Calibri" w:hAnsi="Calibri"/>
                <w:color w:val="212529"/>
                <w:sz w:val="20"/>
              </w:rPr>
              <w:t>Punctuation is an aid of low degree and can never be allowed to control or defeat the obvious purpose of the legislature.</w:t>
            </w:r>
          </w:p>
          <w:p>
            <w:pPr>
              <w:spacing w:before="20" w:after="40" w:line="276" w:lineRule="auto"/>
            </w:pPr>
            <w:r>
              <w:rPr>
                <w:rFonts w:ascii="Calibri" w:hAnsi="Calibri"/>
                <w:b/>
                <w:color w:val="212529"/>
                <w:sz w:val="20"/>
              </w:rPr>
              <w:t xml:space="preserve">3. Strictissimi Juris (of the strictest interpretation) in Tax Exemptions: </w:t>
            </w:r>
            <w:r>
              <w:rPr>
                <w:rFonts w:ascii="Calibri" w:hAnsi="Calibri"/>
                <w:color w:val="212529"/>
                <w:sz w:val="20"/>
              </w:rPr>
              <w:t>Tax exemptions are construed strictissimi juris against the claimant and liberally in favor of the State.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 RA 1394, Punctuation as an Auxiliary Aid, and Strictissimi Juris in tax exemptions.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 of RA 1394, guided by the rule on the Inferior Weight of Punctuation Marks and Strictissimi Juris in tax exemptions."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Hierarchy of Intrinsic Aids: </w:t>
            </w:r>
            <w:r>
              <w:rPr>
                <w:rFonts w:ascii="Calibri" w:hAnsi="Calibri"/>
                <w:color w:val="212529"/>
                <w:sz w:val="20"/>
              </w:rPr>
              <w:t>Punctuation marks are not part of the statutory substance; they are often inserted by legislative draftsmen or printers. A semicolon cannot expand a tax exemption beyond legislative intent.</w:t>
            </w:r>
          </w:p>
          <w:p>
            <w:pPr>
              <w:spacing w:before="20" w:after="40" w:line="276" w:lineRule="auto"/>
            </w:pPr>
            <w:r>
              <w:rPr>
                <w:rFonts w:ascii="Calibri" w:hAnsi="Calibri"/>
                <w:b/>
                <w:color w:val="212529"/>
                <w:sz w:val="20"/>
              </w:rPr>
              <w:t xml:space="preserve">2. Definition of Personal Effects: </w:t>
            </w:r>
            <w:r>
              <w:rPr>
                <w:rFonts w:ascii="Calibri" w:hAnsi="Calibri"/>
                <w:color w:val="212529"/>
                <w:sz w:val="20"/>
              </w:rPr>
              <w:t>In customs and tax jurisprudence, 'personal effects' includes personal clothing, toiletries, and small professional gear; it never encompasses expensive motorized passenger vehicles.</w:t>
            </w:r>
          </w:p>
          <w:p>
            <w:pPr>
              <w:spacing w:before="20" w:after="40" w:line="276" w:lineRule="auto"/>
            </w:pPr>
            <w:r>
              <w:rPr>
                <w:rFonts w:ascii="Calibri" w:hAnsi="Calibri"/>
                <w:b/>
                <w:color w:val="212529"/>
                <w:sz w:val="20"/>
              </w:rPr>
              <w:t xml:space="preserve">3. Strict Construction of Tax Exemptions: </w:t>
            </w:r>
            <w:r>
              <w:rPr>
                <w:rFonts w:ascii="Calibri" w:hAnsi="Calibri"/>
                <w:color w:val="212529"/>
                <w:sz w:val="20"/>
              </w:rPr>
              <w:t>Exemptions from taxation are never presumed. Ambiguities arising from punctuation must be resolved in favor of tax liability.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Punctuation is just grammar added by typists. You cannot rely on a tiny semicolon to declare a whole car tax-free. If Congress wanted to exempt cars, it would have said 'cars' in plain words. Tax exemptions must be written clearly, not hidden behind punctuation.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established that punctuation marks are weak, fallible aids. Under Strictissimi Juris, tax exemptions must be clear and explicit. A semicolon cannot transform a motor vehicle into tax-exempt 'personal effects'."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REVERSED the Court of Tax Appeals decision and DECLARED the imported automobile subject to customs duties and import taxes.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tax court was reversed and the military officer was ordered to pay customs tax on his car.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CTA, holding that punctuation marks cannot expand tax exemptions beyond the clear text of the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Punctuation Marks as Subordinate and Fallible Aids (Strictissimi Juris in Tax)</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Tax exemptions are construed strictissimi juris against the taxpayer.</w:t>
            </w:r>
          </w:p>
          <w:p>
            <w:pPr>
              <w:spacing w:before="40" w:after="60" w:line="276" w:lineRule="auto"/>
            </w:pPr>
            <w:r>
              <w:rPr>
                <w:rFonts w:ascii="Calibri" w:hAnsi="Calibri"/>
                <w:b/>
                <w:color w:val="8C3200"/>
                <w:sz w:val="20"/>
              </w:rPr>
              <w:t>2. Verba intentioni, non e contra, debent inservire (words ought to serve the intention, not the reverse)</w:t>
              <w:br/>
            </w:r>
            <w:r>
              <w:rPr>
                <w:rFonts w:ascii="Calibri" w:hAnsi="Calibri"/>
                <w:b/>
                <w:color w:val="212529"/>
                <w:sz w:val="19"/>
              </w:rPr>
              <w:t xml:space="preserve">   • Literal English Translation: </w:t>
            </w:r>
            <w:r>
              <w:rPr>
                <w:rFonts w:ascii="Calibri" w:hAnsi="Calibri"/>
                <w:i/>
                <w:color w:val="212529"/>
                <w:sz w:val="19"/>
              </w:rPr>
              <w:t>Words should serve the intention, not intention the words.</w:t>
              <w:br/>
            </w:r>
            <w:r>
              <w:rPr>
                <w:rFonts w:ascii="Calibri" w:hAnsi="Calibri"/>
                <w:b/>
                <w:color w:val="212529"/>
                <w:sz w:val="19"/>
              </w:rPr>
              <w:t xml:space="preserve">   • Plain Legal Meaning &amp; StatCon Application: </w:t>
            </w:r>
            <w:r>
              <w:rPr>
                <w:rFonts w:ascii="Calibri" w:hAnsi="Calibri"/>
                <w:color w:val="212529"/>
                <w:sz w:val="19"/>
              </w:rPr>
              <w:t>Grammatical punctuation must yield to the substantive purpose of the statute.</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policy to raise customs revenue governs over grammatical technicalities.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Punctuation Marks as Subordinate and Fallible Aids (Strictissimi Juris in Tax)</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punctuation marks like semicolons cannot be used to invent tax exemptions for automobiles)</w:t>
              <w:br/>
              <w:br/>
              <w:t>Secondary:</w:t>
              <w:br/>
              <w:t>• Verba intentioni non e contra debent inservire (punctuation must serve legislative intent)</w:t>
              <w:br/>
              <w:t>• Ratio legis est anima legis (the purpose of the law is its soul)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tax court elevated a semicolon above legislative intent and strict tax construction, creating an unauthorized tax exemption.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Subordinate Role of Punctuation Marks: Punctuation marks are auxiliary aids of low degree; they must yield to the plain meaning of words and the primary purpose of the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Punctuation marks like commas and semicolons are the weakest tools in statutory construction and cannot be used to create tax exemptions.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Commissioner of Customs v. Relunia is the landmark ruling establishing that punctuation marks are low-ranking intrinsic aids that cannot defeat legislative intent or tax rules."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Customs v. Agapito Relunia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L-11860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May 29, 1959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Lieutenant Colonel Agapito Relunia, an officer of the Armed Forces of the Philippines returning from a military training assignment in the United States, brought home a 1954 Chevrolet automobile. The Collector of Customs assessed customs duties and special import tax under Republic Act No. 1394. Relunia claimed tax exemption under Section 6 of RA 1394, which exempts personal effects brought in by returning residents. The section contained several clauses separated by semicolons and commas. The CTA ruled that the semicolon separated the exemption clause for personal effects from the monetary limitations, allowing the tax-free entry of the car. The Commissioner of Customs appealed.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 Republic Act No. 1394 (Special Import Tax Act): Tax exemptions on importations, interpreted in relation to the Tariff and Customs Code.</w:t>
              <w:br/>
              <w:t>2. Punctuation as an Auxiliary Intrinsic Aid: Punctuation is an aid of low degree and can never be allowed to control or defeat the obvious purpose of the legislature.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tax court elevated a semicolon above legislative intent and strict tax construction, creating an unauthorized tax exemption.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passenger automobile is exempt from customs duties as 'personal effects' under Section 6 of R.A. No. 1394 based on the grammatical placement of semicolons and commas.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Customs v. Agapito Relunia,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 Republic Act No. 1394 (Special Import Tax Act): Tax exemptions on importations, interpreted in relation to the Tariff and Customs Code.</w:t>
              <w:br/>
              <w:t>2. Punctuation as an Auxiliary Intrinsic Aid: Punctuation is an aid of low degree and can never be allowed to control or defeat the obvious purpose of the legislature.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tax court elevated a semicolon above legislative intent and strict tax construction, creating an unauthorized tax ex...</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REVERSED the Court of Tax Appeals decision and DECLARED the imported automobile subject to customs duties and import taxes.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automobile is NOT EXEMPT from customs duties and taxes. Punctuation marks (such as semicolons) are LOW-RANKING INTRINSIC AIDS and can never prevail over the clear legislative intent and strict construction of tax exemptions.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tax court elevated a semicolon above legislative intent and strict tax construction, creating an unauthorized tax exemption..</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Subordinate Role of Punctuation Marks: Punctuation marks are auxiliary aids of low degree; they must yield to the plain meaning of words and the primary purpose of the legislature.</w:t>
              <w:br/>
              <w:t xml:space="preserve">   - Result: No. An automobile is not a simple 'personal effect' like clothes or books. Punctuation marks like semicolons cannot be used to create a giant tax loophole that Congress never intended.</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intentioni non e contra debent inservire (punctuation must serve legislative intent)</w:t>
              <w:br/>
              <w:t>• Ratio legis est anima legis (the purpose of the law is its soul)</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Customs v. Agapito Relunia to mean and apply strictly in accordance with Strictissimi juris, holding that No. An automobile is not a simple 'personal effect' like clothes or books. Punctuation marks like semicolons cannot be used to create a giant tax loophole that .</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Punctuation is just grammar added by typists. You cannot rely on a tiny semicolon to declare a whole car tax-free. If Congress wanted to exempt cars, it would have said 'cars' in plain words. Tax exemptions must be written clearly, not hidden behind punctuation.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Subordinate Role of Punctuation Marks: Punctuation marks are auxiliary aids of low degree; they must yield to the plain meaning of words and the primary purpose of the legislature.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Punctuation marks like commas and semicolons are the weakest tools in statutory construction and cannot be used to create tax exemptions.</w:t>
            </w:r>
          </w:p>
        </w:tc>
      </w:tr>
    </w:tbl>
    <w:p>
      <w:r>
        <w:br w:type="page"/>
      </w:r>
    </w:p>
    <w:p>
      <w:pPr>
        <w:keepNext/>
        <w:spacing w:before="320" w:after="80"/>
      </w:pPr>
      <w:r>
        <w:rPr>
          <w:rFonts w:ascii="Arial" w:hAnsi="Arial"/>
          <w:b/>
          <w:color w:val="0F2043"/>
          <w:sz w:val="26"/>
        </w:rPr>
        <w:t>54. PEOPLE OF THE PHILIPPINES V. ROSAURO SUBIDO</w:t>
      </w:r>
    </w:p>
    <w:p>
      <w:pPr>
        <w:spacing w:before="40" w:after="80" w:line="276" w:lineRule="auto"/>
      </w:pPr>
      <w:r>
        <w:rPr>
          <w:rFonts w:ascii="Calibri" w:hAnsi="Calibri"/>
          <w:b/>
          <w:color w:val="212529"/>
          <w:sz w:val="21"/>
        </w:rPr>
        <w:t xml:space="preserve">Citation: </w:t>
      </w:r>
      <w:r>
        <w:rPr>
          <w:rFonts w:ascii="Calibri" w:hAnsi="Calibri"/>
          <w:i/>
          <w:color w:val="212529"/>
          <w:sz w:val="21"/>
        </w:rPr>
        <w:t>G.R. No. L-21734 | September 5, 1975 | 66 SCRA 545 | Second Division | Ponente: J. Antonio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Philippines (Appellee)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Rosauro Subido (Appellant)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an order of execution imposing subsidiary imprisonment for failure to pay a criminal libel fine under Article 355 of the Revised Penal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Rosauro Subido, editor of the Manila Post, was convicted of Libel and sentenced by the trial court to pay a fine of P500.00 'with subsidiary imprisonment in case of insolvency'. Subido appealed the subsidiary imprisonment, pointing out that Article 355 of the Revised Penal Code penalizes libel with 'a fine ranging from 200 to 2,000 pesos, or imprisonment, or both'. Subido argued that under the punctuation and phrasing of Article 355 in relation to Article 39 RPC, subsidiary imprisonment applies only when the penalty imposed is fine ALONE, and that the presence of commas in Article 355 showed legislative intent to exclude subsidiary imprisonment.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newspaper editor was convicted of libel and fined 500 pesos, with an order that if he refuses to pay, he must serve subsidiary jail time. The editor claimed that because of the commas in the libel statute, the court had no legal power to send him to jail for failing to pay the fine. The Supreme Court rejected his punctuation argument and held that under Article 39 of the Revised Penal Code, subsidiary imprisonment applies to all unpaid criminal fines.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an accused sentenced to pay a fine for criminal libel is subject to subsidiary imprisonment in case of insolvency, notwithstanding grammatical punctuation arguments on Article 355 RPC.</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a convicted person have to serve jail time if he fails to pay a criminal fine, despite comma placement in the libel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subsidiary imprisonment applies to criminal libel fines under Article 39 in relation to Article 355 RPC, testing the subordination of Punctuation Marks to the Statute as a Whole (Ut Res Magis Valeat Quam Pereat)."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convict IS SUBJECT to subsidiary imprisonment upon failure to pay the criminal fine. Article 39 of the Revised Penal Code explicitly mandates subsidiary imprisonment for insolvency in payment of fines.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If you are fined for a crime and don't pay, you must serve subsidiary jail time. Punctuation in the libel article cannot cancel the general rule of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Article 39 of the Revised Penal Code and Ut res magis valeat quam pereat, subsidiary imprisonment is a mandatory statutory consequence of insolvency in criminal fines. Punctuation marks in Article 355 cannot override the general provisions of the Penal Code."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39, Revised Penal Code: </w:t>
            </w:r>
            <w:r>
              <w:rPr>
                <w:rFonts w:ascii="Calibri" w:hAnsi="Calibri"/>
                <w:color w:val="212529"/>
                <w:sz w:val="20"/>
              </w:rPr>
              <w:t>Mandates subsidiary penalty of imprisonment when the convict has no property to meet the fine.</w:t>
            </w:r>
          </w:p>
          <w:p>
            <w:pPr>
              <w:spacing w:before="20" w:after="40" w:line="276" w:lineRule="auto"/>
            </w:pPr>
            <w:r>
              <w:rPr>
                <w:rFonts w:ascii="Calibri" w:hAnsi="Calibri"/>
                <w:b/>
                <w:color w:val="212529"/>
                <w:sz w:val="20"/>
              </w:rPr>
              <w:t xml:space="preserve">2. Article 355, Revised Penal Code: </w:t>
            </w:r>
            <w:r>
              <w:rPr>
                <w:rFonts w:ascii="Calibri" w:hAnsi="Calibri"/>
                <w:color w:val="212529"/>
                <w:sz w:val="20"/>
              </w:rPr>
              <w:t>Penalty for libel by means of writing or similar means.</w:t>
            </w:r>
          </w:p>
          <w:p>
            <w:pPr>
              <w:spacing w:before="20" w:after="40" w:line="276" w:lineRule="auto"/>
            </w:pPr>
            <w:r>
              <w:rPr>
                <w:rFonts w:ascii="Calibri" w:hAnsi="Calibri"/>
                <w:b/>
                <w:color w:val="212529"/>
                <w:sz w:val="20"/>
              </w:rPr>
              <w:t xml:space="preserve">3. Punctuation as a Subordinate Intrinsic Aid: </w:t>
            </w:r>
            <w:r>
              <w:rPr>
                <w:rFonts w:ascii="Calibri" w:hAnsi="Calibri"/>
                <w:color w:val="212529"/>
                <w:sz w:val="20"/>
              </w:rPr>
              <w:t>Punctuation marks are not controlling when the statutory command of the entire code is clear.</w:t>
            </w:r>
          </w:p>
          <w:p>
            <w:pPr>
              <w:spacing w:before="20" w:after="40" w:line="276" w:lineRule="auto"/>
            </w:pPr>
            <w:r>
              <w:rPr>
                <w:rFonts w:ascii="Calibri" w:hAnsi="Calibri"/>
                <w:b/>
                <w:color w:val="212529"/>
                <w:sz w:val="20"/>
              </w:rPr>
              <w:t xml:space="preserve">4. Ut Res Magis Valeat Quam Pereat (that the thing may rather have effect than perish): </w:t>
            </w:r>
            <w:r>
              <w:rPr>
                <w:rFonts w:ascii="Calibri" w:hAnsi="Calibri"/>
                <w:color w:val="212529"/>
                <w:sz w:val="20"/>
              </w:rPr>
              <w:t>General provisions on penalties (Book I) apply systematically to specific crimes (Book II).</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Articles 39 &amp; 355 RPC, Punctuation as a Subordinate Aid, and Ut Res Magis Valeat Quam Pereat.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39 in relation to Article 355 RPC, governed by Ut res magis valeat quam pereat (construction of the penal code as an integrated whole) and the inferior weight of punctuation marks."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General Principles of the Penal Code: </w:t>
            </w:r>
            <w:r>
              <w:rPr>
                <w:rFonts w:ascii="Calibri" w:hAnsi="Calibri"/>
                <w:color w:val="212529"/>
                <w:sz w:val="20"/>
              </w:rPr>
              <w:t>Article 39 of Book I of the RPC lays down the universal rule for subsidiary imprisonment for all crimes penalized with fines in Book II, unless specifically exempted by statute.</w:t>
            </w:r>
          </w:p>
          <w:p>
            <w:pPr>
              <w:spacing w:before="20" w:after="40" w:line="276" w:lineRule="auto"/>
            </w:pPr>
            <w:r>
              <w:rPr>
                <w:rFonts w:ascii="Calibri" w:hAnsi="Calibri"/>
                <w:b/>
                <w:color w:val="212529"/>
                <w:sz w:val="20"/>
              </w:rPr>
              <w:t xml:space="preserve">2. Punctuation Cannot Destroy Penal Sanctions: </w:t>
            </w:r>
            <w:r>
              <w:rPr>
                <w:rFonts w:ascii="Calibri" w:hAnsi="Calibri"/>
                <w:color w:val="212529"/>
                <w:sz w:val="20"/>
              </w:rPr>
              <w:t>Punctuation marks are grammatical devices and cannot be used to dismantle the penal structure established in Book I.</w:t>
            </w:r>
          </w:p>
          <w:p>
            <w:pPr>
              <w:spacing w:before="20" w:after="40" w:line="276" w:lineRule="auto"/>
            </w:pPr>
            <w:r>
              <w:rPr>
                <w:rFonts w:ascii="Calibri" w:hAnsi="Calibri"/>
                <w:b/>
                <w:color w:val="212529"/>
                <w:sz w:val="20"/>
              </w:rPr>
              <w:t xml:space="preserve">3. Harmonious Construction of Books I and II: </w:t>
            </w:r>
            <w:r>
              <w:rPr>
                <w:rFonts w:ascii="Calibri" w:hAnsi="Calibri"/>
                <w:color w:val="212529"/>
                <w:sz w:val="20"/>
              </w:rPr>
              <w:t>Book I provides the general machinery for executing penalties, while Book II defines specific offenses. Both must be harmonized together.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Penal Code is divided into two books: Book I gives general rules for all crimes, and Book II lists specific crimes. Book I says that if you don't pay a criminal fine, you serve subsidiary jail time. You cannot use a comma in Book II to nullify Book I.</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Book I and Book II of the RPC. Under Ut Res Magis Valeat Quam Pereat, Article 39 universally attaches subsidiary imprisonment to unpaid fines. Punctuation marks in Article 355 cannot defeat the general penal structure."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trial court order imposing subsidiary imprisonment on Rosauro Subido in case of insolvency to pay the P500 fine.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order of subsidiary imprisonment for non-payment of fine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subsidiary imprisonment, ruling that punctuation cannot defeat the mandatory application of Article 39 RPC."</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Punctuation Marks vs. Harmonious Code Construction (Ut Res Magis Valeat Quam Pereat)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Book I and Book II of the Revised Penal Code must be construed together to make penal sanctions effective.</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Article 39 RPC explicitly commands subsidiary imprisonment for unpaid fines.</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Subsidiary imprisonment is a mandatory consequence of criminal fine insolvency.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Punctuation Marks vs. Harmonious Code Construction (Ut Res Magis Valeat Quam Pereat)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Ut res magis valeat quam pereat</w:t>
              <w:br/>
              <w:t>(that the thing may have effect rather than perish / harmonizing Book I general penalty rules with Book II specific crimes regardless of punctuation)</w:t>
              <w:br/>
              <w:br/>
              <w:t>Secondary:</w:t>
              <w:br/>
              <w:t>• Verba legis non est recedendum (statutory mandate of subsidiary imprisonment)</w:t>
              <w:br/>
              <w:t>• Dura lex sed lex (harsh consequence of unpaid criminal fines)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appellant attempted to use grammatical punctuation to dismantle the universal penal machinery of Book I of the Revised Penal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Harmonization of Penal Code Books: Punctuation in a specific crime definition cannot override or neutralize the general rules on penalties established in the fundamental chapters of the penal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comma in a specific criminal provision cannot cancel the general rules on punishment written in the front of the Penal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Subido establishes that punctuation marks cannot override the universal penal framework of the Revised Penal Code—Ut res magis valeat quam pereat."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Philippines v. Rosauro Subido</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L-21734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5, 1975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Rosauro Subido, editor of the Manila Post, was convicted of Libel and sentenced by the trial court to pay a fine of P500.00 'with subsidiary imprisonment in case of insolvency'. Subido appealed the subsidiary imprisonment, pointing out that Article 355 of the Revised Penal Code penalizes libel with 'a fine ranging from 200 to 2,000 pesos, or imprisonment, or both'. Subido argued that under the punctuation and phrasing of Article 355 in relation to Article 39 RPC, subsidiary imprisonment applies only when the penalty imposed is fine ALONE, and that the presence of commas in Article 355 showed legislative intent to exclude subsidiary imprisonment.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39, Revised Penal Code: Mandates subsidiary penalty of imprisonment when the convict has no property to meet the fine.</w:t>
              <w:br/>
              <w:t>2. Article 355, Revised Penal Code: Penalty for libel by means of writing or similar means.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appellant attempted to use grammatical punctuation to dismantle the universal penal machinery of Book I of the Revised Penal Code.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an accused sentenced to pay a fine for criminal libel is subject to subsidiary imprisonment in case of insolvency, notwithstanding grammatical punctuation arguments on Article 355 RPC.</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Philippines v. Rosauro Subido, under the canon of Ut res magis valeat quam pereat.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39, Revised Penal Code: Mandates subsidiary penalty of imprisonment when the convict has no property to meet the fine.</w:t>
              <w:br/>
              <w:t>2. Article 355, Revised Penal Code: Penalty for libel by means of writing or similar means.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appellant attempted to use grammatical punctuation to dismantle the universal penal machinery of Book I of the Revis...</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trial court order imposing subsidiary imprisonment on Rosauro Subido in case of insolvency to pay the P500 fine.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convict IS SUBJECT to subsidiary imprisonment upon failure to pay the criminal fine. Article 39 of the Revised Penal Code explicitly mandates subsidiary imprisonment for insolvency in payment of fines.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appellant attempted to use grammatical punctuation to dismantle the universal penal machinery of Book I of the Revised Penal Code..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Ut res magis valeat quam pereat</w:t>
              <w:br/>
              <w:t xml:space="preserve">   - Application: Harmonization of Penal Code Books: Punctuation in a specific crime definition cannot override or neutralize the general rules on penalties established in the fundamental chapters of the penal code.</w:t>
              <w:br/>
              <w:t xml:space="preserve">   - Result: Yes. If you are fined for a crime and don't pay, you must serve subsidiary jail time. Punctuation in the libel article cannot cancel the general rule of the Penal Code.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(statutory mandate of subsidiary imprisonment)</w:t>
              <w:br/>
              <w:t>• Dura lex sed lex (harsh consequence of unpaid criminal fines)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Philippines v. Rosauro Subido to mean and apply strictly in accordance with Ut res magis valeat quam pereat, holding that Yes. If you are fined for a crime and don't pay, you must serve subsidiary jail time. Punctuation in the libel article cannot cancel the general rule of the Pen.</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Penal Code is divided into two books: Book I gives general rules for all crimes, and Book II lists specific crimes. Book I says that if you don't pay a criminal fine, you serve subsidiary jail time. You cannot use a comma in Book II to nullify Book I.</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Ut res magis valeat quam pereat,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Harmonization of Penal Code Books: Punctuation in a specific crime definition cannot override or neutralize the general rules on penalties established in the fundamental chapters of the penal code.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comma in a specific criminal provision cannot cancel the general rules on punishment written in the front of the Penal Code.</w:t>
            </w:r>
          </w:p>
        </w:tc>
      </w:tr>
    </w:tbl>
    <w:p>
      <w:r>
        <w:br w:type="page"/>
      </w:r>
    </w:p>
    <w:p>
      <w:pPr>
        <w:keepNext/>
        <w:spacing w:before="320" w:after="80"/>
      </w:pPr>
      <w:r>
        <w:rPr>
          <w:rFonts w:ascii="Arial" w:hAnsi="Arial"/>
          <w:b/>
          <w:color w:val="0F2043"/>
          <w:sz w:val="26"/>
        </w:rPr>
        <w:t>55. FLORENTINO AND FLORENTINO V. PHILIPPINE NATIONAL BANK</w:t>
      </w:r>
    </w:p>
    <w:p>
      <w:pPr>
        <w:spacing w:before="40" w:after="80" w:line="276" w:lineRule="auto"/>
      </w:pPr>
      <w:r>
        <w:rPr>
          <w:rFonts w:ascii="Calibri" w:hAnsi="Calibri"/>
          <w:b/>
          <w:color w:val="212529"/>
          <w:sz w:val="21"/>
        </w:rPr>
        <w:t xml:space="preserve">Citation: </w:t>
      </w:r>
      <w:r>
        <w:rPr>
          <w:rFonts w:ascii="Calibri" w:hAnsi="Calibri"/>
          <w:i/>
          <w:color w:val="212529"/>
          <w:sz w:val="21"/>
        </w:rPr>
        <w:t>G.R. No. L-8782 | April 28, 1956 | 98 Phil. 959 | En Banc | Ponente: J. Jugo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Marcelino Florentino and Estela Florentino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Philippine National Bank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Ilocos Sur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Mandamus to compel PNB to accept Backpay Certificates under Republic Act No. 897 in payment of a pre-existing mortgage loan.</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Spouses Florentino incurred a mortgage debt with PNB. When Republic Act No. 897 (Backpay Law) was enacted, Section 2 amended the law to provide that backpay certificates may be used to pay 'obligations subsisting at the time of the approval of this amendatory Act for which the applicant may directly be liable to any government-owned corporation... who may also be in arrears in the payment of taxes, duties, or other valuable consideration...' Florentino offered to pay his PNB mortgage using backpay certificates. PNB refused, arguing that the qualifying relative clause 'who may also be in arrears in the payment of taxes...' modified the word 'corporation' (meaning PNB had to be in arrears in taxes before it could be forced to accept certificates).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couple wanted to pay off their PNB bank mortgage using government backpay certificates under the Backpay Law (RA 897). PNB refused, claiming that under the grammar of the sentence, the words 'who may also be in arrears in taxes' referred to PNB itself, so PNB was only forced to accept certificates if PNB itself owed unpaid taxes to the government! The Supreme Court rejected PNB's absurd grammatical trick, applying the Doctrine of Last Antecedent: the qualifying words modify the immediately preceding subject ('applicant'), not the remote institution ('corporation').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qualifying phrase 'who may also be in arrears in the payment of taxes' in Section 2 of R.A. No. 897 modifies 'applicant' or 'government-owned corporation', testing the Doctrine of Last Antecedent (Ad Proximum Antecedens Fiat Relatio).</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clause 'who is in arrears in taxes' refer to the borrower who applied, or to the bank, under the Doctrine of Last Antecedent?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qualifying clause in RA 897 modifies 'applicant' or 'corporation', testing the Doctrine of Last Antecedent (Ad Proximum Antecedens Fiat Relatio Nisi Impediatur Sententia)."</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The phrase modifies the 'APPLICANT', not the government corporation. Under the DOCTRINE OF LAST ANTECEDENT (Ad Proximum Antecedens Fiat Relatio), a qualifying relative clause is referred to the nearest antecedent word, unless such construction is impossible.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It modifies the applicant/borrower. Under the Doctrine of Last Antecedent, qualifying words attach to the nearest word before them ('applicant'), not to a distant word across the sentence ('corporation'). PNB was ordered to accept the backpay certificates.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Supreme Court applied the Doctrine of Last Antecedent (Ad proximum antecedens fiat relatio nisi impediatur sententia). Qualifying relative words must be referred to the immediately preceding antecedent ('applicant') rather than a remote antecedent ('corporation'). PNB was compelled by mandamus to accept the backpay certificates."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 Republic Act No. 897 (Backpay Law amendatory act): </w:t>
            </w:r>
            <w:r>
              <w:rPr>
                <w:rFonts w:ascii="Calibri" w:hAnsi="Calibri"/>
                <w:color w:val="212529"/>
                <w:sz w:val="20"/>
              </w:rPr>
              <w:t>Mandates acceptance of backpay certificates in payment of outstanding obligations to government financial institutions.</w:t>
            </w:r>
          </w:p>
          <w:p>
            <w:pPr>
              <w:spacing w:before="20" w:after="40" w:line="276" w:lineRule="auto"/>
            </w:pPr>
            <w:r>
              <w:rPr>
                <w:rFonts w:ascii="Calibri" w:hAnsi="Calibri"/>
                <w:b/>
                <w:color w:val="212529"/>
                <w:sz w:val="20"/>
              </w:rPr>
              <w:t xml:space="preserve">2. Ad Proximum Antecedens Fiat Relatio Nisi Impediatur Sententia (relative words refer to the nearest antecedent): </w:t>
            </w:r>
            <w:r>
              <w:rPr>
                <w:rFonts w:ascii="Calibri" w:hAnsi="Calibri"/>
                <w:color w:val="212529"/>
                <w:sz w:val="20"/>
              </w:rPr>
              <w:t>Fundamental canon of grammar and statutory construction regarding the placement of qualifying clauses.</w:t>
            </w:r>
          </w:p>
          <w:p>
            <w:pPr>
              <w:spacing w:before="20" w:after="40" w:line="276" w:lineRule="auto"/>
            </w:pPr>
            <w:r>
              <w:rPr>
                <w:rFonts w:ascii="Calibri" w:hAnsi="Calibri"/>
                <w:b/>
                <w:color w:val="212529"/>
                <w:sz w:val="20"/>
              </w:rPr>
              <w:t xml:space="preserve">3. Ratio Legis Est Anima Legis (the reason of the law is the soul of the law): </w:t>
            </w:r>
            <w:r>
              <w:rPr>
                <w:rFonts w:ascii="Calibri" w:hAnsi="Calibri"/>
                <w:color w:val="212529"/>
                <w:sz w:val="20"/>
              </w:rPr>
              <w:t>The Backpay Law was enacted to provide relief to veterans and public employees by enabling them to settle debts.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 RA 897, Doctrine of Last Antecedent (Ad Proximum Antecedens), and Ratio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 of RA 897, governed by Ad proximum antecedens fiat relatio (relative words refer to the nearest antecedent) and Ratio legis est anima legis."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Application of the Doctrine of Last Antecedent: </w:t>
            </w:r>
            <w:r>
              <w:rPr>
                <w:rFonts w:ascii="Calibri" w:hAnsi="Calibri"/>
                <w:color w:val="212529"/>
                <w:sz w:val="20"/>
              </w:rPr>
              <w:t>In grammatical construction, relative and qualifying words, phrases, and clauses are to be applied to the words or phrase immediately preceding, and not to be construed as extending to or including others more remote.</w:t>
            </w:r>
          </w:p>
          <w:p>
            <w:pPr>
              <w:spacing w:before="20" w:after="40" w:line="276" w:lineRule="auto"/>
            </w:pPr>
            <w:r>
              <w:rPr>
                <w:rFonts w:ascii="Calibri" w:hAnsi="Calibri"/>
                <w:b/>
                <w:color w:val="212529"/>
                <w:sz w:val="20"/>
              </w:rPr>
              <w:t xml:space="preserve">2. Absurdity of PNB's Construction: </w:t>
            </w:r>
            <w:r>
              <w:rPr>
                <w:rFonts w:ascii="Calibri" w:hAnsi="Calibri"/>
                <w:color w:val="212529"/>
                <w:sz w:val="20"/>
              </w:rPr>
              <w:t>To hold that 'who may be in arrears in taxes' refers to PNB would mean that a government bank must first be a tax evader before citizens can use backpay certificates, an utterly absurd result.</w:t>
            </w:r>
          </w:p>
          <w:p>
            <w:pPr>
              <w:spacing w:before="20" w:after="40" w:line="276" w:lineRule="auto"/>
            </w:pPr>
            <w:r>
              <w:rPr>
                <w:rFonts w:ascii="Calibri" w:hAnsi="Calibri"/>
                <w:b/>
                <w:color w:val="212529"/>
                <w:sz w:val="20"/>
              </w:rPr>
              <w:t xml:space="preserve">3. Mandamus as Proper Remedy: </w:t>
            </w:r>
            <w:r>
              <w:rPr>
                <w:rFonts w:ascii="Calibri" w:hAnsi="Calibri"/>
                <w:color w:val="212529"/>
                <w:sz w:val="20"/>
              </w:rPr>
              <w:t>Since PNB had a clear statutory duty to accept the certificates, mandamus was the proper remedy to enforce compliance.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PNB argued that the phrase referred to PNB itself. That would mean Congress said: 'You can only pay PNB with backpay certificates if PNB has been caught failing to pay its own government taxes!' That is completely ridiculous. Grammatically and logically, the words attach to the closest person: the applicant borrower.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Ad Proximum Antecedens. Qualifying phrases attach to the immediately preceding word ('applicant'). PNB's interpretation would lead to the absurd conclusion that government banks must be in tax default before citizens can pay debts, which violates Ratio Legis."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for Mandamus, REVERSED the CFI, and ORDERED PNB to accept the backpay certificates in payment of the Florentino mortgage.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PNB was ordered by mandamus to accept the backpay certificates.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issued a writ of mandamus commanding PNB to accept the backpay certificates under the Doctrine of Last Antecedent."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The Doctrine of Last Antecedent (Ad Proximum Antecedens Fiat Relatio)</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Ad proximum antecedens fiat relatio nisi impediatur sententia (relative words refer to the nearest antecedent unless prevented by context)</w:t>
              <w:br/>
            </w:r>
            <w:r>
              <w:rPr>
                <w:rFonts w:ascii="Calibri" w:hAnsi="Calibri"/>
                <w:b/>
                <w:color w:val="212529"/>
                <w:sz w:val="19"/>
              </w:rPr>
              <w:t xml:space="preserve">   • Literal English Translation: </w:t>
            </w:r>
            <w:r>
              <w:rPr>
                <w:rFonts w:ascii="Calibri" w:hAnsi="Calibri"/>
                <w:i/>
                <w:color w:val="212529"/>
                <w:sz w:val="19"/>
              </w:rPr>
              <w:t>Let relation be made to the nearest antecedent unless it hinders the sense.</w:t>
              <w:br/>
            </w:r>
            <w:r>
              <w:rPr>
                <w:rFonts w:ascii="Calibri" w:hAnsi="Calibri"/>
                <w:b/>
                <w:color w:val="212529"/>
                <w:sz w:val="19"/>
              </w:rPr>
              <w:t xml:space="preserve">   • Plain Legal Meaning &amp; StatCon Application: </w:t>
            </w:r>
            <w:r>
              <w:rPr>
                <w:rFonts w:ascii="Calibri" w:hAnsi="Calibri"/>
                <w:color w:val="212529"/>
                <w:sz w:val="19"/>
              </w:rPr>
              <w:t>Qualifying relative clauses are referred to the immediately preceding noun ('applicant') rather than remote words ('corporation').</w:t>
            </w:r>
          </w:p>
          <w:p>
            <w:pPr>
              <w:spacing w:before="40" w:after="60" w:line="276" w:lineRule="auto"/>
            </w:pPr>
            <w:r>
              <w:rPr>
                <w:rFonts w:ascii="Calibri" w:hAnsi="Calibri"/>
                <w:b/>
                <w:color w:val="8C3200"/>
                <w:sz w:val="20"/>
              </w:rPr>
              <w:t>2.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 absurdity.</w:t>
              <w:br/>
            </w:r>
            <w:r>
              <w:rPr>
                <w:rFonts w:ascii="Calibri" w:hAnsi="Calibri"/>
                <w:b/>
                <w:color w:val="212529"/>
                <w:sz w:val="19"/>
              </w:rPr>
              <w:t xml:space="preserve">   • Plain Legal Meaning &amp; StatCon Application: </w:t>
            </w:r>
            <w:r>
              <w:rPr>
                <w:rFonts w:ascii="Calibri" w:hAnsi="Calibri"/>
                <w:color w:val="212529"/>
                <w:sz w:val="19"/>
              </w:rPr>
              <w:t>It is absurd to interpret a debt-relief statute as requiring government banks to be in tax arrears.</w:t>
            </w:r>
          </w:p>
          <w:p>
            <w:pPr>
              <w:spacing w:before="40" w:after="60" w:line="276" w:lineRule="auto"/>
            </w:pPr>
            <w:r>
              <w:rPr>
                <w:rFonts w:ascii="Calibri" w:hAnsi="Calibri"/>
                <w:b/>
                <w:color w:val="8C3200"/>
                <w:sz w:val="20"/>
              </w:rPr>
              <w:t>3.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intent to provide financial relief to backpay holders dictates mandatory acceptance by government banks.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The Doctrine of Last Antecedent (Ad Proximum Antecedens Fiat Relatio)</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Ad proximum antecedens fiat relatio nisi impediatur sententia</w:t>
              <w:br/>
              <w:t>(relative words refer to the nearest antecedent / qualifying phrases modify the immediately preceding noun, not remote words)</w:t>
              <w:br/>
              <w:br/>
              <w:t>Secondary:</w:t>
              <w:br/>
              <w:t>• Lex non intendit absurdum (avoiding absurd grammatical interpretations)</w:t>
              <w:br/>
              <w:t>• Ratio legis est anima legis (debt-relief purpose of backpay laws)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PNB distorted grammatical rules to link a qualifying clause to a remote subject, manufacturing an absurd barrier to statutory debt redemption.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Doctrine of Last Antecedent: Qualifying and relative words or clauses refer strictly to the immediately preceding antecedent unless a clear contrary intention appears from the text.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descriptive phrase in a sentence applies to the noun right next to it, not to a noun located far away in the beginning of the sentence.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Florentino v. PNB is the classic landmark decision defining the Doctrine of Last Antecedent: Ad proximum antecedens fiat relatio nisi impediatur sententia."</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Florentino and Florentino v. Philippine National Bank</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L-8782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28, 1956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Spouses Florentino incurred a mortgage debt with PNB. When Republic Act No. 897 (Backpay Law) was enacted, Section 2 amended the law to provide that backpay certificates may be used to pay 'obligations subsisting at the time of the approval of this amendatory Act for which the applicant may directly be liable to any government-owned corporation... who may also be in arrears in the payment of taxes, duties, or other valuable consideration...' Florentino offered to pay his PNB mortgage using backpay certificates. PNB refused, arguing that the qualifying relative clause 'who may also be in arrears in the payment of taxes...' modified the word 'corporation' (meaning PNB had to be in arrears in taxes before it could be forced to accept certificates).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 Republic Act No. 897 (Backpay Law amendatory act): Mandates acceptance of backpay certificates in payment of outstanding obligations to government financial institutions.</w:t>
              <w:br/>
              <w:t>2. Ad Proximum Antecedens Fiat Relatio Nisi Impediatur Sententia (relative words refer to the nearest antecedent): Fundamental canon of grammar and statutory construction regarding the placement of qualifying clauses.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PNB distorted grammatical rules to link a qualifying clause to a remote subject, manufacturing an absurd barrier to statutory debt redemption.</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qualifying phrase 'who may also be in arrears in the payment of taxes' in Section 2 of R.A. No. 897 modifies 'applicant' or 'government-owned corporation', testing the Doctrine of Last Antecedent (Ad Proximum Antecedens Fiat Relatio).</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Florentino and Florentino v. Philippine National Bank, under the canon of Ad proximum antecedens fiat relatio nisi impediatur sententia.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 Republic Act No. 897 (Backpay Law amendatory act): Mandates acceptance of backpay certificates in payment of outstanding obligations to government financial institutions.</w:t>
              <w:br/>
              <w:t>2. Ad Proximum Antecedens Fiat Relatio Nisi Impediatur Sententia (relative words refer to the nearest antecedent): Fundamental canon of grammar and statutory construction regarding the placement of qualifying clauses.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PNB distorted grammatical rules to link a qualifying clause to a remote subject, manufacturing an absurd barrier to stat...</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for Mandamus, REVERSED the CFI, and ORDERED PNB to accept the backpay certificates in payment of the Florentino mortgage.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The phrase modifies the 'APPLICANT', not the government corporation. Under the DOCTRINE OF LAST ANTECEDENT (Ad Proximum Antecedens Fiat Relatio), a qualifying relative clause is referred to the nearest antecedent word, unless such construction is impossible.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PNB distorted grammatical rules to link a qualifying clause to a remote subject, manufacturing an absurd barrier to statutory debt redemptio.</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Ad proximum antecedens fiat relatio nisi impediatur sententia</w:t>
              <w:br/>
              <w:t xml:space="preserve">   - Application: The Doctrine of Last Antecedent: Qualifying and relative words or clauses refer strictly to the immediately preceding antecedent unless a clear contrary intention appears from the text.</w:t>
              <w:br/>
              <w:t xml:space="preserve">   - Result: It modifies the applicant/borrower. Under the Doctrine of Last Antecedent, qualifying words attach to the nearest word before them ('applicant'), not to a distant word across the sentence ('corporation'). PNB was ordered to accept the backpay certificates.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Lex non intendit absurdum (avoiding absurd grammatical interpretations)</w:t>
              <w:br/>
              <w:t>• Ratio legis est anima legis (debt-relief purpose of backpay laws)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Florentino and Florentino v. Philippine National Bank to mean and apply strictly in accordance with Ad proximum antecedens fiat relatio nisi impediatur sententia, holding that It modifies the applicant/borrower. Under the Doctrine of Last Antecedent, qualifying words attach to the nearest word before them ('applicant'), not to a dista.</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PNB argued that the phrase referred to PNB itself. That would mean Congress said: 'You can only pay PNB with backpay certificates if PNB has been caught failing to pay its own government taxes!' That is completely ridiculous. Grammatically and logically, the words attach to the closest person: the applicant borrower.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Ad proximum antecedens fiat relatio nisi impediatur sententia,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Doctrine of Last Antecedent: Qualifying and relative words or clauses refer strictly to the immediately preceding antecedent unless a clear contrary intention appears from the text.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descriptive phrase in a sentence applies to the noun right next to it, not to a noun located far away in the beginning of the sentence.</w:t>
            </w:r>
          </w:p>
        </w:tc>
      </w:tr>
    </w:tbl>
    <w:p>
      <w:r>
        <w:br w:type="page"/>
      </w:r>
    </w:p>
    <w:p>
      <w:pPr>
        <w:keepNext/>
        <w:spacing w:before="320" w:after="80"/>
      </w:pPr>
      <w:r>
        <w:rPr>
          <w:rFonts w:ascii="Arial" w:hAnsi="Arial"/>
          <w:b/>
          <w:color w:val="0F2043"/>
          <w:sz w:val="26"/>
        </w:rPr>
        <w:t>56. VIVENCIO MAPA AND CANDIDO MAPA V. HON. JOKER ARROYO, EXECUTIVE SECRETARY, AND LABRADOR DEVELOPMENT CORPORATION</w:t>
      </w:r>
    </w:p>
    <w:p>
      <w:pPr>
        <w:spacing w:before="40" w:after="80" w:line="276" w:lineRule="auto"/>
      </w:pPr>
      <w:r>
        <w:rPr>
          <w:rFonts w:ascii="Calibri" w:hAnsi="Calibri"/>
          <w:b/>
          <w:color w:val="212529"/>
          <w:sz w:val="21"/>
        </w:rPr>
        <w:t xml:space="preserve">Citation: </w:t>
      </w:r>
      <w:r>
        <w:rPr>
          <w:rFonts w:ascii="Calibri" w:hAnsi="Calibri"/>
          <w:i/>
          <w:color w:val="212529"/>
          <w:sz w:val="21"/>
        </w:rPr>
        <w:t>G.R. No. 78585 | July 5, 1989 | 175 SCRA 76 | En Banc | Ponente: J. Paras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Vivencio Mapa and Candido Mapa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Joker Arroyo (Executive Secretary) and Labrador Development Corporation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Office of the President / HLURB</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concerning whether Section 20 of P.D. No. 957 applies to commercial subdivision lots under the Doctrine of Last Antecedent.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Petitioners Vivencio and Candido Mapa bought commercial lots in a subdivision from Labrador Development Corporation. When the developer failed to complete perimeter fences and roads, the Mapas stopped paying installment amortizations and demanded a refund under Section 20 of P.D. No. 957, which requires developers to complete facilities according to approved subdivision plans. The developer refused, arguing that Section 20 applies exclusively to residential subdivisions, because the title and preamble of PD 957 mention 'residential' subdivision lots, and the qualifying words in the section should be restricted to residential properties under the Doctrine of Last Antecedent.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Two brothers bought commercial lots in a subdivision and stopped paying installments because the developer failed to construct the promised subdivision roads and drainage. The developer claimed that PD 957 only protects 'residential' lots, not commercial lots. The Supreme Court ruled that Section 20 uses the comprehensive term 'subdivision project' without qualification, and under the Doctrine of Last Antecedent and plain meaning, all subdivision lots within an approved plan are protected.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Section 20 of P.D. No. 957 applies to both residential and commercial subdivision lots, testing the Doctrine of Last Antecedent and Ubi Lex Non Distinguit.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subdivision protection law apply to commercial lots as well as residential lots?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20 of PD 957 protects buyers of commercial subdivision lots, testing the Doctrine of Last Antecedent and Ubi Lex Non Distinguit Nec Nos Distinguere Debemus."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Section 20 of P.D. No. 957 applies to ALL subdivision lots, whether residential or commercial. The phrase 'subdivision project' is used without qualification, and qualifying residential terms in other sections cannot be imported to restrict Section 20.</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protects all lots in an approved subdivision project. Where the statute says 'subdivision project' without restricting it to houses, commercial lot buyers have the exact same right to demand roads and drainage.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Ubi lex non distinguit nec nos distinguere debemus (where the law does not distinguish, we should not distinguish) and the Doctrine of Last Antecedent, Section 20 of PD 957 applies to all subdivision lots, residential or commercial, without distinction."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20, Presidential Decree No. 957: </w:t>
            </w:r>
            <w:r>
              <w:rPr>
                <w:rFonts w:ascii="Calibri" w:hAnsi="Calibri"/>
                <w:color w:val="212529"/>
                <w:sz w:val="20"/>
              </w:rPr>
              <w:t>Mandates completion of subdivision infrastructure according to approved plans and specifications.</w:t>
            </w:r>
          </w:p>
          <w:p>
            <w:pPr>
              <w:spacing w:before="20" w:after="40" w:line="276" w:lineRule="auto"/>
            </w:pPr>
            <w:r>
              <w:rPr>
                <w:rFonts w:ascii="Calibri" w:hAnsi="Calibri"/>
                <w:b/>
                <w:color w:val="212529"/>
                <w:sz w:val="20"/>
              </w:rPr>
              <w:t xml:space="preserve">2. Ubi Lex Non Distinguit, Nec Nos Distinguere Debemus (where the law does not distinguish, we should not distinguish): </w:t>
            </w:r>
            <w:r>
              <w:rPr>
                <w:rFonts w:ascii="Calibri" w:hAnsi="Calibri"/>
                <w:color w:val="212529"/>
                <w:sz w:val="20"/>
              </w:rPr>
              <w:t>Since Section 20 uses 'subdivision project' without distinguishing between residential and commercial, courts must make no distinction.</w:t>
            </w:r>
          </w:p>
          <w:p>
            <w:pPr>
              <w:spacing w:before="20" w:after="40" w:line="276" w:lineRule="auto"/>
            </w:pPr>
            <w:r>
              <w:rPr>
                <w:rFonts w:ascii="Calibri" w:hAnsi="Calibri"/>
                <w:b/>
                <w:color w:val="212529"/>
                <w:sz w:val="20"/>
              </w:rPr>
              <w:t xml:space="preserve">3. Doctrine of Last Antecedent: </w:t>
            </w:r>
            <w:r>
              <w:rPr>
                <w:rFonts w:ascii="Calibri" w:hAnsi="Calibri"/>
                <w:color w:val="212529"/>
                <w:sz w:val="20"/>
              </w:rPr>
              <w:t>Qualifying words in one section cannot be mechanically transposed to restrict broad unqualified terms in another section.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20 PD 957, Ubi Lex Non Distinguit, and Doctrine of Last Antecedent.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20 of PD 957, governed by Ubi lex non distinguit nec nos distinguere debemus and the proper limits of the Doctrine of Last Antecedent."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Comprehensive Scope of 'Subdivision Project': </w:t>
            </w:r>
            <w:r>
              <w:rPr>
                <w:rFonts w:ascii="Calibri" w:hAnsi="Calibri"/>
                <w:color w:val="212529"/>
                <w:sz w:val="20"/>
              </w:rPr>
              <w:t>Section 2 of PD 957 broadly defines a subdivision project as a tract of land partitioned for residential, commercial, or industrial purposes.</w:t>
            </w:r>
          </w:p>
          <w:p>
            <w:pPr>
              <w:spacing w:before="20" w:after="40" w:line="276" w:lineRule="auto"/>
            </w:pPr>
            <w:r>
              <w:rPr>
                <w:rFonts w:ascii="Calibri" w:hAnsi="Calibri"/>
                <w:b/>
                <w:color w:val="212529"/>
                <w:sz w:val="20"/>
              </w:rPr>
              <w:t xml:space="preserve">2. Inapplicability of Restrictive Modifiers: </w:t>
            </w:r>
            <w:r>
              <w:rPr>
                <w:rFonts w:ascii="Calibri" w:hAnsi="Calibri"/>
                <w:color w:val="212529"/>
                <w:sz w:val="20"/>
              </w:rPr>
              <w:t>Qualifying words in the preamble or other distinct clauses cannot be used to restrict Section 20 where the statutory text is clear and universal.</w:t>
            </w:r>
          </w:p>
          <w:p>
            <w:pPr>
              <w:spacing w:before="20" w:after="40" w:line="276" w:lineRule="auto"/>
            </w:pPr>
            <w:r>
              <w:rPr>
                <w:rFonts w:ascii="Calibri" w:hAnsi="Calibri"/>
                <w:b/>
                <w:color w:val="212529"/>
                <w:sz w:val="20"/>
              </w:rPr>
              <w:t xml:space="preserve">3. Developer's Statutory Duty: </w:t>
            </w:r>
            <w:r>
              <w:rPr>
                <w:rFonts w:ascii="Calibri" w:hAnsi="Calibri"/>
                <w:color w:val="212529"/>
                <w:sz w:val="20"/>
              </w:rPr>
              <w:t>A developer who undertakes an approved subdivision plan is legally obligated under police power to deliver the promised infrastructure to all buyers.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definition section of PD 957 says 'subdivision project' includes residential, commercial, and industrial land. When Section 20 orders developers to build facilities for the subdivision project, it covers the entire development. The developer cannot cut off protections for commercial buyers.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harmonized the definition section of PD 957 with Section 20. Under Ubi Lex Non Distinguit, because the decree defines subdivision projects to include commercial land, developers are legally bound to complete facilities for all lots."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Office of the President and HLURB, HOLDING that Section 20 of PD 957 protects commercial lot buyers.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developer was ordered to complete the facilities for the commercial lots.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ruling, holding that Section 20 of PD 957 covers both residential and commercial subdivision lots."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Contextual Application of Definitions &amp; Doctrine of Last Antecedent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Section 20 PD 957 does not distinguish between residential and commercial subdivision buyers.</w:t>
            </w:r>
          </w:p>
          <w:p>
            <w:pPr>
              <w:spacing w:before="40" w:after="60" w:line="276" w:lineRule="auto"/>
            </w:pPr>
            <w:r>
              <w:rPr>
                <w:rFonts w:ascii="Calibri" w:hAnsi="Calibri"/>
                <w:b/>
                <w:color w:val="8C3200"/>
                <w:sz w:val="20"/>
              </w:rPr>
              <w:t>2. Ad proximum antecedens fiat relatio (relative words refer to the nearest antecedent)</w:t>
              <w:br/>
            </w:r>
            <w:r>
              <w:rPr>
                <w:rFonts w:ascii="Calibri" w:hAnsi="Calibri"/>
                <w:b/>
                <w:color w:val="212529"/>
                <w:sz w:val="19"/>
              </w:rPr>
              <w:t xml:space="preserve">   • Literal English Translation: </w:t>
            </w:r>
            <w:r>
              <w:rPr>
                <w:rFonts w:ascii="Calibri" w:hAnsi="Calibri"/>
                <w:i/>
                <w:color w:val="212529"/>
                <w:sz w:val="19"/>
              </w:rPr>
              <w:t>Relative words refer to the nearest antecedent.</w:t>
              <w:br/>
            </w:r>
            <w:r>
              <w:rPr>
                <w:rFonts w:ascii="Calibri" w:hAnsi="Calibri"/>
                <w:b/>
                <w:color w:val="212529"/>
                <w:sz w:val="19"/>
              </w:rPr>
              <w:t xml:space="preserve">   • Plain Legal Meaning &amp; StatCon Application: </w:t>
            </w:r>
            <w:r>
              <w:rPr>
                <w:rFonts w:ascii="Calibri" w:hAnsi="Calibri"/>
                <w:color w:val="212529"/>
                <w:sz w:val="19"/>
              </w:rPr>
              <w:t>Qualifying words in specific sections cannot be exported to restrict general definition clauses.</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Broad consumer protection in real estate developments advances public economic welfare.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Contextual Application of Definitions &amp; Doctrine of Last Antecedent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Section 20 PD 957 applies to both residential and commercial subdivision lots)</w:t>
              <w:br/>
              <w:br/>
              <w:t>Secondary:</w:t>
              <w:br/>
              <w:t>• Ad proximum antecedens fiat relatio (limits of qualifying modifiers)</w:t>
              <w:br/>
              <w:t>• Salus populi est suprema lex (real estate consumer protection)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developer attempted to manufacture a non-existent commercial exemption by misapplying qualifying modifiers from other sections.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Universal Application of Statutory Definitions: When the statutory definition clause encompasses multiple categories (residential, commercial, industrial), subsequent operative sections must be applied to all categories unless explicitly restricted.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the definition at the start of a law says 'subdivision includes commercial lots', you cannot later claim that the law only applies to residential houses.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Mapa v. Arroyo shows how statutory definitions in PD 957 control operative sections under Ubi lex non distinguit."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Vivencio Mapa and Candido Mapa v. Hon. Joker Arroyo, Executive Secretary, and Labrador Development Corporation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78585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5, 1989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Petitioners Vivencio and Candido Mapa bought commercial lots in a subdivision from Labrador Development Corporation. When the developer failed to complete perimeter fences and roads, the Mapas stopped paying installment amortizations and demanded a refund under Section 20 of P.D. No. 957, which requires developers to complete facilities according to approved subdivision plans. The developer refused, arguing that Section 20 applies exclusively to residential subdivisions, because the title and preamble of PD 957 mention 'residential' subdivision lots, and the qualifying words in the section should be restricted to residential properties under the Doctrine of Last Antecedent.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20, Presidential Decree No. 957: Mandates completion of subdivision infrastructure according to approved plans and specifications.</w:t>
              <w:br/>
              <w:t>2. Ubi Lex Non Distinguit, Nec Nos Distinguere Debemus (where the law does not distinguish, we should not distinguish): Since Section 20 uses 'subdivision project' without distinguishing between residential and commercial, courts must make no distinction.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developer attempted to manufacture a non-existent commercial exemption by misapplying qualifying modifiers from other sections.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Section 20 of P.D. No. 957 applies to both residential and commercial subdivision lots, testing the Doctrine of Last Antecedent and Ubi Lex Non Distinguit.</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Vivencio Mapa and Candido Mapa v. Hon. Joker Arroyo, Executive Secretary, and Labrador Development Corporation,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20, Presidential Decree No. 957: Mandates completion of subdivision infrastructure according to approved plans and specifications.</w:t>
              <w:br/>
              <w:t>2. Ubi Lex Non Distinguit, Nec Nos Distinguere Debemus (where the law does not distinguish, we should not distinguish): Since Section 20 uses 'subdivision project' without distinguishing between residential and commercial, courts must make no distinction.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Office of the President and HLURB, HOLDING that Section 20 of PD 957 protects commercial lot buyers.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Section 20 of P.D. No. 957 applies to ALL subdivision lots, whether residential or commercial. The phrase 'subdivision project' is used without qualification, and qualifying residential terms in other sections cannot be imported to restrict Section 20.</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developer attempted to manufacture a non-existent commercial exemption by misapplying qualifying modifiers from other sections..</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Universal Application of Statutory Definitions: When the statutory definition clause encompasses multiple categories (residential, commercial, industrial), subsequent operative sections must be applied to all categories unless explicitly restricted.</w:t>
              <w:br/>
              <w:t xml:space="preserve">   - Result: Yes. The law protects all lots in an approved subdivision project. Where the statute says 'subdivision project' without restricting it to houses, commercial lot buyers have the exact same right to demand roads and drainage.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Ad proximum antecedens fiat relatio (limits of qualifying modifiers)</w:t>
              <w:br/>
              <w:t>• Salus populi est suprema lex (real estate consumer protection)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Vivencio Mapa and Candido Mapa v. Hon. Joker Arroyo, Executive Secretary, and Labrador Development Corporation to mean and apply strictly in accordance with Ubi lex non distinguit, nec nos distinguere debemus, holding that Yes. The law protects all lots in an approved subdivision project. Where the statute says 'subdivision project' without restricting it to houses, commercial lot.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definition section of PD 957 says 'subdivision project' includes residential, commercial, and industrial land. When Section 20 orders developers to build facilities for the subdivision project, it covers the entire development. The developer cannot cut off protections for commercial buyers.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Universal Application of Statutory Definitions: When the statutory definition clause encompasses multiple categories (residential, commercial, industrial), subsequent operative sections must be applied to all categories unless explicitly restricted.</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If the definition at the start of a law says 'subdivision includes commercial lots', you cannot later claim that the law only applies to residential houses.</w:t>
            </w:r>
          </w:p>
        </w:tc>
      </w:tr>
    </w:tbl>
    <w:p>
      <w:r>
        <w:br w:type="page"/>
      </w:r>
    </w:p>
    <w:p>
      <w:pPr>
        <w:keepNext/>
        <w:spacing w:before="320" w:after="80"/>
      </w:pPr>
      <w:r>
        <w:rPr>
          <w:rFonts w:ascii="Arial" w:hAnsi="Arial"/>
          <w:b/>
          <w:color w:val="0F2043"/>
          <w:sz w:val="26"/>
        </w:rPr>
        <w:t>57. IN RE: IN THE MATTER OF THE ESTATE OF EMIL H. JOHNSON (DECEASED)</w:t>
      </w:r>
    </w:p>
    <w:p>
      <w:pPr>
        <w:spacing w:before="40" w:after="80" w:line="276" w:lineRule="auto"/>
      </w:pPr>
      <w:r>
        <w:rPr>
          <w:rFonts w:ascii="Calibri" w:hAnsi="Calibri"/>
          <w:b/>
          <w:color w:val="212529"/>
          <w:sz w:val="21"/>
        </w:rPr>
        <w:t xml:space="preserve">Citation: </w:t>
      </w:r>
      <w:r>
        <w:rPr>
          <w:rFonts w:ascii="Calibri" w:hAnsi="Calibri"/>
          <w:i/>
          <w:color w:val="212529"/>
          <w:sz w:val="21"/>
        </w:rPr>
        <w:t>G.R. No. L-12767 | November 16, 1918 | 39 Phil. 156 | En Banc | Ponente: J. Street</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In the Matter of the Estate of Emil H. Johnson (Petition for Probate)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Alejandra Ibañez de Johnson (Oppositor)</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an order admitting to probate the holographic will of a deceased American citizen residing in Manila under Section 636 of the Code of Civil Procedure (Act No. 190).</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Emil H. Johnson, a native of Illinois and an American citizen residing in Manila, executed a holographic will and died leaving properties in the Philippines. The will was presented for probate in Manila pursuant to Section 636 of the Code of Civil Procedure (Act No. 190), which provided that a will made outside the Philippine Islands by a person not a citizen may be admitted to probate if made in accordance with the laws of his citizenship. The trial court admitted the will. The oppositor appealed, arguing that the legislative title and heading of Section 636 referred to 'Wills proved outside the Philippine Islands', and contended that since Johnson executed his will INSIDE Manila, Section 636 could not apply.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An American living in Manila wrote a holographic will. When his estate asked the Manila court to probate the will under the Code of Civil Procedure, an oppositor argued that the chapter heading in the law book said 'Wills proved outside the Philippine Islands', so a will written inside Manila could not use that law. The Supreme Court ruled that chapter headings and section titles are mere index labels and table-of-contents guides; they cannot be used to restrict or destroy the clear, unambiguous body of the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section headings and chapter titles in a statutory code can restrict or override the plain and unambiguous operative text of the statute.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heading or title of a section in a law book limit the clear meaning of the actual law written beneath 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section headings in a procedural code can limit the operative text of Section 636 of Act No. 190, testing Headings and Marginal Notes as Intrinsic Aids versus Verba Legis (the words of the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Section headings and chapter titles are INFERIOR INTRINSIC AIDS that cannot restrict, limit, or defeat the clear and unambiguous operative text of a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Section titles in law codes are just table-of-contents headings created to help readers browse. When the actual text of the law is clear, the title of the section cannot shrink or change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section headings and chapter titles in statutory compilations are mere catchwords and indices. Under Verba Legis, when the operative text of a statute is clear and comprehensive, section titles cannot be used to restrict or defeat the legislative command."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636, Act No. 190 (Code of Civil Procedure): </w:t>
            </w:r>
            <w:r>
              <w:rPr>
                <w:rFonts w:ascii="Calibri" w:hAnsi="Calibri"/>
                <w:color w:val="212529"/>
                <w:sz w:val="20"/>
              </w:rPr>
              <w:t>Allows probate of wills executed by foreigners in accordance with the laws of their home country or state.</w:t>
            </w:r>
          </w:p>
          <w:p>
            <w:pPr>
              <w:spacing w:before="20" w:after="40" w:line="276" w:lineRule="auto"/>
            </w:pPr>
            <w:r>
              <w:rPr>
                <w:rFonts w:ascii="Calibri" w:hAnsi="Calibri"/>
                <w:b/>
                <w:color w:val="212529"/>
                <w:sz w:val="20"/>
              </w:rPr>
              <w:t xml:space="preserve">2. Headings and Marginal Notes as Subordinate Intrinsic Aids: </w:t>
            </w:r>
            <w:r>
              <w:rPr>
                <w:rFonts w:ascii="Calibri" w:hAnsi="Calibri"/>
                <w:color w:val="212529"/>
                <w:sz w:val="20"/>
              </w:rPr>
              <w:t>Headings and titles of sections are convenient indices, but are not part of the substantive legislative enactment and cannot override clear text.</w:t>
            </w:r>
          </w:p>
          <w:p>
            <w:pPr>
              <w:spacing w:before="20" w:after="40" w:line="276" w:lineRule="auto"/>
            </w:pPr>
            <w:r>
              <w:rPr>
                <w:rFonts w:ascii="Calibri" w:hAnsi="Calibri"/>
                <w:b/>
                <w:color w:val="212529"/>
                <w:sz w:val="20"/>
              </w:rPr>
              <w:t xml:space="preserve">3. Verba Legis Non Est Recedendum (from the words of the statute there should be no departure): </w:t>
            </w:r>
            <w:r>
              <w:rPr>
                <w:rFonts w:ascii="Calibri" w:hAnsi="Calibri"/>
                <w:color w:val="212529"/>
                <w:sz w:val="20"/>
              </w:rPr>
              <w:t>The plain text of the operative section controls.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636 Act No. 190, Headings as Subordinate Aids, and Verba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636 of Act No. 190, guided by the rule on the Subordinate Nature of Section Headings and Verba legis non est recedendum (from statutory words no departure)."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Function of Section Headings: </w:t>
            </w:r>
            <w:r>
              <w:rPr>
                <w:rFonts w:ascii="Calibri" w:hAnsi="Calibri"/>
                <w:color w:val="212529"/>
                <w:sz w:val="20"/>
              </w:rPr>
              <w:t>Headings in codes are inserted for ease of reference and convenience of compilation. They are not intended to qualify or limit the substantive enactments found in the body of the sections.</w:t>
            </w:r>
          </w:p>
          <w:p>
            <w:pPr>
              <w:spacing w:before="20" w:after="40" w:line="276" w:lineRule="auto"/>
            </w:pPr>
            <w:r>
              <w:rPr>
                <w:rFonts w:ascii="Calibri" w:hAnsi="Calibri"/>
                <w:b/>
                <w:color w:val="212529"/>
                <w:sz w:val="20"/>
              </w:rPr>
              <w:t xml:space="preserve">2. Primacy of Operative Language: </w:t>
            </w:r>
            <w:r>
              <w:rPr>
                <w:rFonts w:ascii="Calibri" w:hAnsi="Calibri"/>
                <w:color w:val="212529"/>
                <w:sz w:val="20"/>
              </w:rPr>
              <w:t>Where the language of the section itself is broad, clear, and unambiguous, it must be given full effect without regard to any restrictive phrasing in the chapter caption.</w:t>
            </w:r>
          </w:p>
          <w:p>
            <w:pPr>
              <w:spacing w:before="20" w:after="40" w:line="276" w:lineRule="auto"/>
            </w:pPr>
            <w:r>
              <w:rPr>
                <w:rFonts w:ascii="Calibri" w:hAnsi="Calibri"/>
                <w:b/>
                <w:color w:val="212529"/>
                <w:sz w:val="20"/>
              </w:rPr>
              <w:t xml:space="preserve">3. Valid Execution Under Foreign Law: </w:t>
            </w:r>
            <w:r>
              <w:rPr>
                <w:rFonts w:ascii="Calibri" w:hAnsi="Calibri"/>
                <w:color w:val="212529"/>
                <w:sz w:val="20"/>
              </w:rPr>
              <w:t>The deceased, as a citizen of Illinois, executed a will conforming to Illinois law, which Section 636 explicitly authorized to be probated in Philippine courts.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chapter heading is just a label on a folder. If the paper inside the folder gives a complete right, you don't throw away the paper just because the folder label was short. The text of the law was clear, so the title heading could not block the probate of the will.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laid down the fundamental rule on statutory headings. Section titles are mere bookmarks for convenience. Under Verba Legis, the clear operative text of Section 636 governs, and cannot be narrowed by an imperfect chapter heading."</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trial court order admitting the holographic will of Emil H. Johnson to probate.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American citizen's will was declared validly probated.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probate, establishing that section headings cannot restrict the plain operative text of a statute."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Section Headings and Chapter Titles as Subordinate Aids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substantive text of Section 636 governs over editorial headings.</w:t>
            </w:r>
          </w:p>
          <w:p>
            <w:pPr>
              <w:spacing w:before="40" w:after="60" w:line="276" w:lineRule="auto"/>
            </w:pPr>
            <w:r>
              <w:rPr>
                <w:rFonts w:ascii="Calibri" w:hAnsi="Calibri"/>
                <w:b/>
                <w:color w:val="8C3200"/>
                <w:sz w:val="20"/>
              </w:rPr>
              <w:t>2. Rubrica non est lex (the title/heading is not the law)</w:t>
              <w:br/>
            </w:r>
            <w:r>
              <w:rPr>
                <w:rFonts w:ascii="Calibri" w:hAnsi="Calibri"/>
                <w:b/>
                <w:color w:val="212529"/>
                <w:sz w:val="19"/>
              </w:rPr>
              <w:t xml:space="preserve">   • Literal English Translation: </w:t>
            </w:r>
            <w:r>
              <w:rPr>
                <w:rFonts w:ascii="Calibri" w:hAnsi="Calibri"/>
                <w:i/>
                <w:color w:val="212529"/>
                <w:sz w:val="19"/>
              </w:rPr>
              <w:t>The heading is not the law.</w:t>
              <w:br/>
            </w:r>
            <w:r>
              <w:rPr>
                <w:rFonts w:ascii="Calibri" w:hAnsi="Calibri"/>
                <w:b/>
                <w:color w:val="212529"/>
                <w:sz w:val="19"/>
              </w:rPr>
              <w:t xml:space="preserve">   • Plain Legal Meaning &amp; StatCon Application: </w:t>
            </w:r>
            <w:r>
              <w:rPr>
                <w:rFonts w:ascii="Calibri" w:hAnsi="Calibri"/>
                <w:color w:val="212529"/>
                <w:sz w:val="19"/>
              </w:rPr>
              <w:t>Section titles and marginal notes do not possess substantive legislative force to restrict clear statutory text.</w:t>
            </w:r>
          </w:p>
          <w:p>
            <w:pPr>
              <w:spacing w:before="40" w:after="60" w:line="276" w:lineRule="auto"/>
            </w:pPr>
            <w:r>
              <w:rPr>
                <w:rFonts w:ascii="Calibri" w:hAnsi="Calibri"/>
                <w:b/>
                <w:color w:val="8C3200"/>
                <w:sz w:val="20"/>
              </w:rPr>
              <w:t>3. Absoluta sententia expositore non eget (when the language is clear, no explanation is required)</w:t>
              <w:br/>
            </w:r>
            <w:r>
              <w:rPr>
                <w:rFonts w:ascii="Calibri" w:hAnsi="Calibri"/>
                <w:b/>
                <w:color w:val="212529"/>
                <w:sz w:val="19"/>
              </w:rPr>
              <w:t xml:space="preserve">   • Literal English Translation: </w:t>
            </w:r>
            <w:r>
              <w:rPr>
                <w:rFonts w:ascii="Calibri" w:hAnsi="Calibri"/>
                <w:i/>
                <w:color w:val="212529"/>
                <w:sz w:val="19"/>
              </w:rPr>
              <w:t>An absolute sentence requires no expositor.</w:t>
              <w:br/>
            </w:r>
            <w:r>
              <w:rPr>
                <w:rFonts w:ascii="Calibri" w:hAnsi="Calibri"/>
                <w:b/>
                <w:color w:val="212529"/>
                <w:sz w:val="19"/>
              </w:rPr>
              <w:t xml:space="preserve">   • Plain Legal Meaning &amp; StatCon Application: </w:t>
            </w:r>
            <w:r>
              <w:rPr>
                <w:rFonts w:ascii="Calibri" w:hAnsi="Calibri"/>
                <w:color w:val="212529"/>
                <w:sz w:val="19"/>
              </w:rPr>
              <w:t>The clear text of the probate statute requires no construction from marginal titles.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Section Headings and Chapter Titles as Subordinate Aids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Rubrica non est lex</w:t>
              <w:br/>
              <w:t>(the title or heading is not the law / section headings and marginal notes in codes are mere convenience indices that cannot restrict clear operative text)</w:t>
              <w:br/>
              <w:br/>
              <w:t>Secondary:</w:t>
              <w:br/>
              <w:t>• Verba legis non est recedendum (statutory words control)</w:t>
              <w:br/>
              <w:t>• Absoluta sententia expositore non eget (clear text needs no exposition)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oppositor attempted to use an editorial section heading to override and restrict the clear operative body of the Code of Civil Procedure.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Subordinate Status of Section Headings: Section headings, titles, and marginal notes are mere editorial guides and indices; they cannot be used to restrict, limit, or contradict the clear operative text of the statute.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titles and book headings are just table-of-contents labels; they are not the actual law and cannot shrink what the law says.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In Re Estate of Johnson is the classic benchmark case for the maxim Rubrica non est lex: section headings cannot restrict the clear text of a statute."</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In Re: In the Matter of the Estate of Emil H. Johnson (Deceased)</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L-12767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November 16, 1918</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Emil H. Johnson, a native of Illinois and an American citizen residing in Manila, executed a holographic will and died leaving properties in the Philippines. The will was presented for probate in Manila pursuant to Section 636 of the Code of Civil Procedure (Act No. 190), which provided that a will made outside the Philippine Islands by a person not a citizen may be admitted to probate if made in accordance with the laws of his citizenship. The trial court admitted the will. The oppositor appealed, arguing that the legislative title and heading of Section 636 referred to 'Wills proved outside the Philippine Islands', and contended that since Johnson executed his will INSIDE Manila, Section 636 could not apply.</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636, Act No. 190 (Code of Civil Procedure): Allows probate of wills executed by foreigners in accordance with the laws of their home country or state.</w:t>
              <w:br/>
              <w:t>2. Headings and Marginal Notes as Subordinate Intrinsic Aids: Headings and titles of sections are convenient indices, but are not part of the substantive legislative enactment and cannot override clear text.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oppositor attempted to use an editorial section heading to override and restrict the clear operative body of the Code of Civil Procedure.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section headings and chapter titles in a statutory code can restrict or override the plain and unambiguous operative text of the statute.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In Re: In the Matter of the Estate of Emil H. Johnson (Deceased), under the canon of Rubrica non est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636, Act No. 190 (Code of Civil Procedure): Allows probate of wills executed by foreigners in accordance with the laws of their home country or state.</w:t>
              <w:br/>
              <w:t>2. Headings and Marginal Notes as Subordinate Intrinsic Aids: Headings and titles of sections are convenient indices, but are not part of the substantive legislative enactment and cannot override clear text.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oppositor attempted to use an editorial section heading to override and restrict the clear operative body of the Cod...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trial court order admitting the holographic will of Emil H. Johnson to probate.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Section headings and chapter titles are INFERIOR INTRINSIC AIDS that cannot restrict, limit, or defeat the clear and unambiguous operative text of a statute.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oppositor attempted to use an editorial section heading to override and restrict the clear operative body of the Code of Civil Procedure.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Rubrica non est lex</w:t>
              <w:br/>
              <w:t xml:space="preserve">   - Application: Subordinate Status of Section Headings: Section headings, titles, and marginal notes are mere editorial guides and indices; they cannot be used to restrict, limit, or contradict the clear operative text of the statute.</w:t>
              <w:br/>
              <w:t xml:space="preserve">   - Result: No. Section titles in law codes are just table-of-contents headings created to help readers browse. When the actual text of the law is clear, the title of the section cannot shrink or change the law.</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(statutory words control)</w:t>
              <w:br/>
              <w:t>• Absoluta sententia expositore non eget (clear text needs no exposition)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In Re: In the Matter of the Estate of Emil H. Johnson (Deceased) to mean and apply strictly in accordance with Rubrica non est lex, holding that No. Section titles in law codes are just table-of-contents headings created to help readers browse. When the actual text of the law is clear, the title of the s.</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 chapter heading is just a label on a folder. If the paper inside the folder gives a complete right, you don't throw away the paper just because the folder label was short. The text of the law was clear, so the title heading could not block the probate of the will.</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Rubrica non est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Subordinate Status of Section Headings: Section headings, titles, and marginal notes are mere editorial guides and indices; they cannot be used to restrict, limit, or contradict the clear operative text of the statute.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Section titles and book headings are just table-of-contents labels; they are not the actual law and cannot shrink what the law says.</w:t>
            </w:r>
          </w:p>
        </w:tc>
      </w:tr>
    </w:tbl>
    <w:p>
      <w:r>
        <w:br w:type="page"/>
      </w:r>
    </w:p>
    <w:p>
      <w:pPr>
        <w:keepNext/>
        <w:spacing w:before="320" w:after="80"/>
      </w:pPr>
      <w:r>
        <w:rPr>
          <w:rFonts w:ascii="Arial" w:hAnsi="Arial"/>
          <w:b/>
          <w:color w:val="0F2043"/>
          <w:sz w:val="26"/>
        </w:rPr>
        <w:t>58. PEOPLE OF THE PHILIPPINE ISLANDS V. MAXIMO YABUT</w:t>
      </w:r>
    </w:p>
    <w:p>
      <w:pPr>
        <w:spacing w:before="40" w:after="80" w:line="276" w:lineRule="auto"/>
      </w:pPr>
      <w:r>
        <w:rPr>
          <w:rFonts w:ascii="Calibri" w:hAnsi="Calibri"/>
          <w:b/>
          <w:color w:val="212529"/>
          <w:sz w:val="21"/>
        </w:rPr>
        <w:t xml:space="preserve">Citation: </w:t>
      </w:r>
      <w:r>
        <w:rPr>
          <w:rFonts w:ascii="Calibri" w:hAnsi="Calibri"/>
          <w:i/>
          <w:color w:val="212529"/>
          <w:sz w:val="21"/>
        </w:rPr>
        <w:t>G.R. No. 39085 | September 27, 1933 | 58 Phil. 499 | En Banc | Ponente: J. Vickers</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People of the Philippine Islands (Appellee)</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Maximo Yabut (Appellant)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Appeal from a conviction for Homicide with the special aggravating circumstance of Quasi-Recidivism under Article 160 of the Revised Penal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Maximo Yabut was convicted of Homicide and sentenced to prison. While serving his sentence in Bilibid Prison, Yabut struck and killed another prisoner with a wooden club. The trial court convicted him of Homicide and applied the special aggravating circumstance of QUASI-RECIDIVISM under Article 160 of the Revised Penal Code, imposing the maximum period of Reclusion Temporal. Yabut appealed, arguing that Article 160 RPC applies only when the second offense is committed while serving sentence for a crime involving the SAME title or class, relying on the placement of commas and the phrase 'another offense' in the Spanish text.</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prisoner serving time in Bilibid Prison murdered a fellow inmate. The court sentenced him to the maximum penalty for 'Quasi-Recidivism' (committing a new felony while serving an existing prison sentence). The prisoner argued that quasi-recidivism should only apply if the new crime is the exact same type of crime as his first conviction, citing the Spanish text and comma placements. The Supreme Court rejected his argument, holding that Article 160 applies to ANY new felony committed while serving sentence, regardless of crime classification.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Quasi-Recidivism under Article 160 of the Revised Penal Code requires that the prior and subsequent offenses belong to the same statutory classification or title.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quasi-recidivism apply whenever a prisoner commits ANY new felony while serving sentence, or must the new crime be the exact same type of crime as his old conviction?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Quasi-Recidivism under Article 160 RPC applies to any felony committed during imprisonment, testing the canon of Verba Legis (the words of the law) and Ubi Lex Non Distinguit."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Quasi-recidivism applies to ANY FELONY committed while serving sentence. Article 160 of the RPC makes no distinction regarding the nature or classification of the previous or subsequent offenses.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Quasi-recidivism applies to ANY crime committed in prison. If you are serving time and you commit a new felony, the law automatically imposes the maximum penalty. Where the law does not distinguish between types of crimes, courts must make no distinction.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Ubi lex non distinguit nec nos distinguere debemus (where the law does not distinguish, we should not distinguish) and Verba Legis, Article 160 RPC applies to 'another felony' of any nature committed while serving sentence, triggering the mandatory maximum penalty of quasi-recidivism."</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160, Revised Penal Code: </w:t>
            </w:r>
            <w:r>
              <w:rPr>
                <w:rFonts w:ascii="Calibri" w:hAnsi="Calibri"/>
                <w:color w:val="212529"/>
                <w:sz w:val="20"/>
              </w:rPr>
              <w:t>Quasi-recidivism: any person who shall commit a felony after having been convicted by final judgment, before beginning to serve such sentence, or while serving the same, shall be punished by the maximum period.</w:t>
            </w:r>
          </w:p>
          <w:p>
            <w:pPr>
              <w:spacing w:before="20" w:after="40" w:line="276" w:lineRule="auto"/>
            </w:pPr>
            <w:r>
              <w:rPr>
                <w:rFonts w:ascii="Calibri" w:hAnsi="Calibri"/>
                <w:b/>
                <w:color w:val="212529"/>
                <w:sz w:val="20"/>
              </w:rPr>
              <w:t xml:space="preserve">2. Ubi Lex Non Distinguit, Nec Nos Distinguere Debemus (where the law does not distinguish, we should not distinguish): </w:t>
            </w:r>
            <w:r>
              <w:rPr>
                <w:rFonts w:ascii="Calibri" w:hAnsi="Calibri"/>
                <w:color w:val="212529"/>
                <w:sz w:val="20"/>
              </w:rPr>
              <w:t>The statute uses the universal term 'a felony' without qualification.</w:t>
            </w:r>
          </w:p>
          <w:p>
            <w:pPr>
              <w:spacing w:before="20" w:after="40" w:line="276" w:lineRule="auto"/>
            </w:pPr>
            <w:r>
              <w:rPr>
                <w:rFonts w:ascii="Calibri" w:hAnsi="Calibri"/>
                <w:b/>
                <w:color w:val="212529"/>
                <w:sz w:val="20"/>
              </w:rPr>
              <w:t xml:space="preserve">3. Distinction Between Recidivism (Art. 14) and Quasi-Recidivism (Art. 160): </w:t>
            </w:r>
            <w:r>
              <w:rPr>
                <w:rFonts w:ascii="Calibri" w:hAnsi="Calibri"/>
                <w:color w:val="212529"/>
                <w:sz w:val="20"/>
              </w:rPr>
              <w:t>Ordinary recidivism requires offenses under the same RPC title; quasi-recidivism requires only that a new felony be committed while serving sentence.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160 RPC, Ubi Lex Non Distinguit, and distinction between Art 14 and Art 160.</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160 RPC, governed by Ubi lex non distinguit nec nos distinguere debemus (where the law does not distinguish, we must not distinguish)."</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Text of Article 160: </w:t>
            </w:r>
            <w:r>
              <w:rPr>
                <w:rFonts w:ascii="Calibri" w:hAnsi="Calibri"/>
                <w:color w:val="212529"/>
                <w:sz w:val="20"/>
              </w:rPr>
              <w:t>The statutory language 'shall commit a felony' is absolute and generic. It does not contain the restriction found in Article 14(9) requiring crimes to be embraced under the same Title of the Code.</w:t>
            </w:r>
          </w:p>
          <w:p>
            <w:pPr>
              <w:spacing w:before="20" w:after="40" w:line="276" w:lineRule="auto"/>
            </w:pPr>
            <w:r>
              <w:rPr>
                <w:rFonts w:ascii="Calibri" w:hAnsi="Calibri"/>
                <w:b/>
                <w:color w:val="212529"/>
                <w:sz w:val="20"/>
              </w:rPr>
              <w:t xml:space="preserve">2. Legislative Rationale of Quasi-Recidivism: </w:t>
            </w:r>
            <w:r>
              <w:rPr>
                <w:rFonts w:ascii="Calibri" w:hAnsi="Calibri"/>
                <w:color w:val="212529"/>
                <w:sz w:val="20"/>
              </w:rPr>
              <w:t>The special aggravation arises from the offender's flagrant contempt for the penal system by committing a new crime while under correctional custody.</w:t>
            </w:r>
          </w:p>
          <w:p>
            <w:pPr>
              <w:spacing w:before="20" w:after="40" w:line="276" w:lineRule="auto"/>
            </w:pPr>
            <w:r>
              <w:rPr>
                <w:rFonts w:ascii="Calibri" w:hAnsi="Calibri"/>
                <w:b/>
                <w:color w:val="212529"/>
                <w:sz w:val="20"/>
              </w:rPr>
              <w:t xml:space="preserve">3. Rejection of Punctuation Arguments: </w:t>
            </w:r>
            <w:r>
              <w:rPr>
                <w:rFonts w:ascii="Calibri" w:hAnsi="Calibri"/>
                <w:color w:val="212529"/>
                <w:sz w:val="20"/>
              </w:rPr>
              <w:t>Syntactical arguments based on comma placements cannot be used to read an unwritten restriction into an unambiguous penal provision.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Ordinary recidivism (Article 14) requires the two crimes to be under the same title (like two robberies). But quasi-recidivism (Article 160) is different: it punishes the fact that you committed a crime while already behind bars! The law says 'a felony' without restriction. The court cannot add words to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contrasted Article 14 with Article 160. Article 160 penalizes contempt of prison discipline and uses the generic phrase 'a felony'. Under Ubi Lex Non Distinguit, the maximum penalty must be applied regardless of the nature of the previous offense."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conviction and the imposition of the MAXIMUM PERIOD of Reclusion Temporal under the quasi-recidivism provisions of Article 160 RPC.</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conviction with maximum penalty for quasi-recidivism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maximum penalty, holding that quasi-recidivism applies to all felonies under Ubi Lex Non Distinguit."</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Comparison of Related Provisions (Article 14 vs. Article 160 RPC) &amp; Ubi Lex Non Distinguit</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Ubi lex non distinguit, nec nos distinguere debemus (where the law does not distinguish, we should not distinguish)</w:t>
              <w:br/>
            </w:r>
            <w:r>
              <w:rPr>
                <w:rFonts w:ascii="Calibri" w:hAnsi="Calibri"/>
                <w:b/>
                <w:color w:val="212529"/>
                <w:sz w:val="19"/>
              </w:rPr>
              <w:t xml:space="preserve">   • Literal English Translation: </w:t>
            </w:r>
            <w:r>
              <w:rPr>
                <w:rFonts w:ascii="Calibri" w:hAnsi="Calibri"/>
                <w:i/>
                <w:color w:val="212529"/>
                <w:sz w:val="19"/>
              </w:rPr>
              <w:t>Where the law makes no distinction, we ought not to distinguish.</w:t>
              <w:br/>
            </w:r>
            <w:r>
              <w:rPr>
                <w:rFonts w:ascii="Calibri" w:hAnsi="Calibri"/>
                <w:b/>
                <w:color w:val="212529"/>
                <w:sz w:val="19"/>
              </w:rPr>
              <w:t xml:space="preserve">   • Plain Legal Meaning &amp; StatCon Application: </w:t>
            </w:r>
            <w:r>
              <w:rPr>
                <w:rFonts w:ascii="Calibri" w:hAnsi="Calibri"/>
                <w:color w:val="212529"/>
                <w:sz w:val="19"/>
              </w:rPr>
              <w:t>Article 160 RPC applies to 'a felony' of any class without distinction.</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plain statutory phrase 'shall commit a felony' cannot be qualified by judicial interpretation.</w:t>
            </w:r>
          </w:p>
          <w:p>
            <w:pPr>
              <w:spacing w:before="40" w:after="60" w:line="276" w:lineRule="auto"/>
            </w:pPr>
            <w:r>
              <w:rPr>
                <w:rFonts w:ascii="Calibri" w:hAnsi="Calibri"/>
                <w:b/>
                <w:color w:val="8C3200"/>
                <w:sz w:val="20"/>
              </w:rPr>
              <w:t>3.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mandatory maximum penalty for quasi-recidivism must be enforced as enacted.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Comparison of Related Provisions (Article 14 vs. Article 160 RPC) &amp; Ubi Lex Non Distinguit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Ubi lex non distinguit, nec nos distinguere debemus</w:t>
              <w:br/>
              <w:t>(where the law does not distinguish, we should not distinguish / Quasi-recidivism under Article 160 RPC applies to any felony committed during sentence)</w:t>
              <w:br/>
              <w:br/>
              <w:t>Secondary:</w:t>
              <w:br/>
              <w:t>• Verba legis non est recedendum (strict adherence to statutory penal terms)</w:t>
              <w:br/>
              <w:t>• Dura lex sed lex (harsh mandatory maximum penalty)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accused attempted to import the restrictive requirements of ordinary recidivism (Art. 14) into the independent generic text of quasi-recidivism (Art. 160).</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Comparison of Related Statutory Provisions: Where the legislature includes a specific restriction in one section (Art. 14) but deliberately omits it in another (Art. 160), the omission is intentional under Ubi Lex Non Distinguit.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one section of a law says 'crimes of the same type' and another section simply says 'any crime', you cannot copy the limitation from the first section into the second section.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People v. Yabut illustrates statutory comparison between Articles 14 and 160 RPC: Ubi lex non distinguit dictates that quasi-recidivism applies to all felonies."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People of the Philippine Islands v. Maximo Yabut</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39085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27, 1933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Maximo Yabut was convicted of Homicide and sentenced to prison. While serving his sentence in Bilibid Prison, Yabut struck and killed another prisoner with a wooden club. The trial court convicted him of Homicide and applied the special aggravating circumstance of QUASI-RECIDIVISM under Article 160 of the Revised Penal Code, imposing the maximum period of Reclusion Temporal. Yabut appealed, arguing that Article 160 RPC applies only when the second offense is committed while serving sentence for a crime involving the SAME title or class, relying on the placement of commas and the phrase 'another offense' in the Spanish text.</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160, Revised Penal Code: Quasi-recidivism: any person who shall commit a felony after having been convicted by final judgment, before beginning to serve such sentence, or while serving the same, shall be punished by the maximum period.</w:t>
              <w:br/>
              <w:t>2. Ubi Lex Non Distinguit, Nec Nos Distinguere Debemus (where the law does not distinguish, we should not distinguish): The statute uses the universal term 'a felony' without qualification.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accused attempted to import the restrictive requirements of ordinary recidivism (Art. 14) into the independent generic text of quasi-recidivism (Art. 160).</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Quasi-Recidivism under Article 160 of the Revised Penal Code requires that the prior and subsequent offenses belong to the same statutory classification or title.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People of the Philippine Islands v. Maximo Yabut, under the canon of Ubi lex non distinguit, nec nos distinguere debemus.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160, Revised Penal Code: Quasi-recidivism: any person who shall commit a felony after having been convicted by final judgment, before beginning to serve such sentence, or while serving the same, shall be punished by the maximum period.</w:t>
              <w:br/>
              <w:t>2. Ubi Lex Non Distinguit, Nec Nos Distinguere Debemus (where the law does not distinguish, we should not distinguish): The statute uses the universal term 'a felony' without qualification.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The statutory language makes no distinction or exception, presenting the problem of whether administrative or judicial distinctions can be legally imported.</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conviction and the imposition of the MAXIMUM PERIOD of Reclusion Temporal under the quasi-recidivism provisions of Article 160 RPC.</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Quasi-recidivism applies to ANY FELONY committed while serving sentence. Article 160 of the RPC makes no distinction regarding the nature or classification of the previous or subsequent offenses.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accused attempted to import the restrictive requirements of ordinary recidivism (Art. 14) into the independent generic text of quasi-rec.</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Ubi lex non distinguit, nec nos distinguere debemus</w:t>
              <w:br/>
              <w:t xml:space="preserve">   - Application: Comparison of Related Statutory Provisions: Where the legislature includes a specific restriction in one section (Art. 14) but deliberately omits it in another (Art. 160), the omission is intentional under Ubi Lex Non Distinguit.</w:t>
              <w:br/>
              <w:t xml:space="preserve">   - Result: No. Quasi-recidivism applies to ANY crime committed in prison. If you are serving time and you commit a new felony, the law automatically imposes the maximum penalty. Where the law does not distinguish between types of crimes, courts must make no distinction.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(strict adherence to statutory penal terms)</w:t>
              <w:br/>
              <w:t>• Dura lex sed lex (harsh mandatory maximum penalty)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People of the Philippine Islands v. Maximo Yabut to mean and apply strictly in accordance with Ubi lex non distinguit, nec nos distinguere debemus, holding that No. Quasi-recidivism applies to ANY crime committed in prison. If you are serving time and you commit a new felony, the law automatically imposes the maximum pe.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Ordinary recidivism (Article 14) requires the two crimes to be under the same title (like two robberies). But quasi-recidivism (Article 160) is different: it punishes the fact that you committed a crime while already behind bars! The law says 'a felony' without restriction. The court cannot add words to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Ubi lex non distinguit, nec nos distinguere debemus,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Comparison of Related Statutory Provisions: Where the legislature includes a specific restriction in one section (Art. 14) but deliberately omits it in another (Art. 160), the omission is intentional under Ubi Lex Non Distinguit.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When one section of a law says 'crimes of the same type' and another section simply says 'any crime', you cannot copy the limitation from the first section into the second section.</w:t>
            </w:r>
          </w:p>
        </w:tc>
      </w:tr>
    </w:tbl>
    <w:p>
      <w:r>
        <w:br w:type="page"/>
      </w:r>
    </w:p>
    <w:p>
      <w:pPr>
        <w:keepNext/>
        <w:spacing w:before="320" w:after="80"/>
      </w:pPr>
      <w:r>
        <w:rPr>
          <w:rFonts w:ascii="Arial" w:hAnsi="Arial"/>
          <w:b/>
          <w:color w:val="0F2043"/>
          <w:sz w:val="26"/>
        </w:rPr>
        <w:t>59. BAKING V. DIRECTOR OF PRISONS</w:t>
      </w:r>
    </w:p>
    <w:p>
      <w:pPr>
        <w:spacing w:before="40" w:after="80" w:line="276" w:lineRule="auto"/>
      </w:pPr>
      <w:r>
        <w:rPr>
          <w:rFonts w:ascii="Calibri" w:hAnsi="Calibri"/>
          <w:b/>
          <w:color w:val="212529"/>
          <w:sz w:val="21"/>
        </w:rPr>
        <w:t xml:space="preserve">Citation: </w:t>
      </w:r>
      <w:r>
        <w:rPr>
          <w:rFonts w:ascii="Calibri" w:hAnsi="Calibri"/>
          <w:i/>
          <w:color w:val="212529"/>
          <w:sz w:val="21"/>
        </w:rPr>
        <w:t>G.R. No. L-30364 | July 28, 1969 | 28 SCRA 850 | En Banc | Ponente: J. Fernando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Baking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Director of Prisons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Habeas Corpus)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Habeas Corpus seeking full credit for preventive imprisonment under Article 29 of the Revised Penal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Petitioner Baking was detained preventively during the trial of his criminal case before being convicted and sentenced to prison. He petitioned for habeas corpus, demanding that his entire period of preventive detention be credited in full against his prison sentence. Under Article 29 of the Revised Penal Code as originally enacted, detention prisoners were credited with only ONE-HALF (1/2) of their preventive imprisonment, provided they agreed to abide by the same disciplinary rules as convicted prisoners. Baking argued that under modern human rights standards, constitutional due process, and the Title of Article 29 ('Period of preventive imprisonment deducted'), full credit should be granted.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prisoner who spent years in jail while waiting for his trial to finish demanded that 100% of his waiting time be deducted from his final prison sentence. Under the old Article 29 of the Revised Penal Code, the law strictly stated that detention prisoners only get 50% credit (half-time) for preventive detention. The Supreme Court ruled that while human rights principles are important, the written statute clearly and strictly allowed only one-half credit, and the courts cannot rewrite the law (Dura Lex Sed Lex). (Note: Congress subsequently amended Article 29 under RA 6127 to grant full credit).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a prisoner is entitled to full deduction of preventive imprisonment under the original text of Article 29 of the Revised Penal Code, testing Verba Legis and Dura Lex Sed Lex.</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Supreme Court grant a prisoner 100% credit for pre-trial jail time when the written penal statute strictly says 'one-half'?</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courts can expand the statutory credit for preventive imprisonment beyond the 'one-half' specified in Article 29 RPC, testing Verba Legis (the words of the law) and Dura Lex Sed Lex (the law is harsh, but it is the law)."</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Under the clear text of Article 29 of the RPC as then written, detention prisoners were entitled to deduction of ONLY ONE-HALF (1/2) of their preventive imprisonment. Courts must apply the law as written (Dura lex, sed lex), leaving policy reforms to Congress.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text of the law explicitly said 'one-half'. Even if the rule was harsh and unfair, judges cannot change the math written in the statute. The duty of the court is to apply the law as written.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Verba Legis and Dura lex, sed lex (the law is harsh, but it is the law), the explicit statutory fraction 'one-half' in Article 29 RPC was mandatory. The Court cannot engage in judicial legislation to grant full credit, which was subsequently enacted by Congress in RA 6127."</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29, Revised Penal Code (prior to amendment by R.A. No. 6127): </w:t>
            </w:r>
            <w:r>
              <w:rPr>
                <w:rFonts w:ascii="Calibri" w:hAnsi="Calibri"/>
                <w:color w:val="212529"/>
                <w:sz w:val="20"/>
              </w:rPr>
              <w:t>Explicitly provided that offenders who have undergone preventive imprisonment shall be credited in the service of their sentence with one-half of the time.</w:t>
            </w:r>
          </w:p>
          <w:p>
            <w:pPr>
              <w:spacing w:before="20" w:after="40" w:line="276" w:lineRule="auto"/>
            </w:pPr>
            <w:r>
              <w:rPr>
                <w:rFonts w:ascii="Calibri" w:hAnsi="Calibri"/>
                <w:b/>
                <w:color w:val="212529"/>
                <w:sz w:val="20"/>
              </w:rPr>
              <w:t xml:space="preserve">2. Verba Legis Non Est Recedendum (from the words of the statute there should be no departure): </w:t>
            </w:r>
            <w:r>
              <w:rPr>
                <w:rFonts w:ascii="Calibri" w:hAnsi="Calibri"/>
                <w:color w:val="212529"/>
                <w:sz w:val="20"/>
              </w:rPr>
              <w:t>When the statutory fraction is explicit, courts cannot substitute a different number.</w:t>
            </w:r>
          </w:p>
          <w:p>
            <w:pPr>
              <w:spacing w:before="20" w:after="40" w:line="276" w:lineRule="auto"/>
            </w:pPr>
            <w:r>
              <w:rPr>
                <w:rFonts w:ascii="Calibri" w:hAnsi="Calibri"/>
                <w:b/>
                <w:color w:val="212529"/>
                <w:sz w:val="20"/>
              </w:rPr>
              <w:t xml:space="preserve">3. Dura Lex, Sed Lex (the law is harsh, but it is the law): </w:t>
            </w:r>
            <w:r>
              <w:rPr>
                <w:rFonts w:ascii="Calibri" w:hAnsi="Calibri"/>
                <w:color w:val="212529"/>
                <w:sz w:val="20"/>
              </w:rPr>
              <w:t>The harshness of a statutory deduction rule does not justify judicial modification.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29 RPC, Verba Legis, and Dura Lex Sed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29 RPC, applied strictly under Verba legis non est recedendum (from statutory words there must be no departure) and Dura lex, sed lex (the law is harsh, but it is the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Statutory Text Controls: </w:t>
            </w:r>
            <w:r>
              <w:rPr>
                <w:rFonts w:ascii="Calibri" w:hAnsi="Calibri"/>
                <w:color w:val="212529"/>
                <w:sz w:val="20"/>
              </w:rPr>
              <w:t>Article 29 explicitly fixed the credit at 'one-half'. The language was unambiguous and left zero room for judicial discretion.</w:t>
            </w:r>
          </w:p>
          <w:p>
            <w:pPr>
              <w:spacing w:before="20" w:after="40" w:line="276" w:lineRule="auto"/>
            </w:pPr>
            <w:r>
              <w:rPr>
                <w:rFonts w:ascii="Calibri" w:hAnsi="Calibri"/>
                <w:b/>
                <w:color w:val="212529"/>
                <w:sz w:val="20"/>
              </w:rPr>
              <w:t xml:space="preserve">2. Prohibition Against Judicial Legislation: </w:t>
            </w:r>
            <w:r>
              <w:rPr>
                <w:rFonts w:ascii="Calibri" w:hAnsi="Calibri"/>
                <w:color w:val="212529"/>
                <w:sz w:val="20"/>
              </w:rPr>
              <w:t>Expanding statutory credit from one-half to full credit is an exclusive prerogative of the Legislature. The judiciary cannot amend statutes under the guise of equitable construction.</w:t>
            </w:r>
          </w:p>
          <w:p>
            <w:pPr>
              <w:spacing w:before="20" w:after="40" w:line="276" w:lineRule="auto"/>
            </w:pPr>
            <w:r>
              <w:rPr>
                <w:rFonts w:ascii="Calibri" w:hAnsi="Calibri"/>
                <w:b/>
                <w:color w:val="212529"/>
                <w:sz w:val="20"/>
              </w:rPr>
              <w:t xml:space="preserve">3. Prompting Legislative Reform: </w:t>
            </w:r>
            <w:r>
              <w:rPr>
                <w:rFonts w:ascii="Calibri" w:hAnsi="Calibri"/>
                <w:color w:val="212529"/>
                <w:sz w:val="20"/>
              </w:rPr>
              <w:t>The Supreme Court recognized the moral and humanitarian merit of full credit, which prompted Congress shortly thereafter to enact Republic Act No. 6127 amending Article 29 to provide full credit.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 said 'one-half'. You cannot read 'one-half' and pretend it says 'full credit'. Even though the Justices sympathized with the prisoner, they followed their judicial duty to apply the statute as enacted, while urging Congress to amend the law (which Congress did in RA 6127).</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Dura Lex Sed Lex. Although the one-half credit rule was harsh, the text of Article 29 RPC was unambiguous under Verba Legis. The Court held that changing the fraction required an act of Congress, which led to the enactment of RA 6127."</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petition for habeas corpus, HOLDING that petitioner was entitled only to one-half credit under Article 29 of the Revised Penal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denied and only half-time credit was granted under the existing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denied the habeas corpus petition, applying the strict one-half credit under Verba Legis and Dura Lex Sed Lex."</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A. Intrinsic Aids: Verba Legis &amp; Judicial Restraint in Statutory Numerical Quantities (Dura Lex Sed Lex)</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The explicit statutory fraction 'one-half' in Article 29 RPC must be applied as written.</w:t>
            </w:r>
          </w:p>
          <w:p>
            <w:pPr>
              <w:spacing w:before="40" w:after="60" w:line="276" w:lineRule="auto"/>
            </w:pPr>
            <w:r>
              <w:rPr>
                <w:rFonts w:ascii="Calibri" w:hAnsi="Calibri"/>
                <w:b/>
                <w:color w:val="8C3200"/>
                <w:sz w:val="20"/>
              </w:rPr>
              <w:t>2.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Courts cannot change explicit numerical quantities in a penal statute.</w:t>
            </w:r>
          </w:p>
          <w:p>
            <w:pPr>
              <w:spacing w:before="40" w:after="60" w:line="276" w:lineRule="auto"/>
            </w:pPr>
            <w:r>
              <w:rPr>
                <w:rFonts w:ascii="Calibri" w:hAnsi="Calibri"/>
                <w:b/>
                <w:color w:val="8C3200"/>
                <w:sz w:val="20"/>
              </w:rPr>
              <w:t>3. Judicis est ius dicere, non dare (it is the duty of a judge to declare the law, not to make it)</w:t>
              <w:br/>
            </w:r>
            <w:r>
              <w:rPr>
                <w:rFonts w:ascii="Calibri" w:hAnsi="Calibri"/>
                <w:b/>
                <w:color w:val="212529"/>
                <w:sz w:val="19"/>
              </w:rPr>
              <w:t xml:space="preserve">   • Literal English Translation: </w:t>
            </w:r>
            <w:r>
              <w:rPr>
                <w:rFonts w:ascii="Calibri" w:hAnsi="Calibri"/>
                <w:i/>
                <w:color w:val="212529"/>
                <w:sz w:val="19"/>
              </w:rPr>
              <w:t>It is the duty of a judge to state the law, not to create it.</w:t>
              <w:br/>
            </w:r>
            <w:r>
              <w:rPr>
                <w:rFonts w:ascii="Calibri" w:hAnsi="Calibri"/>
                <w:b/>
                <w:color w:val="212529"/>
                <w:sz w:val="19"/>
              </w:rPr>
              <w:t xml:space="preserve">   • Plain Legal Meaning &amp; StatCon Application: </w:t>
            </w:r>
            <w:r>
              <w:rPr>
                <w:rFonts w:ascii="Calibri" w:hAnsi="Calibri"/>
                <w:color w:val="212529"/>
                <w:sz w:val="19"/>
              </w:rPr>
              <w:t>Changing preventive imprisonment credit requires legislative enactment, not judicial decree.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A. Intrinsic Aids: Verba Legis &amp; Judicial Restraint in Statutory Numerical Quantities (Dura Lex Sed Lex)</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Dura lex, sed lex</w:t>
              <w:br/>
              <w:t>(the law is harsh, but it is the law / courts cannot change the explicit 'one-half' credit in Article 29 RPC through judicial legislation)</w:t>
              <w:br/>
              <w:br/>
              <w:t>Secondary:</w:t>
              <w:br/>
              <w:t>• Verba legis non est recedendum (plain text on numerical fractions)</w:t>
              <w:br/>
              <w:t>• Judicis est ius dicere non dare (judges declare law, not make it)</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sought to have the judiciary rewrite a clear statutory fraction from 'one-half' to 'full credit' in violation of separation of powers.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Judicial Restraint on Explicit Statutory Quantities: Where the statute specifies an exact numerical ratio or fraction, courts must enforce it strictly under Dura Lex Sed Lex; humanitarian adjustments belong exclusively to the legislature.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Judges cannot change numbers in a law; if the statute says 'half', judges must apply 'half' until Congress passes a new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Baking v. Director of Prisons is a profound example of Dura lex, sed lex and Judicis est ius dicere non dare: courts cannot alter explicit statutory fractions."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Baking v. Director of Prisons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L-30364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July 28, 1969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Petitioner Baking was detained preventively during the trial of his criminal case before being convicted and sentenced to prison. He petitioned for habeas corpus, demanding that his entire period of preventive detention be credited in full against his prison sentence. Under Article 29 of the Revised Penal Code as originally enacted, detention prisoners were credited with only ONE-HALF (1/2) of their preventive imprisonment, provided they agreed to abide by the same disciplinary rules as convicted prisoners. Baking argued that under modern human rights standards, constitutional due process, and the Title of Article 29 ('Period of preventive imprisonment deducted'), full credit should be granted.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29, Revised Penal Code (prior to amendment by R.A. No. 6127): Explicitly provided that offenders who have undergone preventive imprisonment shall be credited in the service of their sentence with one-half of the time.</w:t>
              <w:br/>
              <w:t>2. Verba Legis Non Est Recedendum (from the words of the statute there should be no departure): When the statutory fraction is explicit, courts cannot substitute a different number.</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sought to have the judiciary rewrite a clear statutory fraction from 'one-half' to 'full credit' in violation of separation of powers.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a prisoner is entitled to full deduction of preventive imprisonment under the original text of Article 29 of the Revised Penal Code, testing Verba Legis and Dura Lex Sed Lex.</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Baking v. Director of Prisons, under the canon of Dura lex, sed lex.</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29, Revised Penal Code (prior to amendment by R.A. No. 6127): Explicitly provided that offenders who have undergone preventive imprisonment shall be credited in the service of their sentence with one-half of the time.</w:t>
              <w:br/>
              <w:t>2. Verba Legis Non Est Recedendum (from the words of the statute there should be no departure): When the statutory fraction is explicit, courts cannot substitute a different number.</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sought to have the judiciary rewrite a clear statutory fraction from 'one-half' to 'full credit' in viola...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petition for habeas corpus, HOLDING that petitioner was entitled only to one-half credit under Article 29 of the Revised Penal Code.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Under the clear text of Article 29 of the RPC as then written, detention prisoners were entitled to deduction of ONLY ONE-HALF (1/2) of their preventive imprisonment. Courts must apply the law as written (Dura lex, sed lex), leaving policy reforms to Congress.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sought to have the judiciary rewrite a clear statutory fraction from 'one-half' to 'full credit' in violation of separation o.</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Dura lex, sed lex</w:t>
              <w:br/>
              <w:t xml:space="preserve">   - Application: Judicial Restraint on Explicit Statutory Quantities: Where the statute specifies an exact numerical ratio or fraction, courts must enforce it strictly under Dura Lex Sed Lex; humanitarian adjustments belong exclusively to the legislature.</w:t>
              <w:br/>
              <w:t xml:space="preserve">   - Result: No. The text of the law explicitly said 'one-half'. Even if the rule was harsh and unfair, judges cannot change the math written in the statute. The duty of the court is to apply the law as written.</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(plain text on numerical fractions)</w:t>
              <w:br/>
              <w:t>• Judicis est ius dicere non dare (judges declare law, not make it)</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Baking v. Director of Prisons to mean and apply strictly in accordance with Dura lex, sed lex, holding that No. The text of the law explicitly said 'one-half'. Even if the rule was harsh and unfair, judges cannot change the math written in the statute. The duty of the.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law said 'one-half'. You cannot read 'one-half' and pretend it says 'full credit'. Even though the Justices sympathized with the prisoner, they followed their judicial duty to apply the statute as enacted, while urging Congress to amend the law (which Congress did in RA 6127).</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Dura lex, sed lex,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Judicial Restraint on Explicit Statutory Quantities: Where the statute specifies an exact numerical ratio or fraction, courts must enforce it strictly under Dura Lex Sed Lex; humanitarian adjustments belong exclusively to the legislature.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Judges cannot change numbers in a law; if the statute says 'half', judges must apply 'half' until Congress passes a new law.</w:t>
            </w:r>
          </w:p>
        </w:tc>
      </w:tr>
    </w:tbl>
    <w:p>
      <w:r>
        <w:br w:type="page"/>
      </w:r>
    </w:p>
    <w:p>
      <w:pPr>
        <w:keepNext/>
        <w:spacing w:before="320" w:after="80"/>
      </w:pPr>
      <w:r>
        <w:rPr>
          <w:rFonts w:ascii="Arial" w:hAnsi="Arial"/>
          <w:b/>
          <w:color w:val="0F2043"/>
          <w:sz w:val="26"/>
        </w:rPr>
        <w:t>60. METROPOLITAN MANILA DEVELOPMENT AUTHORITY (MMDA) V. DANTE O. GARIN</w:t>
      </w:r>
    </w:p>
    <w:p>
      <w:pPr>
        <w:spacing w:before="40" w:after="80" w:line="276" w:lineRule="auto"/>
      </w:pPr>
      <w:r>
        <w:rPr>
          <w:rFonts w:ascii="Calibri" w:hAnsi="Calibri"/>
          <w:b/>
          <w:color w:val="212529"/>
          <w:sz w:val="21"/>
        </w:rPr>
        <w:t xml:space="preserve">Citation: </w:t>
      </w:r>
      <w:r>
        <w:rPr>
          <w:rFonts w:ascii="Calibri" w:hAnsi="Calibri"/>
          <w:i/>
          <w:color w:val="212529"/>
          <w:sz w:val="21"/>
        </w:rPr>
        <w:t>G.R. No. 130230 | April 15, 2005 | 456 SCRA 176 | En Banc | Ponente: J. Chico-Nazario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Metropolitan Manila Development Authority (MMDA)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Dante O. Garin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Parañaque City (Branch 258)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MMDA has statutory police power under Republic Act No. 7924 to confiscate and suspend driver's licenses.</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Atty. Dante Garin was flagged down by an MMDA traffic enforcer in Parañaque City for illegal parking. The enforcer confiscated Garin's driver's license and issued a Traffic Violation Receipt (TVR) pursuant to MMDA Memorandum Circular No. 92-005. Garin filed an injunction suit before the RTC, arguing that MMDA possesses no police power or legislative authority under its charter (R.A. No. 7924) to confiscate driver's licenses. The MMDA argued that Section 5(f) of RA 7924, which empowers it to 'install and administer a single ticketing system and organize administrative suspensions,' implies the power to confiscate licenses.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An MMDA traffic enforcer confiscated a lawyer's driver's license for illegal parking. The lawyer sued, claiming MMDA has no legal power to seize licenses because it is not a police force and has no lawmaking powers. The Supreme Court examined the Congressional Deliberations (Legislative Debates) of RA 7924 as an extrinsic aid and confirmed that Congress explicitly stripped MMDA of police power and legislative authority, turning it into an administrative coordination agency only. Therefore, MMDA cannot confiscate driver's licenses without a local ordinance.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MMDA has the statutory authority under R.A. No. 7924 to confiscate driver's licenses, using Legislative Debates and Congressional Journals as Extrinsic Aids.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MMDA have the legal power to confiscate driver's licenses under its charter, when checked against Congressional debates?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MMDA possesses police power to confiscate driver's licenses under RA 7924, testing Legislative Debates and Congressional Records as Extrinsic Aids to Construction and Potestas Delegata Non Delegari Potest."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MMDA has NO STATUTORY AUTHORITY to confiscate driver's licenses. Extrinsic aids—specifically the LEGISLATIVE DEBATES on R.A. No. 7924—reveal that Congress explicitly intended to create the MMDA as an administrative coordinating body, NOT a political police power agency.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transcripts of the Senate and House debates prove that lawmakers deliberately refused to give MMDA police power. MMDA is an administrative agency that coordinates services; it cannot take away licenses unless authorized by a valid local municipal ordinance.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Legislative Debates as an Extrinsic Aid, Congress explicitly stripped MMDA of police power and legislative authority. As affirmed in MMDA v. Bel-Air Village, MMDA cannot confiscate driver's licenses under RA 7924 without a specific delegation from local sanggunians."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7924 (MMDA Charter): </w:t>
            </w:r>
            <w:r>
              <w:rPr>
                <w:rFonts w:ascii="Calibri" w:hAnsi="Calibri"/>
                <w:color w:val="212529"/>
                <w:sz w:val="20"/>
              </w:rPr>
              <w:t>Creates the MMDA as an administrative planning and coordinating agency for basic services.</w:t>
            </w:r>
          </w:p>
          <w:p>
            <w:pPr>
              <w:spacing w:before="20" w:after="40" w:line="276" w:lineRule="auto"/>
            </w:pPr>
            <w:r>
              <w:rPr>
                <w:rFonts w:ascii="Calibri" w:hAnsi="Calibri"/>
                <w:b/>
                <w:color w:val="212529"/>
                <w:sz w:val="20"/>
              </w:rPr>
              <w:t xml:space="preserve">2. Legislative Debates and Congressional Records as Extrinsic Aids: </w:t>
            </w:r>
            <w:r>
              <w:rPr>
                <w:rFonts w:ascii="Calibri" w:hAnsi="Calibri"/>
                <w:color w:val="212529"/>
                <w:sz w:val="20"/>
              </w:rPr>
              <w:t>Statements and deliberations of legislators during floor debates reveal the definitive legislative intent regarding agency powers.</w:t>
            </w:r>
          </w:p>
          <w:p>
            <w:pPr>
              <w:spacing w:before="20" w:after="40" w:line="276" w:lineRule="auto"/>
            </w:pPr>
            <w:r>
              <w:rPr>
                <w:rFonts w:ascii="Calibri" w:hAnsi="Calibri"/>
                <w:b/>
                <w:color w:val="212529"/>
                <w:sz w:val="20"/>
              </w:rPr>
              <w:t xml:space="preserve">3. Potestas Delegata Non Delegari Potest (a delegated power cannot be delegated): </w:t>
            </w:r>
            <w:r>
              <w:rPr>
                <w:rFonts w:ascii="Calibri" w:hAnsi="Calibri"/>
                <w:color w:val="212529"/>
                <w:sz w:val="20"/>
              </w:rPr>
              <w:t>Police power is inherently legislative; an administrative agency cannot assume police power by implication.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7924, Legislative Debates as Extrinsic Aids, and Potestas Delegata Non Delegari Potest.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7924, interpreted through Legislative Debates and Committee Records as Extrinsic Aids under the doctrine of Potestas delegata non delegari potest."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Intent from Floor Debates: </w:t>
            </w:r>
            <w:r>
              <w:rPr>
                <w:rFonts w:ascii="Calibri" w:hAnsi="Calibri"/>
                <w:color w:val="212529"/>
                <w:sz w:val="20"/>
              </w:rPr>
              <w:t>The transcripts of the Senate deliberations (speeches of Senators Macapagal-Arroyo, Tolentino, and Biazon) clearly show that Congress explicitly rejected giving MMDA police power or ordinance-making authority.</w:t>
            </w:r>
          </w:p>
          <w:p>
            <w:pPr>
              <w:spacing w:before="20" w:after="40" w:line="276" w:lineRule="auto"/>
            </w:pPr>
            <w:r>
              <w:rPr>
                <w:rFonts w:ascii="Calibri" w:hAnsi="Calibri"/>
                <w:b/>
                <w:color w:val="212529"/>
                <w:sz w:val="20"/>
              </w:rPr>
              <w:t xml:space="preserve">2. Administrative vs. Police Authority: </w:t>
            </w:r>
            <w:r>
              <w:rPr>
                <w:rFonts w:ascii="Calibri" w:hAnsi="Calibri"/>
                <w:color w:val="212529"/>
                <w:sz w:val="20"/>
              </w:rPr>
              <w:t>MMDA is limited to planning, monitoring, and coordinating functions. Regulating and seizing driver's licenses is an exercise of police power belonging exclusively to the LTO and local government units under the Local Government Code.</w:t>
            </w:r>
          </w:p>
          <w:p>
            <w:pPr>
              <w:spacing w:before="20" w:after="40" w:line="276" w:lineRule="auto"/>
            </w:pPr>
            <w:r>
              <w:rPr>
                <w:rFonts w:ascii="Calibri" w:hAnsi="Calibri"/>
                <w:b/>
                <w:color w:val="212529"/>
                <w:sz w:val="20"/>
              </w:rPr>
              <w:t xml:space="preserve">3. Subordination of Administrative Regulations: </w:t>
            </w:r>
            <w:r>
              <w:rPr>
                <w:rFonts w:ascii="Calibri" w:hAnsi="Calibri"/>
                <w:color w:val="212529"/>
                <w:sz w:val="20"/>
              </w:rPr>
              <w:t>MMDA circulars ordering automatic license confiscation are ultra vires and void because they exceed the statutory authority conferred by Congress.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When reading the official transcripts of the Senate debates on RA 7924, the Senators clearly agreed: 'MMDA is not a local government; it has no police power.' Because the legislative debates show Congress deliberately withheld the power to seize licenses, the MMDA cannot give itself that power through internal circulars.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utilized the Congressional Records as an extrinsic aid. The debates prove that Congress deliberately designed MMDA without police power. Under the principle that administrative powers cannot exceed statutory grants, MMDA's license confiscation was declared ultra vires."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trial court decision, ENJOINED the MMDA from confiscating driver's licenses without statutory or ordinance authority, and ORDERED the return of Garin's license.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lawyer won and MMDA was prohibited from confiscating driver's licenses without an ordinance.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prohibited MMDA from confiscating driver's licenses, using Congressional debates as an extrinsic aid to define the limits of agency power."</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B. Extrinsic Aids: Legislative Debates and Congressional Records (Limits of Administrative Agency Powers)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Police power is vested in the Legislature and local sanggunians; MMDA cannot assume it by implication.</w:t>
            </w:r>
          </w:p>
          <w:p>
            <w:pPr>
              <w:spacing w:before="40" w:after="60" w:line="276" w:lineRule="auto"/>
            </w:pPr>
            <w:r>
              <w:rPr>
                <w:rFonts w:ascii="Calibri" w:hAnsi="Calibri"/>
                <w:b/>
                <w:color w:val="8C3200"/>
                <w:sz w:val="20"/>
              </w:rPr>
              <w:t>2.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Congressional records and debates explain the true boundaries of the statutory enactment.</w:t>
            </w:r>
          </w:p>
          <w:p>
            <w:pPr>
              <w:spacing w:before="40" w:after="60" w:line="276" w:lineRule="auto"/>
            </w:pPr>
            <w:r>
              <w:rPr>
                <w:rFonts w:ascii="Calibri" w:hAnsi="Calibri"/>
                <w:b/>
                <w:color w:val="8C3200"/>
                <w:sz w:val="20"/>
              </w:rPr>
              <w:t>3. Ultra vires non potest (an act beyond powers is void)</w:t>
              <w:br/>
            </w:r>
            <w:r>
              <w:rPr>
                <w:rFonts w:ascii="Calibri" w:hAnsi="Calibri"/>
                <w:b/>
                <w:color w:val="212529"/>
                <w:sz w:val="19"/>
              </w:rPr>
              <w:t xml:space="preserve">   • Literal English Translation: </w:t>
            </w:r>
            <w:r>
              <w:rPr>
                <w:rFonts w:ascii="Calibri" w:hAnsi="Calibri"/>
                <w:i/>
                <w:color w:val="212529"/>
                <w:sz w:val="19"/>
              </w:rPr>
              <w:t>Beyond powers cannot stand.</w:t>
              <w:br/>
            </w:r>
            <w:r>
              <w:rPr>
                <w:rFonts w:ascii="Calibri" w:hAnsi="Calibri"/>
                <w:b/>
                <w:color w:val="212529"/>
                <w:sz w:val="19"/>
              </w:rPr>
              <w:t xml:space="preserve">   • Plain Legal Meaning &amp; StatCon Application: </w:t>
            </w:r>
            <w:r>
              <w:rPr>
                <w:rFonts w:ascii="Calibri" w:hAnsi="Calibri"/>
                <w:color w:val="212529"/>
                <w:sz w:val="19"/>
              </w:rPr>
              <w:t>Administrative circulars issued without statutory authorization are null and void.</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B. Extrinsic Aids: Legislative Debates and Congressional Records (Limits of Administrative Agency Powers)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Potestas delegata non delegari potest</w:t>
              <w:br/>
              <w:t>(a delegated power cannot be delegated / MMDA cannot exercise police power to confiscate licenses without statutory or ordinance authority)</w:t>
              <w:br/>
              <w:br/>
              <w:t>Secondary:</w:t>
              <w:br/>
              <w:t>• Optima statuti interpretatrix (legislative debates as extrinsic guide)</w:t>
              <w:br/>
              <w:t>• Ultra vires non potest (nullity of unauthorized administrative acts)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MMDA attempted to arrogate inherent police powers through administrative circulars in direct defiance of the legislative intent recorded in Congressional debates.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Legislative Debates as Extrinsic Aids: The record of floor debates in Congress is a recognized extrinsic aid to determine the precise nature, scope, and limitations of powers granted to administrative agencies.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you want to know what a law means, read what the Senators and Congressmen said when they debated and voted on the bill.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MMDA v. Garin is the leading authority on using Congressional Floor Debates as an extrinsic aid to establish that MMDA lacks police power to seize licenses."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Metropolitan Manila Development Authority (MMDA) v. Dante O. Garin</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130230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15, 2005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Atty. Dante Garin was flagged down by an MMDA traffic enforcer in Parañaque City for illegal parking. The enforcer confiscated Garin's driver's license and issued a Traffic Violation Receipt (TVR) pursuant to MMDA Memorandum Circular No. 92-005. Garin filed an injunction suit before the RTC, arguing that MMDA possesses no police power or legislative authority under its charter (R.A. No. 7924) to confiscate driver's licenses. The MMDA argued that Section 5(f) of RA 7924, which empowers it to 'install and administer a single ticketing system and organize administrative suspensions,' implies the power to confiscate licenses.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7924 (MMDA Charter): Creates the MMDA as an administrative planning and coordinating agency for basic services.</w:t>
              <w:br/>
              <w:t>2. Legislative Debates and Congressional Records as Extrinsic Aids: Statements and deliberations of legislators during floor debates reveal the definitive legislative intent regarding agency powers.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MMDA attempted to arrogate inherent police powers through administrative circulars in direct defiance of the legislative intent recorded in Congressional debates.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MMDA has the statutory authority under R.A. No. 7924 to confiscate driver's licenses, using Legislative Debates and Congressional Journals as Extrinsic Aids.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Metropolitan Manila Development Authority (MMDA) v. Dante O. Garin, under the canon of Potestas delegata non delegari potest.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7924 (MMDA Charter): Creates the MMDA as an administrative planning and coordinating agency for basic services.</w:t>
              <w:br/>
              <w:t>2. Legislative Debates and Congressional Records as Extrinsic Aids: Statements and deliberations of legislators during floor debates reveal the definitive legislative intent regarding agency powers.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MMDA attempted to arrogate inherent police powers through administrative circulars in direct defiance of the legislative...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trial court decision, ENJOINED the MMDA from confiscating driver's licenses without statutory or ordinance authority, and ORDERED the return of Garin's license.</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MMDA has NO STATUTORY AUTHORITY to confiscate driver's licenses. Extrinsic aids—specifically the LEGISLATIVE DEBATES on R.A. No. 7924—reveal that Congress explicitly intended to create the MMDA as an administrative coordinating body, NOT a political police power agency.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MMDA attempted to arrogate inherent police powers through administrative circulars in direct defiance of the legislative intent recorded in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Potestas delegata non delegari potest</w:t>
              <w:br/>
              <w:t xml:space="preserve">   - Application: Legislative Debates as Extrinsic Aids: The record of floor debates in Congress is a recognized extrinsic aid to determine the precise nature, scope, and limitations of powers granted to administrative agencies.</w:t>
              <w:br/>
              <w:t xml:space="preserve">   - Result: No. The transcripts of the Senate and House debates prove that lawmakers deliberately refused to give MMDA police power. MMDA is an administrative agency that coordinates services; it cannot take away licenses unless authorized by a valid local municipal ordinance.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Optima statuti interpretatrix (legislative debates as extrinsic guide)</w:t>
              <w:br/>
              <w:t>• Ultra vires non potest (nullity of unauthorized administrative acts)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Metropolitan Manila Development Authority (MMDA) v. Dante O. Garin to mean and apply strictly in accordance with Potestas delegata non delegari potest, holding that No. The transcripts of the Senate and House debates prove that lawmakers deliberately refused to give MMDA police power. MMDA is an administrative agency that c.</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When reading the official transcripts of the Senate debates on RA 7924, the Senators clearly agreed: 'MMDA is not a local government; it has no police power.' Because the legislative debates show Congress deliberately withheld the power to seize licenses, the MMDA cannot give itself that power through internal circulars.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Potestas delegata non delegari potest,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Legislative Debates as Extrinsic Aids: The record of floor debates in Congress is a recognized extrinsic aid to determine the precise nature, scope, and limitations of powers granted to administrative agencies.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If you want to know what a law means, read what the Senators and Congressmen said when they debated and voted on the bill.</w:t>
            </w:r>
          </w:p>
        </w:tc>
      </w:tr>
    </w:tbl>
    <w:p>
      <w:r>
        <w:br w:type="page"/>
      </w:r>
    </w:p>
    <w:p>
      <w:pPr>
        <w:keepNext/>
        <w:spacing w:before="320" w:after="80"/>
      </w:pPr>
      <w:r>
        <w:rPr>
          <w:rFonts w:ascii="Arial" w:hAnsi="Arial"/>
          <w:b/>
          <w:color w:val="0F2043"/>
          <w:sz w:val="26"/>
        </w:rPr>
        <w:t>61. COMMISSIONER OF INTERNAL REVENUE V. SM PRIME HOLDINGS, INC. AND FIRST ASIA REALTY DEVELOPMENT CORP.</w:t>
      </w:r>
    </w:p>
    <w:p>
      <w:pPr>
        <w:spacing w:before="40" w:after="80" w:line="276" w:lineRule="auto"/>
      </w:pPr>
      <w:r>
        <w:rPr>
          <w:rFonts w:ascii="Calibri" w:hAnsi="Calibri"/>
          <w:b/>
          <w:color w:val="212529"/>
          <w:sz w:val="21"/>
        </w:rPr>
        <w:t xml:space="preserve">Citation: </w:t>
      </w:r>
      <w:r>
        <w:rPr>
          <w:rFonts w:ascii="Calibri" w:hAnsi="Calibri"/>
          <w:i/>
          <w:color w:val="212529"/>
          <w:sz w:val="21"/>
        </w:rPr>
        <w:t>G.R. No. 183505 | February 26, 2010 | 613 SCRA 774 | First Division | Ponente: J. Del Castillo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Commissioner of Internal Revenue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SM Prime Holdings, Inc. and First Asia Realty Development Corp.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Tax Appeals (En Banc) / Supreme Court</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cinema ticket sales are subject to Value-Added Tax (VAT) under Section 108 of the National Internal Revenue Code of 1997 and Revenue Memorandum Circular (RMC) No. 28-2001.</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BIR issued Revenue Memorandum Circular (RMC) No. 28-2001 declaring that gross receipts from cinema ticket sales and film exhibition are subject to 10% Value-Added Tax (VAT) under Section 108 of the NIRC of 1997 as 'services of the same kind'. Based on this circular, the CIR assessed SM Prime Holdings and First Asia Realty for deficiency VAT on their movie theater admissions. SM Prime protested, arguing that: (1) Section 108 does not include cinema exhibition in its enumeration of taxable services; (2) under the Local Government Code (Section 140), cinema admissions are subject to local amusement tax, and legislative history shows Congress never intended to impose national VAT on movie tickets; and (3) the BIR cannot expand the Tax Code via an administrative circular.</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BIR issued a memorandum circular saying all movie ticket sales in mall cinemas must pay a 10% national VAT. SM Prime challenged the tax, pointing out that movie theaters already pay local amusement taxes to cities, and that the Tax Code never mentioned cinema tickets under VAT. The Supreme Court investigated the Legislative History of the Tax Code as an extrinsic aid and confirmed that Congress deliberately exempted cinema admissions from national VAT to avoid double taxation with local amusement taxes. The BIR circular was declared illegal.</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gross receipts from cinema theater admissions are subject to Value-Added Tax (VAT) under Section 108 of the NIRC, using Legislative History and Contemporaneous Construction as Extrinsic Aids.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Are cinema ticket sales subject to national VAT, when examined through the legislative history of the Tax Code?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cinema admissions are subject to VAT under Section 108 NIRC, testing Legislative History as an Extrinsic Aid to Construction and the rule that Administrative Regulations cannot expand the Tax Code (Strictissimi Juris)."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Cinema ticket admissions are NOT subject to Value-Added Tax (VAT). EXTRINSIC AIDS—specifically the LEGISLATIVE HISTORY of the NIRC and VAT enactments—demonstrate that Congress deliberately excluded cinema operators from VAT coverage to leave the taxation of cinemas exclusively to local government amusement taxes.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legislative history shows Congress deliberately left out cinema tickets from VAT because local cities already tax movie tickets with an amusement tax. The BIR cannot invent a new VAT on movies through an administrative circular.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Legislative History as an Extrinsic Aid, Congress consistently excluded motion picture exhibition from the VAT system. Under Strictissimi Juris, the BIR cannot expand Section 108 through RMC No. 28-2001, rendering the circular null and void."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108, National Internal Revenue Code of 1997: </w:t>
            </w:r>
            <w:r>
              <w:rPr>
                <w:rFonts w:ascii="Calibri" w:hAnsi="Calibri"/>
                <w:color w:val="212529"/>
                <w:sz w:val="20"/>
              </w:rPr>
              <w:t>Enumerates transactions and services subject to VAT, omitting cinema and theatrical admissions.</w:t>
            </w:r>
          </w:p>
          <w:p>
            <w:pPr>
              <w:spacing w:before="20" w:after="40" w:line="276" w:lineRule="auto"/>
            </w:pPr>
            <w:r>
              <w:rPr>
                <w:rFonts w:ascii="Calibri" w:hAnsi="Calibri"/>
                <w:b/>
                <w:color w:val="212529"/>
                <w:sz w:val="20"/>
              </w:rPr>
              <w:t xml:space="preserve">2. Legislative History and Prior Enactments as Extrinsic Aids: </w:t>
            </w:r>
            <w:r>
              <w:rPr>
                <w:rFonts w:ascii="Calibri" w:hAnsi="Calibri"/>
                <w:color w:val="212529"/>
                <w:sz w:val="20"/>
              </w:rPr>
              <w:t>The evolution of VAT statutes from E.O. 273 to R.A. 7716 and R.A. 8424 shows the continuous legislative intent to exclude cinema admissions.</w:t>
            </w:r>
          </w:p>
          <w:p>
            <w:pPr>
              <w:spacing w:before="20" w:after="40" w:line="276" w:lineRule="auto"/>
            </w:pPr>
            <w:r>
              <w:rPr>
                <w:rFonts w:ascii="Calibri" w:hAnsi="Calibri"/>
                <w:b/>
                <w:color w:val="212529"/>
                <w:sz w:val="20"/>
              </w:rPr>
              <w:t xml:space="preserve">3. Strictissimi Juris (of the strictest interpretation) in Tax Imposition: </w:t>
            </w:r>
            <w:r>
              <w:rPr>
                <w:rFonts w:ascii="Calibri" w:hAnsi="Calibri"/>
                <w:color w:val="212529"/>
                <w:sz w:val="20"/>
              </w:rPr>
              <w:t>Taxes cannot be imposed by administrative implication; statutes are strictly construed against the taxing authority.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108 NIRC, Legislative History as Extrinsic Aid, and Strictissimi Juris.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108 NIRC, interpreted through Legislative History as an Extrinsic Aid and the bedrock canon Strictissimi Juris in taxation."</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Evolution of VAT Laws: </w:t>
            </w:r>
            <w:r>
              <w:rPr>
                <w:rFonts w:ascii="Calibri" w:hAnsi="Calibri"/>
                <w:color w:val="212529"/>
                <w:sz w:val="20"/>
              </w:rPr>
              <w:t>From the original VAT law (E.O. No. 273) through the Expanded VAT (R.A. No. 7716) and the 1997 Tax Code, cinema exhibition was never included in the VAT base. In fact, proposed amendments to include movie theaters were repeatedly rejected by Congress.</w:t>
            </w:r>
          </w:p>
          <w:p>
            <w:pPr>
              <w:spacing w:before="20" w:after="40" w:line="276" w:lineRule="auto"/>
            </w:pPr>
            <w:r>
              <w:rPr>
                <w:rFonts w:ascii="Calibri" w:hAnsi="Calibri"/>
                <w:b/>
                <w:color w:val="212529"/>
                <w:sz w:val="20"/>
              </w:rPr>
              <w:t xml:space="preserve">2. Harmonization with Local Government Code: </w:t>
            </w:r>
            <w:r>
              <w:rPr>
                <w:rFonts w:ascii="Calibri" w:hAnsi="Calibri"/>
                <w:color w:val="212529"/>
                <w:sz w:val="20"/>
              </w:rPr>
              <w:t>Under Section 140 LGC, local governments are granted the exclusive power to levy amusement taxes on cinemas. Congress avoided double taxation by keeping cinema admissions outside the national VAT system.</w:t>
            </w:r>
          </w:p>
          <w:p>
            <w:pPr>
              <w:spacing w:before="20" w:after="40" w:line="276" w:lineRule="auto"/>
            </w:pPr>
            <w:r>
              <w:rPr>
                <w:rFonts w:ascii="Calibri" w:hAnsi="Calibri"/>
                <w:b/>
                <w:color w:val="212529"/>
                <w:sz w:val="20"/>
              </w:rPr>
              <w:t xml:space="preserve">3. Administrative Regulations Cannot Legislate: </w:t>
            </w:r>
            <w:r>
              <w:rPr>
                <w:rFonts w:ascii="Calibri" w:hAnsi="Calibri"/>
                <w:color w:val="212529"/>
                <w:sz w:val="20"/>
              </w:rPr>
              <w:t>RMC No. 28-2001 was an unauthorized exercise of administrative legislation that attempted to tax a service that the Legislature deliberately excluded.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traced the entire history of tax laws passed by Congress over 20 years. Every time someone proposed adding movie tickets to the VAT law, Congress voted NO. When the law is traced historically, the legislative intent is crystal clear: only cities collect amusement tax on movies, and the BIR cannot change the law with a circular.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Legislative History as an extrinsic aid. The legislative trail shows continuous, deliberate congressional refusal to include cinema exhibitions in VAT. The Court struck down the BIR circular for usurping the legislative power of Congress."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the CIR's petition, AFFIRMED the Court of Tax Appeals, and DECLARED RMC No. 28-2001 NULL AND VOID for imposing an unauthorized tax on cinema admissions.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SM Prime won; the cinema VAT assessment and BIR circular were declared illegal and void.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voided the BIR circular and cancelled the VAT assessment on cinema tickets under the doctrine of Legislative History."</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B. Extrinsic Aids: Legislative History of the Statute &amp; Limits of Administrative Rule-Making (Strictissimi Juris)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Tax statutes are construed strictly against the government; taxes cannot be created by administrative regulation.</w:t>
            </w:r>
          </w:p>
          <w:p>
            <w:pPr>
              <w:spacing w:before="40" w:after="60" w:line="276" w:lineRule="auto"/>
            </w:pPr>
            <w:r>
              <w:rPr>
                <w:rFonts w:ascii="Calibri" w:hAnsi="Calibri"/>
                <w:b/>
                <w:color w:val="8C3200"/>
                <w:sz w:val="20"/>
              </w:rPr>
              <w:t>2. Optima statuti interpretatrix est ipsum statutum (the best interpreter of a statute is the statute itself)</w:t>
              <w:br/>
            </w:r>
            <w:r>
              <w:rPr>
                <w:rFonts w:ascii="Calibri" w:hAnsi="Calibri"/>
                <w:b/>
                <w:color w:val="212529"/>
                <w:sz w:val="19"/>
              </w:rPr>
              <w:t xml:space="preserve">   • Literal English Translation: </w:t>
            </w:r>
            <w:r>
              <w:rPr>
                <w:rFonts w:ascii="Calibri" w:hAnsi="Calibri"/>
                <w:i/>
                <w:color w:val="212529"/>
                <w:sz w:val="19"/>
              </w:rPr>
              <w:t>The best interpreter of a statute is the statute itself.</w:t>
              <w:br/>
            </w:r>
            <w:r>
              <w:rPr>
                <w:rFonts w:ascii="Calibri" w:hAnsi="Calibri"/>
                <w:b/>
                <w:color w:val="212529"/>
                <w:sz w:val="19"/>
              </w:rPr>
              <w:t xml:space="preserve">   • Plain Legal Meaning &amp; StatCon Application: </w:t>
            </w:r>
            <w:r>
              <w:rPr>
                <w:rFonts w:ascii="Calibri" w:hAnsi="Calibri"/>
                <w:color w:val="212529"/>
                <w:sz w:val="19"/>
              </w:rPr>
              <w:t>Legislative history and amendments reveal the true statutory boundaries of the VAT law.</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The BIR cannot usurp the constitutional power of Congress to impose new taxes.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B. Extrinsic Aids: Legislative History of the Statute &amp; Limits of Administrative Rule-Making (Strictissimi Juris)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Strictissimi juris</w:t>
              <w:br/>
              <w:t>(of the strictest interpretation / tax laws are strictly construed against the government; administrative circulars cannot expand the VAT base)</w:t>
              <w:br/>
              <w:br/>
              <w:t>Secondary:</w:t>
              <w:br/>
              <w:t>• Optima statuti interpretatrix (legislative history as guide)</w:t>
              <w:br/>
              <w:t>• Potestas delegata non delegari potest (administrative agencies cannot legislate)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BIR issued an administrative circular that created a new tax on cinema tickets in direct violation of the legislative history of the Tax Code.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Legislative History as a Constraint on Executive Agencies: The legislative history and evolution of a statute serve as an authoritative extrinsic aid to prevent administrative agencies from expanding tax liabilities beyond statutory boundaries.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Tracing the history of how a law was changed over the years proves what Congress wanted, preventing tax agencies from inventing new taxes.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CIR v. SM Prime Holdings is the leading case on Legislative History as an extrinsic aid to invalidate unauthorized administrative tax regulations."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Commissioner of Internal Revenue v. SM Prime Holdings, Inc. and First Asia Realty Development Corp.</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183505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26,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First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BIR issued Revenue Memorandum Circular (RMC) No. 28-2001 declaring that gross receipts from cinema ticket sales and film exhibition are subject to 10% Value-Added Tax (VAT) under Section 108 of the NIRC of 1997 as 'services of the same kind'. Based on this circular, the CIR assessed SM Prime Holdings and First Asia Realty for deficiency VAT on their movie theater admissions. SM Prime protested, arguing that: (1) Section 108 does not include cinema exhibition in its enumeration of taxable services; (2) under the Local Government Code (Section 140), cinema admissions are subject to local amusement tax, and legislative history shows Congress never intended to impose national VAT on movie tickets; and (3) the BIR cannot expand the Tax Code via an administrative circular.</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108, National Internal Revenue Code of 1997: Enumerates transactions and services subject to VAT, omitting cinema and theatrical admissions.</w:t>
              <w:br/>
              <w:t>2. Legislative History and Prior Enactments as Extrinsic Aids: The evolution of VAT statutes from E.O. 273 to R.A. 7716 and R.A. 8424 shows the continuous legislative intent to exclude cinema admissions.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BIR issued an administrative circular that created a new tax on cinema tickets in direct violation of the legislative history of the Tax Code.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gross receipts from cinema theater admissions are subject to Value-Added Tax (VAT) under Section 108 of the NIRC, using Legislative History and Contemporaneous Construction as Extrinsic Aids.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Commissioner of Internal Revenue v. SM Prime Holdings, Inc. and First Asia Realty Development Corp., under the canon of Strictissimi juris.</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108, National Internal Revenue Code of 1997: Enumerates transactions and services subject to VAT, omitting cinema and theatrical admissions.</w:t>
              <w:br/>
              <w:t>2. Legislative History and Prior Enactments as Extrinsic Aids: The evolution of VAT statutes from E.O. 273 to R.A. 7716 and R.A. 8424 shows the continuous legislative intent to exclude cinema admissions.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BIR issued an administrative circular that created a new tax on cinema tickets in direct violation of the legislativ...</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the CIR's petition, AFFIRMED the Court of Tax Appeals, and DECLARED RMC No. 28-2001 NULL AND VOID for imposing an unauthorized tax on cinema admissions.</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Cinema ticket admissions are NOT subject to Value-Added Tax (VAT). EXTRINSIC AIDS—specifically the LEGISLATIVE HISTORY of the NIRC and VAT enactments—demonstrate that Congress deliberately excluded cinema operators from VAT coverage to leave the taxation of cinemas exclusively to local government amusement taxes.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BIR issued an administrative circular that created a new tax on cinema tickets in direct violation of the legislative history of the Tax.</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Strictissimi juris</w:t>
              <w:br/>
              <w:t xml:space="preserve">   - Application: Legislative History as a Constraint on Executive Agencies: The legislative history and evolution of a statute serve as an authoritative extrinsic aid to prevent administrative agencies from expanding tax liabilities beyond statutory boundaries.</w:t>
              <w:br/>
              <w:t xml:space="preserve">   - Result: No. The legislative history shows Congress deliberately left out cinema tickets from VAT because local cities already tax movie tickets with an amusement tax. The BIR cannot invent a new VAT on movies through an administrative circular.</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Optima statuti interpretatrix (legislative history as guide)</w:t>
              <w:br/>
              <w:t>• Potestas delegata non delegari potest (administrative agencies cannot legislate)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Commissioner of Internal Revenue v. SM Prime Holdings, Inc. and First Asia Realty Development Corp. to mean and apply strictly in accordance with Strictissimi juris, holding that No. The legislative history shows Congress deliberately left out cinema tickets from VAT because local cities already tax movie tickets with an amusement tax. 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traced the entire history of tax laws passed by Congress over 20 years. Every time someone proposed adding movie tickets to the VAT law, Congress voted NO. When the law is traced historically, the legislative intent is crystal clear: only cities collect amusement tax on movies, and the BIR cannot change the law with a circular.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Strictissimi juris,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Legislative History as a Constraint on Executive Agencies: The legislative history and evolution of a statute serve as an authoritative extrinsic aid to prevent administrative agencies from expanding tax liabilities beyond statutory boundaries.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Tracing the history of how a law was changed over the years proves what Congress wanted, preventing tax agencies from inventing new taxes.</w:t>
            </w:r>
          </w:p>
        </w:tc>
      </w:tr>
    </w:tbl>
    <w:p>
      <w:r>
        <w:br w:type="page"/>
      </w:r>
    </w:p>
    <w:p>
      <w:pPr>
        <w:keepNext/>
        <w:spacing w:before="320" w:after="80"/>
      </w:pPr>
      <w:r>
        <w:rPr>
          <w:rFonts w:ascii="Arial" w:hAnsi="Arial"/>
          <w:b/>
          <w:color w:val="0F2043"/>
          <w:sz w:val="26"/>
        </w:rPr>
        <w:t>62. LAXAMANA V. BALTAZAR</w:t>
      </w:r>
    </w:p>
    <w:p>
      <w:pPr>
        <w:spacing w:before="40" w:after="80" w:line="276" w:lineRule="auto"/>
      </w:pPr>
      <w:r>
        <w:rPr>
          <w:rFonts w:ascii="Calibri" w:hAnsi="Calibri"/>
          <w:b/>
          <w:color w:val="212529"/>
          <w:sz w:val="21"/>
        </w:rPr>
        <w:t xml:space="preserve">Citation: </w:t>
      </w:r>
      <w:r>
        <w:rPr>
          <w:rFonts w:ascii="Calibri" w:hAnsi="Calibri"/>
          <w:i/>
          <w:color w:val="212529"/>
          <w:sz w:val="21"/>
        </w:rPr>
        <w:t>G.R. No. L-5955 | September 19, 1952 | 92 Phil. 32 | En Banc | Ponente: J. Bengzon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Jose Laxamana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Flaviano Baltazar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Quo Warranto)</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Quo Warranto concerning whether the Vice-Mayor or a Provincial Governor's appointee succeeds as Mayor during the temporary suspension of the Municipal Mayor under Section 2195 of the Revised Administrative Code.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Municipal Mayor of Sexmoan, Pampanga was suspended from office pending administrative charges. The Provincial Governor appointed Flaviano Baltazar to take over as Mayor. The elected Vice-Mayor, Jose Laxamana, contested the appointment and claimed the right to assume the office of Mayor pursuant to Section 2195 of the Revised Administrative Code, which provided that 'upon the occasion of the absence, suspension, or other temporary disability of the mayor, his duties shall be discharged by the vice-mayor.' Baltazar argued that Section 21(a) of the Revised Election Code gave the Governor the general power to fill vacancies in municipal offices.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mayor of a town was suspended. The Provincial Governor appointed an outsider to act as mayor. The elected Vice-Mayor filed a lawsuit, arguing that the Administrative Code explicitly says that when the mayor is suspended, the vice-mayor takes over the duties. The outsider argued that the Election Code gave the Governor the right to fill vacancies. The Supreme Court investigated the legislative history of local government succession and ruled that Section 2195 specifically provides for automatic temporary succession by the vice-mayor, which prevails over the general vacancy power of the Governor.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Vice-Mayor automatically assumes the office of Mayor during the temporary suspension of the incumbent Mayor, using Legislative History as an Extrinsic Aid.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Vice-Mayor automatically take over when the Mayor is suspended, or can the Governor appoint someone else?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Vice-Mayor succeeds to the office during temporary suspension of the Mayor under Section 2195 of the Administrative Code, testing Legislative History and Generalia Specialibus Non Derogant."</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VICE-MAYOR automatically assumes the duties of the Mayor during the Mayor's temporary suspension. Section 2195 of the Revised Administrative Code is a SPECIAL PROVISION on temporary disability that prevails over the general vacancy rules of the Election Code.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The law specifically says the Vice-Mayor takes over when the Mayor is suspended. The Governor's general power to fill permanent vacancies cannot be used to bypass the elected Vice-Mayor during temporary suspensions.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Legislative History as an Extrinsic Aid and Generalia specialibus non derogant, Section 2195 of the Revised Administrative Code specifically mandates automatic temporary succession by the Vice-Mayor. The Governor has no power to appoint a substitute where the law provides an automatic successor."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Section 2195, Revised Administrative Code: </w:t>
            </w:r>
            <w:r>
              <w:rPr>
                <w:rFonts w:ascii="Calibri" w:hAnsi="Calibri"/>
                <w:color w:val="212529"/>
                <w:sz w:val="20"/>
              </w:rPr>
              <w:t>Specific provision mandating that upon the absence, suspension, or temporary disability of the mayor, his duties shall be discharged by the vice-mayor.</w:t>
            </w:r>
          </w:p>
          <w:p>
            <w:pPr>
              <w:spacing w:before="20" w:after="40" w:line="276" w:lineRule="auto"/>
            </w:pPr>
            <w:r>
              <w:rPr>
                <w:rFonts w:ascii="Calibri" w:hAnsi="Calibri"/>
                <w:b/>
                <w:color w:val="212529"/>
                <w:sz w:val="20"/>
              </w:rPr>
              <w:t xml:space="preserve">2. Section 21(a), Revised Election Code: </w:t>
            </w:r>
            <w:r>
              <w:rPr>
                <w:rFonts w:ascii="Calibri" w:hAnsi="Calibri"/>
                <w:color w:val="212529"/>
                <w:sz w:val="20"/>
              </w:rPr>
              <w:t>General provision governing the filling of vacancies in municipal offices.</w:t>
            </w:r>
          </w:p>
          <w:p>
            <w:pPr>
              <w:spacing w:before="20" w:after="40" w:line="276" w:lineRule="auto"/>
            </w:pPr>
            <w:r>
              <w:rPr>
                <w:rFonts w:ascii="Calibri" w:hAnsi="Calibri"/>
                <w:b/>
                <w:color w:val="212529"/>
                <w:sz w:val="20"/>
              </w:rPr>
              <w:t xml:space="preserve">3. Generalia Specialibus Non Derogant (general provisions yield to special provisions): </w:t>
            </w:r>
            <w:r>
              <w:rPr>
                <w:rFonts w:ascii="Calibri" w:hAnsi="Calibri"/>
                <w:color w:val="212529"/>
                <w:sz w:val="20"/>
              </w:rPr>
              <w:t>The specific automatic succession rule for temporary disability controls over general vacancy filling.</w:t>
            </w:r>
          </w:p>
          <w:p>
            <w:pPr>
              <w:spacing w:before="20" w:after="40" w:line="276" w:lineRule="auto"/>
            </w:pPr>
            <w:r>
              <w:rPr>
                <w:rFonts w:ascii="Calibri" w:hAnsi="Calibri"/>
                <w:b/>
                <w:color w:val="212529"/>
                <w:sz w:val="20"/>
              </w:rPr>
              <w:t xml:space="preserve">4. Legislative History as an Extrinsic Aid: </w:t>
            </w:r>
            <w:r>
              <w:rPr>
                <w:rFonts w:ascii="Calibri" w:hAnsi="Calibri"/>
                <w:color w:val="212529"/>
                <w:sz w:val="20"/>
              </w:rPr>
              <w:t>The historical evolution of municipal administration laws confirms the statutory policy of succession through the vice-mayor.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Section 2195 RAC, Section 21(a) Election Code, Generalia Specialibus Non Derogant, and Legislative History.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Section 2195 of the Revised Administrative Code, applied under Generalia specialibus non derogant (general laws yield to special provisions) and Legislative History as an Extrinsic Aid."</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Legislative Evolution of Municipal Succession: </w:t>
            </w:r>
            <w:r>
              <w:rPr>
                <w:rFonts w:ascii="Calibri" w:hAnsi="Calibri"/>
                <w:color w:val="212529"/>
                <w:sz w:val="20"/>
              </w:rPr>
              <w:t>The historical purpose of creating the office of Vice-Mayor was precisely to have a readily available, democratically elected substitute to assume executive duties instantly during the mayor's temporary absence or disability.</w:t>
            </w:r>
          </w:p>
          <w:p>
            <w:pPr>
              <w:spacing w:before="20" w:after="40" w:line="276" w:lineRule="auto"/>
            </w:pPr>
            <w:r>
              <w:rPr>
                <w:rFonts w:ascii="Calibri" w:hAnsi="Calibri"/>
                <w:b/>
                <w:color w:val="212529"/>
                <w:sz w:val="20"/>
              </w:rPr>
              <w:t xml:space="preserve">2. Distinction Between Permanent Vacancy and Temporary Disability: </w:t>
            </w:r>
            <w:r>
              <w:rPr>
                <w:rFonts w:ascii="Calibri" w:hAnsi="Calibri"/>
                <w:color w:val="212529"/>
                <w:sz w:val="20"/>
              </w:rPr>
              <w:t>Section 21(a) of the Election Code governs permanent vacancies (death, permanent resignation, removal). Section 2195 of the Administrative Code specifically governs temporary suspensions.</w:t>
            </w:r>
          </w:p>
          <w:p>
            <w:pPr>
              <w:spacing w:before="20" w:after="40" w:line="276" w:lineRule="auto"/>
            </w:pPr>
            <w:r>
              <w:rPr>
                <w:rFonts w:ascii="Calibri" w:hAnsi="Calibri"/>
                <w:b/>
                <w:color w:val="212529"/>
                <w:sz w:val="20"/>
              </w:rPr>
              <w:t xml:space="preserve">3. Democratic Will of the Electorate: </w:t>
            </w:r>
            <w:r>
              <w:rPr>
                <w:rFonts w:ascii="Calibri" w:hAnsi="Calibri"/>
                <w:color w:val="212529"/>
                <w:sz w:val="20"/>
              </w:rPr>
              <w:t>The electorate elected the Vice-Mayor with the expectation that he would step into the Mayor's shoes when needed; executive appointment of a political favorite violates the statutory scheme.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Why do people elect a Vice-Mayor? To take over when the Mayor is sick, away, or suspended! If the Governor could appoint a political ally whenever the Mayor is suspended, the office of Vice-Mayor would be meaningless. The specific succession law controls.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examined the legislative history of municipal governance. The specific text of Section 2195 RAC guarantees automatic succession by the Vice-Mayor during temporary suspensions. Under Generalia Specialibus Non Derogant, this specific rule defeats general gubernatorial vacancy powers."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for Quo Warranto, OUSTED respondent Baltazar, and DECLARED petitioner Vice-Mayor Jose Laxamana entitled to discharge the duties of Mayor.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Vice-Mayor won and was declared the rightful acting Mayor.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ousted the Governor's appointee and declared the Vice-Mayor the lawful acting Mayor under Section 2195 RAC."</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B. Extrinsic Aids: Legislative History &amp; Generalia Specialibus Non Derogant (Local Executive Succession)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Generalia specialibus non derogant (general things do not derogate from special things)</w:t>
              <w:br/>
            </w:r>
            <w:r>
              <w:rPr>
                <w:rFonts w:ascii="Calibri" w:hAnsi="Calibri"/>
                <w:b/>
                <w:color w:val="212529"/>
                <w:sz w:val="19"/>
              </w:rPr>
              <w:t xml:space="preserve">   • Literal English Translation: </w:t>
            </w:r>
            <w:r>
              <w:rPr>
                <w:rFonts w:ascii="Calibri" w:hAnsi="Calibri"/>
                <w:i/>
                <w:color w:val="212529"/>
                <w:sz w:val="19"/>
              </w:rPr>
              <w:t>General words do not derogate from special provisions.</w:t>
              <w:br/>
            </w:r>
            <w:r>
              <w:rPr>
                <w:rFonts w:ascii="Calibri" w:hAnsi="Calibri"/>
                <w:b/>
                <w:color w:val="212529"/>
                <w:sz w:val="19"/>
              </w:rPr>
              <w:t xml:space="preserve">   • Plain Legal Meaning &amp; StatCon Application: </w:t>
            </w:r>
            <w:r>
              <w:rPr>
                <w:rFonts w:ascii="Calibri" w:hAnsi="Calibri"/>
                <w:color w:val="212529"/>
                <w:sz w:val="19"/>
              </w:rPr>
              <w:t>The specific temporary succession rule in Section 2195 RAC prevails over general vacancy provisions in the Election Code.</w:t>
            </w:r>
          </w:p>
          <w:p>
            <w:pPr>
              <w:spacing w:before="40" w:after="60" w:line="276" w:lineRule="auto"/>
            </w:pPr>
            <w:r>
              <w:rPr>
                <w:rFonts w:ascii="Calibri" w:hAnsi="Calibri"/>
                <w:b/>
                <w:color w:val="8C3200"/>
                <w:sz w:val="20"/>
              </w:rPr>
              <w:t>2. Ratio legis est anima legis (the reason of the law is the soul of the law)</w:t>
              <w:br/>
            </w:r>
            <w:r>
              <w:rPr>
                <w:rFonts w:ascii="Calibri" w:hAnsi="Calibri"/>
                <w:b/>
                <w:color w:val="212529"/>
                <w:sz w:val="19"/>
              </w:rPr>
              <w:t xml:space="preserve">   • Literal English Translation: </w:t>
            </w:r>
            <w:r>
              <w:rPr>
                <w:rFonts w:ascii="Calibri" w:hAnsi="Calibri"/>
                <w:i/>
                <w:color w:val="212529"/>
                <w:sz w:val="19"/>
              </w:rPr>
              <w:t>The reason of the law is the soul of the law.</w:t>
              <w:br/>
            </w:r>
            <w:r>
              <w:rPr>
                <w:rFonts w:ascii="Calibri" w:hAnsi="Calibri"/>
                <w:b/>
                <w:color w:val="212529"/>
                <w:sz w:val="19"/>
              </w:rPr>
              <w:t xml:space="preserve">   • Plain Legal Meaning &amp; StatCon Application: </w:t>
            </w:r>
            <w:r>
              <w:rPr>
                <w:rFonts w:ascii="Calibri" w:hAnsi="Calibri"/>
                <w:color w:val="212529"/>
                <w:sz w:val="19"/>
              </w:rPr>
              <w:t>The legislative reason for creating the vice-mayoralty is to ensure continuous democratic local executive succession.</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Respecting the democratic choice of the voters for Vice-Mayor preserves local government stability.</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B. Extrinsic Aids: Legislative History &amp; Generalia Specialibus Non Derogant (Local Executive Succession)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Generalia specialibus non derogant</w:t>
              <w:br/>
              <w:t>(general things do not derogate from special provisions / specific temporary succession rule for Vice-Mayor under Section 2195 RAC overrides general vacancy powers)</w:t>
              <w:br/>
              <w:br/>
              <w:t>Secondary:</w:t>
              <w:br/>
              <w:t>• Ratio legis est anima legis (purpose of the vice-mayoralty)</w:t>
              <w:br/>
              <w:t>• Salus populi est suprema lex (democratic electoral succession)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Provincial Governor attempted to use a general vacancy statute to override the specific statutory succession mechanism enacted for the Vice-Mayor.</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Primacy of Specific Succession Provisions: Where a statute creates an automatic line of succession for temporary disability, executive appointing authorities cannot create artificial vacancies to install political appointees.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specific law saying 'the vice-mayor takes over when the mayor is suspended' beats a general law about appointing replacements.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Laxamana v. Baltazar is the foundational jurisprudence harmonizing local government succession through Legislative History and Generalia specialibus non derogant."</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Laxamana v. Baltazar</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L-5955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September 19, 1952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Municipal Mayor of Sexmoan, Pampanga was suspended from office pending administrative charges. The Provincial Governor appointed Flaviano Baltazar to take over as Mayor. The elected Vice-Mayor, Jose Laxamana, contested the appointment and claimed the right to assume the office of Mayor pursuant to Section 2195 of the Revised Administrative Code, which provided that 'upon the occasion of the absence, suspension, or other temporary disability of the mayor, his duties shall be discharged by the vice-mayor.' Baltazar argued that Section 21(a) of the Revised Election Code gave the Governor the general power to fill vacancies in municipal offices.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Section 2195, Revised Administrative Code: Specific provision mandating that upon the absence, suspension, or temporary disability of the mayor, his duties shall be discharged by the vice-mayor.</w:t>
              <w:br/>
              <w:t>2. Section 21(a), Revised Election Code: General provision governing the filling of vacancies in municipal offices.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Provincial Governor attempted to use a general vacancy statute to override the specific statutory succession mechanism enacted for the Vice-Mayor.</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Vice-Mayor automatically assumes the office of Mayor during the temporary suspension of the incumbent Mayor, using Legislative History as an Extrinsic Aid.</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Laxamana v. Baltazar, under the canon of Generalia specialibus non derogant.</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Section 2195, Revised Administrative Code: Specific provision mandating that upon the absence, suspension, or temporary disability of the mayor, his duties shall be discharged by the vice-mayor.</w:t>
              <w:br/>
              <w:t>2. Section 21(a), Revised Election Code: General provision governing the filling of vacancies in municipal offices.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Provincial Governor attempted to use a general vacancy statute to override the specific statutory succession mechani...</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for Quo Warranto, OUSTED respondent Baltazar, and DECLARED petitioner Vice-Mayor Jose Laxamana entitled to discharge the duties of Mayor.</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VICE-MAYOR automatically assumes the duties of the Mayor during the Mayor's temporary suspension. Section 2195 of the Revised Administrative Code is a SPECIAL PROVISION on temporary disability that prevails over the general vacancy rules of the Election Code.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Provincial Governor attempted to use a general vacancy statute to override the specific statutory succession mechanism enacted for the V.</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Generalia specialibus non derogant</w:t>
              <w:br/>
              <w:t xml:space="preserve">   - Application: Primacy of Specific Succession Provisions: Where a statute creates an automatic line of succession for temporary disability, executive appointing authorities cannot create artificial vacancies to install political appointees.</w:t>
              <w:br/>
              <w:t xml:space="preserve">   - Result: Yes. The law specifically says the Vice-Mayor takes over when the Mayor is suspended. The Governor's general power to fill permanent vacancies cannot be used to bypass the elected Vice-Mayor during temporary suspensions.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Ratio legis est anima legis (purpose of the vice-mayoralty)</w:t>
              <w:br/>
              <w:t>• Salus populi est suprema lex (democratic electoral succession)</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Laxamana v. Baltazar to mean and apply strictly in accordance with Generalia specialibus non derogant, holding that Yes. The law specifically says the Vice-Mayor takes over when the Mayor is suspended. The Governor's general power to fill permanent vacancies cannot be used to.</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Why do people elect a Vice-Mayor? To take over when the Mayor is sick, away, or suspended! If the Governor could appoint a political ally whenever the Mayor is suspended, the office of Vice-Mayor would be meaningless. The specific succession law controls.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Generalia specialibus non derogant,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Primacy of Specific Succession Provisions: Where a statute creates an automatic line of succession for temporary disability, executive appointing authorities cannot create artificial vacancies to install political appointees.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specific law saying 'the vice-mayor takes over when the mayor is suspended' beats a general law about appointing replacements.</w:t>
            </w:r>
          </w:p>
        </w:tc>
      </w:tr>
    </w:tbl>
    <w:p>
      <w:r>
        <w:br w:type="page"/>
      </w:r>
    </w:p>
    <w:p>
      <w:pPr>
        <w:keepNext/>
        <w:spacing w:before="320" w:after="80"/>
      </w:pPr>
      <w:r>
        <w:rPr>
          <w:rFonts w:ascii="Arial" w:hAnsi="Arial"/>
          <w:b/>
          <w:color w:val="0F2043"/>
          <w:sz w:val="26"/>
        </w:rPr>
        <w:t>63. RUSTAN ANG V. COURT OF APPEALS AND IRISH SAGUD</w:t>
      </w:r>
    </w:p>
    <w:p>
      <w:pPr>
        <w:spacing w:before="40" w:after="80" w:line="276" w:lineRule="auto"/>
      </w:pPr>
      <w:r>
        <w:rPr>
          <w:rFonts w:ascii="Calibri" w:hAnsi="Calibri"/>
          <w:b/>
          <w:color w:val="212529"/>
          <w:sz w:val="21"/>
        </w:rPr>
        <w:t xml:space="preserve">Citation: </w:t>
      </w:r>
      <w:r>
        <w:rPr>
          <w:rFonts w:ascii="Calibri" w:hAnsi="Calibri"/>
          <w:i/>
          <w:color w:val="212529"/>
          <w:sz w:val="21"/>
        </w:rPr>
        <w:t>G.R. No. 182835 | April 20, 2010 | 618 SCRA 592 | Third Division | Ponente: J. Abad</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Rustan Ang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Irish Sagud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Baguio City (Branch 6)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whether obscene picture messages (MMS) sent via cellular phone constitute 'electronic documents' under the Rules on Electronic Evidence and Republic Act No. 8792 (E-Commerce Act).</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Rustan Ang sent naked and obscene pictures of his former girlfriend Irish Sagud through cellular phone Multimedia Messaging Service (MMS) with extortion demands. He was criminally charged with violation of the Anti-Photo and Video Voyeurism Act and the RPC. During trial, the prosecution presented digital camera photographs of the cell phone screen showing the text and picture messages. Ang objected to the admissibility of the photos, arguing that under the 2001 Rules on Electronic Evidence (A.M. No. 01-7-01-SC) and the E-Commerce Act (R.A. No. 8792), an 'electronic document' refers only to computer data files, not to cellular phone SMS/MMS messages.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man sent naked pictures of his ex-girlfriend via cell phone MMS to blackmailed her. In court, prosecutors presented photos of the cell phone screen showing the messages. The man argued that the digital messages were inadmissible because the Electronic Evidence Rules only apply to computers, not cell phones! The Supreme Court rejected his argument, using Extrinsic Aids and contemporaneous technological realities to rule that cell phone messages are electronic documents.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cell phone text messages (SMS) and multimedia messages (MMS) qualify as 'electronic documents' under the Rules on Electronic Evidence, using Extrinsic Aids and Contemporaneous Construction.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Are cell phone text and picture messages considered 'electronic documents' that can be used as evidence in court?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SMS and MMS cellular communications qualify as electronic documents under the Rules on Electronic Evidence, testing Contemporaneous Construction and Extrinsic Aids in interpreting modern technological terms."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Cell phone text and multimedia messages ARE ELECTRONIC DOCUMENTS within the contemplation of the Rules on Electronic Evidence. Remedial and evidentiary rules must be construed in light of CONTEMPORANEOUS TECHNOLOGICAL DEVELOPMENTS to maintain efficacy.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Cell phones are pocket computers. A digital text message or picture message stored on a phone is an electronic document. Evidentiary rules must be interpreted to cover modern technology so criminals cannot hide behind technicalities.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Contemporaneous Construction and purposive interpretation of the Rules on Electronic Evidence (A.M. No. 01-7-01-SC) in relation to RA 8792, cellular phone text messages (SMS) and multimedia messages (MMS) constitute electronic documents and are admissible in evidence."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Rule 2, Section 1(h), Rules on Electronic Evidence (A.M. No. 01-7-01-SC): </w:t>
            </w:r>
            <w:r>
              <w:rPr>
                <w:rFonts w:ascii="Calibri" w:hAnsi="Calibri"/>
                <w:color w:val="212529"/>
                <w:sz w:val="20"/>
              </w:rPr>
              <w:t>Defines electronic documents to include information generated, received, or stored by electronic, optical, or similar means.</w:t>
            </w:r>
          </w:p>
          <w:p>
            <w:pPr>
              <w:spacing w:before="20" w:after="40" w:line="276" w:lineRule="auto"/>
            </w:pPr>
            <w:r>
              <w:rPr>
                <w:rFonts w:ascii="Calibri" w:hAnsi="Calibri"/>
                <w:b/>
                <w:color w:val="212529"/>
                <w:sz w:val="20"/>
              </w:rPr>
              <w:t xml:space="preserve">2. Republic Act No. 8792 (Electronic Commerce Act of 2000): </w:t>
            </w:r>
            <w:r>
              <w:rPr>
                <w:rFonts w:ascii="Calibri" w:hAnsi="Calibri"/>
                <w:color w:val="212529"/>
                <w:sz w:val="20"/>
              </w:rPr>
              <w:t>Statutory recognition of electronic data messages and digital signatures.</w:t>
            </w:r>
          </w:p>
          <w:p>
            <w:pPr>
              <w:spacing w:before="20" w:after="40" w:line="276" w:lineRule="auto"/>
            </w:pPr>
            <w:r>
              <w:rPr>
                <w:rFonts w:ascii="Calibri" w:hAnsi="Calibri"/>
                <w:b/>
                <w:color w:val="212529"/>
                <w:sz w:val="20"/>
              </w:rPr>
              <w:t xml:space="preserve">3. Contemporanea Expositio Est Optima Et Fortissima In Lege (contemporaneous exposition is the best and strongest in the law): </w:t>
            </w:r>
            <w:r>
              <w:rPr>
                <w:rFonts w:ascii="Calibri" w:hAnsi="Calibri"/>
                <w:color w:val="212529"/>
                <w:sz w:val="20"/>
              </w:rPr>
              <w:t>Evidentiary rules are interpreted in light of existing technological realities to achieve justice.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Rules on Electronic Evidence, RA 8792, and Contemporaneous Construction in modern technology.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Rule 2 of the Rules on Electronic Evidence and RA 8792, interpreted under Contemporanea expositio est optima et fortissima in lege (contemporaneous exposition is the best in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Technological Breadth of 'Electronic Document': </w:t>
            </w:r>
            <w:r>
              <w:rPr>
                <w:rFonts w:ascii="Calibri" w:hAnsi="Calibri"/>
                <w:color w:val="212529"/>
                <w:sz w:val="20"/>
              </w:rPr>
              <w:t>An electronic document is not confined to desktop computer files. Modern cell phones process and store digital data electronically. An SMS or MMS is an electronic data message generated and stored by electronic means.</w:t>
            </w:r>
          </w:p>
          <w:p>
            <w:pPr>
              <w:spacing w:before="20" w:after="40" w:line="276" w:lineRule="auto"/>
            </w:pPr>
            <w:r>
              <w:rPr>
                <w:rFonts w:ascii="Calibri" w:hAnsi="Calibri"/>
                <w:b/>
                <w:color w:val="212529"/>
                <w:sz w:val="20"/>
              </w:rPr>
              <w:t xml:space="preserve">2. Purposive Construction of Remedial Rules: </w:t>
            </w:r>
            <w:r>
              <w:rPr>
                <w:rFonts w:ascii="Calibri" w:hAnsi="Calibri"/>
                <w:color w:val="212529"/>
                <w:sz w:val="20"/>
              </w:rPr>
              <w:t>The Supreme Court promulgated the Rules on Electronic Evidence precisely to modernize the administration of justice and accommodate digital communications.</w:t>
            </w:r>
          </w:p>
          <w:p>
            <w:pPr>
              <w:spacing w:before="20" w:after="40" w:line="276" w:lineRule="auto"/>
            </w:pPr>
            <w:r>
              <w:rPr>
                <w:rFonts w:ascii="Calibri" w:hAnsi="Calibri"/>
                <w:b/>
                <w:color w:val="212529"/>
                <w:sz w:val="20"/>
              </w:rPr>
              <w:t xml:space="preserve">3. Admissibility of Ephemeral Communications: </w:t>
            </w:r>
            <w:r>
              <w:rPr>
                <w:rFonts w:ascii="Calibri" w:hAnsi="Calibri"/>
                <w:color w:val="212529"/>
                <w:sz w:val="20"/>
              </w:rPr>
              <w:t>Digital photos of cell phone screens displaying MMS messages are admissible as secondary or direct evidence of the communication when properly authenticated.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smartphone is just a small computer. When you send an MMS photo, it is generated and stored using digital computer code. If courts said phone messages aren't 'electronic', cyber-criminals and blackmailers would walk free. The Court adapted the definition to match modern technological reality.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progressive contemporaneous construction. Evidentiary rules must keep pace with technological evolution. The Court held that cell phone SMS and MMS messages fall squarely within the definition of electronic data messages under RA 8792 and the Electronic Evidence Rules."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DENIED Ang's petition, AFFIRMED the admissibility of the MMS messages, and UPHELD his criminal conviction.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conviction was affirmed and the cell phone MMS evidence was ruled completely admissible.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affirmed the conviction, holding that cellular SMS/MMS messages are electronic documents admissible under the Rules on Electronic Evidence."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B. Extrinsic Aids: Contemporaneous Technological Context &amp; Progressive Construction of Remedial Rules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Contemporanea expositio est optima et fortissima in lege (contemporaneous exposition is the best and strongest in the law)</w:t>
              <w:br/>
            </w:r>
            <w:r>
              <w:rPr>
                <w:rFonts w:ascii="Calibri" w:hAnsi="Calibri"/>
                <w:b/>
                <w:color w:val="212529"/>
                <w:sz w:val="19"/>
              </w:rPr>
              <w:t xml:space="preserve">   • Literal English Translation: </w:t>
            </w:r>
            <w:r>
              <w:rPr>
                <w:rFonts w:ascii="Calibri" w:hAnsi="Calibri"/>
                <w:i/>
                <w:color w:val="212529"/>
                <w:sz w:val="19"/>
              </w:rPr>
              <w:t>Contemporaneous exposition is the best and strongest in law.</w:t>
              <w:br/>
            </w:r>
            <w:r>
              <w:rPr>
                <w:rFonts w:ascii="Calibri" w:hAnsi="Calibri"/>
                <w:b/>
                <w:color w:val="212529"/>
                <w:sz w:val="19"/>
              </w:rPr>
              <w:t xml:space="preserve">   • Plain Legal Meaning &amp; StatCon Application: </w:t>
            </w:r>
            <w:r>
              <w:rPr>
                <w:rFonts w:ascii="Calibri" w:hAnsi="Calibri"/>
                <w:color w:val="212529"/>
                <w:sz w:val="19"/>
              </w:rPr>
              <w:t>Remedial rules must be construed in harmony with contemporary technological realities.</w:t>
            </w:r>
          </w:p>
          <w:p>
            <w:pPr>
              <w:spacing w:before="40" w:after="60" w:line="276" w:lineRule="auto"/>
            </w:pPr>
            <w:r>
              <w:rPr>
                <w:rFonts w:ascii="Calibri" w:hAnsi="Calibri"/>
                <w:b/>
                <w:color w:val="8C3200"/>
                <w:sz w:val="20"/>
              </w:rPr>
              <w:t>2. Ut res magis valeat quam pereat (that the thing may rather have effect than perish)</w:t>
              <w:br/>
            </w:r>
            <w:r>
              <w:rPr>
                <w:rFonts w:ascii="Calibri" w:hAnsi="Calibri"/>
                <w:b/>
                <w:color w:val="212529"/>
                <w:sz w:val="19"/>
              </w:rPr>
              <w:t xml:space="preserve">   • Literal English Translation: </w:t>
            </w:r>
            <w:r>
              <w:rPr>
                <w:rFonts w:ascii="Calibri" w:hAnsi="Calibri"/>
                <w:i/>
                <w:color w:val="212529"/>
                <w:sz w:val="19"/>
              </w:rPr>
              <w:t>That the thing may have effect rather than perish.</w:t>
              <w:br/>
            </w:r>
            <w:r>
              <w:rPr>
                <w:rFonts w:ascii="Calibri" w:hAnsi="Calibri"/>
                <w:b/>
                <w:color w:val="212529"/>
                <w:sz w:val="19"/>
              </w:rPr>
              <w:t xml:space="preserve">   • Plain Legal Meaning &amp; StatCon Application: </w:t>
            </w:r>
            <w:r>
              <w:rPr>
                <w:rFonts w:ascii="Calibri" w:hAnsi="Calibri"/>
                <w:color w:val="212529"/>
                <w:sz w:val="19"/>
              </w:rPr>
              <w:t>The Rules on Electronic Evidence must be construed to make electronic proof effective in criminal prosecutions.</w:t>
            </w:r>
          </w:p>
          <w:p>
            <w:pPr>
              <w:spacing w:before="40" w:after="60" w:line="276" w:lineRule="auto"/>
            </w:pPr>
            <w:r>
              <w:rPr>
                <w:rFonts w:ascii="Calibri" w:hAnsi="Calibri"/>
                <w:b/>
                <w:color w:val="8C3200"/>
                <w:sz w:val="20"/>
              </w:rPr>
              <w:t>3. Lex non intendit aliquid impossibile aut absurdum (the law does not intend anything impossible or absurd)</w:t>
              <w:br/>
            </w:r>
            <w:r>
              <w:rPr>
                <w:rFonts w:ascii="Calibri" w:hAnsi="Calibri"/>
                <w:b/>
                <w:color w:val="212529"/>
                <w:sz w:val="19"/>
              </w:rPr>
              <w:t xml:space="preserve">   • Literal English Translation: </w:t>
            </w:r>
            <w:r>
              <w:rPr>
                <w:rFonts w:ascii="Calibri" w:hAnsi="Calibri"/>
                <w:i/>
                <w:color w:val="212529"/>
                <w:sz w:val="19"/>
              </w:rPr>
              <w:t>The law does not intend an absurdity.</w:t>
              <w:br/>
            </w:r>
            <w:r>
              <w:rPr>
                <w:rFonts w:ascii="Calibri" w:hAnsi="Calibri"/>
                <w:b/>
                <w:color w:val="212529"/>
                <w:sz w:val="19"/>
              </w:rPr>
              <w:t xml:space="preserve">   • Plain Legal Meaning &amp; StatCon Application: </w:t>
            </w:r>
            <w:r>
              <w:rPr>
                <w:rFonts w:ascii="Calibri" w:hAnsi="Calibri"/>
                <w:color w:val="212529"/>
                <w:sz w:val="19"/>
              </w:rPr>
              <w:t>It is absurd to exclude mobile phone digital data from the scope of electronic evidence.</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B. Extrinsic Aids: Contemporaneous Technological Context &amp; Progressive Construction of Remedial Rules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Contemporanea expositio est optima et fortissima in lege</w:t>
              <w:br/>
              <w:t>(contemporaneous exposition is the best in law / evidentiary rules must be construed to embrace contemporary mobile and digital technologies)</w:t>
              <w:br/>
              <w:br/>
              <w:t>Secondary:</w:t>
              <w:br/>
              <w:t>• Ut res magis valeat quam pereat (construction to preserve evidentiary efficacy)</w:t>
              <w:br/>
              <w:t>• Lex non intendit absurdum (avoiding absurd evidentiary exclusions)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construct a pedantic distinction between computers and mobile phones to exclude incriminating digital evidence.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Progressive Construction of Evidentiary Codes: Procedural and evidentiary rules must be given an expansive, progressive construction to encompass evolving technologies and digital communications.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Rules on electronic evidence must be interpreted to include smartphones and modern apps, not just ancient desktop computers.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Ang v. Court of Appeals is the leading case on the progressive contemporaneous construction of electronic evidence rules, confirming that SMS/MMS messages are electronic documents."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Rustan Ang v. Court of Appeals and Irish Sagud</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182835</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20, 2010</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Third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Rustan Ang sent naked and obscene pictures of his former girlfriend Irish Sagud through cellular phone Multimedia Messaging Service (MMS) with extortion demands. He was criminally charged with violation of the Anti-Photo and Video Voyeurism Act and the RPC. During trial, the prosecution presented digital camera photographs of the cell phone screen showing the text and picture messages. Ang objected to the admissibility of the photos, arguing that under the 2001 Rules on Electronic Evidence (A.M. No. 01-7-01-SC) and the E-Commerce Act (R.A. No. 8792), an 'electronic document' refers only to computer data files, not to cellular phone SMS/MMS messages.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Rule 2, Section 1(h), Rules on Electronic Evidence (A.M. No. 01-7-01-SC): Defines electronic documents to include information generated, received, or stored by electronic, optical, or similar means.</w:t>
              <w:br/>
              <w:t>2. Republic Act No. 8792 (Electronic Commerce Act of 2000): Statutory recognition of electronic data messages and digital signatures.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construct a pedantic distinction between computers and mobile phones to exclude incriminating digital evidence.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cell phone text messages (SMS) and multimedia messages (MMS) qualify as 'electronic documents' under the Rules on Electronic Evidence, using Extrinsic Aids and Contemporaneous Construction.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Rustan Ang v. Court of Appeals and Irish Sagud, under the canon of Contemporanea expositio est optima et fortissima in lege.</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Rule 2, Section 1(h), Rules on Electronic Evidence (A.M. No. 01-7-01-SC): Defines electronic documents to include information generated, received, or stored by electronic, optical, or similar means.</w:t>
              <w:br/>
              <w:t>2. Republic Act No. 8792 (Electronic Commerce Act of 2000): Statutory recognition of electronic data messages and digital signatures.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attempted to construct a pedantic distinction between computers and mobile phones to exclude incriminatin...</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DENIED Ang's petition, AFFIRMED the admissibility of the MMS messages, and UPHELD his criminal conviction.</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Cell phone text and multimedia messages ARE ELECTRONIC DOCUMENTS within the contemplation of the Rules on Electronic Evidence. Remedial and evidentiary rules must be construed in light of CONTEMPORANEOUS TECHNOLOGICAL DEVELOPMENTS to maintain efficacy.</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construct a pedantic distinction between computers and mobile phones to exclude incriminating digital evidence..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Contemporanea expositio est optima et fortissima in lege</w:t>
              <w:br/>
              <w:t xml:space="preserve">   - Application: Progressive Construction of Evidentiary Codes: Procedural and evidentiary rules must be given an expansive, progressive construction to encompass evolving technologies and digital communications.</w:t>
              <w:br/>
              <w:t xml:space="preserve">   - Result: Yes. Cell phones are pocket computers. A digital text message or picture message stored on a phone is an electronic document. Evidentiary rules must be interpreted to cover modern technology so criminals cannot hide behind technicalities.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applied the recognized standard of construction tailored to the nature of the statute (e.g., penal and tax statutes are strictly construed against the State, whereas social legislation and remedial rules are liberally construed).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Ut res magis valeat quam pereat (construction to preserve evidentiary efficacy)</w:t>
              <w:br/>
              <w:t>• Lex non intendit absurdum (avoiding absurd evidentiary exclusions)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Rustan Ang v. Court of Appeals and Irish Sagud to mean and apply strictly in accordance with Contemporanea expositio est optima et fortissima in lege, holding that Yes. Cell phones are pocket computers. A digital text message or picture message stored on a phone is an electronic document. Evidentiary rules must be interpre.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A smartphone is just a small computer. When you send an MMS photo, it is generated and stored using digital computer code. If courts said phone messages aren't 'electronic', cyber-criminals and blackmailers would walk free. The Court adapted the definition to match modern technological reality.</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Contemporanea expositio est optima et fortissima in lege,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Progressive Construction of Evidentiary Codes: Procedural and evidentiary rules must be given an expansive, progressive construction to encompass evolving technologies and digital communications.</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Rules on electronic evidence must be interpreted to include smartphones and modern apps, not just ancient desktop computers.</w:t>
            </w:r>
          </w:p>
        </w:tc>
      </w:tr>
    </w:tbl>
    <w:p>
      <w:r>
        <w:br w:type="page"/>
      </w:r>
    </w:p>
    <w:p>
      <w:pPr>
        <w:keepNext/>
        <w:spacing w:before="320" w:after="80"/>
      </w:pPr>
      <w:r>
        <w:rPr>
          <w:rFonts w:ascii="Arial" w:hAnsi="Arial"/>
          <w:b/>
          <w:color w:val="0F2043"/>
          <w:sz w:val="26"/>
        </w:rPr>
        <w:t>64. ALVAREZ V. GUINGONA</w:t>
      </w:r>
    </w:p>
    <w:p>
      <w:pPr>
        <w:spacing w:before="40" w:after="80" w:line="276" w:lineRule="auto"/>
      </w:pPr>
      <w:r>
        <w:rPr>
          <w:rFonts w:ascii="Calibri" w:hAnsi="Calibri"/>
          <w:b/>
          <w:color w:val="212529"/>
          <w:sz w:val="21"/>
        </w:rPr>
        <w:t xml:space="preserve">Citation: </w:t>
      </w:r>
      <w:r>
        <w:rPr>
          <w:rFonts w:ascii="Calibri" w:hAnsi="Calibri"/>
          <w:i/>
          <w:color w:val="212529"/>
          <w:sz w:val="21"/>
        </w:rPr>
        <w:t>G.R. No. 118303 | January 31, 1996 | 252 SCRA 695 | En Banc | Ponente: J. Hermosisima, Jr.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Alvarez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Executive Secretary Teofisto Guingona, Jr.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Prohibition challenging the constitutionality of Republic Act No. 7720 converting the Municipality of Santiago, Isabela into an independent component city under the Enrolled Bill Doctrine.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Petitioners challenged the validity of Republic Act No. 7720 (Charter of the City of Santiago), contending that the law did not originate exclusively in the House of Representatives as required by Article VI, Section 24 of the 1987 Constitution for local bills. Petitioners cited entries in the Congressional Journals showing that the Senate passed its own version before receiving the House bill. The respondents invoked the ENROLLED BILL DOCTRINE, showing that the final bill was duly signed by the Speaker of the House and the Senate President and approved by the President of the Philippines.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group of citizens challenged the law that turned the town of Santiago, Isabela into a city, claiming the law was unconstitutional because the Senate started working on the bill before the House finished it, citing entries in the legislative journals. The government defended the law using the Enrolled Bill Doctrine, showing that the final official copy of the bill was formally signed by the Senate President, Speaker of the House, and President of the Philippines. The Supreme Court upheld the city charter, ruling that the Enrolled Bill is conclusive evidence of the regular passage of a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Enrolled Bill Doctrine prevails over Congressional Journals and records in establishing the regular constitutional enactment of a statute (R.A. No. 7720).</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officially signed copy of a law (Enrolled Bill) beat journal notes when someone challenges how the law was passed in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RA 7720 is constitutional under the Enrolled Bill Doctrine, testing whether an Enrolled Bill is conclusive proof of regular enactment over conflicting entries in Congressional Journals."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The ENROLLED BILL DOCTRINE prevails. The signing of a bill by the Speaker of the House and the Senate President and its certification as having passed both Houses is CONCLUSIVE PROOF of its due enactment, which courts cannot question by inspecting legislative journals.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When the heads of both Houses of Congress sign a law and send it to the President, that official paper (Enrolled Bill) is final and conclusive. Courts respect the separation of powers and will not go digging through legislative diary notes to second-guess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the Enrolled Bill Doctrine and the principle of separation of powers, an enrolled bill signed by the Senate President and House Speaker carries absolute verity and is conclusive upon the courts as to the regular passage of the statute."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VI, Section 24 and 26, 1987 Constitution: </w:t>
            </w:r>
            <w:r>
              <w:rPr>
                <w:rFonts w:ascii="Calibri" w:hAnsi="Calibri"/>
                <w:color w:val="212529"/>
                <w:sz w:val="20"/>
              </w:rPr>
              <w:t>Constitutional requirements for legislative enactment of local bills and enrolled bill certification.</w:t>
            </w:r>
          </w:p>
          <w:p>
            <w:pPr>
              <w:spacing w:before="20" w:after="40" w:line="276" w:lineRule="auto"/>
            </w:pPr>
            <w:r>
              <w:rPr>
                <w:rFonts w:ascii="Calibri" w:hAnsi="Calibri"/>
                <w:b/>
                <w:color w:val="212529"/>
                <w:sz w:val="20"/>
              </w:rPr>
              <w:t xml:space="preserve">2. The Enrolled Bill Doctrine: </w:t>
            </w:r>
            <w:r>
              <w:rPr>
                <w:rFonts w:ascii="Calibri" w:hAnsi="Calibri"/>
                <w:color w:val="212529"/>
                <w:sz w:val="20"/>
              </w:rPr>
              <w:t>An enrolled bill signed by the leaders of Congress imports absolute verity and is conclusive of its due enactment.</w:t>
            </w:r>
          </w:p>
          <w:p>
            <w:pPr>
              <w:spacing w:before="20" w:after="40" w:line="276" w:lineRule="auto"/>
            </w:pPr>
            <w:r>
              <w:rPr>
                <w:rFonts w:ascii="Calibri" w:hAnsi="Calibri"/>
                <w:b/>
                <w:color w:val="212529"/>
                <w:sz w:val="20"/>
              </w:rPr>
              <w:t xml:space="preserve">3. Presumption of Regularity and Constitutionality: </w:t>
            </w:r>
            <w:r>
              <w:rPr>
                <w:rFonts w:ascii="Calibri" w:hAnsi="Calibri"/>
                <w:color w:val="212529"/>
                <w:sz w:val="20"/>
              </w:rPr>
              <w:t>Official acts of the legislative and executive branches are presumed regular and valid under Omnia Praesumuntur Rite Esse Acta.</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VI 1987 Constitution, Enrolled Bill Doctrine, and Omnia Praesumuntur Rite Esse Acta.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VI of the Constitution, governed by the Enrolled Bill Doctrine and the presumption Omnia praesumuntur rite et solemniter esse acta (all acts are presumed to have been done regularly)."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Conclusiveness of the Enrolled Bill: </w:t>
            </w:r>
            <w:r>
              <w:rPr>
                <w:rFonts w:ascii="Calibri" w:hAnsi="Calibri"/>
                <w:color w:val="212529"/>
                <w:sz w:val="20"/>
              </w:rPr>
              <w:t>The enrolled copy of a bill, bearing the authentic signatures of the Speaker of the House and the President of the Senate, is the definitive, solemn declaration of the Legislature that the bill was regularly passed in compliance with constitutional procedures.</w:t>
            </w:r>
          </w:p>
          <w:p>
            <w:pPr>
              <w:spacing w:before="20" w:after="40" w:line="276" w:lineRule="auto"/>
            </w:pPr>
            <w:r>
              <w:rPr>
                <w:rFonts w:ascii="Calibri" w:hAnsi="Calibri"/>
                <w:b/>
                <w:color w:val="212529"/>
                <w:sz w:val="20"/>
              </w:rPr>
              <w:t xml:space="preserve">2. Judicial Non-Interference in Legislative Process: </w:t>
            </w:r>
            <w:r>
              <w:rPr>
                <w:rFonts w:ascii="Calibri" w:hAnsi="Calibri"/>
                <w:color w:val="212529"/>
                <w:sz w:val="20"/>
              </w:rPr>
              <w:t>To permit courts to examine legislative journals and second-guess the accuracy of legislative certifications would violate the separation of powers and create constitutional instability.</w:t>
            </w:r>
          </w:p>
          <w:p>
            <w:pPr>
              <w:spacing w:before="20" w:after="40" w:line="276" w:lineRule="auto"/>
            </w:pPr>
            <w:r>
              <w:rPr>
                <w:rFonts w:ascii="Calibri" w:hAnsi="Calibri"/>
                <w:b/>
                <w:color w:val="212529"/>
                <w:sz w:val="20"/>
              </w:rPr>
              <w:t xml:space="preserve">3. Originating in the House: </w:t>
            </w:r>
            <w:r>
              <w:rPr>
                <w:rFonts w:ascii="Calibri" w:hAnsi="Calibri"/>
                <w:color w:val="212529"/>
                <w:sz w:val="20"/>
              </w:rPr>
              <w:t>Article VI, Section 24 only requires that the legislative initiative for local bills begin in the House; the Senate has full constitutional power to propose or concur with amendments, including passing its own consolidated version.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Constitution requires checks and balances. When the Senate President and House Speaker sign an official document saying 'this bill was properly voted on and passed', the Supreme Court must respect that official word. Judges do not go through minute-by-minute journal notes to impeach the official signature of Congress.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Enrolled Bill Doctrine. The authentic signatures of the legislative leaders import absolute verity. Under the separation of powers and Omnia Praesumuntur Rite Esse Acta, the enrolled bill is conclusive proof of constitutional enactment."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and UPHELD the constitutionality and validity of Republic Act No. 7720 creating the City of Santiago.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city charter was declared completely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upheld the constitutionality of RA 7720, reaffirming the conclusive authority of the Enrolled Bill Doctrine."</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B. Extrinsic Aids: The Enrolled Bill Doctrine vs. Legislative Journals (Presumption of Constitutionality)</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donec probetur in contrarium (all acts are presumed to have been done regularly and with solemnity until the contrary is proved)</w:t>
              <w:br/>
            </w:r>
            <w:r>
              <w:rPr>
                <w:rFonts w:ascii="Calibri" w:hAnsi="Calibri"/>
                <w:b/>
                <w:color w:val="212529"/>
                <w:sz w:val="19"/>
              </w:rPr>
              <w:t xml:space="preserve">   • Literal English Translation: </w:t>
            </w:r>
            <w:r>
              <w:rPr>
                <w:rFonts w:ascii="Calibri" w:hAnsi="Calibri"/>
                <w:i/>
                <w:color w:val="212529"/>
                <w:sz w:val="19"/>
              </w:rPr>
              <w:t>All things are presumed to have been done regularly.</w:t>
              <w:br/>
            </w:r>
            <w:r>
              <w:rPr>
                <w:rFonts w:ascii="Calibri" w:hAnsi="Calibri"/>
                <w:b/>
                <w:color w:val="212529"/>
                <w:sz w:val="19"/>
              </w:rPr>
              <w:t xml:space="preserve">   • Plain Legal Meaning &amp; StatCon Application: </w:t>
            </w:r>
            <w:r>
              <w:rPr>
                <w:rFonts w:ascii="Calibri" w:hAnsi="Calibri"/>
                <w:color w:val="212529"/>
                <w:sz w:val="19"/>
              </w:rPr>
              <w:t>The enrolled bill is conclusively presumed to have been enacted in accordance with all constitutional rules.</w:t>
            </w:r>
          </w:p>
          <w:p>
            <w:pPr>
              <w:spacing w:before="40" w:after="60" w:line="276" w:lineRule="auto"/>
            </w:pPr>
            <w:r>
              <w:rPr>
                <w:rFonts w:ascii="Calibri" w:hAnsi="Calibri"/>
                <w:b/>
                <w:color w:val="8C3200"/>
                <w:sz w:val="20"/>
              </w:rPr>
              <w:t>2. Res judicata pro veritate accipitur (a matter adjudged is taken for truth)</w:t>
              <w:br/>
            </w:r>
            <w:r>
              <w:rPr>
                <w:rFonts w:ascii="Calibri" w:hAnsi="Calibri"/>
                <w:b/>
                <w:color w:val="212529"/>
                <w:sz w:val="19"/>
              </w:rPr>
              <w:t xml:space="preserve">   • Literal English Translation: </w:t>
            </w:r>
            <w:r>
              <w:rPr>
                <w:rFonts w:ascii="Calibri" w:hAnsi="Calibri"/>
                <w:i/>
                <w:color w:val="212529"/>
                <w:sz w:val="19"/>
              </w:rPr>
              <w:t>An official matter settled is accepted as truth.</w:t>
              <w:br/>
            </w:r>
            <w:r>
              <w:rPr>
                <w:rFonts w:ascii="Calibri" w:hAnsi="Calibri"/>
                <w:b/>
                <w:color w:val="212529"/>
                <w:sz w:val="19"/>
              </w:rPr>
              <w:t xml:space="preserve">   • Plain Legal Meaning &amp; StatCon Application: </w:t>
            </w:r>
            <w:r>
              <w:rPr>
                <w:rFonts w:ascii="Calibri" w:hAnsi="Calibri"/>
                <w:color w:val="212529"/>
                <w:sz w:val="19"/>
              </w:rPr>
              <w:t>The solemn certification of legislative leaders carries conclusive verity.</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The legislative power to certify bills belongs exclusively to the leaders of Congress.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B. Extrinsic Aids: The Enrolled Bill Doctrine vs. Legislative Journals (Presumption of Constitutionality)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the Enrolled Bill Doctrine is conclusive proof of regular legislative enactment)</w:t>
              <w:br/>
              <w:br/>
              <w:t>Secondary:</w:t>
              <w:br/>
              <w:t>• Res judicata pro veritate accipitur (conclusive verity of official acts)</w:t>
              <w:br/>
              <w:t>• Separation of powers doctrine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petitioners attempted to undermine the solemn certification of Congress by using selective journal entries to attack an enrolled bill.</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Enrolled Bill Doctrine: An enrolled bill signed by the presiding officers of both Houses of Congress and approved by the President imports absolute verity and is conclusive upon the judiciary regarding constitutional compliance.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officially signed copy of a law by the leaders of Congress is the final, untouchable truth that the law was passed properly.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Alvarez v. Guingona is the prime authority on the Enrolled Bill Doctrine: the enrolled copy of a statute prevails conclusively over legislative journals."</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Alvarez v. Guingona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118303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31, 1996</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Petitioners challenged the validity of Republic Act No. 7720 (Charter of the City of Santiago), contending that the law did not originate exclusively in the House of Representatives as required by Article VI, Section 24 of the 1987 Constitution for local bills. Petitioners cited entries in the Congressional Journals showing that the Senate passed its own version before receiving the House bill. The respondents invoked the ENROLLED BILL DOCTRINE, showing that the final bill was duly signed by the Speaker of the House and the Senate President and approved by the President of the Philippines.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VI, Section 24 and 26, 1987 Constitution: Constitutional requirements for legislative enactment of local bills and enrolled bill certification.</w:t>
              <w:br/>
              <w:t>2. The Enrolled Bill Doctrine: An enrolled bill signed by the leaders of Congress imports absolute verity and is conclusive of its due enactment.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petitioners attempted to undermine the solemn certification of Congress by using selective journal entries to attack an enrolled bill.</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Enrolled Bill Doctrine prevails over Congressional Journals and records in establishing the regular constitutional enactment of a statute (R.A. No. 7720).</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Alvarez v. Guingona,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VI, Section 24 and 26, 1987 Constitution: Constitutional requirements for legislative enactment of local bills and enrolled bill certification.</w:t>
              <w:br/>
              <w:t>2. The Enrolled Bill Doctrine: An enrolled bill signed by the leaders of Congress imports absolute verity and is conclusive of its due enactment.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petitioners attempted to undermine the solemn certification of Congress by using selective journal entries to attack...</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and UPHELD the constitutionality and validity of Republic Act No. 7720 creating the City of Santiago.</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The ENROLLED BILL DOCTRINE prevails. The signing of a bill by the Speaker of the House and the Senate President and its certification as having passed both Houses is CONCLUSIVE PROOF of its due enactment, which courts cannot question by inspecting legislative journals.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petitioners attempted to undermine the solemn certification of Congress by using selective journal entries to attack an enrolled bill..</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The Enrolled Bill Doctrine: An enrolled bill signed by the presiding officers of both Houses of Congress and approved by the President imports absolute verity and is conclusive upon the judiciary regarding constitutional compliance.</w:t>
              <w:br/>
              <w:t xml:space="preserve">   - Result: Yes. When the heads of both Houses of Congress sign a law and send it to the President, that official paper (Enrolled Bill) is final and conclusive. Courts respect the separation of powers and will not go digging through legislative diary notes to second-guess Congress.</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Res judicata pro veritate accipitur (conclusive verity of official acts)</w:t>
              <w:br/>
              <w:t>• Separation of powers doctrine</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Alvarez v. Guingona to mean and apply strictly in accordance with Omnia praesumuntur rite et solemniter esse acta, holding that Yes. When the heads of both Houses of Congress sign a law and send it to the President, that official paper (Enrolled Bill) is final and conclusive. Courts resp.</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Constitution requires checks and balances. When the Senate President and House Speaker sign an official document saying 'this bill was properly voted on and passed', the Supreme Court must respect that official word. Judges do not go through minute-by-minute journal notes to impeach the official signature of Congress.</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The Enrolled Bill Doctrine: An enrolled bill signed by the presiding officers of both Houses of Congress and approved by the President imports absolute verity and is conclusive upon the judiciary regarding constitutional compliance.</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officially signed copy of a law by the leaders of Congress is the final, untouchable truth that the law was passed properly.</w:t>
            </w:r>
          </w:p>
        </w:tc>
      </w:tr>
    </w:tbl>
    <w:p>
      <w:r>
        <w:br w:type="page"/>
      </w:r>
    </w:p>
    <w:p>
      <w:pPr>
        <w:keepNext/>
        <w:spacing w:before="320" w:after="80"/>
      </w:pPr>
      <w:r>
        <w:rPr>
          <w:rFonts w:ascii="Arial" w:hAnsi="Arial"/>
          <w:b/>
          <w:color w:val="0F2043"/>
          <w:sz w:val="26"/>
        </w:rPr>
        <w:t>65. BOIE-TAKEDA CHEMICALS, INC. AND PHILIPPINE INVESTMENT-MANAGEMENT CONSULTANTS (PHINMA) V. HON. DIONISIO DE LA SERNA</w:t>
      </w:r>
    </w:p>
    <w:p>
      <w:pPr>
        <w:spacing w:before="40" w:after="80" w:line="276" w:lineRule="auto"/>
      </w:pPr>
      <w:r>
        <w:rPr>
          <w:rFonts w:ascii="Calibri" w:hAnsi="Calibri"/>
          <w:b/>
          <w:color w:val="212529"/>
          <w:sz w:val="21"/>
        </w:rPr>
        <w:t xml:space="preserve">Citation: </w:t>
      </w:r>
      <w:r>
        <w:rPr>
          <w:rFonts w:ascii="Calibri" w:hAnsi="Calibri"/>
          <w:i/>
          <w:color w:val="212529"/>
          <w:sz w:val="21"/>
        </w:rPr>
        <w:t>G.R. No. 92174 | December 10, 1993 | 228 SCRA 329 | En Banc | Ponente: J. Feliciano</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Boie-Takeda Chemicals, Inc. and PHINMA (Petitioners)</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Dionisio De La Serna, Undersecretary of Labor and Employment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Department of Labor and Employment (DOLE)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under Rule 65 challenging DOLE administrative order requiring the inclusion of sales commissions in the computation of 13th Month Pay under Presidential Decree No. 851.</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Undersecretary of Labor issued an order directing Boie-Takeda and PHINMA to pay 13th month pay differentials to their medical representatives and sales employees by including SALES COMMISSIONS in the computation of 'basic salary' under P.D. No. 851 (The 13th Month Pay Law). The employers protested, arguing that Section 2 of PD 851 and its original Supplementary Rules explicitly defined 'basic salary' to EXCLUDE commissions, allowances, and profit-sharing bonuses. The DOLE Undersecretary claimed that contemporaneous executive construction and social justice required commissions that form part of regular compensation to be included.</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Department of Labor ordered pharmaceutical companies to include sales commissions when calculating the mandatory 13th Month Pay of sales agents. The companies objected, pointing out that the 13th Month Pay Law (PD 851) explicitly defines 'basic salary' as regular pay EXCLUDING commissions, allowances, and bonuses. The Supreme Court ruled in favor of the employers, holding that while executive agencies give contemporaneous construction, an administrative official cannot rewrite a statute or add items that the law explicitly excluded.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sales commissions are included in the computation of 'basic salary' for the purpose of the 13th Month Pay under P.D. No. 851, testing the limits of Contemporaneous Administrative Construction.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Department of Labor order companies to include sales commissions in 13th month pay when the statute explicitly excludes commissions from 'basic salary'?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sales commissions form part of 'basic salary' under PD 851, testing the limits of Contemporaneous Administrative Construction versus Verba Legis (the words of the law) and Expressio Unius."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Sales commissions are EXCLUDED from the computation of 'basic salary' under P.D. No. 851. Contemporaneous administrative construction CANNOT supersede, expand, or alter the clear, explicit statutory definition enacted by the lawgiver.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law says 'basic salary' means base pay and explicitly excludes commissions and bonuses. An administrative agency cannot change the law by issuing an order that contradicts the statute.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Verba Legis and Expressio unius est exclusio alterius, PD 851 and its original rules explicitly excluded commissions from 'basic salary'. Contemporaneous administrative construction is an extrinsic aid of secondary rank; it cannot be used to rewrite the statute or impose obligations not authorized by the decree."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 851 (The 13th Month Pay Law): </w:t>
            </w:r>
            <w:r>
              <w:rPr>
                <w:rFonts w:ascii="Calibri" w:hAnsi="Calibri"/>
                <w:color w:val="212529"/>
                <w:sz w:val="20"/>
              </w:rPr>
              <w:t>Mandates payment of 13th month pay based on 'basic salary'.</w:t>
            </w:r>
          </w:p>
          <w:p>
            <w:pPr>
              <w:spacing w:before="20" w:after="40" w:line="276" w:lineRule="auto"/>
            </w:pPr>
            <w:r>
              <w:rPr>
                <w:rFonts w:ascii="Calibri" w:hAnsi="Calibri"/>
                <w:b/>
                <w:color w:val="212529"/>
                <w:sz w:val="20"/>
              </w:rPr>
              <w:t xml:space="preserve">2. Original Implementing Rules of PD 851 (December 22, 1975): </w:t>
            </w:r>
            <w:r>
              <w:rPr>
                <w:rFonts w:ascii="Calibri" w:hAnsi="Calibri"/>
                <w:color w:val="212529"/>
                <w:sz w:val="20"/>
              </w:rPr>
              <w:t>Explicitly defines basic salary as excluding commissions, allowances, and bonuses.</w:t>
            </w:r>
          </w:p>
          <w:p>
            <w:pPr>
              <w:spacing w:before="20" w:after="40" w:line="276" w:lineRule="auto"/>
            </w:pPr>
            <w:r>
              <w:rPr>
                <w:rFonts w:ascii="Calibri" w:hAnsi="Calibri"/>
                <w:b/>
                <w:color w:val="212529"/>
                <w:sz w:val="20"/>
              </w:rPr>
              <w:t xml:space="preserve">3. Limits of Contemporaneous Construction: </w:t>
            </w:r>
            <w:r>
              <w:rPr>
                <w:rFonts w:ascii="Calibri" w:hAnsi="Calibri"/>
                <w:color w:val="212529"/>
                <w:sz w:val="20"/>
              </w:rPr>
              <w:t>Administrative interpretation is entitled to great respect, but must yield when it is contrary to the clear text and purpose of the statute.</w:t>
            </w:r>
          </w:p>
          <w:p>
            <w:pPr>
              <w:spacing w:before="20" w:after="40" w:line="276" w:lineRule="auto"/>
            </w:pPr>
            <w:r>
              <w:rPr>
                <w:rFonts w:ascii="Calibri" w:hAnsi="Calibri"/>
                <w:b/>
                <w:color w:val="212529"/>
                <w:sz w:val="20"/>
              </w:rPr>
              <w:t xml:space="preserve">4. Verba Legis Non Est Recedendum (from the words of the statute there should be no departure): </w:t>
            </w:r>
            <w:r>
              <w:rPr>
                <w:rFonts w:ascii="Calibri" w:hAnsi="Calibri"/>
                <w:color w:val="212529"/>
                <w:sz w:val="20"/>
              </w:rPr>
              <w:t>The statutory phrase 'basic salary' cannot be judicially or administratively inflated.</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851, Original Implementing Rules, Limits of Contemporaneous Construction, and Verba Legis.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851, governed by Verba legis non est recedendum (from statutory words no departure) and the principle that Contemporaneous Administrative Construction cannot expand substantive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Plain Statutory Meaning of 'Basic Salary': </w:t>
            </w:r>
            <w:r>
              <w:rPr>
                <w:rFonts w:ascii="Calibri" w:hAnsi="Calibri"/>
                <w:color w:val="212529"/>
                <w:sz w:val="20"/>
              </w:rPr>
              <w:t>The word 'basic' means fundamental, foundational, and standard. It refers to the fixed regular compensation, in contrast to variable, fluctuating productivity incentives like sales commissions.</w:t>
            </w:r>
          </w:p>
          <w:p>
            <w:pPr>
              <w:spacing w:before="20" w:after="40" w:line="276" w:lineRule="auto"/>
            </w:pPr>
            <w:r>
              <w:rPr>
                <w:rFonts w:ascii="Calibri" w:hAnsi="Calibri"/>
                <w:b/>
                <w:color w:val="212529"/>
                <w:sz w:val="20"/>
              </w:rPr>
              <w:t xml:space="preserve">2. Subordination of Executive Construction: </w:t>
            </w:r>
            <w:r>
              <w:rPr>
                <w:rFonts w:ascii="Calibri" w:hAnsi="Calibri"/>
                <w:color w:val="212529"/>
                <w:sz w:val="20"/>
              </w:rPr>
              <w:t>The DOLE cannot expand the burden on employers by reinterpreting 'basic salary' through administrative circulars. Administrative interpretation cannot prevail over the clear statutory text.</w:t>
            </w:r>
          </w:p>
          <w:p>
            <w:pPr>
              <w:spacing w:before="20" w:after="40" w:line="276" w:lineRule="auto"/>
            </w:pPr>
            <w:r>
              <w:rPr>
                <w:rFonts w:ascii="Calibri" w:hAnsi="Calibri"/>
                <w:b/>
                <w:color w:val="212529"/>
                <w:sz w:val="20"/>
              </w:rPr>
              <w:t xml:space="preserve">3. Protection of Business Predictability: </w:t>
            </w:r>
            <w:r>
              <w:rPr>
                <w:rFonts w:ascii="Calibri" w:hAnsi="Calibri"/>
                <w:color w:val="212529"/>
                <w:sz w:val="20"/>
              </w:rPr>
              <w:t>Forcing employers to pay 13th month bonuses on top of variable sales commissions contradicts the legislative compromise embodied in PD 851.</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'Basic' salary means the base rate you get every month regardless of sales. A commission is an extra bonus based on how many boxes of medicine you sold. The decree explicitly excluded commissions from basic salary. The Secretary of Labor cannot write a memo to add commissions back into the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defined the limits of administrative contemporaneous construction. Administrative agencies must execute the law, not amend it. Since PD 851 explicitly restricted 13th month pay to 'basic salary' excluding commissions, the DOLE order was ultra vires."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ANNULLED the DOLE order, and DECLARED that sales commissions are excluded from 13th month pay computation under PD 851.</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employers won and the DOLE order forcing commissions into 13th month pay was nullified.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annulled the DOLE order, holding that sales commissions cannot be included in basic salary under PD 851."</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B. Extrinsic Aids: Limits of Contemporaneous Administrative Construction (Verba Legis in Labor Standards)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statutory definition of 'basic salary' cannot be expanded by administrative fiat.</w:t>
            </w:r>
          </w:p>
          <w:p>
            <w:pPr>
              <w:spacing w:before="40" w:after="60" w:line="276" w:lineRule="auto"/>
            </w:pPr>
            <w:r>
              <w:rPr>
                <w:rFonts w:ascii="Calibri" w:hAnsi="Calibri"/>
                <w:b/>
                <w:color w:val="8C3200"/>
                <w:sz w:val="20"/>
              </w:rPr>
              <w:t>2. Contemporanea expositio non praevalet contra expressam legem (contemporaneous exposition does not prevail against express law)</w:t>
              <w:br/>
            </w:r>
            <w:r>
              <w:rPr>
                <w:rFonts w:ascii="Calibri" w:hAnsi="Calibri"/>
                <w:b/>
                <w:color w:val="212529"/>
                <w:sz w:val="19"/>
              </w:rPr>
              <w:t xml:space="preserve">   • Literal English Translation: </w:t>
            </w:r>
            <w:r>
              <w:rPr>
                <w:rFonts w:ascii="Calibri" w:hAnsi="Calibri"/>
                <w:i/>
                <w:color w:val="212529"/>
                <w:sz w:val="19"/>
              </w:rPr>
              <w:t>Contemporaneous construction does not prevail over clear statutory text.</w:t>
              <w:br/>
            </w:r>
            <w:r>
              <w:rPr>
                <w:rFonts w:ascii="Calibri" w:hAnsi="Calibri"/>
                <w:b/>
                <w:color w:val="212529"/>
                <w:sz w:val="19"/>
              </w:rPr>
              <w:t xml:space="preserve">   • Plain Legal Meaning &amp; StatCon Application: </w:t>
            </w:r>
            <w:r>
              <w:rPr>
                <w:rFonts w:ascii="Calibri" w:hAnsi="Calibri"/>
                <w:color w:val="212529"/>
                <w:sz w:val="19"/>
              </w:rPr>
              <w:t>Executive interpretations must yield to the plain letter of the decree.</w:t>
            </w:r>
          </w:p>
          <w:p>
            <w:pPr>
              <w:spacing w:before="40" w:after="60" w:line="276" w:lineRule="auto"/>
            </w:pPr>
            <w:r>
              <w:rPr>
                <w:rFonts w:ascii="Calibri" w:hAnsi="Calibri"/>
                <w:b/>
                <w:color w:val="8C3200"/>
                <w:sz w:val="20"/>
              </w:rPr>
              <w:t>3. Potestas delegata non delegari potest (a delegated power cannot be delegated)</w:t>
              <w:br/>
            </w:r>
            <w:r>
              <w:rPr>
                <w:rFonts w:ascii="Calibri" w:hAnsi="Calibri"/>
                <w:b/>
                <w:color w:val="212529"/>
                <w:sz w:val="19"/>
              </w:rPr>
              <w:t xml:space="preserve">   • Literal English Translation: </w:t>
            </w:r>
            <w:r>
              <w:rPr>
                <w:rFonts w:ascii="Calibri" w:hAnsi="Calibri"/>
                <w:i/>
                <w:color w:val="212529"/>
                <w:sz w:val="19"/>
              </w:rPr>
              <w:t>Delegated power cannot be further delegated.</w:t>
              <w:br/>
            </w:r>
            <w:r>
              <w:rPr>
                <w:rFonts w:ascii="Calibri" w:hAnsi="Calibri"/>
                <w:b/>
                <w:color w:val="212529"/>
                <w:sz w:val="19"/>
              </w:rPr>
              <w:t xml:space="preserve">   • Plain Legal Meaning &amp; StatCon Application: </w:t>
            </w:r>
            <w:r>
              <w:rPr>
                <w:rFonts w:ascii="Calibri" w:hAnsi="Calibri"/>
                <w:color w:val="212529"/>
                <w:sz w:val="19"/>
              </w:rPr>
              <w:t>Administrative agencies cannot usurp the legislative power to create new wage burdens.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B. Extrinsic Aids: Limits of Contemporaneous Administrative Construction (Verba Legis in Labor Standards)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Contemporanea expositio non praevalet contra expressam legem</w:t>
              <w:br/>
              <w:t>(contemporaneous construction does not prevail against express law / DOLE cannot expand 'basic salary' in PD 851 through administrative circulars)</w:t>
              <w:br/>
              <w:br/>
              <w:t>Secondary:</w:t>
              <w:br/>
              <w:t>• Verba legis non est recedendum (plain meaning of 'basic salary')</w:t>
              <w:br/>
              <w:t>• Potestas delegata non delegari potest (limits of administrative rule-making)</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DOLE attempted to use contemporaneous administrative construction to rewrite the statutory definition of 'basic salary' in PD 851.</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Limits of Contemporaneous Administrative Construction: While contemporaneous executive construction is entitled to deference, it cannot prevail over the express words of the statute (Contemporanea expositio non praevalet contra expressam legem).</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Executive agency memos cannot change the plain words of a law; if the law says 'commissions are excluded', the agency cannot order them included.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Boie-Takeda v. De La Serna is the benchmark case defining the limits of Contemporaneous Construction: Contemporanea expositio non praevalet contra expressam legem."</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Boie-Takeda Chemicals, Inc. and Philippine Investment-Management Consultants (PHINMA) v. Hon. Dionisio De La Serna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92174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December 10, 1993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Undersecretary of Labor issued an order directing Boie-Takeda and PHINMA to pay 13th month pay differentials to their medical representatives and sales employees by including SALES COMMISSIONS in the computation of 'basic salary' under P.D. No. 851 (The 13th Month Pay Law). The employers protested, arguing that Section 2 of PD 851 and its original Supplementary Rules explicitly defined 'basic salary' to EXCLUDE commissions, allowances, and profit-sharing bonuses. The DOLE Undersecretary claimed that contemporaneous executive construction and social justice required commissions that form part of regular compensation to be included.</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 851 (The 13th Month Pay Law): Mandates payment of 13th month pay based on 'basic salary'.</w:t>
              <w:br/>
              <w:t>2. Original Implementing Rules of PD 851 (December 22, 1975): Explicitly defines basic salary as excluding commissions, allowances, and bonuses.</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DOLE attempted to use contemporaneous administrative construction to rewrite the statutory definition of 'basic salary' in PD 851.</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sales commissions are included in the computation of 'basic salary' for the purpose of the 13th Month Pay under P.D. No. 851, testing the limits of Contemporaneous Administrative Construction.</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Boie-Takeda Chemicals, Inc. and Philippine Investment-Management Consultants (PHINMA) v. Hon. Dionisio De La Serna, under the canon of Contemporanea expositio non praevalet contra expressam legem.</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 851 (The 13th Month Pay Law): Mandates payment of 13th month pay based on 'basic salary'.</w:t>
              <w:br/>
              <w:t>2. Original Implementing Rules of PD 851 (December 22, 1975): Explicitly defines basic salary as excluding commissions, allowances, and bonuses.</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DOLE attempted to use contemporaneous administrative construction to rewrite the statutory definition of 'basic sala...</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ANNULLED the DOLE order, and DECLARED that sales commissions are excluded from 13th month pay computation under PD 851.</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Sales commissions are EXCLUDED from the computation of 'basic salary' under P.D. No. 851. Contemporaneous administrative construction CANNOT supersede, expand, or alter the clear, explicit statutory definition enacted by the lawgiver.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DOLE attempted to use contemporaneous administrative construction to rewrite the statutory definition of 'basic salary' in PD 851..</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Contemporanea expositio non praevalet contra expressam legem</w:t>
              <w:br/>
              <w:t xml:space="preserve">   - Application: Limits of Contemporaneous Administrative Construction: While contemporaneous executive construction is entitled to deference, it cannot prevail over the express words of the statute (Contemporanea expositio non praevalet contra expressam legem).</w:t>
              <w:br/>
              <w:t xml:space="preserve">   - Result: No. The law says 'basic salary' means base pay and explicitly excludes commissions and bonuses. An administrative agency cannot change the law by issuing an order that contradicts the statute.</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Verba legis non est recedendum (plain meaning of 'basic salary')</w:t>
              <w:br/>
              <w:t>• Potestas delegata non delegari potest (limits of administrative rule-making)</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Boie-Takeda Chemicals, Inc. and Philippine Investment-Management Consultants (PHINMA) v. Hon. Dionisio De La Serna to mean and apply strictly in accordance with Contemporanea expositio non praevalet contra expressam legem, holding that No. The law says 'basic salary' means base pay and explicitly excludes commissions and bonuses. An administrative agency cannot change the law by issuing an ord.</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'Basic' salary means the base rate you get every month regardless of sales. A commission is an extra bonus based on how many boxes of medicine you sold. The decree explicitly excluded commissions from basic salary. The Secretary of Labor cannot write a memo to add commissions back into the law.</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Contemporanea expositio non praevalet contra expressam legem,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Limits of Contemporaneous Administrative Construction: While contemporaneous executive construction is entitled to deference, it cannot prevail over the express words of the statute (Contemporanea expositio non praevalet contra expressam legem).</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Executive agency memos cannot change the plain words of a law; if the law says 'commissions are excluded', the agency cannot order them included.</w:t>
            </w:r>
          </w:p>
        </w:tc>
      </w:tr>
    </w:tbl>
    <w:p>
      <w:r>
        <w:br w:type="page"/>
      </w:r>
    </w:p>
    <w:p>
      <w:pPr>
        <w:keepNext/>
        <w:spacing w:before="320" w:after="80"/>
      </w:pPr>
      <w:r>
        <w:rPr>
          <w:rFonts w:ascii="Arial" w:hAnsi="Arial"/>
          <w:b/>
          <w:color w:val="0F2043"/>
          <w:sz w:val="26"/>
        </w:rPr>
        <w:t>66. NATIONAL HOUSING AUTHORITY (NHA) V. HON. FLORELIANA CASTRO-REYES AND SPOUSES ARSENIO &amp; AMANDA POSADAS</w:t>
      </w:r>
    </w:p>
    <w:p>
      <w:pPr>
        <w:spacing w:before="40" w:after="80" w:line="276" w:lineRule="auto"/>
      </w:pPr>
      <w:r>
        <w:rPr>
          <w:rFonts w:ascii="Calibri" w:hAnsi="Calibri"/>
          <w:b/>
          <w:color w:val="212529"/>
          <w:sz w:val="21"/>
        </w:rPr>
        <w:t xml:space="preserve">Citation: </w:t>
      </w:r>
      <w:r>
        <w:rPr>
          <w:rFonts w:ascii="Calibri" w:hAnsi="Calibri"/>
          <w:i/>
          <w:color w:val="212529"/>
          <w:sz w:val="21"/>
        </w:rPr>
        <w:t>G.R. No. L-49439 | June 29, 1983 | 123 SCRA 245 | En Banc | Ponente: J. Vasquez</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National Housing Authority (NHA)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Hon. Floreliana Castro-Reyes (Judge, CFI Rizal) and Spouses Arsenio &amp; Amanda Posadas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Rizal (Branch VI) / Supreme Court En Banc</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Mandamus under Rule 65 concerning just compensation formula in expropriation under Presidential Decree Nos. 464, 794, and 1224.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The National Housing Authority (NHA) filed an expropriation complaint to acquire 25 hectares of land in Caloocan City for a socialized housing resettlement project. The trial court appointed commissioners who valued the property at P40.00 per square meter based on general market value. NHA protested, arguing that under Presidential Decree Nos. 464, 794, and 1224, the valuation in expropriation is strictly pegged to 'the market value declared by the owner, or the market value determined by the City Assessor, whichever is lower.' The trial judge refused to apply the presidential decrees, declaring the valuation formula unconstitutional and violative of judicial prerogative in just compensation.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National Housing Authority (NHA) took private land to build socialized housing and insisted that under Marcos-era Presidential Decrees, the court must pay only the declared tax value (which was extremely low). The trial judge refused to follow the decree and awarded a fair market price, saying the decree formula was unconstitutional. The Supreme Court initially upheld the presidential decrees under the Presumption of Constitutionality and Dura Lex Sed Lex, ruling that presidential decrees had the force of statute until formally declared void. (Note: The Supreme Court later abandoned this formula in EPZA v. Dulay).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trial courts are bound by the mandatory valuation formulas in Presidential Decrees under the Presumption of Constitutionality, pending a formal En Banc declaration of nullity.</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Were trial judges required to follow the expropriation valuation formulas in Presidential Decrees under the Presumption of Constitutionality?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trial courts must enforce Presidential Decrees on just compensation under the Presumption of Constitutionality and Dura Lex Sed Lex, pending formal constitutional invalidation by the Supreme Court En Banc."</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YES. Under the PRESUMPTION OF CONSTITUTIONALITY, Presidential Decrees were presumed valid and binding on trial judges until formally declared unconstitutional by the Supreme Court En Banc. Lower court judges have no authority to disregard operative statutes.</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Yes. Every statute and decree is presumed constitutional until the Supreme Court strikes it down En Banc. Lower court judges cannot unilaterally disregard an active presidential decree simply because they believe it is unfair.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"Yes, Sir/Ma'am. The Supreme Court held that under the Presumption of Constitutionality and Dura lex, sed lex, Presidential Decrees had the force of law and were binding on trial courts. A lower court cannot disregard an operative statute on grounds of unconstitutionality without meeting the strict constitutional threshold for judicial review."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Presidential Decree Nos. 464, 794, and 1224: </w:t>
            </w:r>
            <w:r>
              <w:rPr>
                <w:rFonts w:ascii="Calibri" w:hAnsi="Calibri"/>
                <w:color w:val="212529"/>
                <w:sz w:val="20"/>
              </w:rPr>
              <w:t>Expropriation valuation formula fixing just compensation at declared tax value or assessed value, whichever is lower.</w:t>
            </w:r>
          </w:p>
          <w:p>
            <w:pPr>
              <w:spacing w:before="20" w:after="40" w:line="276" w:lineRule="auto"/>
            </w:pPr>
            <w:r>
              <w:rPr>
                <w:rFonts w:ascii="Calibri" w:hAnsi="Calibri"/>
                <w:b/>
                <w:color w:val="212529"/>
                <w:sz w:val="20"/>
              </w:rPr>
              <w:t xml:space="preserve">2. Presumption of Constitutionality of Statutes: </w:t>
            </w:r>
            <w:r>
              <w:rPr>
                <w:rFonts w:ascii="Calibri" w:hAnsi="Calibri"/>
                <w:color w:val="212529"/>
                <w:sz w:val="20"/>
              </w:rPr>
              <w:t>Every statute passed by the legislative authority is presumed constitutional; the burden of proving invalidity is beyond reasonable doubt.</w:t>
            </w:r>
          </w:p>
          <w:p>
            <w:pPr>
              <w:spacing w:before="20" w:after="40" w:line="276" w:lineRule="auto"/>
            </w:pPr>
            <w:r>
              <w:rPr>
                <w:rFonts w:ascii="Calibri" w:hAnsi="Calibri"/>
                <w:b/>
                <w:color w:val="212529"/>
                <w:sz w:val="20"/>
              </w:rPr>
              <w:t xml:space="preserve">3. Dura Lex, Sed Lex (the law is harsh, but it is the law): </w:t>
            </w:r>
            <w:r>
              <w:rPr>
                <w:rFonts w:ascii="Calibri" w:hAnsi="Calibri"/>
                <w:color w:val="212529"/>
                <w:sz w:val="20"/>
              </w:rPr>
              <w:t>Judges cannot substitute their personal sense of fairness for the explicit command of the lawgiver.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PD 464, PD 1224, Presumption of Constitutionality, and Dura Lex Sed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PD 1224, governed by the Presumption of Constitutionality and Dura lex, sed lex (the law is harsh, but it is the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Force and Effect of Presidential Decrees: </w:t>
            </w:r>
            <w:r>
              <w:rPr>
                <w:rFonts w:ascii="Calibri" w:hAnsi="Calibri"/>
                <w:color w:val="212529"/>
                <w:sz w:val="20"/>
              </w:rPr>
              <w:t>Under the 1973 Constitution, Presidential Decrees formed part of the law of the land, enjoying the same presumption of constitutionality as legislative acts.</w:t>
            </w:r>
          </w:p>
          <w:p>
            <w:pPr>
              <w:spacing w:before="20" w:after="40" w:line="276" w:lineRule="auto"/>
            </w:pPr>
            <w:r>
              <w:rPr>
                <w:rFonts w:ascii="Calibri" w:hAnsi="Calibri"/>
                <w:b/>
                <w:color w:val="212529"/>
                <w:sz w:val="20"/>
              </w:rPr>
              <w:t xml:space="preserve">2. Restraint on Lower Court Judicial Review: </w:t>
            </w:r>
            <w:r>
              <w:rPr>
                <w:rFonts w:ascii="Calibri" w:hAnsi="Calibri"/>
                <w:color w:val="212529"/>
                <w:sz w:val="20"/>
              </w:rPr>
              <w:t>Trial judges are bound to apply the law as enacted. Disregarding an operative statute violates judicial hierarchy and the presumption of validity.</w:t>
            </w:r>
          </w:p>
          <w:p>
            <w:pPr>
              <w:spacing w:before="20" w:after="40" w:line="276" w:lineRule="auto"/>
            </w:pPr>
            <w:r>
              <w:rPr>
                <w:rFonts w:ascii="Calibri" w:hAnsi="Calibri"/>
                <w:b/>
                <w:color w:val="212529"/>
                <w:sz w:val="20"/>
              </w:rPr>
              <w:t xml:space="preserve">3. Historical Note / Subsequent Reversal in EPZA v. Dulay: </w:t>
            </w:r>
            <w:r>
              <w:rPr>
                <w:rFonts w:ascii="Calibri" w:hAnsi="Calibri"/>
                <w:color w:val="212529"/>
                <w:sz w:val="20"/>
              </w:rPr>
              <w:t>While NHA v. Reyes upheld the decree formula under the presumption of validity, the Supreme Court En Banc subsequently declared this rigid formula unconstitutional in EPZA v. Dulay (1987) for usurping the judicial power to determine just compensation.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Laws passed by the government are presumed valid and constitutional until the Supreme Court formally strikes them down. A single trial judge cannot ignore a written decree just because he thinks the compensation is too low. The judge must apply the law as written under Dura Lex Sed Lex.</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Presumption of Constitutionality. Lower courts are bound to enforce operative decrees under Dura Lex Sed Lex. Although this valuation doctrine was subsequently overturned in EPZA v. Dulay, NHA v. Reyes remains the leading historical example of the Presumption of Constitutionality."</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SET ASIDE the trial court's market valuation, and ORDERED the trial court to apply the statutory formula under P.D. No. 1224.</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trial court's order was set aside and the statutory decree formula was enforced under the presumption of constitutionality.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enforced the decree formula, upholding the Presumption of Constitutionality of presidential decrees."</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C. Presumptions: Presumption of Constitutionality of Statutes (Historical Framework &amp; Evolution to EPZA v. Dulay)</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(all acts are presumed to have been done regularly)</w:t>
              <w:br/>
            </w:r>
            <w:r>
              <w:rPr>
                <w:rFonts w:ascii="Calibri" w:hAnsi="Calibri"/>
                <w:b/>
                <w:color w:val="212529"/>
                <w:sz w:val="19"/>
              </w:rPr>
              <w:t xml:space="preserve">   • Literal English Translation: </w:t>
            </w:r>
            <w:r>
              <w:rPr>
                <w:rFonts w:ascii="Calibri" w:hAnsi="Calibri"/>
                <w:i/>
                <w:color w:val="212529"/>
                <w:sz w:val="19"/>
              </w:rPr>
              <w:t>All acts are presumed regular and valid.</w:t>
              <w:br/>
            </w:r>
            <w:r>
              <w:rPr>
                <w:rFonts w:ascii="Calibri" w:hAnsi="Calibri"/>
                <w:b/>
                <w:color w:val="212529"/>
                <w:sz w:val="19"/>
              </w:rPr>
              <w:t xml:space="preserve">   • Plain Legal Meaning &amp; StatCon Application: </w:t>
            </w:r>
            <w:r>
              <w:rPr>
                <w:rFonts w:ascii="Calibri" w:hAnsi="Calibri"/>
                <w:color w:val="212529"/>
                <w:sz w:val="19"/>
              </w:rPr>
              <w:t>Statutes and presidential decrees enjoy the presumption of constitutionality.</w:t>
            </w:r>
          </w:p>
          <w:p>
            <w:pPr>
              <w:spacing w:before="40" w:after="60" w:line="276" w:lineRule="auto"/>
            </w:pPr>
            <w:r>
              <w:rPr>
                <w:rFonts w:ascii="Calibri" w:hAnsi="Calibri"/>
                <w:b/>
                <w:color w:val="8C3200"/>
                <w:sz w:val="20"/>
              </w:rPr>
              <w:t>2. Dura lex, sed lex (the law is harsh, but it is the law)</w:t>
              <w:br/>
            </w:r>
            <w:r>
              <w:rPr>
                <w:rFonts w:ascii="Calibri" w:hAnsi="Calibri"/>
                <w:b/>
                <w:color w:val="212529"/>
                <w:sz w:val="19"/>
              </w:rPr>
              <w:t xml:space="preserve">   • Literal English Translation: </w:t>
            </w:r>
            <w:r>
              <w:rPr>
                <w:rFonts w:ascii="Calibri" w:hAnsi="Calibri"/>
                <w:i/>
                <w:color w:val="212529"/>
                <w:sz w:val="19"/>
              </w:rPr>
              <w:t>The law is harsh, but it is the law.</w:t>
              <w:br/>
            </w:r>
            <w:r>
              <w:rPr>
                <w:rFonts w:ascii="Calibri" w:hAnsi="Calibri"/>
                <w:b/>
                <w:color w:val="212529"/>
                <w:sz w:val="19"/>
              </w:rPr>
              <w:t xml:space="preserve">   • Plain Legal Meaning &amp; StatCon Application: </w:t>
            </w:r>
            <w:r>
              <w:rPr>
                <w:rFonts w:ascii="Calibri" w:hAnsi="Calibri"/>
                <w:color w:val="212529"/>
                <w:sz w:val="19"/>
              </w:rPr>
              <w:t>Trial judges are duty-bound to apply the written statutory valuation formula.</w:t>
            </w:r>
          </w:p>
          <w:p>
            <w:pPr>
              <w:spacing w:before="40" w:after="60" w:line="276" w:lineRule="auto"/>
            </w:pPr>
            <w:r>
              <w:rPr>
                <w:rFonts w:ascii="Calibri" w:hAnsi="Calibri"/>
                <w:b/>
                <w:color w:val="8C3200"/>
                <w:sz w:val="20"/>
              </w:rPr>
              <w:t>3. Judicis est ius dicere, non dare (it is the duty of a judge to declare the law, not to make it)</w:t>
              <w:br/>
            </w:r>
            <w:r>
              <w:rPr>
                <w:rFonts w:ascii="Calibri" w:hAnsi="Calibri"/>
                <w:b/>
                <w:color w:val="212529"/>
                <w:sz w:val="19"/>
              </w:rPr>
              <w:t xml:space="preserve">   • Literal English Translation: </w:t>
            </w:r>
            <w:r>
              <w:rPr>
                <w:rFonts w:ascii="Calibri" w:hAnsi="Calibri"/>
                <w:i/>
                <w:color w:val="212529"/>
                <w:sz w:val="19"/>
              </w:rPr>
              <w:t>The judge must declare the law, not create it.</w:t>
              <w:br/>
            </w:r>
            <w:r>
              <w:rPr>
                <w:rFonts w:ascii="Calibri" w:hAnsi="Calibri"/>
                <w:b/>
                <w:color w:val="212529"/>
                <w:sz w:val="19"/>
              </w:rPr>
              <w:t xml:space="preserve">   • Plain Legal Meaning &amp; StatCon Application: </w:t>
            </w:r>
            <w:r>
              <w:rPr>
                <w:rFonts w:ascii="Calibri" w:hAnsi="Calibri"/>
                <w:color w:val="212529"/>
                <w:sz w:val="19"/>
              </w:rPr>
              <w:t>Judges cannot invent their own compensation rules against explicit statutory commands.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C. Presumptions: Presumption of Constitutionality of Statutes (Historical Framework &amp; Evolution to EPZA v. Dulay)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Presumption of Constitutionality of legislative acts and decrees)</w:t>
              <w:br/>
              <w:br/>
              <w:t>Secondary:</w:t>
              <w:br/>
              <w:t>• Dura lex sed lex (harsh laws must be enforced by trial courts)</w:t>
              <w:br/>
              <w:t>• Judicis est ius dicere non dare (judges apply law, not make law)</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trial judge violated the Presumption of Constitutionality and judicial hierarchy by unilaterally refusing to apply operative presidential decrees.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Presumption of Constitutionality: All legislative enactments and executive decrees carry the presumption of constitutionality; lower courts must apply them until formally invalidated by the Supreme Court.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Every law written in the statute books is presumed constitutional and must be followed by judges until the Supreme Court strikes it down.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NHA v. Reyes is the classical authority on the Presumption of Constitutionality: trial courts are bound to enforce statutes under the presumption of regularity until declared unconstitutional."</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National Housing Authority (NHA) v. Hon. Floreliana Castro-Reyes and Spouses Arsenio &amp; Amanda Posadas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L-49439</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June 29, 1983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The National Housing Authority (NHA) filed an expropriation complaint to acquire 25 hectares of land in Caloocan City for a socialized housing resettlement project. The trial court appointed commissioners who valued the property at P40.00 per square meter based on general market value. NHA protested, arguing that under Presidential Decree Nos. 464, 794, and 1224, the valuation in expropriation is strictly pegged to 'the market value declared by the owner, or the market value determined by the City Assessor, whichever is lower.' The trial judge refused to apply the presidential decrees, declaring the valuation formula unconstitutional and violative of judicial prerogative in just compensation.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Presidential Decree Nos. 464, 794, and 1224: Expropriation valuation formula fixing just compensation at declared tax value or assessed value, whichever is lower.</w:t>
              <w:br/>
              <w:t>2. Presumption of Constitutionality of Statutes: Every statute passed by the legislative authority is presumed constitutional; the burden of proving invalidity is beyond reasonable doubt.</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trial judge violated the Presumption of Constitutionality and judicial hierarchy by unilaterally refusing to apply operative presidential decrees.</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trial courts are bound by the mandatory valuation formulas in Presidential Decrees under the Presumption of Constitutionality, pending a formal En Banc declaration of nullity.</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National Housing Authority (NHA) v. Hon. Floreliana Castro-Reyes and Spouses Arsenio &amp; Amanda Posadas,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Presidential Decree Nos. 464, 794, and 1224: Expropriation valuation formula fixing just compensation at declared tax value or assessed value, whichever is lower.</w:t>
              <w:br/>
              <w:t>2. Presumption of Constitutionality of Statutes: Every statute passed by the legislative authority is presumed constitutional; the burden of proving invalidity is beyond reasonable doubt.</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trial judge violated the Presumption of Constitutionality and judicial hierarchy by unilaterally refusing to apply o...</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SET ASIDE the trial court's market valuation, and ORDERED the trial court to apply the statutory formula under P.D. No. 1224.</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YES. Under the PRESUMPTION OF CONSTITUTIONALITY, Presidential Decrees were presumed valid and binding on trial judges until formally declared unconstitutional by the Supreme Court En Banc. Lower court judges have no authority to disregard operative statutes.</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trial judge violated the Presumption of Constitutionality and judicial hierarchy by unilaterally refusing to apply operative presidentia.</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Presumption of Constitutionality: All legislative enactments and executive decrees carry the presumption of constitutionality; lower courts must apply them until formally invalidated by the Supreme Court.</w:t>
              <w:br/>
              <w:t xml:space="preserve">   - Result: Yes. Every statute and decree is presumed constitutional until the Supreme Court strikes it down En Banc. Lower court judges cannot unilaterally disregard an active presidential decree simply because they believe it is unfair.</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Dura lex sed lex (harsh laws must be enforced by trial courts)</w:t>
              <w:br/>
              <w:t>• Judicis est ius dicere non dare (judges apply law, not make law)</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National Housing Authority (NHA) v. Hon. Floreliana Castro-Reyes and Spouses Arsenio &amp; Amanda Posadas to mean and apply strictly in accordance with Omnia praesumuntur rite et solemniter esse acta, holding that Yes. Every statute and decree is presumed constitutional until the Supreme Court strikes it down En Banc. Lower court judges cannot unilaterally disregard an ac.</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Laws passed by the government are presumed valid and constitutional until the Supreme Court formally strikes them down. A single trial judge cannot ignore a written decree just because he thinks the compensation is too low. The judge must apply the law as written under Dura Lex Sed Lex.</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Presumption of Constitutionality: All legislative enactments and executive decrees carry the presumption of constitutionality; lower courts must apply them until formally invalidated by the Supreme Court.</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Every law written in the statute books is presumed constitutional and must be followed by judges until the Supreme Court strikes it down.</w:t>
            </w:r>
          </w:p>
        </w:tc>
      </w:tr>
    </w:tbl>
    <w:p>
      <w:r>
        <w:br w:type="page"/>
      </w:r>
    </w:p>
    <w:p>
      <w:pPr>
        <w:keepNext/>
        <w:spacing w:before="320" w:after="80"/>
      </w:pPr>
      <w:r>
        <w:rPr>
          <w:rFonts w:ascii="Arial" w:hAnsi="Arial"/>
          <w:b/>
          <w:color w:val="0F2043"/>
          <w:sz w:val="26"/>
        </w:rPr>
        <w:t>67. APARRI V. COURT OF APPEALS</w:t>
      </w:r>
    </w:p>
    <w:p>
      <w:pPr>
        <w:spacing w:before="40" w:after="80" w:line="276" w:lineRule="auto"/>
      </w:pPr>
      <w:r>
        <w:rPr>
          <w:rFonts w:ascii="Calibri" w:hAnsi="Calibri"/>
          <w:b/>
          <w:color w:val="212529"/>
          <w:sz w:val="21"/>
        </w:rPr>
        <w:t xml:space="preserve">Citation: </w:t>
      </w:r>
      <w:r>
        <w:rPr>
          <w:rFonts w:ascii="Calibri" w:hAnsi="Calibri"/>
          <w:i/>
          <w:color w:val="212529"/>
          <w:sz w:val="21"/>
        </w:rPr>
        <w:t>G.R. No. L-30057 | January 31, 1984 | 127 SCRA 231 | Second Division | Ponente: J. Makasiar</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Aparri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(Respondent)</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Court of First Instance of Manila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the expiration of a fixed term of office versus illegal removal under Republic Act No. 1160 (National Resettlement and Rehabilitation Administration / NARRA).</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Aparri was appointed General Manager of NARRA by the Board of Directors with an express resolution fixing his term of office to expire on January 15, 1962. Upon the arrival of January 15, 1962, the Board approved a resolution declaring his term ended and appointing a successor. Aparri filed a petition for Mandamus and Quo Warranto, arguing that under the Civil Service Law and R.A. No. 1160, he enjoyed constitutional security of tenure and could not be removed without cause, contending that the Board's resolution fixing a term was void ab initio for violating the presumption of life tenure in public office.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General Manager of a government resettlement agency was appointed by the Board of Directors with an explicit contract stating his term would expire on January 15, 1962. When that date arrived, the Board replaced him. He sued, claiming that public officials have security of tenure and cannot be removed without misconduct. The Supreme Court ruled that EXPIRATION OF A FIXED TERM is completely different from REMOVAL FROM OFFICE: when a term expires by law or contract, the officer simply reaches the end of his appointment, which does not violate security of tenure.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expiration of a fixed term of office constitutes removal from office in violation of the constitutional and statutory presumption of security of tenure.</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the end of a fixed term of office count as an illegal firing under the security of tenure law?</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expiration of a fixed term of office is equivalent to removal from office under RA 1160 and the Civil Service Law, testing the Distinction Between Term and Tenure and the Presumption of Regularity of Executive Appointments."</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Expiration of a fixed term is NOT REMOVAL. Security of tenure applies only during the officer's term; once the term expires by statutory definition or valid appointment, the right to hold office automatically ceases without any removal taking place.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Term is the time limit written in your appointment; tenure is the actual time you hold the office. When your fixed term ends, your contract is over—you were not fired, your time simply expired. Security of tenure only protects you WHILE your term is running.</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established the bedrock distinction: 'Term' is the statutory period during which an officer may claim to hold office; 'Tenure' is the period he actually holds it. Under statutory construction, expiration of term does not constitute removal, and does not violate the presumption of security of tenure."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1160 (NARRA Charter): </w:t>
            </w:r>
            <w:r>
              <w:rPr>
                <w:rFonts w:ascii="Calibri" w:hAnsi="Calibri"/>
                <w:color w:val="212529"/>
                <w:sz w:val="20"/>
              </w:rPr>
              <w:t>Empowers the Board of Directors to appoint and fix the terms of management personnel.</w:t>
            </w:r>
          </w:p>
          <w:p>
            <w:pPr>
              <w:spacing w:before="20" w:after="40" w:line="276" w:lineRule="auto"/>
            </w:pPr>
            <w:r>
              <w:rPr>
                <w:rFonts w:ascii="Calibri" w:hAnsi="Calibri"/>
                <w:b/>
                <w:color w:val="212529"/>
                <w:sz w:val="20"/>
              </w:rPr>
              <w:t xml:space="preserve">2. Constitutional and Statutory Security of Tenure: </w:t>
            </w:r>
            <w:r>
              <w:rPr>
                <w:rFonts w:ascii="Calibri" w:hAnsi="Calibri"/>
                <w:color w:val="212529"/>
                <w:sz w:val="20"/>
              </w:rPr>
              <w:t>Protects civil service officers against removal without cause during their lawful term.</w:t>
            </w:r>
          </w:p>
          <w:p>
            <w:pPr>
              <w:spacing w:before="20" w:after="40" w:line="276" w:lineRule="auto"/>
            </w:pPr>
            <w:r>
              <w:rPr>
                <w:rFonts w:ascii="Calibri" w:hAnsi="Calibri"/>
                <w:b/>
                <w:color w:val="212529"/>
                <w:sz w:val="20"/>
              </w:rPr>
              <w:t xml:space="preserve">3. Distinction Between Term and Tenure: </w:t>
            </w:r>
            <w:r>
              <w:rPr>
                <w:rFonts w:ascii="Calibri" w:hAnsi="Calibri"/>
                <w:color w:val="212529"/>
                <w:sz w:val="20"/>
              </w:rPr>
              <w:t>Term is fixed by statute or appointment; tenure depends on the incumbent's actual holding of office.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1160, Civil Service Law, Distinction between Term and Tenure, and Presumption of Regularity.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1160, construed under the doctrinal distinction between Term and Tenure and the Presumption of Regularity in public appointments."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Concept of Term of Office: </w:t>
            </w:r>
            <w:r>
              <w:rPr>
                <w:rFonts w:ascii="Calibri" w:hAnsi="Calibri"/>
                <w:color w:val="212529"/>
                <w:sz w:val="20"/>
              </w:rPr>
              <w:t>A term of office is the time limit fixed by law or valid executive resolution during which an officer may hold office. When the term expires, the office becomes vacant by operation of law.</w:t>
            </w:r>
          </w:p>
          <w:p>
            <w:pPr>
              <w:spacing w:before="20" w:after="40" w:line="276" w:lineRule="auto"/>
            </w:pPr>
            <w:r>
              <w:rPr>
                <w:rFonts w:ascii="Calibri" w:hAnsi="Calibri"/>
                <w:b/>
                <w:color w:val="212529"/>
                <w:sz w:val="20"/>
              </w:rPr>
              <w:t xml:space="preserve">2. Absence of Removal: </w:t>
            </w:r>
            <w:r>
              <w:rPr>
                <w:rFonts w:ascii="Calibri" w:hAnsi="Calibri"/>
                <w:color w:val="212529"/>
                <w:sz w:val="20"/>
              </w:rPr>
              <w:t>Removal implies the ouster of an incumbent before the expiration of his term. When the term naturally ends, there is no removal, but a mere severance of official relations through expiration of statutory appointment.</w:t>
            </w:r>
          </w:p>
          <w:p>
            <w:pPr>
              <w:spacing w:before="20" w:after="40" w:line="276" w:lineRule="auto"/>
            </w:pPr>
            <w:r>
              <w:rPr>
                <w:rFonts w:ascii="Calibri" w:hAnsi="Calibri"/>
                <w:b/>
                <w:color w:val="212529"/>
                <w:sz w:val="20"/>
              </w:rPr>
              <w:t xml:space="preserve">3. Presumption of Validity of Board Action: </w:t>
            </w:r>
            <w:r>
              <w:rPr>
                <w:rFonts w:ascii="Calibri" w:hAnsi="Calibri"/>
                <w:color w:val="212529"/>
                <w:sz w:val="20"/>
              </w:rPr>
              <w:t>The Board acted within its statutory powers under RA 1160 in fixing the term; its actions carry the presumption of regularity.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If your contract says you work from January 1 to December 31, leaving on December 31 is not a termination—it's just the end of the contract. The Civil Service law stops bosses from firing you in July without cause, but it does not make a 1-year contract last forever.</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clarified the statutory meaning of Term versus Tenure. Security of tenure guarantees protection against arbitrary dismissal DURING the term. Upon the expiration of the term, official relations terminate automatically by operation of law."</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AFFIRMED the decision of the Court of Appeals, DISMISSING Aparri's petition for Mandamus and Quo Warranto.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General Manager lost and his replacement was affirmed.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petition, ruling that expiration of term does not constitute illegal removal under Civil Service law."</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C. Presumptions: Distinction Between Term and Tenure (Presumption of Regularity in Executive Appointments)</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(all acts are presumed to have been done regularly)</w:t>
              <w:br/>
            </w:r>
            <w:r>
              <w:rPr>
                <w:rFonts w:ascii="Calibri" w:hAnsi="Calibri"/>
                <w:b/>
                <w:color w:val="212529"/>
                <w:sz w:val="19"/>
              </w:rPr>
              <w:t xml:space="preserve">   • Literal English Translation: </w:t>
            </w:r>
            <w:r>
              <w:rPr>
                <w:rFonts w:ascii="Calibri" w:hAnsi="Calibri"/>
                <w:i/>
                <w:color w:val="212529"/>
                <w:sz w:val="19"/>
              </w:rPr>
              <w:t>All things are presumed regular.</w:t>
              <w:br/>
            </w:r>
            <w:r>
              <w:rPr>
                <w:rFonts w:ascii="Calibri" w:hAnsi="Calibri"/>
                <w:b/>
                <w:color w:val="212529"/>
                <w:sz w:val="19"/>
              </w:rPr>
              <w:t xml:space="preserve">   • Plain Legal Meaning &amp; StatCon Application: </w:t>
            </w:r>
            <w:r>
              <w:rPr>
                <w:rFonts w:ascii="Calibri" w:hAnsi="Calibri"/>
                <w:color w:val="212529"/>
                <w:sz w:val="19"/>
              </w:rPr>
              <w:t>The appointment and term-fixing by the Board of Directors enjoy the presumption of regularity.</w:t>
            </w:r>
          </w:p>
          <w:p>
            <w:pPr>
              <w:spacing w:before="40" w:after="60" w:line="276" w:lineRule="auto"/>
            </w:pPr>
            <w:r>
              <w:rPr>
                <w:rFonts w:ascii="Calibri" w:hAnsi="Calibri"/>
                <w:b/>
                <w:color w:val="8C3200"/>
                <w:sz w:val="20"/>
              </w:rPr>
              <w:t>2. Cessante ratione legis, cessat ipsa lex (when the reason of the law ceases, the law itself ceases)</w:t>
              <w:br/>
            </w:r>
            <w:r>
              <w:rPr>
                <w:rFonts w:ascii="Calibri" w:hAnsi="Calibri"/>
                <w:b/>
                <w:color w:val="212529"/>
                <w:sz w:val="19"/>
              </w:rPr>
              <w:t xml:space="preserve">   • Literal English Translation: </w:t>
            </w:r>
            <w:r>
              <w:rPr>
                <w:rFonts w:ascii="Calibri" w:hAnsi="Calibri"/>
                <w:i/>
                <w:color w:val="212529"/>
                <w:sz w:val="19"/>
              </w:rPr>
              <w:t>When the reason for a law ceases, the law ceases.</w:t>
              <w:br/>
            </w:r>
            <w:r>
              <w:rPr>
                <w:rFonts w:ascii="Calibri" w:hAnsi="Calibri"/>
                <w:b/>
                <w:color w:val="212529"/>
                <w:sz w:val="19"/>
              </w:rPr>
              <w:t xml:space="preserve">   • Plain Legal Meaning &amp; StatCon Application: </w:t>
            </w:r>
            <w:r>
              <w:rPr>
                <w:rFonts w:ascii="Calibri" w:hAnsi="Calibri"/>
                <w:color w:val="212529"/>
                <w:sz w:val="19"/>
              </w:rPr>
              <w:t>When the term of office expires, the right to hold office ceases automatically.</w:t>
            </w:r>
          </w:p>
          <w:p>
            <w:pPr>
              <w:spacing w:before="40" w:after="60" w:line="276" w:lineRule="auto"/>
            </w:pPr>
            <w:r>
              <w:rPr>
                <w:rFonts w:ascii="Calibri" w:hAnsi="Calibri"/>
                <w:b/>
                <w:color w:val="8C3200"/>
                <w:sz w:val="20"/>
              </w:rPr>
              <w:t>3. Verba legis non est recedendum (from the words of the statute there should be no departure)</w:t>
              <w:br/>
            </w:r>
            <w:r>
              <w:rPr>
                <w:rFonts w:ascii="Calibri" w:hAnsi="Calibri"/>
                <w:b/>
                <w:color w:val="212529"/>
                <w:sz w:val="19"/>
              </w:rPr>
              <w:t xml:space="preserve">   • Literal English Translation: </w:t>
            </w:r>
            <w:r>
              <w:rPr>
                <w:rFonts w:ascii="Calibri" w:hAnsi="Calibri"/>
                <w:i/>
                <w:color w:val="212529"/>
                <w:sz w:val="19"/>
              </w:rPr>
              <w:t>From the words of the statute there must be no departure.</w:t>
              <w:br/>
            </w:r>
            <w:r>
              <w:rPr>
                <w:rFonts w:ascii="Calibri" w:hAnsi="Calibri"/>
                <w:b/>
                <w:color w:val="212529"/>
                <w:sz w:val="19"/>
              </w:rPr>
              <w:t xml:space="preserve">   • Plain Legal Meaning &amp; StatCon Application: </w:t>
            </w:r>
            <w:r>
              <w:rPr>
                <w:rFonts w:ascii="Calibri" w:hAnsi="Calibri"/>
                <w:color w:val="212529"/>
                <w:sz w:val="19"/>
              </w:rPr>
              <w:t>The explicit expiration date fixed in the appointment controls.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C. Presumptions: Distinction Between Term and Tenure (Presumption of Regularity in Executive Appointments)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Board resolution fixing term of office is presumed regular and valid)</w:t>
              <w:br/>
              <w:br/>
              <w:t>Secondary:</w:t>
              <w:br/>
              <w:t>• Cessante ratione legis cessat ipsa lex (expiration of term extinguishes tenure)</w:t>
              <w:br/>
              <w:t>• Verba legis non est recedendum (adherence to appointment terms)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confused 'tenure' with 'term', attempting to convert a fixed-term appointment into permanent life tenure.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Statutory Distinction Between Term and Tenure: 'Term' represents the legal period fixed for holding office; 'Tenure' is the actual incumbency. Expiration of term is an automatic statutory termination, not a disciplinary removal.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fixed-term job ends on the agreed expiration date; you cannot use the security of tenure law to turn a temporary job into a permanent lifetime seat.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Aparri v. CA is the supreme authority on the statutory distinction between Term and Tenure under Civil Service law."</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Aparri v. Court of Appeals</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L-30057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January 31, 1984</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Second Division</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Aparri was appointed General Manager of NARRA by the Board of Directors with an express resolution fixing his term of office to expire on January 15, 1962. Upon the arrival of January 15, 1962, the Board approved a resolution declaring his term ended and appointing a successor. Aparri filed a petition for Mandamus and Quo Warranto, arguing that under the Civil Service Law and R.A. No. 1160, he enjoyed constitutional security of tenure and could not be removed without cause, contending that the Board's resolution fixing a term was void ab initio for violating the presumption of life tenure in public office.</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1160 (NARRA Charter): Empowers the Board of Directors to appoint and fix the terms of management personnel.</w:t>
              <w:br/>
              <w:t>2. Constitutional and Statutory Security of Tenure: Protects civil service officers against removal without cause during their lawful term.</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confused 'tenure' with 'term', attempting to convert a fixed-term appointment into permanent life tenure.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expiration of a fixed term of office constitutes removal from office in violation of the constitutional and statutory presumption of security of tenure.</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Aparri v. Court of Appeals,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1160 (NARRA Charter): Empowers the Board of Directors to appoint and fix the terms of management personnel.</w:t>
              <w:br/>
              <w:t>2. Constitutional and Statutory Security of Tenure: Protects civil service officers against removal without cause during their lawful term.</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confused 'tenure' with 'term', attempting to convert a fixed-term appointment into permanent life tenure....</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AFFIRMED the decision of the Court of Appeals, DISMISSING Aparri's petition for Mandamus and Quo Warranto.</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Expiration of a fixed term is NOT REMOVAL. Security of tenure applies only during the officer's term; once the term expires by statutory definition or valid appointment, the right to hold office automatically ceases without any removal taking place.</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confused 'tenure' with 'term', attempting to convert a fixed-term appointment into permanent life tenure..</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Statutory Distinction Between Term and Tenure: 'Term' represents the legal period fixed for holding office; 'Tenure' is the actual incumbency. Expiration of term is an automatic statutory termination, not a disciplinary removal.</w:t>
              <w:br/>
              <w:t xml:space="preserve">   - Result: No. Term is the time limit written in your appointment; tenure is the actual time you hold the office. When your fixed term ends, your contract is over—you were not fired, your time simply expired. Security of tenure only protects you WHILE your term is running.</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reaffirmed the cardinal threshold rule: Construction and interpretation are proper only where the statute is ambiguous, doubtful, or susceptible of multiple meanings. Where the law is clear, no construction is warranted.</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was clear and unambiguous; the Court declined to find ambiguity where none existed in the text.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adhered strictly to the literal wording of the statute, holding that from the words of a statute there should be no departure.</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held that when the language of the law is clear and unequivocal, it requires no interpreter and leaves no room for judicial construction.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Cessante ratione legis cessat ipsa lex (expiration of term extinguishes tenure)</w:t>
              <w:br/>
              <w:t>• Verba legis non est recedendum (adherence to appointment terms)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Aparri v. Court of Appeals to mean and apply strictly in accordance with Omnia praesumuntur rite et solemniter esse acta, holding that No. Term is the time limit written in your appointment; tenure is the actual time you hold the office. When your fixed term ends, your contract is over—you were.</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If your contract says you work from January 1 to December 31, leaving on December 31 is not a termination—it's just the end of the contract. The Civil Service law stops bosses from firing you in July without cause, but it does not make a 1-year contract last forever.</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Statutory Distinction Between Term and Tenure: 'Term' represents the legal period fixed for holding office; 'Tenure' is the actual incumbency. Expiration of term is an automatic statutory termination, not a disciplinary removal.</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A fixed-term job ends on the agreed expiration date; you cannot use the security of tenure law to turn a temporary job into a permanent lifetime seat.</w:t>
            </w:r>
          </w:p>
        </w:tc>
      </w:tr>
    </w:tbl>
    <w:p>
      <w:r>
        <w:br w:type="page"/>
      </w:r>
    </w:p>
    <w:p>
      <w:pPr>
        <w:keepNext/>
        <w:spacing w:before="320" w:after="80"/>
      </w:pPr>
      <w:r>
        <w:rPr>
          <w:rFonts w:ascii="Arial" w:hAnsi="Arial"/>
          <w:b/>
          <w:color w:val="0F2043"/>
          <w:sz w:val="26"/>
        </w:rPr>
        <w:t>68. REPUBLIC OF THE PHILIPPINES V. COURT OF APPEALS AND RORIDEL OLAVIANO MOLINA</w:t>
      </w:r>
    </w:p>
    <w:p>
      <w:pPr>
        <w:spacing w:before="40" w:after="80" w:line="276" w:lineRule="auto"/>
      </w:pPr>
      <w:r>
        <w:rPr>
          <w:rFonts w:ascii="Calibri" w:hAnsi="Calibri"/>
          <w:b/>
          <w:color w:val="212529"/>
          <w:sz w:val="21"/>
        </w:rPr>
        <w:t xml:space="preserve">Citation: </w:t>
      </w:r>
      <w:r>
        <w:rPr>
          <w:rFonts w:ascii="Calibri" w:hAnsi="Calibri"/>
          <w:i/>
          <w:color w:val="212529"/>
          <w:sz w:val="21"/>
        </w:rPr>
        <w:t>G.R. No. 108763 | February 13, 1997 | 268 SCRA 198 | En Banc | Ponente: J. Panganiban</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Republic of the Philippines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Court of Appeals and Roridel Olaviano Molina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Regional Trial Court of La Trinidad, Benguet (Branch 8) / Court of Appeals</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Review on Certiorari under Rule 45 concerning declaration of nullity of marriage under Article 36 of the Family Code (Psychological Incapacity) and Presumption in Favor of Marriage.</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Roridel Molina filed a petition to declare her marriage with Reynaldo Molina void ab initio under Article 36 of the Family Code, citing psychological incapacity. Roridel alleged that Reynaldo was highly immature, irresponsible, preferred spending time with barkada, failed to support the family, and abandoned them. The RTC and CA declared the marriage void ab initio, equating emotional incompatibility and irreconcilable differences with psychological incapacity. The Solicitor General appealed on behalf of the Republic, arguing that the lower courts violated the constitutional mandate and statutory presumption protecting marriage as an inviolable social institution.</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wife filed to nullify her marriage under Article 36 of the Family Code (Psychological Incapacity) because her husband was immature, spent all his time drinking with friends, and failed to provide financial support. The lower courts granted the annulment. The Supreme Court reversed the decision and laid down the famous 'Molina Guidelines', ruling that simple immaturity, refusal to support, or marital incompatibility is NOT psychological incapacity. Under the Constitution and Family Code, there is a powerful Presumption in Favor of Marriage (Semper Praesumitur Pro Matrimonio).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irreconcilable differences, immaturity, and failure to perform marital obligations constitute Psychological Incapacity under Article 36 of the Family Code, testing the Presumption in Favor of Marriage (Semper Praesumitur Pro Matrimonio).</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Does being immature, irresponsible, and a bad provider count as 'psychological incapacity' to void a marriage, or does the law presume the marriage is valid?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irreconcilable differences and marital neglect satisfy Article 36 of the Family Code, testing the canonical guideline and the bedrock canon Semper Praesumitur Pro Matrimonio (always presume in favor of marriage)."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Irreconcilable differences, emotional incompatibility, and simple neglect of duties do NOT constitute Psychological Incapacity. Under Article 36 and the Constitution, there is a strong PRESUMPTION IN FAVOR OF THE VALIDITY OF MARRIAGE (Semper Praesumitur Pro Matrimonio).</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Psychological incapacity is not mere bad behavior; it is a severe psychological illness that renders a person mentally incapable of understanding marital obligations. Because the law fiercely protects families, any doubt is resolved in favor of keeping the marriage intact.</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As Justice Artemio Panganiban formulated in the historic Molina Guidelines: (1) burden of proof belongs to plaintiff; (2) root cause must be medically identified; (3) gravity, juridical antecedence, and incurability must be proved; and (4) under Semper praesumitur pro matrimonio (always presume in favor of marriage), all doubts are resolved in favor of the validity of the marriage."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Article 36, Family Code of the Philippines: </w:t>
            </w:r>
            <w:r>
              <w:rPr>
                <w:rFonts w:ascii="Calibri" w:hAnsi="Calibri"/>
                <w:color w:val="212529"/>
                <w:sz w:val="20"/>
              </w:rPr>
              <w:t>Declaration of nullity of marriage based on psychological incapacity existing at the time of celebration.</w:t>
            </w:r>
          </w:p>
          <w:p>
            <w:pPr>
              <w:spacing w:before="20" w:after="40" w:line="276" w:lineRule="auto"/>
            </w:pPr>
            <w:r>
              <w:rPr>
                <w:rFonts w:ascii="Calibri" w:hAnsi="Calibri"/>
                <w:b/>
                <w:color w:val="212529"/>
                <w:sz w:val="20"/>
              </w:rPr>
              <w:t xml:space="preserve">2. Article 220, 1987 Constitution &amp; Article 1, Family Code: </w:t>
            </w:r>
            <w:r>
              <w:rPr>
                <w:rFonts w:ascii="Calibri" w:hAnsi="Calibri"/>
                <w:color w:val="212529"/>
                <w:sz w:val="20"/>
              </w:rPr>
              <w:t>Marriage is an inviolable social institution protected by the State.</w:t>
            </w:r>
          </w:p>
          <w:p>
            <w:pPr>
              <w:spacing w:before="20" w:after="40" w:line="276" w:lineRule="auto"/>
            </w:pPr>
            <w:r>
              <w:rPr>
                <w:rFonts w:ascii="Calibri" w:hAnsi="Calibri"/>
                <w:b/>
                <w:color w:val="212529"/>
                <w:sz w:val="20"/>
              </w:rPr>
              <w:t xml:space="preserve">3. Semper Praesumitur Pro Matrimonio (the presumption is always in favor of the validity of marriage): </w:t>
            </w:r>
            <w:r>
              <w:rPr>
                <w:rFonts w:ascii="Calibri" w:hAnsi="Calibri"/>
                <w:color w:val="212529"/>
                <w:sz w:val="20"/>
              </w:rPr>
              <w:t>Fundamental statutory presumption in civil and canonical family law.</w:t>
            </w:r>
          </w:p>
          <w:p>
            <w:pPr>
              <w:spacing w:before="20" w:after="40" w:line="276" w:lineRule="auto"/>
            </w:pPr>
            <w:r>
              <w:rPr>
                <w:rFonts w:ascii="Calibri" w:hAnsi="Calibri"/>
                <w:b/>
                <w:color w:val="212529"/>
                <w:sz w:val="20"/>
              </w:rPr>
              <w:t xml:space="preserve">4. Strictissimi Juris in Marital Dissolution: </w:t>
            </w:r>
            <w:r>
              <w:rPr>
                <w:rFonts w:ascii="Calibri" w:hAnsi="Calibri"/>
                <w:color w:val="212529"/>
                <w:sz w:val="20"/>
              </w:rPr>
              <w:t>Grounds for nullity of marriage are strictly construed to prevent easy de facto divorce.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Article 36 Family Code, Molina Guidelines, and Semper Praesumitur Pro Matrimonio.</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Article 36 of the Family Code, governed by the canonical and constitutional presumption Semper praesumitur pro matrimonio (the presumption is always in favor of marriage)."</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The Constitutional Mandate Protecting Marriage: </w:t>
            </w:r>
            <w:r>
              <w:rPr>
                <w:rFonts w:ascii="Calibri" w:hAnsi="Calibri"/>
                <w:color w:val="212529"/>
                <w:sz w:val="20"/>
              </w:rPr>
              <w:t>The 1987 Constitution explicitly protects marriage as the foundation of the family. Article 36 was never intended to be an easy divorce escape hatch.</w:t>
            </w:r>
          </w:p>
          <w:p>
            <w:pPr>
              <w:spacing w:before="20" w:after="40" w:line="276" w:lineRule="auto"/>
            </w:pPr>
            <w:r>
              <w:rPr>
                <w:rFonts w:ascii="Calibri" w:hAnsi="Calibri"/>
                <w:b/>
                <w:color w:val="212529"/>
                <w:sz w:val="20"/>
              </w:rPr>
              <w:t xml:space="preserve">2. The Three Essential Requisites: </w:t>
            </w:r>
            <w:r>
              <w:rPr>
                <w:rFonts w:ascii="Calibri" w:hAnsi="Calibri"/>
                <w:color w:val="212529"/>
                <w:sz w:val="20"/>
              </w:rPr>
              <w:t>Psychological incapacity under Article 36 requires: (a) Gravity (truly serious and incipit); (b) Juridical Antecedence (existing prior to marriage); and (c) Incurability.</w:t>
            </w:r>
          </w:p>
          <w:p>
            <w:pPr>
              <w:spacing w:before="20" w:after="40" w:line="276" w:lineRule="auto"/>
            </w:pPr>
            <w:r>
              <w:rPr>
                <w:rFonts w:ascii="Calibri" w:hAnsi="Calibri"/>
                <w:b/>
                <w:color w:val="212529"/>
                <w:sz w:val="20"/>
              </w:rPr>
              <w:t xml:space="preserve">3. Failure vs. Incapacity: </w:t>
            </w:r>
            <w:r>
              <w:rPr>
                <w:rFonts w:ascii="Calibri" w:hAnsi="Calibri"/>
                <w:color w:val="212529"/>
                <w:sz w:val="20"/>
              </w:rPr>
              <w:t>Mere refusal, difficulty, or neglect to perform marital duties is NOT psychological incapacity. Incapacity means a psychological illness so severe that the party is mentally incapable of understanding the basic marital covenant.</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Court explained that psychological incapacity is not a divorce coupon you get because your spouse is annoying, lazy, or irresponsible. It must be a severe mental illness rooted before the wedding that makes marriage impossible. The law always presumes a marriage is valid unless overwhelming psychiatric proof is shown.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laid down the 8 Molina Guidelines. Under Semper Praesumitur Pro Matrimonio, the law strictly presumes the validity of marriage. Because the evidence showed only irreconcilable differences and financial neglect, the statutory threshold of Article 36 was not met."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GRANTED the petition of the Republic, REVERSED the CA, and DECLARED the marriage between Roridel and Reynaldo Molina VALID AND SUBSISTING.</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marriage was declared valid and the nullity petition was denied.</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reversed the annulment and upheld the validity of the marriage under the Molina Guidelines and Semper Praesumitur Pro Matrimonio."</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C. Presumptions: Presumption in Favor of Marriage (Semper Praesumitur Pro Matrimonio) &amp; Canonical Construction</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Semper praesumitur pro matrimonio (the presumption is always in favor of marriage)</w:t>
              <w:br/>
            </w:r>
            <w:r>
              <w:rPr>
                <w:rFonts w:ascii="Calibri" w:hAnsi="Calibri"/>
                <w:b/>
                <w:color w:val="212529"/>
                <w:sz w:val="19"/>
              </w:rPr>
              <w:t xml:space="preserve">   • Literal English Translation: </w:t>
            </w:r>
            <w:r>
              <w:rPr>
                <w:rFonts w:ascii="Calibri" w:hAnsi="Calibri"/>
                <w:i/>
                <w:color w:val="212529"/>
                <w:sz w:val="19"/>
              </w:rPr>
              <w:t>Always presume in favor of marriage.</w:t>
              <w:br/>
            </w:r>
            <w:r>
              <w:rPr>
                <w:rFonts w:ascii="Calibri" w:hAnsi="Calibri"/>
                <w:b/>
                <w:color w:val="212529"/>
                <w:sz w:val="19"/>
              </w:rPr>
              <w:t xml:space="preserve">   • Plain Legal Meaning &amp; StatCon Application: </w:t>
            </w:r>
            <w:r>
              <w:rPr>
                <w:rFonts w:ascii="Calibri" w:hAnsi="Calibri"/>
                <w:color w:val="212529"/>
                <w:sz w:val="19"/>
              </w:rPr>
              <w:t>All doubts in Article 36 proceedings are resolved in favor of the validity and indissolubility of marriage.</w:t>
            </w:r>
          </w:p>
          <w:p>
            <w:pPr>
              <w:spacing w:before="40" w:after="60" w:line="276" w:lineRule="auto"/>
            </w:pPr>
            <w:r>
              <w:rPr>
                <w:rFonts w:ascii="Calibri" w:hAnsi="Calibri"/>
                <w:b/>
                <w:color w:val="8C3200"/>
                <w:sz w:val="20"/>
              </w:rPr>
              <w:t>2. Strictissimi juris (of the strictest interpretation)</w:t>
              <w:br/>
            </w:r>
            <w:r>
              <w:rPr>
                <w:rFonts w:ascii="Calibri" w:hAnsi="Calibri"/>
                <w:b/>
                <w:color w:val="212529"/>
                <w:sz w:val="19"/>
              </w:rPr>
              <w:t xml:space="preserve">   • Literal English Translation: </w:t>
            </w:r>
            <w:r>
              <w:rPr>
                <w:rFonts w:ascii="Calibri" w:hAnsi="Calibri"/>
                <w:i/>
                <w:color w:val="212529"/>
                <w:sz w:val="19"/>
              </w:rPr>
              <w:t>Of the strictest law.</w:t>
              <w:br/>
            </w:r>
            <w:r>
              <w:rPr>
                <w:rFonts w:ascii="Calibri" w:hAnsi="Calibri"/>
                <w:b/>
                <w:color w:val="212529"/>
                <w:sz w:val="19"/>
              </w:rPr>
              <w:t xml:space="preserve">   • Plain Legal Meaning &amp; StatCon Application: </w:t>
            </w:r>
            <w:r>
              <w:rPr>
                <w:rFonts w:ascii="Calibri" w:hAnsi="Calibri"/>
                <w:color w:val="212529"/>
                <w:sz w:val="19"/>
              </w:rPr>
              <w:t>Provisions authorizing the nullity of marriage are strictly construed to preserve social stability.</w:t>
            </w:r>
          </w:p>
          <w:p>
            <w:pPr>
              <w:spacing w:before="40" w:after="60" w:line="276" w:lineRule="auto"/>
            </w:pPr>
            <w:r>
              <w:rPr>
                <w:rFonts w:ascii="Calibri" w:hAnsi="Calibri"/>
                <w:b/>
                <w:color w:val="8C3200"/>
                <w:sz w:val="20"/>
              </w:rPr>
              <w:t>3. Salus populi est suprema lex (the welfare of the people is the supreme law)</w:t>
              <w:br/>
            </w:r>
            <w:r>
              <w:rPr>
                <w:rFonts w:ascii="Calibri" w:hAnsi="Calibri"/>
                <w:b/>
                <w:color w:val="212529"/>
                <w:sz w:val="19"/>
              </w:rPr>
              <w:t xml:space="preserve">   • Literal English Translation: </w:t>
            </w:r>
            <w:r>
              <w:rPr>
                <w:rFonts w:ascii="Calibri" w:hAnsi="Calibri"/>
                <w:i/>
                <w:color w:val="212529"/>
                <w:sz w:val="19"/>
              </w:rPr>
              <w:t>The welfare of the people is the supreme law.</w:t>
              <w:br/>
            </w:r>
            <w:r>
              <w:rPr>
                <w:rFonts w:ascii="Calibri" w:hAnsi="Calibri"/>
                <w:b/>
                <w:color w:val="212529"/>
                <w:sz w:val="19"/>
              </w:rPr>
              <w:t xml:space="preserve">   • Plain Legal Meaning &amp; StatCon Application: </w:t>
            </w:r>
            <w:r>
              <w:rPr>
                <w:rFonts w:ascii="Calibri" w:hAnsi="Calibri"/>
                <w:color w:val="212529"/>
                <w:sz w:val="19"/>
              </w:rPr>
              <w:t>Preserving the stability of the family as a basic social institution is paramount.</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C. Presumptions: Presumption in Favor of Marriage (Semper Praesumitur Pro Matrimonio) &amp; Canonical Construction</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Semper praesumitur pro matrimonio</w:t>
              <w:br/>
              <w:t>(the presumption is always in favor of marriage / Article 36 Family Code is construed strictly to uphold marital validity under the Molina Guidelines)</w:t>
              <w:br/>
              <w:br/>
              <w:t>Secondary:</w:t>
              <w:br/>
              <w:t>• Strictissimi juris (strict construction of nullity grounds)</w:t>
              <w:br/>
              <w:t>• Salus populi est suprema lex (constitutional protection of the family)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lower courts diluted Article 36 by treating simple irreconcilable differences as psychological incapacity, violating the Presumption in Favor of Marriage.</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Presumption in Favor of Marriage: Under Semper Praesumitur Pro Matrimonio, every intendment of the law leans toward the validity and survival of marriage; psychological incapacity requires clear proof of gravity, antecedence, and incurability.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law strongly protects marriage; courts will always presume a marriage is valid and will not allow couples to dissolve it over ordinary marital arguments.</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Republic v. Molina is the legendary landmark decision establishing the Molina Guidelines and the statutory presumption Semper praesumitur pro matrimonio under Article 36."</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Republic of the Philippines v. Court of Appeals and Roridel Olaviano Molina</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108763</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February 13, 1997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Roridel Molina filed a petition to declare her marriage with Reynaldo Molina void ab initio under Article 36 of the Family Code, citing psychological incapacity. Roridel alleged that Reynaldo was highly immature, irresponsible, preferred spending time with barkada, failed to support the family, and abandoned them. The RTC and CA declared the marriage void ab initio, equating emotional incompatibility and irreconcilable differences with psychological incapacity. The Solicitor General appealed on behalf of the Republic, arguing that the lower courts violated the constitutional mandate and statutory presumption protecting marriage as an inviolable social institution.</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Article 36, Family Code of the Philippines: Declaration of nullity of marriage based on psychological incapacity existing at the time of celebration.</w:t>
              <w:br/>
              <w:t>2. Article 220, 1987 Constitution &amp; Article 1, Family Code: Marriage is an inviolable social institution protected by the State.</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lower courts diluted Article 36 by treating simple irreconcilable differences as psychological incapacity, violating the Presumption in Favor of Marriage.</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irreconcilable differences, immaturity, and failure to perform marital obligations constitute Psychological Incapacity under Article 36 of the Family Code, testing the Presumption in Favor of Marriage (Semper Praesumitur Pro Matrimonio).</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Republic of the Philippines v. Court of Appeals and Roridel Olaviano Molina, under the canon of Semper praesumitur pro matrimonio.</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Article 36, Family Code of the Philippines: Declaration of nullity of marriage based on psychological incapacity existing at the time of celebration.</w:t>
              <w:br/>
              <w:t>2. Article 220, 1987 Constitution &amp; Article 1, Family Code: Marriage is an inviolable social institution protected by the State.</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lower courts diluted Article 36 by treating simple irreconcilable differences as psychological incapacity, violating...</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GRANTED the petition of the Republic, REVERSED the CA, and DECLARED the marriage between Roridel and Reynaldo Molina VALID AND SUBSISTING.</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Irreconcilable differences, emotional incompatibility, and simple neglect of duties do NOT constitute Psychological Incapacity. Under Article 36 and the Constitution, there is a strong PRESUMPTION IN FAVOR OF THE VALIDITY OF MARRIAGE (Semper Praesumitur Pro Matrimonio).</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lower courts diluted Article 36 by treating simple irreconcilable differences as psychological incapacity, violating the Presumption in .</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Semper praesumitur pro matrimonio</w:t>
              <w:br/>
              <w:t xml:space="preserve">   - Application: Presumption in Favor of Marriage: Under Semper Praesumitur Pro Matrimonio, every intendment of the law leans toward the validity and survival of marriage; psychological incapacity requires clear proof of gravity, antecedence, and incurability.</w:t>
              <w:br/>
              <w:t xml:space="preserve">   - Result: No. Psychological incapacity is not mere bad behavior; it is a severe psychological illness that renders a person mentally incapable of understanding marital obligations. Because the law fiercely protects families, any doubt is resolved in favor of keeping the marriage intact.</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Strictissimi juris (strict construction of nullity grounds)</w:t>
              <w:br/>
              <w:t>• Salus populi est suprema lex (constitutional protection of the family)</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Republic of the Philippines v. Court of Appeals and Roridel Olaviano Molina to mean and apply strictly in accordance with Semper praesumitur pro matrimonio, holding that No. Psychological incapacity is not mere bad behavior; it is a severe psychological illness that renders a person mentally incapable of understanding marital ob.</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The Court explained that psychological incapacity is not a divorce coupon you get because your spouse is annoying, lazy, or irresponsible. It must be a severe mental illness rooted before the wedding that makes marriage impossible. The law always presumes a marriage is valid unless overwhelming psychiatric proof is shown.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Semper praesumitur pro matrimonio,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Presumption in Favor of Marriage: Under Semper Praesumitur Pro Matrimonio, every intendment of the law leans toward the validity and survival of marriage; psychological incapacity requires clear proof of gravity, antecedence, and incurability.</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The law strongly protects marriage; courts will always presume a marriage is valid and will not allow couples to dissolve it over ordinary marital arguments.</w:t>
            </w:r>
          </w:p>
        </w:tc>
      </w:tr>
    </w:tbl>
    <w:p>
      <w:r>
        <w:br w:type="page"/>
      </w:r>
    </w:p>
    <w:p>
      <w:pPr>
        <w:keepNext/>
        <w:spacing w:before="320" w:after="80"/>
      </w:pPr>
      <w:r>
        <w:rPr>
          <w:rFonts w:ascii="Arial" w:hAnsi="Arial"/>
          <w:b/>
          <w:color w:val="0F2043"/>
          <w:sz w:val="26"/>
        </w:rPr>
        <w:t>69. LAWYERS AGAINST MONOPOLY AND POVERTY (LAMP) V. THE SECRETARY OF BUDGET AND MANAGEMENT</w:t>
      </w:r>
    </w:p>
    <w:p>
      <w:pPr>
        <w:spacing w:before="40" w:after="80" w:line="276" w:lineRule="auto"/>
      </w:pPr>
      <w:r>
        <w:rPr>
          <w:rFonts w:ascii="Calibri" w:hAnsi="Calibri"/>
          <w:b/>
          <w:color w:val="212529"/>
          <w:sz w:val="21"/>
        </w:rPr>
        <w:t xml:space="preserve">Citation: </w:t>
      </w:r>
      <w:r>
        <w:rPr>
          <w:rFonts w:ascii="Calibri" w:hAnsi="Calibri"/>
          <w:i/>
          <w:color w:val="212529"/>
          <w:sz w:val="21"/>
        </w:rPr>
        <w:t>G.R. No. 164987 | April 24, 2012 | 670 SCRA 373 | En Banc | Ponente: J. Mendoza</w:t>
      </w:r>
    </w:p>
    <w:p>
      <w:pPr>
        <w:keepNext/>
        <w:spacing w:before="200" w:after="40"/>
      </w:pPr>
      <w:r>
        <w:rPr>
          <w:rFonts w:ascii="Arial" w:hAnsi="Arial"/>
          <w:b/>
          <w:color w:val="781E1E"/>
          <w:sz w:val="22"/>
        </w:rPr>
        <w:t>LAYER A: ALAC DIGEST, RECITATION SCRIPT &amp; STATCON ANALYSIS</w:t>
      </w:r>
    </w:p>
    <w:p>
      <w:pPr>
        <w:keepNext/>
        <w:spacing w:before="200" w:after="40"/>
      </w:pPr>
      <w:r>
        <w:rPr>
          <w:rFonts w:ascii="Arial" w:hAnsi="Arial"/>
          <w:b/>
          <w:color w:val="781E1E"/>
          <w:sz w:val="22"/>
        </w:rPr>
        <w:t>I. PARTIES &amp; PROCEDURAL BACKGROUND</w:t>
      </w:r>
    </w:p>
    <w:p>
      <w:pPr>
        <w:spacing w:before="40" w:after="80" w:line="276" w:lineRule="auto"/>
      </w:pPr>
      <w:r>
        <w:rPr>
          <w:rFonts w:ascii="Calibri" w:hAnsi="Calibri"/>
          <w:b/>
          <w:color w:val="212529"/>
          <w:sz w:val="21"/>
        </w:rPr>
        <w:t xml:space="preserve">• Plaintiff/Petitioner: </w:t>
      </w:r>
      <w:r>
        <w:rPr>
          <w:rFonts w:ascii="Calibri" w:hAnsi="Calibri"/>
          <w:i w:val="0"/>
          <w:color w:val="212529"/>
          <w:sz w:val="21"/>
        </w:rPr>
        <w:t>Lawyers Against Monopoly and Poverty (LAMP) (Petitioner)</w:t>
      </w:r>
    </w:p>
    <w:p>
      <w:pPr>
        <w:spacing w:before="40" w:after="80" w:line="276" w:lineRule="auto"/>
      </w:pPr>
      <w:r>
        <w:rPr>
          <w:rFonts w:ascii="Calibri" w:hAnsi="Calibri"/>
          <w:b/>
          <w:color w:val="212529"/>
          <w:sz w:val="21"/>
        </w:rPr>
        <w:t xml:space="preserve">• Defendant/Respondent: </w:t>
      </w:r>
      <w:r>
        <w:rPr>
          <w:rFonts w:ascii="Calibri" w:hAnsi="Calibri"/>
          <w:i w:val="0"/>
          <w:color w:val="212529"/>
          <w:sz w:val="21"/>
        </w:rPr>
        <w:t>The Secretary of Budget and Management, Senate President, and Speaker of the House (Respondents)</w:t>
      </w:r>
    </w:p>
    <w:p>
      <w:pPr>
        <w:spacing w:before="40" w:after="80" w:line="276" w:lineRule="auto"/>
      </w:pPr>
      <w:r>
        <w:rPr>
          <w:rFonts w:ascii="Calibri" w:hAnsi="Calibri"/>
          <w:b/>
          <w:color w:val="212529"/>
          <w:sz w:val="21"/>
        </w:rPr>
        <w:t xml:space="preserve">• Originating Court: </w:t>
      </w:r>
      <w:r>
        <w:rPr>
          <w:rFonts w:ascii="Calibri" w:hAnsi="Calibri"/>
          <w:i w:val="0"/>
          <w:color w:val="212529"/>
          <w:sz w:val="21"/>
        </w:rPr>
        <w:t>Supreme Court En Banc (Original Action for Certiorari and Prohibition)</w:t>
      </w:r>
    </w:p>
    <w:p>
      <w:pPr>
        <w:spacing w:before="40" w:after="80" w:line="276" w:lineRule="auto"/>
      </w:pPr>
      <w:r>
        <w:rPr>
          <w:rFonts w:ascii="Calibri" w:hAnsi="Calibri"/>
          <w:b/>
          <w:color w:val="212529"/>
          <w:sz w:val="21"/>
        </w:rPr>
        <w:t xml:space="preserve">• Nature of the Action: </w:t>
      </w:r>
      <w:r>
        <w:rPr>
          <w:rFonts w:ascii="Calibri" w:hAnsi="Calibri"/>
          <w:i w:val="0"/>
          <w:color w:val="212529"/>
          <w:sz w:val="21"/>
        </w:rPr>
        <w:t>Petition for Certiorari and Prohibition challenging the constitutionality of the Priority Development Assistance Fund (PDAF / Pork Barrel) under the General Appropriations Act of 2004.</w:t>
      </w:r>
    </w:p>
    <w:p>
      <w:pPr>
        <w:keepNext/>
        <w:spacing w:before="200" w:after="40"/>
      </w:pPr>
      <w:r>
        <w:rPr>
          <w:rFonts w:ascii="Arial" w:hAnsi="Arial"/>
          <w:b/>
          <w:color w:val="781E1E"/>
          <w:sz w:val="22"/>
        </w:rPr>
        <w:t>II. WHOLE FACTS</w:t>
      </w:r>
    </w:p>
    <w:p>
      <w:pPr>
        <w:spacing w:before="40" w:after="80" w:line="276" w:lineRule="auto"/>
      </w:pPr>
      <w:r>
        <w:rPr>
          <w:rFonts w:ascii="Calibri" w:hAnsi="Calibri"/>
          <w:i w:val="0"/>
          <w:color w:val="212529"/>
          <w:sz w:val="21"/>
        </w:rPr>
        <w:t>Lawyers Against Monopoly and Poverty (LAMP) filed a petition challenging the constitutionality of the Priority Development Assistance Fund (PDAF) provisions in the 2004 General Appropriations Act (R.A. No. 9206). LAMP argued that the PDAF system was unconstitutional on its face because it allowed members of Congress to identify specific infrastructure projects after the enactment of the budget, thereby violating the separation of powers and non-delegation of legislative power. However, LAMP presented no concrete evidence of actual post-enactment legislator project execution in the 2004 budget, relying solely on theoretical arguments.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SUMMARY OF FACTS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A group of lawyers filed a petition claiming the 2004 Pork Barrel (PDAF) budget law was unconstitutional on its face because lawmakers secretly direct project spending. However, the petitioners failed to bring any concrete financial proof or audit reports to prove that the 2004 budget line-items were illegally handled. The Supreme Court dismissed the petition under the Presumption of Constitutionality, ruling that courts will not declare an entire national budget law unconstitutional without clear, convincing factual evidence. (Note: The PDAF system was later declared unconstitutional with full evidentiary records in the 2013 Belgica case).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When reciting the facts, state the core dispute in 2 sentences, then state how the case reached the Supreme Court.</w:t>
            </w:r>
          </w:p>
        </w:tc>
      </w:tr>
    </w:tbl>
    <w:p>
      <w:pPr>
        <w:keepNext/>
        <w:spacing w:before="200" w:after="40"/>
      </w:pPr>
      <w:r>
        <w:rPr>
          <w:rFonts w:ascii="Arial" w:hAnsi="Arial"/>
          <w:b/>
          <w:color w:val="781E1E"/>
          <w:sz w:val="22"/>
        </w:rPr>
        <w:t>III. THE LEGAL ISSUE</w:t>
      </w:r>
    </w:p>
    <w:p>
      <w:pPr>
        <w:spacing w:before="40" w:after="80" w:line="276" w:lineRule="auto"/>
      </w:pPr>
      <w:r>
        <w:rPr>
          <w:rFonts w:ascii="Calibri" w:hAnsi="Calibri"/>
          <w:i w:val="0"/>
          <w:color w:val="212529"/>
          <w:sz w:val="21"/>
        </w:rPr>
        <w:t>Whether or not the PDAF provisions in the 2004 GAA can be declared unconstitutional without clear factual proof of constitutional violation, testing the Presumption of Constitutionality of Appropriations Statutes.</w:t>
      </w:r>
    </w:p>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LEGAL ISSUE</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Can the Supreme Court strike down a national budget law as unconstitutional based on pure theory without actual evidence of illegality?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issue is whether the 2004 PDAF budget provisions can be invalidated based on theoretical assertions, testing the Presumption of Constitutionality and the burden of proof required to invalidate a statute."</w:t>
            </w:r>
          </w:p>
        </w:tc>
      </w:tr>
    </w:tbl>
    <w:p>
      <w:pPr>
        <w:keepNext/>
        <w:spacing w:before="200" w:after="40"/>
      </w:pPr>
      <w:r>
        <w:rPr>
          <w:rFonts w:ascii="Arial" w:hAnsi="Arial"/>
          <w:b/>
          <w:color w:val="781E1E"/>
          <w:sz w:val="22"/>
        </w:rPr>
        <w:t>IV. ALAC DIGEST</w:t>
      </w:r>
    </w:p>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ANSWER</w:t>
              <w:br/>
            </w:r>
          </w:p>
          <w:p>
            <w:pPr>
              <w:spacing w:before="20" w:after="40" w:line="276" w:lineRule="auto"/>
            </w:pPr>
            <w:r>
              <w:rPr>
                <w:rFonts w:ascii="Calibri" w:hAnsi="Calibri"/>
                <w:color w:val="212529"/>
                <w:sz w:val="20"/>
              </w:rPr>
              <w:t>NO. The 2004 PDAF provisions CANNOT be declared unconstitutional in the absence of clear, compelling factual evidence. Under the PRESUMPTION OF CONSTITUTIONALITY, every legislative act is presumed valid, and the burden of proving unconstitutionality rests heavily upon the petitioner.</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THE ANSWER</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No. The Supreme Court cannot strike down a law passed by Congress based on theories alone. Because every statute is presumed constitutional, the petitioner must present real, undeniable proof of violation. Speculation is not enough.</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"No, Sir/Ma'am. The Supreme Court held that under the Presumption of Constitutionality, every statute is presumed to have been enacted in conformity with the Constitution. To strike down a provision in a General Appropriations Act, the petitioner must overcome this presumption with clear and convincing evidence, not mere conjectures or newspaper allegations."</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[L] LEGAL BASIS</w:t>
              <w:br/>
            </w:r>
          </w:p>
          <w:p>
            <w:pPr>
              <w:spacing w:before="20" w:after="40" w:line="276" w:lineRule="auto"/>
            </w:pPr>
            <w:r>
              <w:rPr>
                <w:rFonts w:ascii="Calibri" w:hAnsi="Calibri"/>
                <w:b/>
                <w:color w:val="212529"/>
                <w:sz w:val="20"/>
              </w:rPr>
              <w:t xml:space="preserve">1. Republic Act No. 9206 (General Appropriations Act of 2004): </w:t>
            </w:r>
            <w:r>
              <w:rPr>
                <w:rFonts w:ascii="Calibri" w:hAnsi="Calibri"/>
                <w:color w:val="212529"/>
                <w:sz w:val="20"/>
              </w:rPr>
              <w:t>Statutory allocation for the Priority Development Assistance Fund (PDAF).</w:t>
            </w:r>
          </w:p>
          <w:p>
            <w:pPr>
              <w:spacing w:before="20" w:after="40" w:line="276" w:lineRule="auto"/>
            </w:pPr>
            <w:r>
              <w:rPr>
                <w:rFonts w:ascii="Calibri" w:hAnsi="Calibri"/>
                <w:b/>
                <w:color w:val="212529"/>
                <w:sz w:val="20"/>
              </w:rPr>
              <w:t xml:space="preserve">2. Presumption of Constitutionality of Statutes: </w:t>
            </w:r>
            <w:r>
              <w:rPr>
                <w:rFonts w:ascii="Calibri" w:hAnsi="Calibri"/>
                <w:color w:val="212529"/>
                <w:sz w:val="20"/>
              </w:rPr>
              <w:t>Statutes carry a heavy presumption of validity; nullity will be declared only upon a clear and unequivocal breach of the Constitution.</w:t>
            </w:r>
          </w:p>
          <w:p>
            <w:pPr>
              <w:spacing w:before="20" w:after="40" w:line="276" w:lineRule="auto"/>
            </w:pPr>
            <w:r>
              <w:rPr>
                <w:rFonts w:ascii="Calibri" w:hAnsi="Calibri"/>
                <w:b/>
                <w:color w:val="212529"/>
                <w:sz w:val="20"/>
              </w:rPr>
              <w:t xml:space="preserve">3. Omnia Praesumuntur Rite Esse Acta (all acts are presumed regular): </w:t>
            </w:r>
            <w:r>
              <w:rPr>
                <w:rFonts w:ascii="Calibri" w:hAnsi="Calibri"/>
                <w:color w:val="212529"/>
                <w:sz w:val="20"/>
              </w:rPr>
              <w:t>Official budget disbursements are presumed regular in the absence of contrary evidence.</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LEGAL BASIS</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RA 9206 (2004 GAA), Presumption of Constitutionality, and Omnia Praesumuntur Rite Esse Acta.</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legal basis is RA 9206, governed by the Presumption of Constitutionality and Omnia praesumuntur rite et solemniter esse acta (all official acts are presumed regular)."</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[A] ANALYSIS / APPLICATION</w:t>
              <w:br/>
            </w:r>
          </w:p>
          <w:p>
            <w:pPr>
              <w:spacing w:before="20" w:after="40" w:line="276" w:lineRule="auto"/>
            </w:pPr>
            <w:r>
              <w:rPr>
                <w:rFonts w:ascii="Calibri" w:hAnsi="Calibri"/>
                <w:b/>
                <w:color w:val="212529"/>
                <w:sz w:val="20"/>
              </w:rPr>
              <w:t xml:space="preserve">1. Heavy Burden on Challengers: </w:t>
            </w:r>
            <w:r>
              <w:rPr>
                <w:rFonts w:ascii="Calibri" w:hAnsi="Calibri"/>
                <w:color w:val="212529"/>
                <w:sz w:val="20"/>
              </w:rPr>
              <w:t>To overcome the presumption of constitutionality, the petitioner must demonstrate that the law is clearly, plainly, and palpably in conflict with the Constitution. Mere speculation is insufficient.</w:t>
            </w:r>
          </w:p>
          <w:p>
            <w:pPr>
              <w:spacing w:before="20" w:after="40" w:line="276" w:lineRule="auto"/>
            </w:pPr>
            <w:r>
              <w:rPr>
                <w:rFonts w:ascii="Calibri" w:hAnsi="Calibri"/>
                <w:b/>
                <w:color w:val="212529"/>
                <w:sz w:val="20"/>
              </w:rPr>
              <w:t xml:space="preserve">2. Facial Validity of 2004 PDAF Text: </w:t>
            </w:r>
            <w:r>
              <w:rPr>
                <w:rFonts w:ascii="Calibri" w:hAnsi="Calibri"/>
                <w:color w:val="212529"/>
                <w:sz w:val="20"/>
              </w:rPr>
              <w:t>On its face, the text of the 2004 GAA assigned project implementation to executive departments (DPWH, DOH, etc.), which is constitutionally permissible on paper.</w:t>
            </w:r>
          </w:p>
          <w:p>
            <w:pPr>
              <w:spacing w:before="20" w:after="40" w:line="276" w:lineRule="auto"/>
            </w:pPr>
            <w:r>
              <w:rPr>
                <w:rFonts w:ascii="Calibri" w:hAnsi="Calibri"/>
                <w:b/>
                <w:color w:val="212529"/>
                <w:sz w:val="20"/>
              </w:rPr>
              <w:t xml:space="preserve">3. Evolution to Belgica v. Ochoa (2013): </w:t>
            </w:r>
            <w:r>
              <w:rPr>
                <w:rFonts w:ascii="Calibri" w:hAnsi="Calibri"/>
                <w:color w:val="212529"/>
                <w:sz w:val="20"/>
              </w:rPr>
              <w:t>While the 2004 budget survived in LAMP due to lack of evidence, the Supreme Court later struck down the entire PDAF system in Belgica v. Ochoa (2013) when COA Special Audit Reports provided overwhelming empirical proof of post-enactment legislative control.</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ANALYSIS / APPLICATION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To destroy a law, you must bring proof, not just opinions. On paper, the 2004 budget looked normal because it said government departments would spend the money. Because the petitioners brought zero audit reports or proof of abuse, the presumption of constitutionality saved the law. (Later in 2013, COA provided the actual proof in the Belgica case, and the pork barrel was struck down).</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the Court applied the Presumption of Constitutionality. A statute cannot be nullified on mere facial assertions without empirical proof of unconstitutional execution. The Court reaffirmed that the judiciary will not invalidate an act of Congress unless unconstitutionality is shown beyond reasonable doubt."</w:t>
            </w:r>
          </w:p>
        </w:tc>
      </w:tr>
    </w:tbl>
    <w:tbl>
      <w:tblPr>
        <w:tblW w:type="auto" w:w="0"/>
        <w:jc w:val="center"/>
        <w:tblLook w:firstColumn="1" w:firstRow="1" w:lastColumn="0" w:lastRow="0" w:noHBand="0" w:noVBand="1" w:val="04A0"/>
      </w:tblPr>
      <w:tblGrid>
        <w:gridCol w:w="9648"/>
      </w:tblGrid>
      <w:tr>
        <w:tc>
          <w:tcPr>
            <w:tcW w:type="dxa" w:w="9648"/>
            <w:shd w:fill="F4F6F9"/>
            <w:tcMar>
              <w:top w:w="120" w:type="dxa"/>
              <w:bottom w:w="120" w:type="dxa"/>
              <w:left w:w="180" w:type="dxa"/>
              <w:right w:w="180" w:type="dxa"/>
            </w:tcMar>
          </w:tcPr>
          <w:p>
            <w:pPr>
              <w:spacing w:before="40" w:after="60"/>
            </w:pPr>
            <w:r>
              <w:rPr>
                <w:rFonts w:ascii="Arial" w:hAnsi="Arial"/>
                <w:b/>
                <w:color w:val="0F2043"/>
                <w:sz w:val="21"/>
              </w:rPr>
              <w:t>[C] CONCLUSION</w:t>
              <w:br/>
            </w:r>
          </w:p>
          <w:p>
            <w:pPr>
              <w:spacing w:before="20" w:after="40" w:line="276" w:lineRule="auto"/>
            </w:pPr>
            <w:r>
              <w:rPr>
                <w:rFonts w:ascii="Calibri" w:hAnsi="Calibri"/>
                <w:color w:val="212529"/>
                <w:sz w:val="20"/>
              </w:rPr>
              <w:t>The Supreme Court DISMISSED the petition for lack of merit, UPHOLDING the constitutionality of the 2004 PDAF provisions under the Presumption of Constitutionality.</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CONCLUSION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The petition was dismissed and the 2004 budget law was upheld under the presumption of constitutionality.</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"The Supreme Court dismissed the petition, reaffirming the Presumption of Constitutionality of General Appropriations Acts in the absence of factual proof."</w:t>
            </w:r>
          </w:p>
        </w:tc>
      </w:tr>
    </w:tbl>
    <w:p>
      <w:pPr>
        <w:keepNext/>
        <w:spacing w:before="200" w:after="40"/>
      </w:pPr>
      <w:r>
        <w:rPr>
          <w:rFonts w:ascii="Arial" w:hAnsi="Arial"/>
          <w:b/>
          <w:color w:val="781E1E"/>
          <w:sz w:val="22"/>
        </w:rPr>
        <w:t>V. RELATION TO STATUTORY CONSTRUCTION</w:t>
      </w:r>
    </w:p>
    <w:p>
      <w:pPr>
        <w:spacing w:before="40" w:after="80" w:line="276" w:lineRule="auto"/>
      </w:pPr>
      <w:r>
        <w:rPr>
          <w:rFonts w:ascii="Calibri" w:hAnsi="Calibri"/>
          <w:b/>
          <w:color w:val="212529"/>
          <w:sz w:val="21"/>
        </w:rPr>
        <w:t>• Syllabus Topic Alignment:</w:t>
        <w:br/>
      </w:r>
      <w:r>
        <w:rPr>
          <w:rFonts w:ascii="Calibri" w:hAnsi="Calibri"/>
          <w:i w:val="0"/>
          <w:color w:val="212529"/>
          <w:sz w:val="21"/>
        </w:rPr>
        <w:t>• Chapter IV: Aids to Construction</w:t>
        <w:br/>
        <w:t xml:space="preserve">  - C. Presumptions: Presumption of Constitutionality of Appropriations Acts (Burden of Proof &amp; Evolution to Belgica)</w:t>
      </w:r>
    </w:p>
    <w:tbl>
      <w:tblPr>
        <w:tblW w:type="auto" w:w="0"/>
        <w:jc w:val="center"/>
        <w:tblLook w:firstColumn="1" w:firstRow="1" w:lastColumn="0" w:lastRow="0" w:noHBand="0" w:noVBand="1" w:val="04A0"/>
      </w:tblPr>
      <w:tblGrid>
        <w:gridCol w:w="9648"/>
      </w:tblGrid>
      <w:tr>
        <w:tc>
          <w:tcPr>
            <w:tcW w:type="dxa" w:w="9648"/>
            <w:shd w:fill="FDF6EE"/>
            <w:tcMar>
              <w:top w:w="120" w:type="dxa"/>
              <w:bottom w:w="120" w:type="dxa"/>
              <w:left w:w="180" w:type="dxa"/>
              <w:right w:w="180" w:type="dxa"/>
            </w:tcMar>
          </w:tcPr>
          <w:p>
            <w:pPr>
              <w:spacing w:before="40" w:after="80"/>
            </w:pPr>
            <w:r>
              <w:rPr>
                <w:rFonts w:ascii="Arial" w:hAnsi="Arial"/>
                <w:b/>
                <w:color w:val="8C3200"/>
                <w:sz w:val="20"/>
              </w:rPr>
              <w:t>📜 GOVERNING LATIN MAXIMS WITH ENGLISH TRANSLATIONS</w:t>
              <w:br/>
            </w:r>
          </w:p>
          <w:p>
            <w:pPr>
              <w:spacing w:before="40" w:after="60" w:line="276" w:lineRule="auto"/>
            </w:pPr>
            <w:r>
              <w:rPr>
                <w:rFonts w:ascii="Calibri" w:hAnsi="Calibri"/>
                <w:b/>
                <w:color w:val="8C3200"/>
                <w:sz w:val="20"/>
              </w:rPr>
              <w:t>1. Omnia praesumuntur rite et solemniter esse acta donec probetur in contrarium (all acts are presumed to have been done regularly and with solemnity until the contrary is proved)</w:t>
              <w:br/>
            </w:r>
            <w:r>
              <w:rPr>
                <w:rFonts w:ascii="Calibri" w:hAnsi="Calibri"/>
                <w:b/>
                <w:color w:val="212529"/>
                <w:sz w:val="19"/>
              </w:rPr>
              <w:t xml:space="preserve">   • Literal English Translation: </w:t>
            </w:r>
            <w:r>
              <w:rPr>
                <w:rFonts w:ascii="Calibri" w:hAnsi="Calibri"/>
                <w:i/>
                <w:color w:val="212529"/>
                <w:sz w:val="19"/>
              </w:rPr>
              <w:t>All acts are presumed regular until proved otherwise.</w:t>
              <w:br/>
            </w:r>
            <w:r>
              <w:rPr>
                <w:rFonts w:ascii="Calibri" w:hAnsi="Calibri"/>
                <w:b/>
                <w:color w:val="212529"/>
                <w:sz w:val="19"/>
              </w:rPr>
              <w:t xml:space="preserve">   • Plain Legal Meaning &amp; StatCon Application: </w:t>
            </w:r>
            <w:r>
              <w:rPr>
                <w:rFonts w:ascii="Calibri" w:hAnsi="Calibri"/>
                <w:color w:val="212529"/>
                <w:sz w:val="19"/>
              </w:rPr>
              <w:t>The General Appropriations Act enjoys a strong presumption of constitutional validity.</w:t>
            </w:r>
          </w:p>
          <w:p>
            <w:pPr>
              <w:spacing w:before="40" w:after="60" w:line="276" w:lineRule="auto"/>
            </w:pPr>
            <w:r>
              <w:rPr>
                <w:rFonts w:ascii="Calibri" w:hAnsi="Calibri"/>
                <w:b/>
                <w:color w:val="8C3200"/>
                <w:sz w:val="20"/>
              </w:rPr>
              <w:t>2. Actori incumbit onus probandi (the burden of proof rests on the plaintiff)</w:t>
              <w:br/>
            </w:r>
            <w:r>
              <w:rPr>
                <w:rFonts w:ascii="Calibri" w:hAnsi="Calibri"/>
                <w:b/>
                <w:color w:val="212529"/>
                <w:sz w:val="19"/>
              </w:rPr>
              <w:t xml:space="preserve">   • Literal English Translation: </w:t>
            </w:r>
            <w:r>
              <w:rPr>
                <w:rFonts w:ascii="Calibri" w:hAnsi="Calibri"/>
                <w:i/>
                <w:color w:val="212529"/>
                <w:sz w:val="19"/>
              </w:rPr>
              <w:t>The burden of proof lies on the claimant.</w:t>
              <w:br/>
            </w:r>
            <w:r>
              <w:rPr>
                <w:rFonts w:ascii="Calibri" w:hAnsi="Calibri"/>
                <w:b/>
                <w:color w:val="212529"/>
                <w:sz w:val="19"/>
              </w:rPr>
              <w:t xml:space="preserve">   • Plain Legal Meaning &amp; StatCon Application: </w:t>
            </w:r>
            <w:r>
              <w:rPr>
                <w:rFonts w:ascii="Calibri" w:hAnsi="Calibri"/>
                <w:color w:val="212529"/>
                <w:sz w:val="19"/>
              </w:rPr>
              <w:t>The petitioner bears the heavy burden of establishing the unconstitutionality of a statute beyond doubt.</w:t>
            </w:r>
          </w:p>
          <w:p>
            <w:pPr>
              <w:spacing w:before="40" w:after="60" w:line="276" w:lineRule="auto"/>
            </w:pPr>
            <w:r>
              <w:rPr>
                <w:rFonts w:ascii="Calibri" w:hAnsi="Calibri"/>
                <w:b/>
                <w:color w:val="8C3200"/>
                <w:sz w:val="20"/>
              </w:rPr>
              <w:t>3. Judicis est ius dicere, non dare (it is the duty of a judge to declare the law, not to make it)</w:t>
              <w:br/>
            </w:r>
            <w:r>
              <w:rPr>
                <w:rFonts w:ascii="Calibri" w:hAnsi="Calibri"/>
                <w:b/>
                <w:color w:val="212529"/>
                <w:sz w:val="19"/>
              </w:rPr>
              <w:t xml:space="preserve">   • Literal English Translation: </w:t>
            </w:r>
            <w:r>
              <w:rPr>
                <w:rFonts w:ascii="Calibri" w:hAnsi="Calibri"/>
                <w:i/>
                <w:color w:val="212529"/>
                <w:sz w:val="19"/>
              </w:rPr>
              <w:t>The judge declares the law, not makes it.</w:t>
              <w:br/>
            </w:r>
            <w:r>
              <w:rPr>
                <w:rFonts w:ascii="Calibri" w:hAnsi="Calibri"/>
                <w:b/>
                <w:color w:val="212529"/>
                <w:sz w:val="19"/>
              </w:rPr>
              <w:t xml:space="preserve">   • Plain Legal Meaning &amp; StatCon Application: </w:t>
            </w:r>
            <w:r>
              <w:rPr>
                <w:rFonts w:ascii="Calibri" w:hAnsi="Calibri"/>
                <w:color w:val="212529"/>
                <w:sz w:val="19"/>
              </w:rPr>
              <w:t>Courts will not strike down legislative appropriations on speculative grounds.</w:t>
            </w:r>
          </w:p>
        </w:tc>
      </w:tr>
    </w:tbl>
    <w:tbl>
      <w:tblPr>
        <w:tblW w:type="auto" w:w="0"/>
        <w:jc w:val="center"/>
        <w:tblLook w:firstColumn="1" w:firstRow="1" w:lastColumn="0" w:lastRow="0" w:noHBand="0" w:noVBand="1" w:val="04A0"/>
      </w:tblPr>
      <w:tblGrid>
        <w:gridCol w:w="4824"/>
        <w:gridCol w:w="4824"/>
      </w:tblGrid>
      <w:tr>
        <w:tc>
          <w:tcPr>
            <w:tcW w:type="dxa" w:w="4824"/>
            <w:shd w:fill="EAEFF5"/>
            <w:tcMar>
              <w:top w:w="80" w:type="dxa"/>
              <w:bottom w:w="80" w:type="dxa"/>
              <w:left w:w="120" w:type="dxa"/>
              <w:right w:w="120" w:type="dxa"/>
            </w:tcMar>
          </w:tcPr>
          <w:p>
            <w:pPr>
              <w:spacing w:before="40" w:after="40"/>
            </w:pPr>
            <w:r>
              <w:rPr>
                <w:rFonts w:ascii="Arial" w:hAnsi="Arial"/>
                <w:b/>
                <w:color w:val="0F2043"/>
                <w:sz w:val="18"/>
              </w:rPr>
              <w:t>Syllabus Topic Alignment</w:t>
              <w:br/>
              <w:t>(StatCon_Syllabus_JPR.pdf)</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 Chapter IV: Aids to Construction</w:t>
              <w:br/>
              <w:t xml:space="preserve">  - C. Presumptions: Presumption of Constitutionality of Appropriations Acts (Burden of Proof &amp; Evolution to Belgica)</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Governing Latin Maxims &amp; English</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Primary:</w:t>
              <w:br/>
              <w:t>Omnia praesumuntur rite et solemniter esse acta</w:t>
              <w:br/>
              <w:t>(all acts are presumed to have been done regularly / Presumption of Constitutionality of legislative appropriations acts)</w:t>
              <w:br/>
              <w:br/>
              <w:t>Secondary:</w:t>
              <w:br/>
              <w:t>• Actori incumbit onus probandi (burden of proof lies on the challenger)</w:t>
              <w:br/>
              <w:t>• Judicis est ius dicere non dare (judicial restraint in reviewing fiscal statutes)</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Case Violation in StatCon</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The petitioner attempted to nullify an act of Congress based on theoretical arguments without presenting evidentiary proof to overcome the Presumption of Constitutionality.</w:t>
            </w:r>
          </w:p>
        </w:tc>
      </w:tr>
      <w:tr>
        <w:tc>
          <w:tcPr>
            <w:tcW w:type="dxa" w:w="4824"/>
            <w:shd w:fill="EAEFF5"/>
            <w:tcMar>
              <w:top w:w="80" w:type="dxa"/>
              <w:bottom w:w="80" w:type="dxa"/>
              <w:left w:w="120" w:type="dxa"/>
              <w:right w:w="120" w:type="dxa"/>
            </w:tcMar>
          </w:tcPr>
          <w:p>
            <w:pPr>
              <w:spacing w:before="40" w:after="40"/>
            </w:pPr>
            <w:r>
              <w:rPr>
                <w:rFonts w:ascii="Arial" w:hAnsi="Arial"/>
                <w:b/>
                <w:color w:val="0F2043"/>
                <w:sz w:val="18"/>
              </w:rPr>
              <w:t>Doctrinal Execution / Principle</w:t>
            </w:r>
          </w:p>
        </w:tc>
        <w:tc>
          <w:tcPr>
            <w:tcW w:type="dxa" w:w="4824"/>
            <w:shd w:fill="FAFAFA"/>
            <w:tcMar>
              <w:top w:w="80" w:type="dxa"/>
              <w:bottom w:w="80" w:type="dxa"/>
              <w:left w:w="120" w:type="dxa"/>
              <w:right w:w="120" w:type="dxa"/>
            </w:tcMar>
          </w:tcPr>
          <w:p>
            <w:pPr>
              <w:spacing w:before="40" w:after="40" w:line="276" w:lineRule="auto"/>
            </w:pPr>
            <w:r>
              <w:rPr>
                <w:rFonts w:ascii="Calibri" w:hAnsi="Calibri"/>
                <w:color w:val="212529"/>
                <w:sz w:val="19"/>
              </w:rPr>
              <w:t>Overcoming the Presumption of Constitutionality: A statute will not be declared unconstitutional unless the violation is clear, complete, and established by undeniable factual and legal demonstration.</w:t>
            </w:r>
          </w:p>
        </w:tc>
      </w:tr>
    </w:tbl>
    <w:tbl>
      <w:tblPr>
        <w:tblW w:type="auto" w:w="0"/>
        <w:jc w:val="center"/>
        <w:tblLook w:firstColumn="1" w:firstRow="1" w:lastColumn="0" w:lastRow="0" w:noHBand="0" w:noVBand="1" w:val="04A0"/>
      </w:tblPr>
      <w:tblGrid>
        <w:gridCol w:w="9648"/>
      </w:tblGrid>
      <w:tr>
        <w:tc>
          <w:tcPr>
            <w:tcW w:type="dxa" w:w="9648"/>
            <w:shd w:fill="EBF7F0"/>
            <w:tcMar>
              <w:top w:w="100" w:type="dxa"/>
              <w:bottom w:w="100" w:type="dxa"/>
              <w:left w:w="160" w:type="dxa"/>
              <w:right w:w="160" w:type="dxa"/>
            </w:tcMar>
          </w:tcPr>
          <w:p>
            <w:pPr>
              <w:spacing w:before="20" w:after="40"/>
            </w:pPr>
            <w:r>
              <w:rPr>
                <w:rFonts w:ascii="Arial" w:hAnsi="Arial"/>
                <w:b/>
                <w:color w:val="0D6E4B"/>
                <w:sz w:val="19"/>
              </w:rPr>
              <w:t>💡 HOW TO TACKLE IN RECITATION / SIMPLE WORDING: RELATION TO STATUTORY CONSTRUCTION</w:t>
              <w:br/>
            </w:r>
          </w:p>
          <w:p>
            <w:pPr>
              <w:spacing w:before="20" w:after="40" w:line="276" w:lineRule="auto"/>
            </w:pPr>
            <w:r>
              <w:rPr>
                <w:rFonts w:ascii="Calibri" w:hAnsi="Calibri"/>
                <w:b/>
                <w:color w:val="0D6E4B"/>
                <w:sz w:val="19"/>
              </w:rPr>
              <w:t xml:space="preserve">• Plain Meaning Explanation: </w:t>
            </w:r>
            <w:r>
              <w:rPr>
                <w:rFonts w:ascii="Calibri" w:hAnsi="Calibri"/>
                <w:color w:val="212529"/>
                <w:sz w:val="19"/>
              </w:rPr>
              <w:t>Every law passed by Congress is presumed valid; you cannot ask judges to destroy a budget law without presenting solid evidence of abuse.</w:t>
            </w:r>
          </w:p>
          <w:p>
            <w:pPr>
              <w:spacing w:before="20" w:after="40" w:line="276" w:lineRule="auto"/>
            </w:pPr>
            <w:r>
              <w:rPr>
                <w:rFonts w:ascii="Calibri" w:hAnsi="Calibri"/>
                <w:b/>
                <w:color w:val="0D6E4B"/>
                <w:sz w:val="19"/>
              </w:rPr>
              <w:t xml:space="preserve">• How to Tackle in Recitation: </w:t>
            </w:r>
            <w:r>
              <w:rPr>
                <w:rFonts w:ascii="Calibri" w:hAnsi="Calibri"/>
                <w:i/>
                <w:color w:val="212529"/>
                <w:sz w:val="19"/>
              </w:rPr>
              <w:t>"Sir/Ma'am, LAMP v. DBM is the leading authority on the Presumption of Constitutionality in General Appropriations Acts—a statute will not be nullified without empirical proof."</w:t>
            </w:r>
          </w:p>
        </w:tc>
      </w:tr>
    </w:tbl>
    <w:p>
      <w:pPr>
        <w:spacing w:before="160" w:after="80"/>
      </w:pPr>
    </w:p>
    <w:tbl>
      <w:tblPr>
        <w:tblW w:type="auto" w:w="0"/>
        <w:jc w:val="center"/>
        <w:tblLook w:firstColumn="1" w:firstRow="1" w:lastColumn="0" w:lastRow="0" w:noHBand="0" w:noVBand="1" w:val="04A0"/>
      </w:tblPr>
      <w:tblGrid>
        <w:gridCol w:w="9648"/>
      </w:tblGrid>
      <w:tr>
        <w:tc>
          <w:tcPr>
            <w:tcW w:type="dxa" w:w="9648"/>
            <w:shd w:fill="1E3A5F"/>
            <w:tcMar>
              <w:top w:w="140" w:type="dxa"/>
              <w:bottom w:w="140" w:type="dxa"/>
              <w:left w:w="200" w:type="dxa"/>
              <w:right w:w="200" w:type="dxa"/>
            </w:tcMar>
          </w:tcPr>
          <w:p>
            <w:pPr>
              <w:spacing w:before="40" w:after="40"/>
              <w:jc w:val="center"/>
            </w:pPr>
            <w:r>
              <w:rPr>
                <w:rFonts w:ascii="Arial" w:hAnsi="Arial"/>
                <w:b/>
                <w:color w:val="FFD700"/>
                <w:sz w:val="22"/>
              </w:rPr>
              <w:t>⚖ STANDARDIZED CASE DIGEST: STATUTORY CONSTRUCTION FORMAT</w:t>
              <w:br/>
            </w:r>
            <w:r>
              <w:rPr>
                <w:rFonts w:ascii="Arial" w:hAnsi="Arial"/>
                <w:i/>
                <w:color w:val="DCEBFF"/>
                <w:sz w:val="18"/>
              </w:rPr>
              <w:t>(Complete 12-Section Academic &amp; Judicial Construction Analysis)</w:t>
            </w:r>
          </w:p>
        </w:tc>
      </w:tr>
    </w:tbl>
    <w:p>
      <w:pPr>
        <w:spacing w:before="80" w:after="80"/>
      </w:pPr>
    </w:p>
    <w:tbl>
      <w:tblPr>
        <w:tblW w:type="auto" w:w="0"/>
        <w:jc w:val="center"/>
        <w:tblLook w:firstColumn="1" w:firstRow="1" w:lastColumn="0" w:lastRow="0" w:noHBand="0" w:noVBand="1" w:val="04A0"/>
      </w:tblPr>
      <w:tblGrid>
        <w:gridCol w:w="4824"/>
        <w:gridCol w:w="4824"/>
      </w:tblGrid>
      <w:tr>
        <w:tc>
          <w:tcPr>
            <w:tcW w:type="dxa" w:w="4824"/>
            <w:shd w:fill="EBF0F7"/>
            <w:tcMar>
              <w:top w:w="60" w:type="dxa"/>
              <w:bottom w:w="60" w:type="dxa"/>
              <w:left w:w="120" w:type="dxa"/>
              <w:right w:w="120" w:type="dxa"/>
            </w:tcMar>
          </w:tcPr>
          <w:p>
            <w:pPr>
              <w:spacing w:before="20" w:after="20"/>
            </w:pPr>
            <w:r>
              <w:rPr>
                <w:rFonts w:ascii="Arial" w:hAnsi="Arial"/>
                <w:b/>
                <w:color w:val="0F2043"/>
                <w:sz w:val="19"/>
              </w:rPr>
              <w:t>Case Title:</w:t>
            </w:r>
          </w:p>
        </w:tc>
        <w:tc>
          <w:tcPr>
            <w:tcW w:type="dxa" w:w="4824"/>
            <w:shd w:fill="FAFCFF"/>
            <w:tcMar>
              <w:top w:w="60" w:type="dxa"/>
              <w:bottom w:w="60" w:type="dxa"/>
              <w:left w:w="120" w:type="dxa"/>
              <w:right w:w="120" w:type="dxa"/>
            </w:tcMar>
          </w:tcPr>
          <w:p>
            <w:pPr>
              <w:spacing w:before="20" w:after="20"/>
            </w:pPr>
            <w:r>
              <w:rPr>
                <w:rFonts w:ascii="Calibri" w:hAnsi="Calibri"/>
                <w:b/>
                <w:color w:val="212529"/>
                <w:sz w:val="19"/>
              </w:rPr>
              <w:t>Lawyers Against Monopoly and Poverty (LAMP) v. The Secretary of Budget and Management</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G.R. No. / Record:</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G.R. No. 164987</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Date of Promulgation:</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April 24, 2012</w:t>
            </w:r>
          </w:p>
        </w:tc>
      </w:tr>
      <w:tr>
        <w:tc>
          <w:tcPr>
            <w:tcW w:type="dxa" w:w="4824"/>
            <w:shd w:fill="EBF0F7"/>
            <w:tcMar>
              <w:top w:w="60" w:type="dxa"/>
              <w:bottom w:w="60" w:type="dxa"/>
              <w:left w:w="120" w:type="dxa"/>
              <w:right w:w="120" w:type="dxa"/>
            </w:tcMar>
          </w:tcPr>
          <w:p>
            <w:pPr>
              <w:spacing w:before="20" w:after="20"/>
            </w:pPr>
            <w:r>
              <w:rPr>
                <w:rFonts w:ascii="Arial" w:hAnsi="Arial"/>
                <w:b/>
                <w:color w:val="0F2043"/>
                <w:sz w:val="19"/>
              </w:rPr>
              <w:t>Ponente / Court:</w:t>
            </w:r>
          </w:p>
        </w:tc>
        <w:tc>
          <w:tcPr>
            <w:tcW w:type="dxa" w:w="4824"/>
            <w:shd w:fill="FAFCFF"/>
            <w:tcMar>
              <w:top w:w="60" w:type="dxa"/>
              <w:bottom w:w="60" w:type="dxa"/>
              <w:left w:w="120" w:type="dxa"/>
              <w:right w:w="120" w:type="dxa"/>
            </w:tcMar>
          </w:tcPr>
          <w:p>
            <w:pPr>
              <w:spacing w:before="20" w:after="20"/>
            </w:pPr>
            <w:r>
              <w:rPr>
                <w:rFonts w:ascii="Calibri" w:hAnsi="Calibri"/>
                <w:b w:val="0"/>
                <w:color w:val="212529"/>
                <w:sz w:val="19"/>
              </w:rPr>
              <w:t>En Banc</w:t>
            </w:r>
          </w:p>
        </w:tc>
      </w:tr>
    </w:tbl>
    <w:p>
      <w:pPr>
        <w:keepNext/>
        <w:spacing w:before="240" w:after="60"/>
      </w:pPr>
      <w:r>
        <w:rPr>
          <w:rFonts w:ascii="Arial" w:hAnsi="Arial"/>
          <w:b/>
          <w:color w:val="0F2043"/>
          <w:sz w:val="21"/>
        </w:rPr>
        <w:t>I. FACTS OF THE CASE</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Material Facts of Controversy</w:t>
              <w:br/>
            </w:r>
          </w:p>
          <w:p>
            <w:pPr>
              <w:spacing w:before="20" w:after="40" w:line="276" w:lineRule="auto"/>
            </w:pPr>
            <w:r>
              <w:rPr>
                <w:rFonts w:ascii="Calibri" w:hAnsi="Calibri"/>
                <w:color w:val="212529"/>
                <w:sz w:val="19"/>
              </w:rPr>
              <w:t>Lawyers Against Monopoly and Poverty (LAMP) filed a petition challenging the constitutionality of the Priority Development Assistance Fund (PDAF) provisions in the 2004 General Appropriations Act (R.A. No. 9206). LAMP argued that the PDAF system was unconstitutional on its face because it allowed members of Congress to identify specific infrastructure projects after the enactment of the budget, thereby violating the separation of powers and non-delegation of legislative power. However, LAMP presented no concrete evidence of actual post-enactment legislator project execution in the 2004 budget, relying solely on theoretical arguments.</w:t>
            </w:r>
          </w:p>
        </w:tc>
      </w:tr>
    </w:tbl>
    <w:p>
      <w:pPr>
        <w:keepNext/>
        <w:spacing w:before="240" w:after="60"/>
      </w:pPr>
      <w:r>
        <w:rPr>
          <w:rFonts w:ascii="Arial" w:hAnsi="Arial"/>
          <w:b/>
          <w:color w:val="0F2043"/>
          <w:sz w:val="21"/>
        </w:rPr>
        <w:t>II. FACTS RELEVANT TO STATUTORY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Facts Giving Rise to Need for Interpretation</w:t>
              <w:br/>
            </w:r>
          </w:p>
          <w:p>
            <w:pPr>
              <w:spacing w:before="20" w:after="40" w:line="276" w:lineRule="auto"/>
            </w:pPr>
            <w:r>
              <w:rPr>
                <w:rFonts w:ascii="Calibri" w:hAnsi="Calibri"/>
                <w:b/>
                <w:color w:val="212529"/>
                <w:sz w:val="19"/>
              </w:rPr>
              <w:t xml:space="preserve">• What provision of law or rule became relevant? </w:t>
            </w:r>
            <w:r>
              <w:rPr>
                <w:rFonts w:ascii="Calibri" w:hAnsi="Calibri"/>
                <w:color w:val="212529"/>
                <w:sz w:val="19"/>
              </w:rPr>
              <w:t>1. Republic Act No. 9206 (General Appropriations Act of 2004): Statutory allocation for the Priority Development Assistance Fund (PDAF).</w:t>
              <w:br/>
              <w:t>2. Presumption of Constitutionality of Statutes: Statutes carry a heavy presumption of validity; nullity will be declared only upon a clear and unequivocal breach of the Constitution.</w:t>
            </w:r>
          </w:p>
          <w:p>
            <w:pPr>
              <w:spacing w:before="20" w:after="40" w:line="276" w:lineRule="auto"/>
            </w:pPr>
            <w:r>
              <w:rPr>
                <w:rFonts w:ascii="Calibri" w:hAnsi="Calibri"/>
                <w:b/>
                <w:color w:val="212529"/>
                <w:sz w:val="19"/>
              </w:rPr>
              <w:t xml:space="preserve">• What circumstance made interpretation necessary? </w:t>
            </w:r>
            <w:r>
              <w:rPr>
                <w:rFonts w:ascii="Calibri" w:hAnsi="Calibri"/>
                <w:color w:val="212529"/>
                <w:sz w:val="19"/>
              </w:rPr>
              <w:t>The petitioner attempted to nullify an act of Congress based on theoretical arguments without presenting evidentiary proof to overcome the Presumption of Constitutionality.</w:t>
            </w:r>
          </w:p>
          <w:p>
            <w:pPr>
              <w:spacing w:before="20" w:after="40" w:line="276" w:lineRule="auto"/>
            </w:pPr>
            <w:r>
              <w:rPr>
                <w:rFonts w:ascii="Calibri" w:hAnsi="Calibri"/>
                <w:b/>
                <w:color w:val="212529"/>
                <w:sz w:val="19"/>
              </w:rPr>
              <w:t xml:space="preserve">• What competing interpretations were presented? </w:t>
            </w:r>
            <w:r>
              <w:rPr>
                <w:rFonts w:ascii="Calibri" w:hAnsi="Calibri"/>
                <w:color w:val="212529"/>
                <w:sz w:val="19"/>
              </w:rPr>
              <w:t>Petitioner argued for a favorable interpretation based on statutory intent, while Respondent contended for a literal or restrictive application.</w:t>
            </w:r>
          </w:p>
        </w:tc>
      </w:tr>
    </w:tbl>
    <w:p>
      <w:pPr>
        <w:keepNext/>
        <w:spacing w:before="240" w:after="60"/>
      </w:pPr>
      <w:r>
        <w:rPr>
          <w:rFonts w:ascii="Arial" w:hAnsi="Arial"/>
          <w:b/>
          <w:color w:val="0F2043"/>
          <w:sz w:val="21"/>
        </w:rPr>
        <w:t>III. ISSUES</w:t>
      </w:r>
    </w:p>
    <w:p>
      <w:pPr>
        <w:keepNext/>
        <w:spacing w:before="120" w:after="40"/>
      </w:pPr>
      <w:r>
        <w:rPr>
          <w:rFonts w:ascii="Arial" w:hAnsi="Arial"/>
          <w:b/>
          <w:color w:val="781E1E"/>
          <w:sz w:val="20"/>
        </w:rPr>
        <w:t>A. General Legal Issues</w:t>
      </w:r>
    </w:p>
    <w:p>
      <w:pPr>
        <w:spacing w:before="40" w:after="80" w:line="276" w:lineRule="auto"/>
      </w:pPr>
      <w:r>
        <w:rPr>
          <w:rFonts w:ascii="Calibri" w:hAnsi="Calibri"/>
          <w:i w:val="0"/>
          <w:color w:val="212529"/>
          <w:sz w:val="21"/>
        </w:rPr>
        <w:t>Whether or not the PDAF provisions in the 2004 GAA can be declared unconstitutional without clear factual proof of constitutional violation, testing the Presumption of Constitutionality of Appropriations Statutes.</w:t>
      </w:r>
    </w:p>
    <w:p>
      <w:pPr>
        <w:keepNext/>
        <w:spacing w:before="120" w:after="40"/>
      </w:pPr>
      <w:r>
        <w:rPr>
          <w:rFonts w:ascii="Arial" w:hAnsi="Arial"/>
          <w:b/>
          <w:color w:val="781E1E"/>
          <w:sz w:val="20"/>
        </w:rPr>
        <w:t>B. Statutory-Construction Issue/s</w:t>
      </w:r>
    </w:p>
    <w:tbl>
      <w:tblPr>
        <w:tblW w:type="auto" w:w="0"/>
        <w:jc w:val="center"/>
        <w:tblLook w:firstColumn="1" w:firstRow="1" w:lastColumn="0" w:lastRow="0" w:noHBand="0" w:noVBand="1" w:val="04A0"/>
      </w:tblPr>
      <w:tblGrid>
        <w:gridCol w:w="9648"/>
      </w:tblGrid>
      <w:tr>
        <w:tc>
          <w:tcPr>
            <w:tcW w:type="dxa" w:w="9648"/>
            <w:shd w:fill="EBF3FA"/>
            <w:tcMar>
              <w:top w:w="100" w:type="dxa"/>
              <w:bottom w:w="100" w:type="dxa"/>
              <w:left w:w="160" w:type="dxa"/>
              <w:right w:w="160" w:type="dxa"/>
            </w:tcMar>
          </w:tcPr>
          <w:p>
            <w:pPr>
              <w:spacing w:before="20" w:after="40"/>
            </w:pPr>
            <w:r>
              <w:rPr>
                <w:rFonts w:ascii="Arial" w:hAnsi="Arial"/>
                <w:b/>
                <w:color w:val="0F2043"/>
                <w:sz w:val="19"/>
              </w:rPr>
              <w:t>Standardized StatCon Issue Statement</w:t>
              <w:br/>
            </w:r>
          </w:p>
          <w:p>
            <w:pPr>
              <w:spacing w:before="20" w:after="40" w:line="276" w:lineRule="auto"/>
            </w:pPr>
            <w:r>
              <w:rPr>
                <w:rFonts w:ascii="Calibri" w:hAnsi="Calibri"/>
                <w:color w:val="212529"/>
                <w:sz w:val="19"/>
              </w:rPr>
              <w:t>Whether the subject statutory act, classification, or terminology under the governing statute/rule means, includes, or applies to the factual controversy in Lawyers Against Monopoly and Poverty (LAMP) v. The Secretary of Budget and Management, under the canon of Omnia praesumuntur rite et solemniter esse acta.</w:t>
            </w:r>
          </w:p>
        </w:tc>
      </w:tr>
    </w:tbl>
    <w:p>
      <w:pPr>
        <w:keepNext/>
        <w:spacing w:before="240" w:after="60"/>
      </w:pPr>
      <w:r>
        <w:rPr>
          <w:rFonts w:ascii="Arial" w:hAnsi="Arial"/>
          <w:b/>
          <w:color w:val="0F2043"/>
          <w:sz w:val="21"/>
        </w:rPr>
        <w:t>IV. PROVISION/S OF LAW CONSTRUED</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Statutory / Constitutional Text &amp; Problem</w:t>
              <w:br/>
            </w:r>
          </w:p>
          <w:p>
            <w:pPr>
              <w:spacing w:before="20" w:after="40" w:line="276" w:lineRule="auto"/>
            </w:pPr>
            <w:r>
              <w:rPr>
                <w:rFonts w:ascii="Calibri" w:hAnsi="Calibri"/>
                <w:b/>
                <w:color w:val="212529"/>
                <w:sz w:val="19"/>
              </w:rPr>
              <w:t xml:space="preserve">• Quoted Provision: </w:t>
            </w:r>
            <w:r>
              <w:rPr>
                <w:rFonts w:ascii="Calibri" w:hAnsi="Calibri"/>
                <w:color w:val="212529"/>
                <w:sz w:val="19"/>
              </w:rPr>
              <w:t>1. Republic Act No. 9206 (General Appropriations Act of 2004): Statutory allocation for the Priority Development Assistance Fund (PDAF).</w:t>
              <w:br/>
              <w:t>2. Presumption of Constitutionality of Statutes: Statutes carry a heavy presumption of validity; nullity will be declared only upon a clear and unequivocal breach of the Constitution.</w:t>
            </w:r>
          </w:p>
          <w:p>
            <w:pPr>
              <w:spacing w:before="20" w:after="40" w:line="276" w:lineRule="auto"/>
            </w:pPr>
            <w:r>
              <w:rPr>
                <w:rFonts w:ascii="Calibri" w:hAnsi="Calibri"/>
                <w:b/>
                <w:color w:val="212529"/>
                <w:sz w:val="19"/>
              </w:rPr>
              <w:t xml:space="preserve">• Interpretive Problem: </w:t>
            </w:r>
            <w:r>
              <w:rPr>
                <w:rFonts w:ascii="Calibri" w:hAnsi="Calibri"/>
                <w:color w:val="212529"/>
                <w:sz w:val="19"/>
              </w:rPr>
              <w:t>Determining the precise legislative intent and boundary of the statutory terms in light of: The petitioner attempted to nullify an act of Congress based on theoretical arguments without presenting evidentiary pro...</w:t>
            </w:r>
          </w:p>
        </w:tc>
      </w:tr>
    </w:tbl>
    <w:p>
      <w:pPr>
        <w:keepNext/>
        <w:spacing w:before="240" w:after="60"/>
      </w:pPr>
      <w:r>
        <w:rPr>
          <w:rFonts w:ascii="Arial" w:hAnsi="Arial"/>
          <w:b/>
          <w:color w:val="0F2043"/>
          <w:sz w:val="21"/>
        </w:rPr>
        <w:t>V. RULING OF THE SUPREME COURT</w:t>
      </w:r>
    </w:p>
    <w:p>
      <w:pPr>
        <w:keepNext/>
        <w:spacing w:before="120" w:after="40"/>
      </w:pPr>
      <w:r>
        <w:rPr>
          <w:rFonts w:ascii="Arial" w:hAnsi="Arial"/>
          <w:b/>
          <w:color w:val="781E1E"/>
          <w:sz w:val="20"/>
        </w:rPr>
        <w:t>A. General Ruling</w:t>
      </w:r>
    </w:p>
    <w:p>
      <w:pPr>
        <w:spacing w:before="40" w:after="80" w:line="276" w:lineRule="auto"/>
      </w:pPr>
      <w:r>
        <w:rPr>
          <w:rFonts w:ascii="Calibri" w:hAnsi="Calibri"/>
          <w:i w:val="0"/>
          <w:color w:val="212529"/>
          <w:sz w:val="21"/>
        </w:rPr>
        <w:t>The Supreme Court DISMISSED the petition for lack of merit, UPHOLDING the constitutionality of the 2004 PDAF provisions under the Presumption of Constitutionality.</w:t>
      </w:r>
    </w:p>
    <w:p>
      <w:pPr>
        <w:keepNext/>
        <w:spacing w:before="120" w:after="40"/>
      </w:pPr>
      <w:r>
        <w:rPr>
          <w:rFonts w:ascii="Arial" w:hAnsi="Arial"/>
          <w:b/>
          <w:color w:val="781E1E"/>
          <w:sz w:val="20"/>
        </w:rPr>
        <w:t>B. Ruling on the Statutory-Construction Issue</w:t>
      </w:r>
    </w:p>
    <w:tbl>
      <w:tblPr>
        <w:tblW w:type="auto" w:w="0"/>
        <w:jc w:val="center"/>
        <w:tblLook w:firstColumn="1" w:firstRow="1" w:lastColumn="0" w:lastRow="0" w:noHBand="0" w:noVBand="1" w:val="04A0"/>
      </w:tblPr>
      <w:tblGrid>
        <w:gridCol w:w="9648"/>
      </w:tblGrid>
      <w:tr>
        <w:tc>
          <w:tcPr>
            <w:tcW w:type="dxa" w:w="9648"/>
            <w:shd w:fill="F4FAF5"/>
            <w:tcMar>
              <w:top w:w="100" w:type="dxa"/>
              <w:bottom w:w="100" w:type="dxa"/>
              <w:left w:w="160" w:type="dxa"/>
              <w:right w:w="160" w:type="dxa"/>
            </w:tcMar>
          </w:tcPr>
          <w:p>
            <w:pPr>
              <w:spacing w:before="20" w:after="40"/>
            </w:pPr>
            <w:r>
              <w:rPr>
                <w:rFonts w:ascii="Arial" w:hAnsi="Arial"/>
                <w:b/>
                <w:color w:val="0F2043"/>
                <w:sz w:val="19"/>
              </w:rPr>
              <w:t>Statutory Meaning Established by Court</w:t>
              <w:br/>
            </w:r>
          </w:p>
          <w:p>
            <w:pPr>
              <w:spacing w:before="20" w:after="40" w:line="276" w:lineRule="auto"/>
            </w:pPr>
            <w:r>
              <w:rPr>
                <w:rFonts w:ascii="Calibri" w:hAnsi="Calibri"/>
                <w:color w:val="212529"/>
                <w:sz w:val="19"/>
              </w:rPr>
              <w:t>NO. The 2004 PDAF provisions CANNOT be declared unconstitutional in the absence of clear, compelling factual evidence. Under the PRESUMPTION OF CONSTITUTIONALITY, every legislative act is presumed valid, and the burden of proving unconstitutionality rests heavily upon the petitioner.</w:t>
            </w:r>
          </w:p>
        </w:tc>
      </w:tr>
    </w:tbl>
    <w:p>
      <w:pPr>
        <w:keepNext/>
        <w:spacing w:before="240" w:after="60"/>
      </w:pPr>
      <w:r>
        <w:rPr>
          <w:rFonts w:ascii="Arial" w:hAnsi="Arial"/>
          <w:b/>
          <w:color w:val="0F2043"/>
          <w:sz w:val="21"/>
        </w:rPr>
        <w:t>VI. HOW THE COURT CONSTRUED THE LAW</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Methodological &amp; Doctrinal Analysis</w:t>
              <w:br/>
            </w:r>
          </w:p>
          <w:p>
            <w:pPr>
              <w:spacing w:before="20" w:after="40" w:line="276" w:lineRule="auto"/>
            </w:pPr>
            <w:r>
              <w:rPr>
                <w:rFonts w:ascii="Calibri" w:hAnsi="Calibri"/>
                <w:b/>
                <w:color w:val="212529"/>
                <w:sz w:val="19"/>
              </w:rPr>
              <w:t xml:space="preserve">A. Why Was Construction Necessary? </w:t>
            </w:r>
            <w:r>
              <w:rPr>
                <w:rFonts w:ascii="Calibri" w:hAnsi="Calibri"/>
                <w:color w:val="212529"/>
                <w:sz w:val="19"/>
              </w:rPr>
              <w:t>Ambiguity in the application and scope of the statute: The petitioner attempted to nullify an act of Congress based on theoretical arguments without presenting evidentiary proof to overcome the P.</w:t>
            </w:r>
          </w:p>
          <w:p>
            <w:pPr>
              <w:spacing w:before="20" w:after="40" w:line="276" w:lineRule="auto"/>
            </w:pPr>
            <w:r>
              <w:rPr>
                <w:rFonts w:ascii="Calibri" w:hAnsi="Calibri"/>
                <w:b/>
                <w:color w:val="212529"/>
                <w:sz w:val="19"/>
              </w:rPr>
              <w:t xml:space="preserve">B. Purpose of Construction: </w:t>
            </w:r>
            <w:r>
              <w:rPr>
                <w:rFonts w:ascii="Calibri" w:hAnsi="Calibri"/>
                <w:color w:val="212529"/>
                <w:sz w:val="19"/>
              </w:rPr>
              <w:t>To ascertain and give full effect to the true intent, spirit, and purpose of the lawmaking body.</w:t>
            </w:r>
          </w:p>
          <w:p>
            <w:pPr>
              <w:spacing w:before="20" w:after="40" w:line="276" w:lineRule="auto"/>
            </w:pPr>
            <w:r>
              <w:rPr>
                <w:rFonts w:ascii="Calibri" w:hAnsi="Calibri"/>
                <w:b/>
                <w:color w:val="212529"/>
                <w:sz w:val="19"/>
              </w:rPr>
              <w:t xml:space="preserve">C. Method, Canon, or Rule Applied: </w:t>
            </w:r>
            <w:r>
              <w:rPr>
                <w:rFonts w:ascii="Calibri" w:hAnsi="Calibri"/>
                <w:color w:val="212529"/>
                <w:sz w:val="19"/>
              </w:rPr>
              <w:t>Omnia praesumuntur rite et solemniter esse acta</w:t>
              <w:br/>
              <w:t xml:space="preserve">   - Application: Overcoming the Presumption of Constitutionality: A statute will not be declared unconstitutional unless the violation is clear, complete, and established by undeniable factual and legal demonstration.</w:t>
              <w:br/>
              <w:t xml:space="preserve">   - Result: No. The Supreme Court cannot strike down a law passed by Congress based on theories alone. Because every statute is presumed constitutional, the petitioner must present real, undeniable proof of violation. Speculation is not enough.</w:t>
            </w:r>
          </w:p>
          <w:p>
            <w:pPr>
              <w:spacing w:before="20" w:after="40" w:line="276" w:lineRule="auto"/>
            </w:pPr>
            <w:r>
              <w:rPr>
                <w:rFonts w:ascii="Calibri" w:hAnsi="Calibri"/>
                <w:b/>
                <w:color w:val="212529"/>
                <w:sz w:val="19"/>
              </w:rPr>
              <w:t xml:space="preserve">D. Other Sources Used: </w:t>
            </w:r>
            <w:r>
              <w:rPr>
                <w:rFonts w:ascii="Calibri" w:hAnsi="Calibri"/>
                <w:color w:val="212529"/>
                <w:sz w:val="19"/>
              </w:rPr>
              <w:t>Ordinary meaning of words, statute considered as a whole, legislative history, and established Supreme Court jurisprudence.</w:t>
            </w:r>
          </w:p>
        </w:tc>
      </w:tr>
    </w:tbl>
    <w:p>
      <w:pPr>
        <w:keepNext/>
        <w:spacing w:before="240" w:after="60"/>
      </w:pPr>
      <w:r>
        <w:rPr>
          <w:rFonts w:ascii="Arial" w:hAnsi="Arial"/>
          <w:b/>
          <w:color w:val="0F2043"/>
          <w:sz w:val="21"/>
        </w:rPr>
        <w:t>VII. RELEVANT STATUTORY-CONSTRUCTION CONCEPTS (A–L EVALUATION)</w:t>
      </w:r>
    </w:p>
    <w:tbl>
      <w:tblPr>
        <w:tblW w:type="auto" w:w="0"/>
        <w:jc w:val="center"/>
        <w:tblLook w:firstColumn="1" w:firstRow="1" w:lastColumn="0" w:lastRow="0" w:noHBand="0" w:noVBand="1" w:val="04A0"/>
      </w:tblPr>
      <w:tblGrid>
        <w:gridCol w:w="4824"/>
        <w:gridCol w:w="4824"/>
      </w:tblGrid>
      <w:tr>
        <w:tc>
          <w:tcPr>
            <w:tcW w:type="dxa" w:w="4824"/>
            <w:shd w:fill="EBF0F8"/>
            <w:tcMar>
              <w:top w:w="70" w:type="dxa"/>
              <w:bottom w:w="70" w:type="dxa"/>
              <w:left w:w="100" w:type="dxa"/>
              <w:right w:w="100" w:type="dxa"/>
            </w:tcMar>
          </w:tcPr>
          <w:p>
            <w:pPr>
              <w:spacing w:before="20" w:after="20"/>
            </w:pPr>
            <w:r>
              <w:rPr>
                <w:rFonts w:ascii="Arial" w:hAnsi="Arial"/>
                <w:b/>
                <w:color w:val="0F2043"/>
                <w:sz w:val="18"/>
              </w:rPr>
              <w:t>A. Situs of Statutory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Supreme Court of the Philippines, exercising its constitutional judicial power under Article VIII of the Constitution, serves as the ultimate situs and final arbiter for interpreting and construing the disputed provision.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B. Purpose of Statutory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purpose of construction is to discover and effectuate the true legislative intent and will of the lawmaking body, preventing injustice and ensuring the statute operates harmoniously.</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C. When to Construe</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Construction became imperative because the text contained an ambiguity, competing interpretations, or conflicting statutory provisions that required judicial determination of legislative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D. Ambiguity or Vagueness</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controversy centered on the ambiguity, silence, or conflicting scope of the statutory language, which the Court resolved by examining legislative intent and governing maxims.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E. Verba Legis Non Est Recedendum</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looked beyond literal words to discover the underlying legislative spirit, context, and intent.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F. Absoluta Sententia Expositore Non Indigent</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statutory language required expository interpretation due to textual gaps, broad phrasing, or conflicting provisions.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G. Legislative Intent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analyzed the true intent and policy of the lawmaking authority, ensuring that the statutory purpose is preserved and not defeated by erroneous administrative or private interpretations.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H. Strict or Liberal Construction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Court applied standard ordinary rules of statutory interpretation without resorting to special strict or liberal construction doctrines.</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I. Prospective or Retrospective Construction</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781E1E"/>
                <w:sz w:val="17"/>
              </w:rPr>
              <w:t xml:space="preserve"> [NOT APPLICABLE] </w:t>
            </w:r>
            <w:r>
              <w:rPr>
                <w:rFonts w:ascii="Calibri" w:hAnsi="Calibri"/>
                <w:color w:val="212529"/>
                <w:sz w:val="18"/>
              </w:rPr>
              <w:t>Not Applicable. The case involved only the contemporaneous, prospective application of the governing law.</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J. Statutory Construction vs. Judicial Legislation</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underscored the constitutional boundary of judicial power: Courts are empowered solely to interpret (jus dicere), not to enact or amend laws (jus dare). Supplying unwritten terms or expanding clear prohibitions constitutes prohibited judicial legislation.</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K. Legis Interpretatio Legis Vim Obtinet</w:t>
            </w:r>
          </w:p>
        </w:tc>
        <w:tc>
          <w:tcPr>
            <w:tcW w:type="dxa" w:w="4824"/>
            <w:shd w:fill="F5F8FC"/>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Under Article 8 of the Civil Code, the Supreme Court's authoritative interpretation of the statute forms part of the legal system of the Philippines and acquires the force of law (*legis interpretatio legis vim obtinet*).</w:t>
            </w:r>
          </w:p>
        </w:tc>
      </w:tr>
      <w:tr>
        <w:tc>
          <w:tcPr>
            <w:tcW w:type="dxa" w:w="4824"/>
            <w:shd w:fill="EBF0F8"/>
            <w:tcMar>
              <w:top w:w="70" w:type="dxa"/>
              <w:bottom w:w="70" w:type="dxa"/>
              <w:left w:w="100" w:type="dxa"/>
              <w:right w:w="100" w:type="dxa"/>
            </w:tcMar>
          </w:tcPr>
          <w:p>
            <w:pPr>
              <w:spacing w:before="20" w:after="20"/>
            </w:pPr>
            <w:r>
              <w:rPr>
                <w:rFonts w:ascii="Arial" w:hAnsi="Arial"/>
                <w:b/>
                <w:color w:val="0F2043"/>
                <w:sz w:val="18"/>
              </w:rPr>
              <w:t>L. Extent and Limits of the Power to Construe</w:t>
            </w:r>
          </w:p>
        </w:tc>
        <w:tc>
          <w:tcPr>
            <w:tcW w:type="dxa" w:w="4824"/>
            <w:shd w:fill="FFFFFF"/>
            <w:tcMar>
              <w:top w:w="70" w:type="dxa"/>
              <w:bottom w:w="70" w:type="dxa"/>
              <w:left w:w="120" w:type="dxa"/>
              <w:right w:w="120" w:type="dxa"/>
            </w:tcMar>
          </w:tcPr>
          <w:p>
            <w:pPr>
              <w:spacing w:before="20" w:after="20" w:line="276" w:lineRule="auto"/>
            </w:pPr>
            <w:r>
              <w:rPr>
                <w:rFonts w:ascii="Calibri" w:hAnsi="Calibri"/>
                <w:b/>
                <w:color w:val="0D6E4B"/>
                <w:sz w:val="17"/>
              </w:rPr>
              <w:t xml:space="preserve"> [APPLICABLE] </w:t>
            </w:r>
            <w:r>
              <w:rPr>
                <w:rFonts w:ascii="Calibri" w:hAnsi="Calibri"/>
                <w:color w:val="212529"/>
                <w:sz w:val="18"/>
              </w:rPr>
              <w:t>Applicable. The Court respected the constitutional limits of its authority by applying the law as written and refusing to invade the legislative domain under the guise of equity or expediency.</w:t>
            </w:r>
          </w:p>
        </w:tc>
      </w:tr>
    </w:tbl>
    <w:p>
      <w:pPr>
        <w:keepNext/>
        <w:spacing w:before="240" w:after="60"/>
      </w:pPr>
      <w:r>
        <w:rPr>
          <w:rFonts w:ascii="Arial" w:hAnsi="Arial"/>
          <w:b/>
          <w:color w:val="0F2043"/>
          <w:sz w:val="21"/>
        </w:rPr>
        <w:t>VIII. OTHER CANONS OR METHODS OF CONSTRUCTION</w:t>
      </w:r>
    </w:p>
    <w:tbl>
      <w:tblPr>
        <w:tblW w:type="auto" w:w="0"/>
        <w:jc w:val="center"/>
        <w:tblLook w:firstColumn="1" w:firstRow="1" w:lastColumn="0" w:lastRow="0" w:noHBand="0" w:noVBand="1" w:val="04A0"/>
      </w:tblPr>
      <w:tblGrid>
        <w:gridCol w:w="9648"/>
      </w:tblGrid>
      <w:tr>
        <w:tc>
          <w:tcPr>
            <w:tcW w:type="dxa" w:w="9648"/>
            <w:shd w:fill="F8F9FB"/>
            <w:tcMar>
              <w:top w:w="100" w:type="dxa"/>
              <w:bottom w:w="100" w:type="dxa"/>
              <w:left w:w="160" w:type="dxa"/>
              <w:right w:w="160" w:type="dxa"/>
            </w:tcMar>
          </w:tcPr>
          <w:p>
            <w:pPr>
              <w:spacing w:before="20" w:after="40"/>
            </w:pPr>
            <w:r>
              <w:rPr>
                <w:rFonts w:ascii="Arial" w:hAnsi="Arial"/>
                <w:b/>
                <w:color w:val="0F2043"/>
                <w:sz w:val="19"/>
              </w:rPr>
              <w:t>Secondary Rules &amp; Canons Applied</w:t>
              <w:br/>
            </w:r>
          </w:p>
          <w:p>
            <w:pPr>
              <w:spacing w:before="20" w:after="40" w:line="276" w:lineRule="auto"/>
            </w:pPr>
            <w:r>
              <w:rPr>
                <w:rFonts w:ascii="Calibri" w:hAnsi="Calibri"/>
                <w:b/>
                <w:color w:val="212529"/>
                <w:sz w:val="19"/>
              </w:rPr>
              <w:t xml:space="preserve">• Canon / Maxim: </w:t>
            </w:r>
            <w:r>
              <w:rPr>
                <w:rFonts w:ascii="Calibri" w:hAnsi="Calibri"/>
                <w:color w:val="212529"/>
                <w:sz w:val="19"/>
              </w:rPr>
              <w:t>• Actori incumbit onus probandi (burden of proof lies on the challenger)</w:t>
              <w:br/>
              <w:t>• Judicis est ius dicere non dare (judicial restraint in reviewing fiscal statutes)</w:t>
            </w:r>
          </w:p>
          <w:p>
            <w:pPr>
              <w:spacing w:before="20" w:after="40" w:line="276" w:lineRule="auto"/>
            </w:pPr>
            <w:r>
              <w:rPr>
                <w:rFonts w:ascii="Calibri" w:hAnsi="Calibri"/>
                <w:b/>
                <w:color w:val="212529"/>
                <w:sz w:val="19"/>
              </w:rPr>
              <w:t xml:space="preserve">• How Applied: </w:t>
            </w:r>
            <w:r>
              <w:rPr>
                <w:rFonts w:ascii="Calibri" w:hAnsi="Calibri"/>
                <w:color w:val="212529"/>
                <w:sz w:val="19"/>
              </w:rPr>
              <w:t>Applied as corroborative canons to reinforce the primary rule of construction.</w:t>
            </w:r>
          </w:p>
          <w:p>
            <w:pPr>
              <w:spacing w:before="20" w:after="40" w:line="276" w:lineRule="auto"/>
            </w:pPr>
            <w:r>
              <w:rPr>
                <w:rFonts w:ascii="Calibri" w:hAnsi="Calibri"/>
                <w:b/>
                <w:color w:val="212529"/>
                <w:sz w:val="19"/>
              </w:rPr>
              <w:t xml:space="preserve">• Effect on Interpretation: </w:t>
            </w:r>
            <w:r>
              <w:rPr>
                <w:rFonts w:ascii="Calibri" w:hAnsi="Calibri"/>
                <w:color w:val="212529"/>
                <w:sz w:val="19"/>
              </w:rPr>
              <w:t>Harmonized the statute and prevented an absurd or unjust result.</w:t>
            </w:r>
          </w:p>
        </w:tc>
      </w:tr>
    </w:tbl>
    <w:p>
      <w:pPr>
        <w:keepNext/>
        <w:spacing w:before="240" w:after="60"/>
      </w:pPr>
      <w:r>
        <w:rPr>
          <w:rFonts w:ascii="Arial" w:hAnsi="Arial"/>
          <w:b/>
          <w:color w:val="0F2043"/>
          <w:sz w:val="21"/>
        </w:rPr>
        <w:t>IX. THE CONSTRUCTION MADE BY THE COURT</w:t>
      </w:r>
    </w:p>
    <w:tbl>
      <w:tblPr>
        <w:tblW w:type="auto" w:w="0"/>
        <w:jc w:val="center"/>
        <w:tblLook w:firstColumn="1" w:firstRow="1" w:lastColumn="0" w:lastRow="0" w:noHBand="0" w:noVBand="1" w:val="04A0"/>
      </w:tblPr>
      <w:tblGrid>
        <w:gridCol w:w="9648"/>
      </w:tblGrid>
      <w:tr>
        <w:tc>
          <w:tcPr>
            <w:tcW w:type="dxa" w:w="9648"/>
            <w:shd w:fill="F9F8F5"/>
            <w:tcMar>
              <w:top w:w="100" w:type="dxa"/>
              <w:bottom w:w="100" w:type="dxa"/>
              <w:left w:w="160" w:type="dxa"/>
              <w:right w:w="160" w:type="dxa"/>
            </w:tcMar>
          </w:tcPr>
          <w:p>
            <w:pPr>
              <w:spacing w:before="20" w:after="40"/>
            </w:pPr>
            <w:r>
              <w:rPr>
                <w:rFonts w:ascii="Arial" w:hAnsi="Arial"/>
                <w:b/>
                <w:color w:val="0F2043"/>
                <w:sz w:val="19"/>
              </w:rPr>
              <w:t>Actual Judicial Construction &amp; Ratio</w:t>
              <w:br/>
            </w:r>
          </w:p>
          <w:p>
            <w:pPr>
              <w:spacing w:before="20" w:after="40" w:line="276" w:lineRule="auto"/>
            </w:pPr>
            <w:r>
              <w:rPr>
                <w:rFonts w:ascii="Calibri" w:hAnsi="Calibri"/>
                <w:b/>
                <w:color w:val="212529"/>
                <w:sz w:val="19"/>
              </w:rPr>
              <w:t xml:space="preserve">• Construction Summary: </w:t>
            </w:r>
            <w:r>
              <w:rPr>
                <w:rFonts w:ascii="Calibri" w:hAnsi="Calibri"/>
                <w:color w:val="212529"/>
                <w:sz w:val="19"/>
              </w:rPr>
              <w:t>The Court construed the disputed statutory provisions in Lawyers Against Monopoly and Poverty (LAMP) v. The Secretary of Budget and Management to mean and apply strictly in accordance with Omnia praesumuntur rite et solemniter esse acta, holding that No. The Supreme Court cannot strike down a law passed by Congress based on theories alone. Because every statute is presumed constitutional, the petitioner must.</w:t>
            </w:r>
          </w:p>
          <w:p>
            <w:pPr>
              <w:spacing w:before="20" w:after="40" w:line="276" w:lineRule="auto"/>
            </w:pPr>
            <w:r>
              <w:rPr>
                <w:rFonts w:ascii="Calibri" w:hAnsi="Calibri"/>
                <w:b/>
                <w:color w:val="212529"/>
                <w:sz w:val="19"/>
              </w:rPr>
              <w:t xml:space="preserve">• Principal Reasoning: </w:t>
            </w:r>
            <w:r>
              <w:rPr>
                <w:rFonts w:ascii="Calibri" w:hAnsi="Calibri"/>
                <w:color w:val="212529"/>
                <w:sz w:val="19"/>
              </w:rPr>
              <w:t>To destroy a law, you must bring proof, not just opinions. On paper, the 2004 budget looked normal because it said government departments would spend the money. Because the petitioners brought zero audit reports or proof of abuse, the presumption of constitutionality saved the law. (Later in 2013, COA provided the actual proof in the Belgica case, and the pork barrel was struck down).</w:t>
            </w:r>
          </w:p>
        </w:tc>
      </w:tr>
    </w:tbl>
    <w:tbl>
      <w:tblPr>
        <w:tblW w:type="auto" w:w="0"/>
        <w:jc w:val="center"/>
        <w:tblLook w:firstColumn="1" w:firstRow="1" w:lastColumn="0" w:lastRow="0" w:noHBand="0" w:noVBand="1" w:val="04A0"/>
      </w:tblPr>
      <w:tblGrid>
        <w:gridCol w:w="9648"/>
      </w:tblGrid>
      <w:tr>
        <w:tc>
          <w:tcPr>
            <w:tcW w:type="dxa" w:w="9648"/>
            <w:shd w:fill="EEF6F0"/>
            <w:tcMar>
              <w:top w:w="100" w:type="dxa"/>
              <w:bottom w:w="100" w:type="dxa"/>
              <w:left w:w="160" w:type="dxa"/>
              <w:right w:w="160" w:type="dxa"/>
            </w:tcMar>
          </w:tcPr>
          <w:p>
            <w:pPr>
              <w:spacing w:before="20" w:after="40"/>
            </w:pPr>
            <w:r>
              <w:rPr>
                <w:rFonts w:ascii="Arial" w:hAnsi="Arial"/>
                <w:b/>
                <w:color w:val="0D6E4B"/>
                <w:sz w:val="19"/>
              </w:rPr>
              <w:t>X. STATUTORY CONSTRUCTION OR JUDICIAL LEGISLATION?</w:t>
              <w:br/>
            </w:r>
          </w:p>
          <w:p>
            <w:pPr>
              <w:spacing w:before="20" w:after="60"/>
            </w:pPr>
            <w:r>
              <w:rPr>
                <w:rFonts w:ascii="Arial" w:hAnsi="Arial"/>
                <w:b/>
                <w:color w:val="0F2043"/>
                <w:sz w:val="19"/>
              </w:rPr>
              <w:t>☑ Proper statutory construction    ☐ Judicial legislation    ☐ Debatable</w:t>
            </w:r>
          </w:p>
          <w:p>
            <w:pPr>
              <w:spacing w:before="40" w:after="40" w:line="276" w:lineRule="auto"/>
            </w:pPr>
            <w:r>
              <w:rPr>
                <w:rFonts w:ascii="Calibri" w:hAnsi="Calibri"/>
                <w:b/>
                <w:color w:val="212529"/>
                <w:sz w:val="19"/>
              </w:rPr>
              <w:t>Explanation (3–5 sentences):</w:t>
              <w:br/>
            </w:r>
            <w:r>
              <w:rPr>
                <w:rFonts w:ascii="Calibri" w:hAnsi="Calibri"/>
                <w:color w:val="212529"/>
                <w:sz w:val="19"/>
              </w:rPr>
              <w:t>The Supreme Court acted within the legitimate bounds of its constitutional power to interpret the law (jus dicere). By applying Omnia praesumuntur rite et solemniter esse acta, the Court faithfully effectuated the legislative intent without creating new rules, modifying clear statutory text, or usurping congressional prerogative. The ruling reinforces the separation of powers and the doctrine that courts must enforce the law as enacted.</w:t>
            </w:r>
          </w:p>
        </w:tc>
      </w:tr>
    </w:tbl>
    <w:p>
      <w:pPr>
        <w:spacing w:before="80" w:after="40"/>
      </w:pPr>
    </w:p>
    <w:tbl>
      <w:tblPr>
        <w:tblW w:type="auto" w:w="0"/>
        <w:jc w:val="center"/>
        <w:tblLook w:firstColumn="1" w:firstRow="1" w:lastColumn="0" w:lastRow="0" w:noHBand="0" w:noVBand="1" w:val="04A0"/>
      </w:tblPr>
      <w:tblGrid>
        <w:gridCol w:w="9648"/>
      </w:tblGrid>
      <w:tr>
        <w:tc>
          <w:tcPr>
            <w:tcW w:type="dxa" w:w="9648"/>
            <w:shd w:fill="FBF6EE"/>
            <w:tcMar>
              <w:top w:w="100" w:type="dxa"/>
              <w:bottom w:w="100" w:type="dxa"/>
              <w:left w:w="160" w:type="dxa"/>
              <w:right w:w="160" w:type="dxa"/>
            </w:tcMar>
          </w:tcPr>
          <w:p>
            <w:pPr>
              <w:spacing w:before="20" w:after="40"/>
            </w:pPr>
            <w:r>
              <w:rPr>
                <w:rFonts w:ascii="Arial" w:hAnsi="Arial"/>
                <w:b/>
                <w:color w:val="8C3200"/>
                <w:sz w:val="19"/>
              </w:rPr>
              <w:t>XI. DOCTRINE (Statutory Construction Principle):</w:t>
              <w:br/>
            </w:r>
            <w:r>
              <w:rPr>
                <w:rFonts w:ascii="Calibri" w:hAnsi="Calibri"/>
                <w:color w:val="212529"/>
                <w:sz w:val="19"/>
              </w:rPr>
              <w:t>Overcoming the Presumption of Constitutionality: A statute will not be declared unconstitutional unless the violation is clear, complete, and established by undeniable factual and legal demonstration.</w:t>
              <w:br/>
              <w:br/>
            </w:r>
          </w:p>
          <w:p>
            <w:pPr>
              <w:spacing w:before="20" w:after="40"/>
            </w:pPr>
            <w:r>
              <w:rPr>
                <w:rFonts w:ascii="Arial" w:hAnsi="Arial"/>
                <w:b/>
                <w:color w:val="8C3200"/>
                <w:sz w:val="19"/>
              </w:rPr>
              <w:t>XII. ONE-SENTENCE TAKEAWAY:</w:t>
              <w:br/>
            </w:r>
            <w:r>
              <w:rPr>
                <w:rFonts w:ascii="Calibri" w:hAnsi="Calibri"/>
                <w:i/>
                <w:color w:val="212529"/>
                <w:sz w:val="19"/>
              </w:rPr>
              <w:t>This case is important in Statutory Construction because Every law passed by Congress is presumed valid; you cannot ask judges to destroy a budget law without presenting solid evidence of abuse.</w:t>
            </w:r>
          </w:p>
        </w:tc>
      </w:tr>
    </w:tbl>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