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0F2043"/>
            <w:tcMar>
              <w:top w:w="200" w:type="dxa"/>
              <w:bottom w:w="200" w:type="dxa"/>
              <w:left w:w="240" w:type="dxa"/>
              <w:right w:w="240" w:type="dxa"/>
            </w:tcMar>
          </w:tcPr>
          <w:p>
            <w:pPr>
              <w:spacing w:before="80" w:after="40"/>
              <w:jc w:val="center"/>
            </w:pPr>
            <w:r>
              <w:rPr>
                <w:rFonts w:ascii="Arial" w:hAnsi="Arial"/>
                <w:b/>
                <w:color w:val="FFFFFF"/>
                <w:sz w:val="28"/>
              </w:rPr>
              <w:t>MANILA LAW COLLEGE</w:t>
              <w:br/>
            </w:r>
            <w:r>
              <w:rPr>
                <w:rFonts w:ascii="Arial" w:hAnsi="Arial"/>
                <w:color w:val="D2E1F5"/>
                <w:sz w:val="20"/>
              </w:rPr>
              <w:t>Manila Law College | Statutory Construction (2 Units) | Instructor: Atty. Jason P. Raposas</w:t>
              <w:br/>
            </w:r>
            <w:r>
              <w:rPr>
                <w:rFonts w:ascii="Arial" w:hAnsi="Arial"/>
                <w:b/>
                <w:color w:val="FFD700"/>
                <w:sz w:val="24"/>
              </w:rPr>
              <w:t>STATUTORY CONSTRUCTION COMPENDIUM: WEEK 6 CASE STUDIES</w:t>
              <w:br/>
            </w:r>
            <w:r>
              <w:rPr>
                <w:rFonts w:ascii="Arial" w:hAnsi="Arial"/>
                <w:i/>
                <w:color w:val="E6EBF5"/>
                <w:sz w:val="19"/>
              </w:rPr>
              <w:t>Chapters III.B, III.C &amp; IV (Intrinsic Aids, Extrinsic Aids &amp; Presumptions) | 12-Section Case Digest Architecture</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III (Part 2)</w:t>
              <w:br/>
            </w:r>
            <w:r>
              <w:rPr>
                <w:rFonts w:ascii="Arial" w:hAnsi="Arial"/>
                <w:b/>
                <w:color w:val="FFFFFF"/>
                <w:sz w:val="24"/>
              </w:rPr>
              <w:t>BASIC GUIDELINES IN CONSTRUCTION: CONSIDERATIONS WITHIN THE STATUTE</w:t>
              <w:br/>
            </w:r>
            <w:r>
              <w:rPr>
                <w:rFonts w:ascii="Arial" w:hAnsi="Arial"/>
                <w:i/>
                <w:color w:val="D7E6FA"/>
                <w:sz w:val="19"/>
              </w:rPr>
              <w:t>Cases 1 to 2 | Associated Words, Ejusdem Generis, Expressio Unius Est Exclusio Alterius</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Associated Words &amp; Noscitur a Sociis: Meaning of words ascertained by associated terms</w:t>
            </w:r>
          </w:p>
          <w:p>
            <w:pPr>
              <w:spacing w:before="20" w:after="20"/>
            </w:pPr>
            <w:r>
              <w:rPr>
                <w:rFonts w:ascii="Calibri" w:hAnsi="Calibri"/>
                <w:color w:val="F0F5FF"/>
                <w:sz w:val="18"/>
              </w:rPr>
              <w:t>• • Expressio Unius Est Exclusio Alterius: Express mention of one thing implies exclusion of others</w:t>
            </w:r>
          </w:p>
          <w:p>
            <w:pPr>
              <w:spacing w:before="20" w:after="20"/>
            </w:pPr>
            <w:r>
              <w:rPr>
                <w:rFonts w:ascii="Calibri" w:hAnsi="Calibri"/>
                <w:color w:val="F0F5FF"/>
                <w:sz w:val="18"/>
              </w:rPr>
              <w:t>• • Casus Omissus: Words omitted cannot be supplied under the guise of judicial construction</w:t>
            </w:r>
          </w:p>
        </w:tc>
      </w:tr>
    </w:tbl>
    <w:p>
      <w:pPr>
        <w:spacing w:before="120"/>
      </w:pPr>
    </w:p>
    <w:p>
      <w:pPr>
        <w:keepNext/>
        <w:spacing w:before="320" w:after="80"/>
      </w:pPr>
      <w:r>
        <w:rPr>
          <w:rFonts w:ascii="Arial" w:hAnsi="Arial"/>
          <w:b/>
          <w:color w:val="0F2043"/>
          <w:sz w:val="26"/>
        </w:rPr>
        <w:t>1. JOSE ESCRIBANO V. HON. BERNARDO AVILA AND CITY FISCAL OF COTABATO</w:t>
      </w:r>
    </w:p>
    <w:p>
      <w:pPr>
        <w:spacing w:before="40" w:after="80" w:line="276" w:lineRule="auto"/>
      </w:pPr>
      <w:r>
        <w:rPr>
          <w:rFonts w:ascii="Calibri" w:hAnsi="Calibri"/>
          <w:b/>
          <w:color w:val="212529"/>
          <w:sz w:val="21"/>
        </w:rPr>
        <w:t xml:space="preserve">Citation: </w:t>
      </w:r>
      <w:r>
        <w:rPr>
          <w:rFonts w:ascii="Calibri" w:hAnsi="Calibri"/>
          <w:i/>
          <w:color w:val="212529"/>
          <w:sz w:val="21"/>
        </w:rPr>
        <w:t>G.R. No. L-30375 | September 12, 1978 | 85 SCRA 245 | Second Division | Ponente: J. Aquino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Escribano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Bernardo Avila (Judge of City Court of Cotabato) and Mayor Juan J. Syquia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City Court of Cotabato City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under Rule 65 challenging the jurisdiction of a City Court judge to conduct preliminary investigation in written libel cases under Republic Act No. 4363.</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Cotabato City Mayor Juan J. Syquia filed a criminal complaint for Libel against Jose Escribano before the City Court of Cotabato. Judge Bernardo Avila commenced the preliminary investigation. Escribano moved to dismiss the proceedings for lack of jurisdiction, arguing that under Article 360 of the Revised Penal Code, as specifically amended by Republic Act No. 4363, the preliminary investigation of written defamation cases was exclusively lodged with City Prosecutors, Provincial Fiscals, or Judges of the Court of First Instance (now RTC), deliberately stripping municipal and city judges of preliminary investigation powers in libel cases. Judge Avila denied the motion, claiming general authority under the City Charter and Judiciary Act.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city mayor sued a critic for libel directly before the City Court judge. The defendant objected, arguing that Congress amended the libel law (RA 4363) specifically to strip city and municipal judges of the power to conduct preliminary investigations in libel cases, giving that power solely to city prosecutors and RTC judges to stop local politicians from harassing critics in friendly municipal courts. The Supreme Court agreed with the defendant, holding that a specific penal amendment overrides general judicial charters.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City Court Judge has the statutory authority to conduct preliminary investigations in criminal libel cases under Article 360 of the Revised Penal Code, as amended by Republic Act No. 4363.</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city judge have the power to conduct preliminary investigation in a libel case after Congress amended the law to give that power only to prosecutors and RTC judges?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RA 4363 stripped municipal and city judges of preliminary investigation authority in libel cases, testing the canon Generalia Specialibus Non Derogant (general laws do not derogate from special laws) and Legislative Intent."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City and municipal judges have NO AUTHORITY to conduct preliminary investigations in written libel cases. Under R.A. No. 4363, amending Article 360 of the Revised Penal Code, preliminary investigation of libel is exclusively vested in Provincial/City Fiscals and CFI/RTC Judges.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Congress specifically amended the libel law to take preliminary investigation power away from local municipal judges. Under Generalia Specialibus Non Derogant, this specific libel statute overrides the general powers of city judges.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Generalia specialibus non derogant (general laws do not derogate from special provisions) and the express legislative intent of RA 4363, municipal and city judges were stripped of jurisdiction to conduct preliminary investigations in written defamation, vesting that power exclusively in prosecutors and RTC judges."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360, Revised Penal Code (as amended by Republic Act No. 4363): </w:t>
            </w:r>
            <w:r>
              <w:rPr>
                <w:rFonts w:ascii="Calibri" w:hAnsi="Calibri"/>
                <w:color w:val="212529"/>
                <w:sz w:val="20"/>
              </w:rPr>
              <w:t>Specifically enumerates officers authorized to conduct preliminary investigations in written defamation cases.</w:t>
            </w:r>
          </w:p>
          <w:p>
            <w:pPr>
              <w:spacing w:before="20" w:after="40" w:line="276" w:lineRule="auto"/>
            </w:pPr>
            <w:r>
              <w:rPr>
                <w:rFonts w:ascii="Calibri" w:hAnsi="Calibri"/>
                <w:b/>
                <w:color w:val="212529"/>
                <w:sz w:val="20"/>
              </w:rPr>
              <w:t xml:space="preserve">2. Generalia Specialibus Non Derogant (general provisions do not derogate from specific ones): </w:t>
            </w:r>
            <w:r>
              <w:rPr>
                <w:rFonts w:ascii="Calibri" w:hAnsi="Calibri"/>
                <w:color w:val="212529"/>
                <w:sz w:val="20"/>
              </w:rPr>
              <w:t>The specific procedural amendment on libel governs over general judicial powers under the Judiciary Act and City Charters.</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The statutory enumeration of Fiscals and CFI Judges excludes City Judges.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360 RPC as amended by RA 4363, Generalia Specialibus Non Derogant, and Expressio Unius.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360 RPC, as amended by RA 4363, applied under Generalia specialibus non derogant (general provisions yield to special laws) and Expressio unius est exclusio alterius."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Historical Purpose and Legislative Intent of RA 4363: </w:t>
            </w:r>
            <w:r>
              <w:rPr>
                <w:rFonts w:ascii="Calibri" w:hAnsi="Calibri"/>
                <w:color w:val="212529"/>
                <w:sz w:val="20"/>
              </w:rPr>
              <w:t>Congress amended Article 360 RPC precisely to eliminate the rampant harassment of journalists and political critics by influential local politicians who filed baseless libel suits before beholden local municipal courts.</w:t>
            </w:r>
          </w:p>
          <w:p>
            <w:pPr>
              <w:spacing w:before="20" w:after="40" w:line="276" w:lineRule="auto"/>
            </w:pPr>
            <w:r>
              <w:rPr>
                <w:rFonts w:ascii="Calibri" w:hAnsi="Calibri"/>
                <w:b/>
                <w:color w:val="212529"/>
                <w:sz w:val="20"/>
              </w:rPr>
              <w:t xml:space="preserve">2. Exclusivity of Statutory Designation: </w:t>
            </w:r>
            <w:r>
              <w:rPr>
                <w:rFonts w:ascii="Calibri" w:hAnsi="Calibri"/>
                <w:color w:val="212529"/>
                <w:sz w:val="20"/>
              </w:rPr>
              <w:t>By expressly providing that preliminary investigations 'shall be conducted by the provincial or city fiscal or by the judge of the Court of First Instance,' RA 4363 excluded municipal and city courts under expressio unius.</w:t>
            </w:r>
          </w:p>
          <w:p>
            <w:pPr>
              <w:spacing w:before="20" w:after="40" w:line="276" w:lineRule="auto"/>
            </w:pPr>
            <w:r>
              <w:rPr>
                <w:rFonts w:ascii="Calibri" w:hAnsi="Calibri"/>
                <w:b/>
                <w:color w:val="212529"/>
                <w:sz w:val="20"/>
              </w:rPr>
              <w:t xml:space="preserve">3. Conflict Between General and Specific Laws: </w:t>
            </w:r>
            <w:r>
              <w:rPr>
                <w:rFonts w:ascii="Calibri" w:hAnsi="Calibri"/>
                <w:color w:val="212529"/>
                <w:sz w:val="20"/>
              </w:rPr>
              <w:t>The specific enactment governing libel procedures prevails over general statutory provisions governing municipal court preliminary investigations.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passed RA 4363 because local mayors were using friendly municipal judges to harass and jail newspaper journalists. To stop this abuse, Congress made a special rule: only provincial/city prosecutors or RTC judges can investigate libel. That specific anti-harassment law controls over general court rules.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historical legislative intent and Generalia Specialibus Non Derogant. Congress deliberately enacted RA 4363 to protect free speech from harassment in local courts. The specific restriction in Article 360 RPC completely deprived city judges of preliminary investigation authority in libel."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ISSUED a writ of prohibition, and RESTRAINED respondent City Judge Avila from conducting the preliminary investigation in the libel case.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city judge was ordered to stop and the libel proceedings before him were halted.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issued a writ of prohibition, affirming that city judges lack jurisdiction to conduct preliminary investigations in libel under RA 4363."</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B. Considerations within the Statute -&gt; Associated Words / Ejusdem Generis / Expressio Unius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special statutory amendment in Article 360 RPC on libel controls over general judicial charter provisions.</w:t>
            </w:r>
          </w:p>
          <w:p>
            <w:pPr>
              <w:spacing w:before="40" w:after="60" w:line="276" w:lineRule="auto"/>
            </w:pPr>
            <w:r>
              <w:rPr>
                <w:rFonts w:ascii="Calibri" w:hAnsi="Calibri"/>
                <w:b/>
                <w:color w:val="8C3200"/>
                <w:sz w:val="20"/>
              </w:rPr>
              <w:t>2.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specific enumeration of Fiscals and CFI Judges excludes City and Municipal Judges.</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purpose to prevent harassment of the press dictates strict enforcement of the venue and investigator restrictions.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B. Considerations within the Statute -&gt; Associated Words / Ejusdem Generis / Expressio Unius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specific preliminary investigation rules under RA 4363 prevail over general city court charters)</w:t>
              <w:br/>
              <w:br/>
              <w:t>Secondary:</w:t>
              <w:br/>
              <w:t>• Expressio unius est exclusio alterius (express enumeration excludes city judges)</w:t>
              <w:br/>
              <w:t>• Ratio legis est anima legis (anti-harassment intent of libel amendments)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city court judge attempted to assert general charter powers in direct violation of a specific amendatory statute enacted to curb local judicial abuse in libel cases.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Special Penal Procedures Prevail Over General Charters: A specific statutory enactment establishing exclusive investigative officers for a particular crime controls over all general jurisdictional grants.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special law passed to stop a specific evil always beats a general law that talks about court powers in general.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Escribano v. Avila is the classic illustration of Generalia specialibus non derogant, proving that specific amendatory penal rules override general municipal charters."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Jose Escribano v. Hon. Bernardo Avila and City Fiscal of Cotabato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L-30375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12, 1978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Cotabato City Mayor Juan J. Syquia filed a criminal complaint for Libel against Jose Escribano before the City Court of Cotabato. Judge Bernardo Avila commenced the preliminary investigation. Escribano moved to dismiss the proceedings for lack of jurisdiction, arguing that under Article 360 of the Revised Penal Code, as specifically amended by Republic Act No. 4363, the preliminary investigation of written defamation cases was exclusively lodged with City Prosecutors, Provincial Fiscals, or Judges of the Court of First Instance (now RTC), deliberately stripping municipal and city judges of preliminary investigation powers in libel cases. Judge Avila denied the motion, claiming general authority under the City Charter and Judiciary Act.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360, Revised Penal Code (as amended by Republic Act No. 4363): Specifically enumerates officers authorized to conduct preliminary investigations in written defamation cases.</w:t>
              <w:br/>
              <w:t>2. Generalia Specialibus Non Derogant (general provisions do not derogate from specific ones): The specific procedural amendment on libel governs over general judicial powers under the Judiciary Act and City Charters.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city court judge attempted to assert general charter powers in direct violation of a specific amendatory statute enacted to curb local judicial abuse in libel cases.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City Court Judge has the statutory authority to conduct preliminary investigations in criminal libel cases under Article 360 of the Revised Penal Code, as amended by Republic Act No. 4363.</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Jose Escribano v. Hon. Bernardo Avila and City Fiscal of Cotabato,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360, Revised Penal Code (as amended by Republic Act No. 4363): Specifically enumerates officers authorized to conduct preliminary investigations in written defamation cases.</w:t>
              <w:br/>
              <w:t>2. Generalia Specialibus Non Derogant (general provisions do not derogate from specific ones): The specific procedural amendment on libel governs over general judicial powers under the Judiciary Act and City Charters.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city court judge attempted to assert general charter powers in direct violation of a specific amendatory statute ena...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ISSUED a writ of prohibition, and RESTRAINED respondent City Judge Avila from conducting the preliminary investigation in the libel case.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City and municipal judges have NO AUTHORITY to conduct preliminary investigations in written libel cases. Under R.A. No. 4363, amending Article 360 of the Revised Penal Code, preliminary investigation of libel is exclusively vested in Provincial/City Fiscals and CFI/RTC Judges.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city court judge attempted to assert general charter powers in direct violation of a specific amendatory statute enacted to curb local j.</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Special Penal Procedures Prevail Over General Charters: A specific statutory enactment establishing exclusive investigative officers for a particular crime controls over all general jurisdictional grants.</w:t>
              <w:br/>
              <w:t xml:space="preserve">   - Result: No. Congress specifically amended the libel law to take preliminary investigation power away from local municipal judges. Under Generalia Specialibus Non Derogant, this specific libel statute overrides the general powers of city judges.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(express enumeration excludes city judges)</w:t>
              <w:br/>
              <w:t>• Ratio legis est anima legis (anti-harassment intent of libel amendments)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Jose Escribano v. Hon. Bernardo Avila and City Fiscal of Cotabato to mean and apply strictly in accordance with Generalia specialibus non derogant, holding that No. Congress specifically amended the libel law to take preliminary investigation power away from local municipal judges. Under Generalia Specialibus Non Deroga.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Congress passed RA 4363 because local mayors were using friendly municipal judges to harass and jail newspaper journalists. To stop this abuse, Congress made a special rule: only provincial/city prosecutors or RTC judges can investigate libel. That specific anti-harassment law controls over general court rules.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Special Penal Procedures Prevail Over General Charters: A specific statutory enactment establishing exclusive investigative officers for a particular crime controls over all general jurisdictional grants.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special law passed to stop a specific evil always beats a general law that talks about court powers in general.</w:t>
            </w:r>
          </w:p>
        </w:tc>
      </w:tr>
    </w:tbl>
    <w:p>
      <w:r>
        <w:br w:type="page"/>
      </w:r>
    </w:p>
    <w:p>
      <w:pPr>
        <w:keepNext/>
        <w:spacing w:before="320" w:after="80"/>
      </w:pPr>
      <w:r>
        <w:rPr>
          <w:rFonts w:ascii="Arial" w:hAnsi="Arial"/>
          <w:b/>
          <w:color w:val="0F2043"/>
          <w:sz w:val="26"/>
        </w:rPr>
        <w:t>2. PEOPLE OF THE PHILIPPINES V. GUILLERMO MANANTAN</w:t>
      </w:r>
    </w:p>
    <w:p>
      <w:pPr>
        <w:spacing w:before="40" w:after="80" w:line="276" w:lineRule="auto"/>
      </w:pPr>
      <w:r>
        <w:rPr>
          <w:rFonts w:ascii="Calibri" w:hAnsi="Calibri"/>
          <w:b/>
          <w:color w:val="212529"/>
          <w:sz w:val="21"/>
        </w:rPr>
        <w:t xml:space="preserve">Citation: </w:t>
      </w:r>
      <w:r>
        <w:rPr>
          <w:rFonts w:ascii="Calibri" w:hAnsi="Calibri"/>
          <w:i/>
          <w:color w:val="212529"/>
          <w:sz w:val="21"/>
        </w:rPr>
        <w:t>G.R. No. L-14129 | July 31, 1962 | 5 SCRA 684 | En Banc | Ponente: J. Regala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(Appellant)</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Guillermo Manantan (Appellee)</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Pangasinan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by the State from an order dismissing a criminal information for violation of Section 54 of the Revised Election Code (Electioneering by public officers).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Guillermo Manantan, a Justice of the Peace (now Municipal Trial Court Judge) of Pangasinan, was criminally charged with illegal electioneering under Section 54 of the Revised Election Code, which prohibited 'any judge of first instance, justice of the peace, treasurer, or other public officer' from aiding any candidate. Manantan moved to dismiss the information, pointing out that in the earlier 1938 Election Code, the section explicitly included 'justice of the peace', but in Section 54 of the 1947 Revised Election Code, the legislature replaced the specific phrase with 'judge, fiscal, treasurer, etc.' Manantan argued that under Expressio Unius and Casus Omissus, the omission of the specific phrase 'justice of the peace' meant that justices of the peace were exempt from the electioneering ban.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municipal judge actively campaigned for a political candidate. When charged under the election law, he argued that while the old election law specifically listed 'justice of the peace', the new law replaced that phrase with the general word 'judge'. He claimed that under Expressio Unius and Casus Omissus, the disappearance of the exact words 'justice of the peace' meant municipal judges were free to campaign! The Supreme Court rejected this absurd excuse, holding that 'judge' is a broad term that includes all judges, and maxims cannot be used to defeat clear legislative intent.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Justice of the Peace is included within the term 'judge' in Section 54 of the Revised Election Code, and whether Casus Omissus and Expressio Unius apply to exempt him.</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a municipal trial judge included in the word 'judge' in the electioneering ban, or did the omission of the exact words 'justice of the peace' create a legal loophole?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Justice of the Peace falls under the term 'judge' in Section 54 of the Revised Election Code, testing the proper limits of Casus Omissus and Expressio Unius Est Exclusio Alterius versus Legislative Intent (Ratio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A Justice of the Peace IS INCLUDED within the comprehensive term 'judge'. Expressio Unius and Casus Omissus CANNOT be applied to defeat the manifest legislative purpose of insulating the entire judiciary from partisan politics.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A justice of the peace is obviously a judge. The legislature used the general word 'judge' to encompass ALL judges at every level. Maxims like Expressio Unius and Casus Omissus cannot be weaponized to defeat common sense and the soul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'judge' is a genus that includes Justices of the Peace. As Justice Regala established, Expressio unius est exclusio alterius and Casus Omissus are mere auxiliary aids that can never be used to defeat manifest legislative intent or create an absurd loophole in judicial neutrality."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54, Republic Act No. 180 (Revised Election Code of 1947): </w:t>
            </w:r>
            <w:r>
              <w:rPr>
                <w:rFonts w:ascii="Calibri" w:hAnsi="Calibri"/>
                <w:color w:val="212529"/>
                <w:sz w:val="20"/>
              </w:rPr>
              <w:t>Prohibits judges, fiscals, treasurers, and police officers from engaging in partisan political activity.</w:t>
            </w:r>
          </w:p>
          <w:p>
            <w:pPr>
              <w:spacing w:before="20" w:after="40" w:line="276" w:lineRule="auto"/>
            </w:pPr>
            <w:r>
              <w:rPr>
                <w:rFonts w:ascii="Calibri" w:hAnsi="Calibri"/>
                <w:b/>
                <w:color w:val="212529"/>
                <w:sz w:val="20"/>
              </w:rPr>
              <w:t xml:space="preserve">2. Limits of Expressio Unius Est Exclusio Alterius (the express mention of one is the exclusion of another): </w:t>
            </w:r>
            <w:r>
              <w:rPr>
                <w:rFonts w:ascii="Calibri" w:hAnsi="Calibri"/>
                <w:color w:val="212529"/>
                <w:sz w:val="20"/>
              </w:rPr>
              <w:t>The maxim cannot be applied where the legislative intent to include the broader class is obvious.</w:t>
            </w:r>
          </w:p>
          <w:p>
            <w:pPr>
              <w:spacing w:before="20" w:after="40" w:line="276" w:lineRule="auto"/>
            </w:pPr>
            <w:r>
              <w:rPr>
                <w:rFonts w:ascii="Calibri" w:hAnsi="Calibri"/>
                <w:b/>
                <w:color w:val="212529"/>
                <w:sz w:val="20"/>
              </w:rPr>
              <w:t xml:space="preserve">3. Inapplicability of Casus Omissus (omitted case): </w:t>
            </w:r>
            <w:r>
              <w:rPr>
                <w:rFonts w:ascii="Calibri" w:hAnsi="Calibri"/>
                <w:color w:val="212529"/>
                <w:sz w:val="20"/>
              </w:rPr>
              <w:t>Casus Omissus applies only when the omission is clear; it does not apply when the legislature substitutes a broader generic term ('judge') for specific sub-categories.</w:t>
            </w:r>
          </w:p>
          <w:p>
            <w:pPr>
              <w:spacing w:before="20" w:after="40" w:line="276" w:lineRule="auto"/>
            </w:pPr>
            <w:r>
              <w:rPr>
                <w:rFonts w:ascii="Calibri" w:hAnsi="Calibri"/>
                <w:b/>
                <w:color w:val="212529"/>
                <w:sz w:val="20"/>
              </w:rPr>
              <w:t xml:space="preserve">4. Ratio Legis Est Anima Legis (the reason of the law is the soul of the law): </w:t>
            </w:r>
            <w:r>
              <w:rPr>
                <w:rFonts w:ascii="Calibri" w:hAnsi="Calibri"/>
                <w:color w:val="212529"/>
                <w:sz w:val="20"/>
              </w:rPr>
              <w:t>The purpose of the electioneering ban is absolute judicial neutrality.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54 RA 180, Limits of Expressio Unius and Casus Omissus, and Ratio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54 of the Revised Election Code, interpreted through the rule on the Limits of Expressio Unius and Casus Omissus, subordinated to Ratio legis est anima legis (the reason of the law is its soul)."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Evolution of Section 54: </w:t>
            </w:r>
            <w:r>
              <w:rPr>
                <w:rFonts w:ascii="Calibri" w:hAnsi="Calibri"/>
                <w:color w:val="212529"/>
                <w:sz w:val="20"/>
              </w:rPr>
              <w:t>The legislature did not intend to exempt justices of the peace. Instead, it simplified the statutory language by using the comprehensive term 'judge' to cover Judges of First Instance, Municipal Judges, and Justices of the Peace alike.</w:t>
            </w:r>
          </w:p>
          <w:p>
            <w:pPr>
              <w:spacing w:before="20" w:after="40" w:line="276" w:lineRule="auto"/>
            </w:pPr>
            <w:r>
              <w:rPr>
                <w:rFonts w:ascii="Calibri" w:hAnsi="Calibri"/>
                <w:b/>
                <w:color w:val="212529"/>
                <w:sz w:val="20"/>
              </w:rPr>
              <w:t xml:space="preserve">2. Auxiliary Nature of Interpretation Maxims: </w:t>
            </w:r>
            <w:r>
              <w:rPr>
                <w:rFonts w:ascii="Calibri" w:hAnsi="Calibri"/>
                <w:color w:val="212529"/>
                <w:sz w:val="20"/>
              </w:rPr>
              <w:t>Canons like Expressio Unius and Casus Omissus are servants of legislative intent, not its masters. They cannot be used to subvert the primary purpose of the statute.</w:t>
            </w:r>
          </w:p>
          <w:p>
            <w:pPr>
              <w:spacing w:before="20" w:after="40" w:line="276" w:lineRule="auto"/>
            </w:pPr>
            <w:r>
              <w:rPr>
                <w:rFonts w:ascii="Calibri" w:hAnsi="Calibri"/>
                <w:b/>
                <w:color w:val="212529"/>
                <w:sz w:val="20"/>
              </w:rPr>
              <w:t xml:space="preserve">3. Absurdity of Exempting Lower Judges: </w:t>
            </w:r>
            <w:r>
              <w:rPr>
                <w:rFonts w:ascii="Calibri" w:hAnsi="Calibri"/>
                <w:color w:val="212529"/>
                <w:sz w:val="20"/>
              </w:rPr>
              <w:t>It would be grotesque and absurd to prohibit high court judges from electioneering while allowing grassroots municipal judges—who interact daily with voters—to act as partisan political ward leaders.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Why would Congress ban high court judges from campaigning but allow local municipal judges to campaign? That would be completely absurd. The legislature changed the wording to 'judge' to cover every single judge in the country. Legal maxims cannot be used as clever tricks to destroy the purpose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delivered a landmark ruling on the limits of statutory maxims. Canons like Expressio Unius are mere tools. Since the term 'judge' encompasses all judicial officers, Casus Omissus cannot be applied to manufacture an absurd exemption that destroys judicial impartiality."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dismissal order, REINSTATED the criminal information against Justice of the Peace Guillermo Manantan, and REMANDED the case for trial.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dismissal was reversed and the judge was ordered to face criminal trial for illegal campaigning.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dismissal, ruling that all judges, including justices of the peace, are barred from electioneering under Section 54."</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B. Considerations within the Statute -&gt; Expressio Unius Est Exclusio Alterius / Casus Omissus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absolute policy of preserving judicial impartiality overrides formalistic linguistic arguments.</w:t>
            </w:r>
          </w:p>
          <w:p>
            <w:pPr>
              <w:spacing w:before="40" w:after="60" w:line="276" w:lineRule="auto"/>
            </w:pPr>
            <w:r>
              <w:rPr>
                <w:rFonts w:ascii="Calibri" w:hAnsi="Calibri"/>
                <w:b/>
                <w:color w:val="8C3200"/>
                <w:sz w:val="20"/>
              </w:rPr>
              <w:t>2.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maxim is not a rigid rule of law and cannot defeat the manifest purpose of the legislature.</w:t>
            </w:r>
          </w:p>
          <w:p>
            <w:pPr>
              <w:spacing w:before="40" w:after="60" w:line="276" w:lineRule="auto"/>
            </w:pPr>
            <w:r>
              <w:rPr>
                <w:rFonts w:ascii="Calibri" w:hAnsi="Calibri"/>
                <w:b/>
                <w:color w:val="8C3200"/>
                <w:sz w:val="20"/>
              </w:rPr>
              <w:t>3. Casus omissus pro omisso habendus est (a person, object or thing omitted must be held to be intentionally omitted)</w:t>
              <w:br/>
            </w:r>
            <w:r>
              <w:rPr>
                <w:rFonts w:ascii="Calibri" w:hAnsi="Calibri"/>
                <w:b/>
                <w:color w:val="212529"/>
                <w:sz w:val="19"/>
              </w:rPr>
              <w:t xml:space="preserve">   • Literal English Translation: </w:t>
            </w:r>
            <w:r>
              <w:rPr>
                <w:rFonts w:ascii="Calibri" w:hAnsi="Calibri"/>
                <w:i/>
                <w:color w:val="212529"/>
                <w:sz w:val="19"/>
              </w:rPr>
              <w:t>A case omitted is to be held as intentionally omitted.</w:t>
              <w:br/>
            </w:r>
            <w:r>
              <w:rPr>
                <w:rFonts w:ascii="Calibri" w:hAnsi="Calibri"/>
                <w:b/>
                <w:color w:val="212529"/>
                <w:sz w:val="19"/>
              </w:rPr>
              <w:t xml:space="preserve">   • Plain Legal Meaning &amp; StatCon Application: </w:t>
            </w:r>
            <w:r>
              <w:rPr>
                <w:rFonts w:ascii="Calibri" w:hAnsi="Calibri"/>
                <w:color w:val="212529"/>
                <w:sz w:val="19"/>
              </w:rPr>
              <w:t>The doctrine cannot be applied where a generic term ('judge') was intended to absorb specific classifications.</w:t>
            </w:r>
          </w:p>
          <w:p>
            <w:pPr>
              <w:spacing w:before="40" w:after="60" w:line="276" w:lineRule="auto"/>
            </w:pPr>
            <w:r>
              <w:rPr>
                <w:rFonts w:ascii="Calibri" w:hAnsi="Calibri"/>
                <w:b/>
                <w:color w:val="8C3200"/>
                <w:sz w:val="20"/>
              </w:rPr>
              <w:t>4.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anything impossible or absurd.</w:t>
              <w:br/>
            </w:r>
            <w:r>
              <w:rPr>
                <w:rFonts w:ascii="Calibri" w:hAnsi="Calibri"/>
                <w:b/>
                <w:color w:val="212529"/>
                <w:sz w:val="19"/>
              </w:rPr>
              <w:t xml:space="preserve">   • Plain Legal Meaning &amp; StatCon Application: </w:t>
            </w:r>
            <w:r>
              <w:rPr>
                <w:rFonts w:ascii="Calibri" w:hAnsi="Calibri"/>
                <w:color w:val="212529"/>
                <w:sz w:val="19"/>
              </w:rPr>
              <w:t>It is absurd to insulate superior judges from politics while freeing grassroots judges to electioneer.</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B. Considerations within the Statute -&gt; Expressio Unius Est Exclusio Alterius / Casus Omissus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statutory maxims like Expressio Unius and Casus Omissus must yield to legislative intent)</w:t>
              <w:br/>
              <w:br/>
              <w:t>Secondary:</w:t>
              <w:br/>
              <w:t>• Expressio unius est exclusio alterius (subordinated to statutory purpose)</w:t>
              <w:br/>
              <w:t>• Casus omissus pro omisso habendus est (inapplicable where generic term applies)</w:t>
              <w:br/>
              <w:t>• Lex non intendit absurdum (the law rejects absurd loopholes)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allowed the defendant to use statutory construction maxims as mechanical loopholes to subvert the constitutional and statutory policy of judicial neutrality.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Subordination of Maxims to Legislative Purpose: Canons of statutory construction are mere aids to discover legislative intent; they must never be applied rigidly to defeat the obvious purpose of the enactment.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Legal maxims are just helping tools; they cannot be used like magic spells to create ridiculous loopholes that ruin the purpose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Manantan is the premier landmark case on the subordination of Expressio Unius and Casus Omissus to Ratio Legis—maxims cannot defeat legislative intent."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Guillermo Manantan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L-14129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31, 1962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Guillermo Manantan, a Justice of the Peace (now Municipal Trial Court Judge) of Pangasinan, was criminally charged with illegal electioneering under Section 54 of the Revised Election Code, which prohibited 'any judge of first instance, justice of the peace, treasurer, or other public officer' from aiding any candidate. Manantan moved to dismiss the information, pointing out that in the earlier 1938 Election Code, the section explicitly included 'justice of the peace', but in Section 54 of the 1947 Revised Election Code, the legislature replaced the specific phrase with 'judge, fiscal, treasurer, etc.' Manantan argued that under Expressio Unius and Casus Omissus, the omission of the specific phrase 'justice of the peace' meant that justices of the peace were exempt from the electioneering ban.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54, Republic Act No. 180 (Revised Election Code of 1947): Prohibits judges, fiscals, treasurers, and police officers from engaging in partisan political activity.</w:t>
              <w:br/>
              <w:t>2. Limits of Expressio Unius Est Exclusio Alterius (the express mention of one is the exclusion of another): The maxim cannot be applied where the legislative intent to include the broader class is obvious.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allowed the defendant to use statutory construction maxims as mechanical loopholes to subvert the constitutional and statutory policy of judicial neutrality.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Justice of the Peace is included within the term 'judge' in Section 54 of the Revised Election Code, and whether Casus Omissus and Expressio Unius apply to exempt him.</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Guillermo Manantan,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54, Republic Act No. 180 (Revised Election Code of 1947): Prohibits judges, fiscals, treasurers, and police officers from engaging in partisan political activity.</w:t>
              <w:br/>
              <w:t>2. Limits of Expressio Unius Est Exclusio Alterius (the express mention of one is the exclusion of another): The maxim cannot be applied where the legislative intent to include the broader class is obvious.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statute explicitly enumerates specific items or exceptions, raising whether non-enumerated items are excluded by necessary implication.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dismissal order, REINSTATED the criminal information against Justice of the Peace Guillermo Manantan, and REMANDED the case for trial.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A Justice of the Peace IS INCLUDED within the comprehensive term 'judge'. Expressio Unius and Casus Omissus CANNOT be applied to defeat the manifest legislative purpose of insulating the entire judiciary from partisan politics.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allowed the defendant to use statutory construction maxims as mechanical loopholes to subvert the constitutional and statuto.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Subordination of Maxims to Legislative Purpose: Canons of statutory construction are mere aids to discover legislative intent; they must never be applied rigidly to defeat the obvious purpose of the enactment.</w:t>
              <w:br/>
              <w:t xml:space="preserve">   - Result: Yes! A justice of the peace is obviously a judge. The legislature used the general word 'judge' to encompass ALL judges at every level. Maxims like Expressio Unius and Casus Omissus cannot be weaponized to defeat common sense and the soul of the law.</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(subordinated to statutory purpose)</w:t>
              <w:br/>
              <w:t>• Casus omissus pro omisso habendus est (inapplicable where generic term applies)</w:t>
              <w:br/>
              <w:t>• Lex non intendit absurdum (the law rejects absurd loopholes)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Guillermo Manantan to mean and apply strictly in accordance with Ratio legis est anima legis, holding that Yes! A justice of the peace is obviously a judge. The legislature used the general word 'judge' to encompass ALL judges at every level. Maxims like Expressio Un.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Why would Congress ban high court judges from campaigning but allow local municipal judges to campaign? That would be completely absurd. The legislature changed the wording to 'judge' to cover every single judge in the country. Legal maxims cannot be used as clever tricks to destroy the purpose of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Subordination of Maxims to Legislative Purpose: Canons of statutory construction are mere aids to discover legislative intent; they must never be applied rigidly to defeat the obvious purpose of the enactment.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Legal maxims are just helping tools; they cannot be used like magic spells to create ridiculous loopholes that ruin the purpose of the law.</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III (Part 3)</w:t>
              <w:br/>
            </w:r>
            <w:r>
              <w:rPr>
                <w:rFonts w:ascii="Arial" w:hAnsi="Arial"/>
                <w:b/>
                <w:color w:val="FFFFFF"/>
                <w:sz w:val="24"/>
              </w:rPr>
              <w:t>CONSIDERATIONS OUTSIDE THE STATUTE</w:t>
              <w:br/>
            </w:r>
            <w:r>
              <w:rPr>
                <w:rFonts w:ascii="Arial" w:hAnsi="Arial"/>
                <w:i/>
                <w:color w:val="D7E6FA"/>
                <w:sz w:val="19"/>
              </w:rPr>
              <w:t>Cases 3 to 8 | Inter-Statutory Canons, Borrowed Statutes &amp; Harmonization</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Generalia Specialibus Non Derogat: General law does not derogate from a special law</w:t>
            </w:r>
          </w:p>
          <w:p>
            <w:pPr>
              <w:spacing w:before="20" w:after="20"/>
            </w:pPr>
            <w:r>
              <w:rPr>
                <w:rFonts w:ascii="Calibri" w:hAnsi="Calibri"/>
                <w:color w:val="F0F5FF"/>
                <w:sz w:val="18"/>
              </w:rPr>
              <w:t>• • Lex Posterior Derogat Priori: Later statute repeals an earlier inconsistent statute</w:t>
            </w:r>
          </w:p>
          <w:p>
            <w:pPr>
              <w:spacing w:before="20" w:after="20"/>
            </w:pPr>
            <w:r>
              <w:rPr>
                <w:rFonts w:ascii="Calibri" w:hAnsi="Calibri"/>
                <w:color w:val="F0F5FF"/>
                <w:sz w:val="18"/>
              </w:rPr>
              <w:t>• • Lex Specialis Derogat Legi Generalis: Special statute governs over general law</w:t>
            </w:r>
          </w:p>
          <w:p>
            <w:pPr>
              <w:spacing w:before="20" w:after="20"/>
            </w:pPr>
            <w:r>
              <w:rPr>
                <w:rFonts w:ascii="Calibri" w:hAnsi="Calibri"/>
                <w:color w:val="F0F5FF"/>
                <w:sz w:val="18"/>
              </w:rPr>
              <w:t>• • Lex Posterior Generalis Non Derogat Legi Priori Specialis: Later general law does not repeal prior special law</w:t>
            </w:r>
          </w:p>
          <w:p>
            <w:pPr>
              <w:spacing w:before="20" w:after="20"/>
            </w:pPr>
            <w:r>
              <w:rPr>
                <w:rFonts w:ascii="Calibri" w:hAnsi="Calibri"/>
                <w:color w:val="F0F5FF"/>
                <w:sz w:val="18"/>
              </w:rPr>
              <w:t>• • Borrowed Statute Rule: Judicial construction of parent jurisdiction has persuasive authority</w:t>
            </w:r>
          </w:p>
          <w:p>
            <w:pPr>
              <w:spacing w:before="20" w:after="20"/>
            </w:pPr>
            <w:r>
              <w:rPr>
                <w:rFonts w:ascii="Calibri" w:hAnsi="Calibri"/>
                <w:color w:val="F0F5FF"/>
                <w:sz w:val="18"/>
              </w:rPr>
              <w:t>• • Interpretare et Concordare Leges Legibus Est Optimus Interpretandi: Harmonization of laws is the best method of interpretation</w:t>
            </w:r>
          </w:p>
        </w:tc>
      </w:tr>
    </w:tbl>
    <w:p>
      <w:pPr>
        <w:spacing w:before="120"/>
      </w:pPr>
    </w:p>
    <w:p>
      <w:pPr>
        <w:keepNext/>
        <w:spacing w:before="320" w:after="80"/>
      </w:pPr>
      <w:r>
        <w:rPr>
          <w:rFonts w:ascii="Arial" w:hAnsi="Arial"/>
          <w:b/>
          <w:color w:val="0F2043"/>
          <w:sz w:val="26"/>
        </w:rPr>
        <w:t>3. PHILIPPINE ECONOMIC ZONE AUTHORITY (PEZA) V. GREEN ASIA CONSTRUCTION &amp; DEVELOPMENT CORPORATION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188866 | October 19, 2011 | 659 SCRA 756 | Second Division | Ponente: J. Sereno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Philippine Economic Zone Authority (PEZA)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Green Asia Construction &amp; Development Corporation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Construction Industry Arbitration Commission (CIAC)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assailing the jurisdiction of the CIAC over infrastructure disputes involving government economic zone authorities under Executive Order No. 1008.</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PEZA entered into a construction contract with Green Asia Construction for the development of roads and drainage in the Baguio City Economic Zone. Disputes arose regarding price adjustments and time extensions. Green Asia filed a Request for Adjudication before the Construction Industry Arbitration Commission (CIAC) pursuant to Executive Order No. 1008 (Construction Industry Arbitration Law). PEZA contested CIAC's jurisdiction, arguing that as a government instrumentality created by special charter (R.A. No. 7916), its public contracts are exempt from CIAC arbitration unless its charter expressly provides for arbitration.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government agency (PEZA) hired a contractor to build roads in an economic zone. When a payment dispute arose, the builder brought the case before the Construction Industry Arbitration Commission (CIAC). PEZA claimed that because it is a special government agency, it is exempt from CIAC arbitration. The Supreme Court ruled that under EO 1008, CIAC has broad and exclusive jurisdiction over ALL construction disputes in the Philippines, whether involving private companies or government agencies.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Construction Industry Arbitration Commission (CIAC) has jurisdiction under E.O. No. 1008 over construction contract disputes involving government corporate entities like PEZA.</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Construction Arbitration Commission (CIAC) have the legal power to resolve construction disputes involving government agencies?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EO 1008 confers comprehensive jurisdiction on the CIAC over government construction contracts, testing the canon Ubi Lex Non Distinguit Nec Nos Distinguere Debemus (where the law does not distinguish, we should not distinguish) and Legislative Intent."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CIAC has ORIGINAL AND EXCLUSIVE JURISDICTION over all construction disputes in the Philippines, including those involving government entities like PEZA. E.O. No. 1008 makes no distinction between private and government contracts.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arbitration law covers all construction contracts in the country without distinguishing between private owners and government agencies. Where the law does not distinguish, courts cannot create an exemption for PEZA.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Ubi lex non distinguit nec nos distinguere debemus (where the law makes no distinction, we ought not to distinguish), the Supreme Court held that EO 1008 confers broad jurisdiction on CIAC over all construction disputes, whether government or private, fostering the legislative policy of swift commercial arbitration."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4, Executive Order No. 1008 (Construction Industry Arbitration Law): </w:t>
            </w:r>
            <w:r>
              <w:rPr>
                <w:rFonts w:ascii="Calibri" w:hAnsi="Calibri"/>
                <w:color w:val="212529"/>
                <w:sz w:val="20"/>
              </w:rPr>
              <w:t>Vests CIAC with original and exclusive jurisdiction over disputes arising from construction contracts, whether private or government.</w:t>
            </w:r>
          </w:p>
          <w:p>
            <w:pPr>
              <w:spacing w:before="20" w:after="40" w:line="276" w:lineRule="auto"/>
            </w:pPr>
            <w:r>
              <w:rPr>
                <w:rFonts w:ascii="Calibri" w:hAnsi="Calibri"/>
                <w:b/>
                <w:color w:val="212529"/>
                <w:sz w:val="20"/>
              </w:rPr>
              <w:t xml:space="preserve">2. Ubi Lex Non Distinguit, Nec Nos Distinguere Debemus (where the law does not distinguish, we should not distinguish): </w:t>
            </w:r>
            <w:r>
              <w:rPr>
                <w:rFonts w:ascii="Calibri" w:hAnsi="Calibri"/>
                <w:color w:val="212529"/>
                <w:sz w:val="20"/>
              </w:rPr>
              <w:t>Since EO 1008 covers all construction contracts without qualification, government agencies cannot claim implied exemption.</w:t>
            </w:r>
          </w:p>
          <w:p>
            <w:pPr>
              <w:spacing w:before="20" w:after="40" w:line="276" w:lineRule="auto"/>
            </w:pPr>
            <w:r>
              <w:rPr>
                <w:rFonts w:ascii="Calibri" w:hAnsi="Calibri"/>
                <w:b/>
                <w:color w:val="212529"/>
                <w:sz w:val="20"/>
              </w:rPr>
              <w:t xml:space="preserve">3. In Pari Materia (on the same subject matter): </w:t>
            </w:r>
            <w:r>
              <w:rPr>
                <w:rFonts w:ascii="Calibri" w:hAnsi="Calibri"/>
                <w:color w:val="212529"/>
                <w:sz w:val="20"/>
              </w:rPr>
              <w:t>EO 1008 must be harmonized with PEZA's charter (RA 7916) and Alternative Dispute Resolution laws.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4 EO 1008, Ubi Lex Non Distinguit, and In Pari Materia.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4 of EO 1008, applied under Ubi lex non distinguit nec nos distinguere debemus (where the law does not distinguish, we must not distinguish) and the doctrine of In Pari Materia."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Broad Scope of CIAC Jurisdiction: </w:t>
            </w:r>
            <w:r>
              <w:rPr>
                <w:rFonts w:ascii="Calibri" w:hAnsi="Calibri"/>
                <w:color w:val="212529"/>
                <w:sz w:val="20"/>
              </w:rPr>
              <w:t>Section 4 of E.O. No. 1008 clearly and unambiguously states that CIAC has jurisdiction over construction disputes arising from contracts entered into by parties in the Philippines, including government agencies.</w:t>
            </w:r>
          </w:p>
          <w:p>
            <w:pPr>
              <w:spacing w:before="20" w:after="40" w:line="276" w:lineRule="auto"/>
            </w:pPr>
            <w:r>
              <w:rPr>
                <w:rFonts w:ascii="Calibri" w:hAnsi="Calibri"/>
                <w:b/>
                <w:color w:val="212529"/>
                <w:sz w:val="20"/>
              </w:rPr>
              <w:t xml:space="preserve">2. Legislative Policy Favoring ADR: </w:t>
            </w:r>
            <w:r>
              <w:rPr>
                <w:rFonts w:ascii="Calibri" w:hAnsi="Calibri"/>
                <w:color w:val="212529"/>
                <w:sz w:val="20"/>
              </w:rPr>
              <w:t>The statutory policy of the state is to encourage alternative dispute resolution to decongest judicial courts and achieve speedy, technical resolution of complex infrastructure disputes.</w:t>
            </w:r>
          </w:p>
          <w:p>
            <w:pPr>
              <w:spacing w:before="20" w:after="40" w:line="276" w:lineRule="auto"/>
            </w:pPr>
            <w:r>
              <w:rPr>
                <w:rFonts w:ascii="Calibri" w:hAnsi="Calibri"/>
                <w:b/>
                <w:color w:val="212529"/>
                <w:sz w:val="20"/>
              </w:rPr>
              <w:t xml:space="preserve">3. Government Subject to Arbitration: </w:t>
            </w:r>
            <w:r>
              <w:rPr>
                <w:rFonts w:ascii="Calibri" w:hAnsi="Calibri"/>
                <w:color w:val="212529"/>
                <w:sz w:val="20"/>
              </w:rPr>
              <w:t>When a government entity enters into a commercial construction contract with an arbitration clause, it steps down to the level of an ordinary contracting party and is bound by CIAC jurisdiction.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construction arbitration law was passed to solve construction fights quickly using technical experts instead of clogging courtrooms. The law says 'all construction disputes'. It does not say 'except government projects'. Because the law makes no distinction, government agencies must submit to arbitration just like everyone else.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Ubi Lex Non Distinguit and purposive ADR construction. EO 1008 was designed to cover all construction disputes nationwide. PEZA cannot claim an unwritten sovereign immunity exception when it engages in infrastructure contracts."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PEZA's petition, AFFIRMED the CIAC's jurisdiction, and ORDERED the arbitration proceedings to continue on the merits.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PEZA's challenge was rejected and CIAC was confirmed to have full power over the dispute.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CIAC jurisdiction over government construction disputes under Ubi Lex Non Distinguit."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C. Considerations outside the Statute -&gt; a. Generalia Specialibus Non Derogat &amp; b. Lex Posterior Derogat Priori</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EO 1008 covers all construction contracts without distinguishing between private and government entities.</w:t>
            </w:r>
          </w:p>
          <w:p>
            <w:pPr>
              <w:spacing w:before="40" w:after="60" w:line="276" w:lineRule="auto"/>
            </w:pPr>
            <w:r>
              <w:rPr>
                <w:rFonts w:ascii="Calibri" w:hAnsi="Calibri"/>
                <w:b/>
                <w:color w:val="8C3200"/>
                <w:sz w:val="20"/>
              </w:rPr>
              <w:t>2.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Agreed arbitration clauses in government infrastructure contracts are binding on state agencies.</w:t>
            </w:r>
          </w:p>
          <w:p>
            <w:pPr>
              <w:spacing w:before="40" w:after="60" w:line="276" w:lineRule="auto"/>
            </w:pPr>
            <w:r>
              <w:rPr>
                <w:rFonts w:ascii="Calibri" w:hAnsi="Calibri"/>
                <w:b/>
                <w:color w:val="8C3200"/>
                <w:sz w:val="20"/>
              </w:rPr>
              <w:t>3.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Arbitration statutes must be construed to give full efficacy to alternative dispute mechanisms.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C. Considerations outside the Statute -&gt; a. Generalia Specialibus Non Derogat &amp; b. Lex Posterior Derogat Priori</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CIAC jurisdiction covers all construction contracts without distinguishing government from private)</w:t>
              <w:br/>
              <w:br/>
              <w:t>Secondary:</w:t>
              <w:br/>
              <w:t>• Pacta sunt servanda (contracts must be observed)</w:t>
              <w:br/>
              <w:t>• Ut res magis valeat quam pereat (construction to preserve ADR efficacy)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PEZA attempted to manufacture an unwritten sovereign exemption to evade statutory arbitration mandates.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Comprehensive Construction of Remedial ADR Laws: Statutes conferring specialized arbitral jurisdiction are construed comprehensively to achieve statutory objectives of commercial efficiency and court decongestion.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an arbitration law covers all building contracts, government agencies cannot claim they are too special to follow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PEZA v. Green Asia confirms Ubi lex non distinguit in administrative and arbitration law: CIAC jurisdiction applies universally to all construction contracts."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Philippine Economic Zone Authority (PEZA) v. Green Asia Construction &amp; Development Corporation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188866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19, 2011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PEZA entered into a construction contract with Green Asia Construction for the development of roads and drainage in the Baguio City Economic Zone. Disputes arose regarding price adjustments and time extensions. Green Asia filed a Request for Adjudication before the Construction Industry Arbitration Commission (CIAC) pursuant to Executive Order No. 1008 (Construction Industry Arbitration Law). PEZA contested CIAC's jurisdiction, arguing that as a government instrumentality created by special charter (R.A. No. 7916), its public contracts are exempt from CIAC arbitration unless its charter expressly provides for arbitration.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4, Executive Order No. 1008 (Construction Industry Arbitration Law): Vests CIAC with original and exclusive jurisdiction over disputes arising from construction contracts, whether private or government.</w:t>
              <w:br/>
              <w:t>2. Ubi Lex Non Distinguit, Nec Nos Distinguere Debemus (where the law does not distinguish, we should not distinguish): Since EO 1008 covers all construction contracts without qualification, government agencies cannot claim implied exemption.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PEZA attempted to manufacture an unwritten sovereign exemption to evade statutory arbitration mandates.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Construction Industry Arbitration Commission (CIAC) has jurisdiction under E.O. No. 1008 over construction contract disputes involving government corporate entities like PEZA.</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Philippine Economic Zone Authority (PEZA) v. Green Asia Construction &amp; Development Corporation,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4, Executive Order No. 1008 (Construction Industry Arbitration Law): Vests CIAC with original and exclusive jurisdiction over disputes arising from construction contracts, whether private or government.</w:t>
              <w:br/>
              <w:t>2. Ubi Lex Non Distinguit, Nec Nos Distinguere Debemus (where the law does not distinguish, we should not distinguish): Since EO 1008 covers all construction contracts without qualification, government agencies cannot claim implied exemption.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PEZA's petition, AFFIRMED the CIAC's jurisdiction, and ORDERED the arbitration proceedings to continue on the merits.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CIAC has ORIGINAL AND EXCLUSIVE JURISDICTION over all construction disputes in the Philippines, including those involving government entities like PEZA. E.O. No. 1008 makes no distinction between private and government contracts.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PEZA attempted to manufacture an unwritten sovereign exemption to evade statutory arbitration mandates..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Comprehensive Construction of Remedial ADR Laws: Statutes conferring specialized arbitral jurisdiction are construed comprehensively to achieve statutory objectives of commercial efficiency and court decongestion.</w:t>
              <w:br/>
              <w:t xml:space="preserve">   - Result: Yes. The arbitration law covers all construction contracts in the country without distinguishing between private owners and government agencies. Where the law does not distinguish, courts cannot create an exemption for PEZA.</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Pacta sunt servanda (contracts must be observed)</w:t>
              <w:br/>
              <w:t>• Ut res magis valeat quam pereat (construction to preserve ADR efficacy)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Philippine Economic Zone Authority (PEZA) v. Green Asia Construction &amp; Development Corporation to mean and apply strictly in accordance with Ubi lex non distinguit, nec nos distinguere debemus, holding that Yes. The arbitration law covers all construction contracts in the country without distinguishing between private owners and government agencies. Where the law d.</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construction arbitration law was passed to solve construction fights quickly using technical experts instead of clogging courtrooms. The law says 'all construction disputes'. It does not say 'except government projects'. Because the law makes no distinction, government agencies must submit to arbitration just like everyone else.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Comprehensive Construction of Remedial ADR Laws: Statutes conferring specialized arbitral jurisdiction are construed comprehensively to achieve statutory objectives of commercial efficiency and court decongestion.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an arbitration law covers all building contracts, government agencies cannot claim they are too special to follow the law.</w:t>
            </w:r>
          </w:p>
        </w:tc>
      </w:tr>
    </w:tbl>
    <w:p>
      <w:r>
        <w:br w:type="page"/>
      </w:r>
    </w:p>
    <w:p>
      <w:pPr>
        <w:keepNext/>
        <w:spacing w:before="320" w:after="80"/>
      </w:pPr>
      <w:r>
        <w:rPr>
          <w:rFonts w:ascii="Arial" w:hAnsi="Arial"/>
          <w:b/>
          <w:color w:val="0F2043"/>
          <w:sz w:val="26"/>
        </w:rPr>
        <w:t>4. TUNA PROCESSING, INC. V. PHILIPPINE KINGFORD, INC.</w:t>
      </w:r>
    </w:p>
    <w:p>
      <w:pPr>
        <w:spacing w:before="40" w:after="80" w:line="276" w:lineRule="auto"/>
      </w:pPr>
      <w:r>
        <w:rPr>
          <w:rFonts w:ascii="Calibri" w:hAnsi="Calibri"/>
          <w:b/>
          <w:color w:val="212529"/>
          <w:sz w:val="21"/>
        </w:rPr>
        <w:t xml:space="preserve">Citation: </w:t>
      </w:r>
      <w:r>
        <w:rPr>
          <w:rFonts w:ascii="Calibri" w:hAnsi="Calibri"/>
          <w:i/>
          <w:color w:val="212529"/>
          <w:sz w:val="21"/>
        </w:rPr>
        <w:t>G.R. No. 185582 | February 29, 2012 | 667 SCRA 287 | First Division | Ponente: J. Perez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Tuna Processing,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Philippine Kingford, Inc.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Makati City (Branch 61)</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legal capacity of an unlicensed foreign corporation to enforce an international arbitral award under Republic Act No. 9285 (Alternative Dispute Resolution Act of 2004) versus Section 133 of the Corporation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Tuna Processing, Inc. (TPI), a foreign corporation organized under the laws of California and not licensed to do business in the Philippines, obtained a final international arbitral award in California against Philippine Kingford, Inc. (a domestic corporation) amounting to over $1.7 Million. TPI filed a petition before the RTC of Makati to enforce the arbitral award pursuant to the 1958 New York Convention and R.A. No. 9285 (Alternative Dispute Resolution Act of 2004). Kingford moved to dismiss, arguing that under Section 133 of the Corporation Code (B.P. Blg. 68), a foreign corporation doing business without a license has NO CAPACITY to maintain any suit in Philippine courts, invoking Lex Posterior Derogat Priori.</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An American tuna company won an international arbitration case in California against a Filipino company and was awarded $1.7 Million. When the American company went to a Philippine court to collect the money, the local company tried to block them, arguing that under the old Corporation Code, an unlicensed foreign company cannot file any lawsuits in the Philippines. The Supreme Court ruled that the 2004 ADR Law specifically allows foreign corporations to enforce international arbitral awards, overriding the general Corporation Code restriction.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foreign corporation not licensed to do business in the Philippines may maintain a petition in Philippine courts to recognize and enforce a foreign arbitral award under R.A. No. 9285.</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an unlicensed foreign corporation sue in the Philippines to collect a foreign arbitration award, despite the general ban in the Corporation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ADR Act of 2004 allows an unlicensed foreign corporation to enforce an international arbitral award, testing the canons of Lex Posterior Derogat Priori (a later law repeals an earlier law) and Generalia Specialibus Non Derogant (general laws yield to special laws)."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An unlicensed foreign corporation CAN file a petition in Philippine courts to enforce a foreign arbitral award. R.A. No. 9285, being a SUBSEQUENT AND SPECIAL LAW, creates an express exception to Section 133 of the Corporation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2004 ADR Act is a newer, specific law passed to comply with international treaties. Under Lex Posterior Derogat Priori and Generalia Specialibus Non Derogant, this specific arbitration law overrides the older general Corporation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Lex posterior derogat priori (a later law repeals an earlier law) and Generalia specialibus non derogant (special laws prevail over general laws), RA 9285 specifically authorizes any party to an international arbitration to enforce the award in the Philippines, superseding Section 133 of the Corporation Code."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42 and 45, Republic Act No. 9285 (Alternative Dispute Resolution Act of 2004): </w:t>
            </w:r>
            <w:r>
              <w:rPr>
                <w:rFonts w:ascii="Calibri" w:hAnsi="Calibri"/>
                <w:color w:val="212529"/>
                <w:sz w:val="20"/>
              </w:rPr>
              <w:t>Governs the recognition and enforcement of New York Convention international arbitral awards.</w:t>
            </w:r>
          </w:p>
          <w:p>
            <w:pPr>
              <w:spacing w:before="20" w:after="40" w:line="276" w:lineRule="auto"/>
            </w:pPr>
            <w:r>
              <w:rPr>
                <w:rFonts w:ascii="Calibri" w:hAnsi="Calibri"/>
                <w:b/>
                <w:color w:val="212529"/>
                <w:sz w:val="20"/>
              </w:rPr>
              <w:t xml:space="preserve">2. Section 133, Batas Pambansa Blg. 68 (The Corporation Code): </w:t>
            </w:r>
            <w:r>
              <w:rPr>
                <w:rFonts w:ascii="Calibri" w:hAnsi="Calibri"/>
                <w:color w:val="212529"/>
                <w:sz w:val="20"/>
              </w:rPr>
              <w:t>General restriction barring unlicensed foreign corporations doing business in the Philippines from maintaining court suits.</w:t>
            </w:r>
          </w:p>
          <w:p>
            <w:pPr>
              <w:spacing w:before="20" w:after="40" w:line="276" w:lineRule="auto"/>
            </w:pPr>
            <w:r>
              <w:rPr>
                <w:rFonts w:ascii="Calibri" w:hAnsi="Calibri"/>
                <w:b/>
                <w:color w:val="212529"/>
                <w:sz w:val="20"/>
              </w:rPr>
              <w:t xml:space="preserve">3. Lex Posterior Derogat Priori (a later statute repeals an earlier one): </w:t>
            </w:r>
            <w:r>
              <w:rPr>
                <w:rFonts w:ascii="Calibri" w:hAnsi="Calibri"/>
                <w:color w:val="212529"/>
                <w:sz w:val="20"/>
              </w:rPr>
              <w:t>The 2004 ADR Act, being subsequent in time, modifies earlier general corporate restrictions.</w:t>
            </w:r>
          </w:p>
          <w:p>
            <w:pPr>
              <w:spacing w:before="20" w:after="40" w:line="276" w:lineRule="auto"/>
            </w:pPr>
            <w:r>
              <w:rPr>
                <w:rFonts w:ascii="Calibri" w:hAnsi="Calibri"/>
                <w:b/>
                <w:color w:val="212529"/>
                <w:sz w:val="20"/>
              </w:rPr>
              <w:t xml:space="preserve">4. Generalia Specialibus Non Derogant (general provisions yield to special ones): </w:t>
            </w:r>
            <w:r>
              <w:rPr>
                <w:rFonts w:ascii="Calibri" w:hAnsi="Calibri"/>
                <w:color w:val="212529"/>
                <w:sz w:val="20"/>
              </w:rPr>
              <w:t>The special procedure for arbitral enforcement prevails over the general Corporation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9285 (ADR Act), Section 133 Corporation Code, Lex Posterior Derogat Priori, and Generalia Specialibus Non Derogant.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9285 in relation to Section 133 of the Corporation Code, harmonized under Lex posterior derogat priori (later law overrides earlier law) and Generalia specialibus non derogant (special laws override general laws)."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Harmony with International Treaty Obligations: </w:t>
            </w:r>
            <w:r>
              <w:rPr>
                <w:rFonts w:ascii="Calibri" w:hAnsi="Calibri"/>
                <w:color w:val="212529"/>
                <w:sz w:val="20"/>
              </w:rPr>
              <w:t>The Philippines is a signatory to the 1958 New York Convention on the Recognition and Enforcement of Foreign Arbitral Awards. RA 9285 was enacted precisely to fulfill treaty obligations.</w:t>
            </w:r>
          </w:p>
          <w:p>
            <w:pPr>
              <w:spacing w:before="20" w:after="40" w:line="276" w:lineRule="auto"/>
            </w:pPr>
            <w:r>
              <w:rPr>
                <w:rFonts w:ascii="Calibri" w:hAnsi="Calibri"/>
                <w:b/>
                <w:color w:val="212529"/>
                <w:sz w:val="20"/>
              </w:rPr>
              <w:t xml:space="preserve">2. Lex Posterior and Special Law Prevails: </w:t>
            </w:r>
            <w:r>
              <w:rPr>
                <w:rFonts w:ascii="Calibri" w:hAnsi="Calibri"/>
                <w:color w:val="212529"/>
                <w:sz w:val="20"/>
              </w:rPr>
              <w:t>Section 133 of the Corporation Code was enacted in 1980 as a general rule. RA 9285 was enacted in 2004 as a specific statute governing international arbitration. Under statutory construction rules, the subsequent special statute governs.</w:t>
            </w:r>
          </w:p>
          <w:p>
            <w:pPr>
              <w:spacing w:before="20" w:after="40" w:line="276" w:lineRule="auto"/>
            </w:pPr>
            <w:r>
              <w:rPr>
                <w:rFonts w:ascii="Calibri" w:hAnsi="Calibri"/>
                <w:b/>
                <w:color w:val="212529"/>
                <w:sz w:val="20"/>
              </w:rPr>
              <w:t xml:space="preserve">3. Prevention of Unjust Haven for Judgment Debtors: </w:t>
            </w:r>
            <w:r>
              <w:rPr>
                <w:rFonts w:ascii="Calibri" w:hAnsi="Calibri"/>
                <w:color w:val="212529"/>
                <w:sz w:val="20"/>
              </w:rPr>
              <w:t>Allowing local debtors to invoke lack of license to avoid paying valid international arbitration debts would make the Philippines a haven for international contract welshers, sabotaging foreign trade.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foreign companies could not collect international arbitration awards in the Philippines, no international business would trust Filipino contracts. Congress passed the 2004 ADR law to make sure foreign arbitration awards can be enforced. Because it is newer and deals specifically with arbitration, it wins over the old 1980 Corporation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statutory enactments. Under Lex Posterior Derogat Priori and Generalia Specialibus Non Derogant, RA 9285 carved out a specific exception to the Corporation Code to uphold the 1958 New York Convention and enforce foreign arbitral awards."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RTC dismissal order, REINSTATED the petition to enforce the foreign arbitral award, and REMANDED the case for continuation of proceedings.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foreign tuna company won the right to enforce its $1.7M arbitration award in Philippine court.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dismissal, allowing the unlicensed foreign corporation to enforce its arbitral award under the subsequent special provisions of RA 9285."</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C. Considerations outside the Statute -&gt; c. Lex Specialis Derogat Legi Generalis (ADR Act vs Corporation Code)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Lex posterior derogat priori (a later law repeals an earlier law)</w:t>
              <w:br/>
            </w:r>
            <w:r>
              <w:rPr>
                <w:rFonts w:ascii="Calibri" w:hAnsi="Calibri"/>
                <w:b/>
                <w:color w:val="212529"/>
                <w:sz w:val="19"/>
              </w:rPr>
              <w:t xml:space="preserve">   • Literal English Translation: </w:t>
            </w:r>
            <w:r>
              <w:rPr>
                <w:rFonts w:ascii="Calibri" w:hAnsi="Calibri"/>
                <w:i/>
                <w:color w:val="212529"/>
                <w:sz w:val="19"/>
              </w:rPr>
              <w:t>A later statute repeals an earlier one.</w:t>
              <w:br/>
            </w:r>
            <w:r>
              <w:rPr>
                <w:rFonts w:ascii="Calibri" w:hAnsi="Calibri"/>
                <w:b/>
                <w:color w:val="212529"/>
                <w:sz w:val="19"/>
              </w:rPr>
              <w:t xml:space="preserve">   • Plain Legal Meaning &amp; StatCon Application: </w:t>
            </w:r>
            <w:r>
              <w:rPr>
                <w:rFonts w:ascii="Calibri" w:hAnsi="Calibri"/>
                <w:color w:val="212529"/>
                <w:sz w:val="19"/>
              </w:rPr>
              <w:t>The 2004 ADR Act prevails over the 1980 Corporation Code regarding arbitral enforcement capacity.</w:t>
            </w:r>
          </w:p>
          <w:p>
            <w:pPr>
              <w:spacing w:before="40" w:after="60" w:line="276" w:lineRule="auto"/>
            </w:pPr>
            <w:r>
              <w:rPr>
                <w:rFonts w:ascii="Calibri" w:hAnsi="Calibri"/>
                <w:b/>
                <w:color w:val="8C3200"/>
                <w:sz w:val="20"/>
              </w:rPr>
              <w:t>2.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special statutory scheme for international arbitration overrides general corporate disqualification rules.</w:t>
            </w:r>
          </w:p>
          <w:p>
            <w:pPr>
              <w:spacing w:before="40" w:after="60" w:line="276" w:lineRule="auto"/>
            </w:pPr>
            <w:r>
              <w:rPr>
                <w:rFonts w:ascii="Calibri" w:hAnsi="Calibri"/>
                <w:b/>
                <w:color w:val="8C3200"/>
                <w:sz w:val="20"/>
              </w:rPr>
              <w:t>3.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International treaty commitments under the New York Convention dictate faithful domestic statutory execution.</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C. Considerations outside the Statute -&gt; c. Lex Specialis Derogat Legi Generalis (ADR Act vs Corporation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Lex posterior derogat priori</w:t>
              <w:br/>
              <w:t>(a later law repeals an earlier law / RA 9285 modifies Section 133 of the Corporation Code to allow enforcement of foreign arbitral awards)</w:t>
              <w:br/>
              <w:br/>
              <w:t>Secondary:</w:t>
              <w:br/>
              <w:t>• Generalia specialibus non derogant (special arbitral law prevails over general corporate law)</w:t>
              <w:br/>
              <w:t>• Pacta sunt servanda (treaty enforcement)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misapplied the older general Corporation Code to extinguish specific remedies enacted in the subsequent 2004 ADR Act.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Application of Lex Posterior and Special Laws: When a subsequent special statute opens a specific procedural avenue to enforce international treaty rights, it operates as an exception to earlier general statutory prohibitions.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newer, specific law passed to follow an international treaty beats an older general law that says otherwise.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Tuna Processing v. Philippine Kingford illustrates Lex posterior derogat priori and Generalia specialibus non derogant in international commercial law."</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Tuna Processing, Inc. v. Philippine Kingford, Inc.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185582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29, 2012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Tuna Processing, Inc. (TPI), a foreign corporation organized under the laws of California and not licensed to do business in the Philippines, obtained a final international arbitral award in California against Philippine Kingford, Inc. (a domestic corporation) amounting to over $1.7 Million. TPI filed a petition before the RTC of Makati to enforce the arbitral award pursuant to the 1958 New York Convention and R.A. No. 9285 (Alternative Dispute Resolution Act of 2004). Kingford moved to dismiss, arguing that under Section 133 of the Corporation Code (B.P. Blg. 68), a foreign corporation doing business without a license has NO CAPACITY to maintain any suit in Philippine courts, invoking Lex Posterior Derogat Priori.</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42 and 45, Republic Act No. 9285 (Alternative Dispute Resolution Act of 2004): Governs the recognition and enforcement of New York Convention international arbitral awards.</w:t>
              <w:br/>
              <w:t>2. Section 133, Batas Pambansa Blg. 68 (The Corporation Code): General restriction barring unlicensed foreign corporations doing business in the Philippines from maintaining court suits.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misapplied the older general Corporation Code to extinguish specific remedies enacted in the subsequent 2004 ADR Act.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foreign corporation not licensed to do business in the Philippines may maintain a petition in Philippine courts to recognize and enforce a foreign arbitral award under R.A. No. 9285.</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Tuna Processing, Inc. v. Philippine Kingford, Inc., under the canon of Lex posterior derogat priori.</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42 and 45, Republic Act No. 9285 (Alternative Dispute Resolution Act of 2004): Governs the recognition and enforcement of New York Convention international arbitral awards.</w:t>
              <w:br/>
              <w:t>2. Section 133, Batas Pambansa Blg. 68 (The Corporation Code): General restriction barring unlicensed foreign corporations doing business in the Philippines from maintaining court suits.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misapplied the older general Corporation Code to extinguish specific remedies enacted in the subsequent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RTC dismissal order, REINSTATED the petition to enforce the foreign arbitral award, and REMANDED the case for continuation of proceedings.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An unlicensed foreign corporation CAN file a petition in Philippine courts to enforce a foreign arbitral award. R.A. No. 9285, being a SUBSEQUENT AND SPECIAL LAW, creates an express exception to Section 133 of the Corporation Code.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misapplied the older general Corporation Code to extinguish specific remedies enacted in the subsequent 2004 ADR Act..</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Lex posterior derogat priori</w:t>
              <w:br/>
              <w:t xml:space="preserve">   - Application: Application of Lex Posterior and Special Laws: When a subsequent special statute opens a specific procedural avenue to enforce international treaty rights, it operates as an exception to earlier general statutory prohibitions.</w:t>
              <w:br/>
              <w:t xml:space="preserve">   - Result: Yes. The 2004 ADR Act is a newer, specific law passed to comply with international treaties. Under Lex Posterior Derogat Priori and Generalia Specialibus Non Derogant, this specific arbitration law overrides the older general Corporation Code.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Generalia specialibus non derogant (special arbitral law prevails over general corporate law)</w:t>
              <w:br/>
              <w:t>• Pacta sunt servanda (treaty enforcement)</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Tuna Processing, Inc. v. Philippine Kingford, Inc. to mean and apply strictly in accordance with Lex posterior derogat priori, holding that Yes. The 2004 ADR Act is a newer, specific law passed to comply with international treaties. Under Lex Posterior Derogat Priori and Generalia Specialibus Non De.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foreign companies could not collect international arbitration awards in the Philippines, no international business would trust Filipino contracts. Congress passed the 2004 ADR law to make sure foreign arbitration awards can be enforced. Because it is newer and deals specifically with arbitration, it wins over the old 1980 Corporation Code.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Lex posterior derogat priori,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Application of Lex Posterior and Special Laws: When a subsequent special statute opens a specific procedural avenue to enforce international treaty rights, it operates as an exception to earlier general statutory prohibitions.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newer, specific law passed to follow an international treaty beats an older general law that says otherwise.</w:t>
            </w:r>
          </w:p>
        </w:tc>
      </w:tr>
    </w:tbl>
    <w:p>
      <w:r>
        <w:br w:type="page"/>
      </w:r>
    </w:p>
    <w:p>
      <w:pPr>
        <w:keepNext/>
        <w:spacing w:before="320" w:after="80"/>
      </w:pPr>
      <w:r>
        <w:rPr>
          <w:rFonts w:ascii="Arial" w:hAnsi="Arial"/>
          <w:b/>
          <w:color w:val="0F2043"/>
          <w:sz w:val="26"/>
        </w:rPr>
        <w:t>5. MELANIO L. MAGNO V. COMMISSION ON ELECTIONS AND ALICE P. BURAGA</w:t>
      </w:r>
    </w:p>
    <w:p>
      <w:pPr>
        <w:spacing w:before="40" w:after="80" w:line="276" w:lineRule="auto"/>
      </w:pPr>
      <w:r>
        <w:rPr>
          <w:rFonts w:ascii="Calibri" w:hAnsi="Calibri"/>
          <w:b/>
          <w:color w:val="212529"/>
          <w:sz w:val="21"/>
        </w:rPr>
        <w:t xml:space="preserve">Citation: </w:t>
      </w:r>
      <w:r>
        <w:rPr>
          <w:rFonts w:ascii="Calibri" w:hAnsi="Calibri"/>
          <w:i/>
          <w:color w:val="212529"/>
          <w:sz w:val="21"/>
        </w:rPr>
        <w:t>G.R. No. 147904 | October 4, 2002 | 390 SCRA 495 | En Banc | Ponente: J. Corona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Melanio L. Magno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Elections and Alice P. Buraga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Elections (COMELEC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assailing COMELEC resolution disqualifying petitioner as Mayor of San Isidro, Isabela under Section 40 of the Local Government Code due to conviction for Direct Bribery.</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Melanio Magno was elected Mayor of San Isidro, Isabela. His political rival Alice Buraga sought his disqualification under Section 40(a) of the Local Government Code (R.A. No. 7160), which disqualifies from running for any local elective post 'those sentenced by final judgment for an offense involving moral turpitude.' Magno had previously been convicted of Direct Bribery under Article 210 RPC, but was granted probation and successfully discharged. Magno argued that: (1) Direct Bribery does not involve moral turpitude; and (2) Section 68 of the Omnibus Election Code and the Probation Law wiped out his disqualification. COMELEC disqualified him.</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newly elected mayor had a past criminal conviction for Direct Bribery (accepting a bribe when he was a public officer), for which he was granted probation. A rival moved to disqualify him under the Local Government Code, which bans anyone convicted of a crime involving 'moral turpitude' from running for local office. The mayor argued bribery is not moral turpitude and probation wiped his slate clean. The Supreme Court ruled that Direct Bribery is inherently a crime of moral turpitude, and the special disqualification rule in the Local Government Code controls over general election and probation provisions.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crime of Direct Bribery involves moral turpitude disqualifying a candidate under Section 40(a) of the Local Government Code, and whether probation removes such disqualification.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taking a bribe a crime of moral turpitude that permanently disqualifies a person from running for Mayor, even if he finished probation?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Direct Bribery involves moral turpitude under Section 40(a) of RA 7160 and whether completion of probation removes local elective disqualification, testing the canon of Legislative Intent and Harmonious Construction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Direct Bribery is INHERENTLY a crime involving moral turpitude. Section 40(a) of the Local Government Code disqualifies the convict from holding local elective office, and the completion of probation does NOT erase the statutory disqualification.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Bribery is inherently corrupt and involves moral turpitude because it betrays public trust. The Local Government Code specifically disqualifies people convicted of moral turpitude, and probation only spares you from prison—it does not erase the fact that you committed a corrupt crime.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Direct Bribery is inherently an act of base dishonesty and moral turpitude. Under Section 40(a) of the Local Government Code, construed in light of legislative intent to maintain public integrity, the statutory disqualification persists notwithstanding the completion of probation."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40(a), Republic Act No. 7160 (Local Government Code of 1991): </w:t>
            </w:r>
            <w:r>
              <w:rPr>
                <w:rFonts w:ascii="Calibri" w:hAnsi="Calibri"/>
                <w:color w:val="212529"/>
                <w:sz w:val="20"/>
              </w:rPr>
              <w:t>Disqualifies persons convicted by final judgment of an offense involving moral turpitude from running for local elective office.</w:t>
            </w:r>
          </w:p>
          <w:p>
            <w:pPr>
              <w:spacing w:before="20" w:after="40" w:line="276" w:lineRule="auto"/>
            </w:pPr>
            <w:r>
              <w:rPr>
                <w:rFonts w:ascii="Calibri" w:hAnsi="Calibri"/>
                <w:b/>
                <w:color w:val="212529"/>
                <w:sz w:val="20"/>
              </w:rPr>
              <w:t xml:space="preserve">2. Article 210, Revised Penal Code: </w:t>
            </w:r>
            <w:r>
              <w:rPr>
                <w:rFonts w:ascii="Calibri" w:hAnsi="Calibri"/>
                <w:color w:val="212529"/>
                <w:sz w:val="20"/>
              </w:rPr>
              <w:t>Statutory definition of Direct Bribery.</w:t>
            </w:r>
          </w:p>
          <w:p>
            <w:pPr>
              <w:spacing w:before="20" w:after="40" w:line="276" w:lineRule="auto"/>
            </w:pPr>
            <w:r>
              <w:rPr>
                <w:rFonts w:ascii="Calibri" w:hAnsi="Calibri"/>
                <w:b/>
                <w:color w:val="212529"/>
                <w:sz w:val="20"/>
              </w:rPr>
              <w:t xml:space="preserve">3. Section 16, Presidential Decree No. 968 (Probation Law): </w:t>
            </w:r>
            <w:r>
              <w:rPr>
                <w:rFonts w:ascii="Calibri" w:hAnsi="Calibri"/>
                <w:color w:val="212529"/>
                <w:sz w:val="20"/>
              </w:rPr>
              <w:t>Effects of discharge from probation, construed alongside electoral disqualification statutes.</w:t>
            </w:r>
          </w:p>
          <w:p>
            <w:pPr>
              <w:spacing w:before="20" w:after="40" w:line="276" w:lineRule="auto"/>
            </w:pPr>
            <w:r>
              <w:rPr>
                <w:rFonts w:ascii="Calibri" w:hAnsi="Calibri"/>
                <w:b/>
                <w:color w:val="212529"/>
                <w:sz w:val="20"/>
              </w:rPr>
              <w:t xml:space="preserve">4. Salus Populi Est Suprema Lex (the welfare of the people is the supreme law): </w:t>
            </w:r>
            <w:r>
              <w:rPr>
                <w:rFonts w:ascii="Calibri" w:hAnsi="Calibri"/>
                <w:color w:val="212529"/>
                <w:sz w:val="20"/>
              </w:rPr>
              <w:t>High ethical standards for elective public office override personal claims to rehabilitation.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40(a) RA 7160, Article 210 RPC, PD 968, and Salus Populi Est Suprema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40(a) of RA 7160, Article 210 RPC, and the principle Salus populi est suprema lex (the welfare of the people is the supreme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Definition of Moral Turpitude: </w:t>
            </w:r>
            <w:r>
              <w:rPr>
                <w:rFonts w:ascii="Calibri" w:hAnsi="Calibri"/>
                <w:color w:val="212529"/>
                <w:sz w:val="20"/>
              </w:rPr>
              <w:t>Moral turpitude is an act of baseness, vileness, or depravity in private and social duties. Direct bribery—selling public office for private gain—is the quintessence of moral turpitude.</w:t>
            </w:r>
          </w:p>
          <w:p>
            <w:pPr>
              <w:spacing w:before="20" w:after="40" w:line="276" w:lineRule="auto"/>
            </w:pPr>
            <w:r>
              <w:rPr>
                <w:rFonts w:ascii="Calibri" w:hAnsi="Calibri"/>
                <w:b/>
                <w:color w:val="212529"/>
                <w:sz w:val="20"/>
              </w:rPr>
              <w:t xml:space="preserve">2. Effect of Probation on Electoral Disqualification: </w:t>
            </w:r>
            <w:r>
              <w:rPr>
                <w:rFonts w:ascii="Calibri" w:hAnsi="Calibri"/>
                <w:color w:val="212529"/>
                <w:sz w:val="20"/>
              </w:rPr>
              <w:t>Probation restores civil rights and extinguishes criminal liability as to penalty, but it cannot override explicit statutory qualifications and disqualifications enacted by Congress to safeguard elective public offices.</w:t>
            </w:r>
          </w:p>
          <w:p>
            <w:pPr>
              <w:spacing w:before="20" w:after="40" w:line="276" w:lineRule="auto"/>
            </w:pPr>
            <w:r>
              <w:rPr>
                <w:rFonts w:ascii="Calibri" w:hAnsi="Calibri"/>
                <w:b/>
                <w:color w:val="212529"/>
                <w:sz w:val="20"/>
              </w:rPr>
              <w:t xml:space="preserve">3. Legislative Intent in Local Government Code: </w:t>
            </w:r>
            <w:r>
              <w:rPr>
                <w:rFonts w:ascii="Calibri" w:hAnsi="Calibri"/>
                <w:color w:val="212529"/>
                <w:sz w:val="20"/>
              </w:rPr>
              <w:t>Section 40(a) was enacted specifically to bar morally compromised individuals from occupying positions of local executive power.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Moral turpitude means doing something inherently crooked. When a public officer accepts a bribe, he sells his integrity and betrays the people. Probation saves you from going to jail, but it does not give you a clean bill of moral health to run for Mayor under the strict rules of the Local Government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purposive statutory construction. Direct bribery strikes at the heart of public trust. The Court held that Section 40(a) of the LGC expresses the legislative policy to preserve public integrity, and probation does not erase the statutory disqualification."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AFFIRMED the COMELEC disqualification, and DECLARED Melanio Magno disqualified from holding the office of Mayor.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mayor was disqualified from office due to his past bribery conviction.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disqualification, ruling that Direct Bribery involves moral turpitude that bars local candidacy under Section 40(a) LGC."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C. Considerations outside the Statute -&gt; d. Lex Posterior Generalis Non Derogat Legi Priori Specialis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The public interest in having honest, uncompromised local leaders overrides individual political ambitions.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Section 40(a) of the LGC explicitly bars candidates convicted of moral turpitude.</w:t>
            </w:r>
          </w:p>
          <w:p>
            <w:pPr>
              <w:spacing w:before="40" w:after="60" w:line="276" w:lineRule="auto"/>
            </w:pPr>
            <w:r>
              <w:rPr>
                <w:rFonts w:ascii="Calibri" w:hAnsi="Calibri"/>
                <w:b/>
                <w:color w:val="8C3200"/>
                <w:sz w:val="20"/>
              </w:rPr>
              <w:t>3.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specific disqualifications under Section 40 LGC prevail over general probation discharge provisions.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C. Considerations outside the Statute -&gt; d. Lex Posterior Generalis Non Derogat Legi Priori Specialis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Salus populi est suprema lex</w:t>
              <w:br/>
              <w:t>(the welfare of the people is the supreme law / public integrity in elective office requires strict enforcement of moral turpitude disqualifications)</w:t>
              <w:br/>
              <w:br/>
              <w:t>Secondary:</w:t>
              <w:br/>
              <w:t>• Verba legis non est recedendum (clear statutory disqualification)</w:t>
              <w:br/>
              <w:t>• Generalia specialibus non derogant (special local election disqualifications prevail)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candidate attempted to dilute the statutory concept of moral turpitude and use the general Probation Law to bypass explicit electoral disqualifications.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Enforcement of Public Integrity Statutes: Disqualifications based on moral turpitude in public office statutes are strictly enforced to safeguard democratic institutions.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Laws that require public leaders to be honest and clean will be strictly enforced; a convicted bribe-taker cannot use loopholes to become mayor.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Magno v. COMELEC confirms that Direct Bribery is a crime involving moral turpitude that triggers mandatory disqualification under Section 40(a) of the Local Government Code."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Melanio L. Magno v. Commission on Elections and Alice P. Buraga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147904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4, 2002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Melanio Magno was elected Mayor of San Isidro, Isabela. His political rival Alice Buraga sought his disqualification under Section 40(a) of the Local Government Code (R.A. No. 7160), which disqualifies from running for any local elective post 'those sentenced by final judgment for an offense involving moral turpitude.' Magno had previously been convicted of Direct Bribery under Article 210 RPC, but was granted probation and successfully discharged. Magno argued that: (1) Direct Bribery does not involve moral turpitude; and (2) Section 68 of the Omnibus Election Code and the Probation Law wiped out his disqualification. COMELEC disqualified him.</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40(a), Republic Act No. 7160 (Local Government Code of 1991): Disqualifies persons convicted by final judgment of an offense involving moral turpitude from running for local elective office.</w:t>
              <w:br/>
              <w:t>2. Article 210, Revised Penal Code: Statutory definition of Direct Bribery.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candidate attempted to dilute the statutory concept of moral turpitude and use the general Probation Law to bypass explicit electoral disqualifications.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crime of Direct Bribery involves moral turpitude disqualifying a candidate under Section 40(a) of the Local Government Code, and whether probation removes such disqualification.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Melanio L. Magno v. Commission on Elections and Alice P. Buraga, under the canon of Salus populi est suprema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40(a), Republic Act No. 7160 (Local Government Code of 1991): Disqualifies persons convicted by final judgment of an offense involving moral turpitude from running for local elective office.</w:t>
              <w:br/>
              <w:t>2. Article 210, Revised Penal Code: Statutory definition of Direct Bribery.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candidate attempted to dilute the statutory concept of moral turpitude and use the general Probation Law to bypass 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AFFIRMED the COMELEC disqualification, and DECLARED Melanio Magno disqualified from holding the office of Mayor.</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Direct Bribery is INHERENTLY a crime involving moral turpitude. Section 40(a) of the Local Government Code disqualifies the convict from holding local elective office, and the completion of probation does NOT erase the statutory disqualification.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candidate attempted to dilute the statutory concept of moral turpitude and use the general Probation Law to bypass explicit electoral di.</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Salus populi est suprema lex</w:t>
              <w:br/>
              <w:t xml:space="preserve">   - Application: Strict Enforcement of Public Integrity Statutes: Disqualifications based on moral turpitude in public office statutes are strictly enforced to safeguard democratic institutions.</w:t>
              <w:br/>
              <w:t xml:space="preserve">   - Result: Yes. Bribery is inherently corrupt and involves moral turpitude because it betrays public trust. The Local Government Code specifically disqualifies people convicted of moral turpitude, and probation only spares you from prison—it does not erase the fact that you committed a corrupt crime.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(clear statutory disqualification)</w:t>
              <w:br/>
              <w:t>• Generalia specialibus non derogant (special local election disqualifications prevail)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Melanio L. Magno v. Commission on Elections and Alice P. Buraga to mean and apply strictly in accordance with Salus populi est suprema lex, holding that Yes. Bribery is inherently corrupt and involves moral turpitude because it betrays public trust. The Local Government Code specifically disqualifies people conv.</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Moral turpitude means doing something inherently crooked. When a public officer accepts a bribe, he sells his integrity and betrays the people. Probation saves you from going to jail, but it does not give you a clean bill of moral health to run for Mayor under the strict rules of the Local Government Code.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Salus populi est suprema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Enforcement of Public Integrity Statutes: Disqualifications based on moral turpitude in public office statutes are strictly enforced to safeguard democratic institutions.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Laws that require public leaders to be honest and clean will be strictly enforced; a convicted bribe-taker cannot use loopholes to become mayor.</w:t>
            </w:r>
          </w:p>
        </w:tc>
      </w:tr>
    </w:tbl>
    <w:p>
      <w:r>
        <w:br w:type="page"/>
      </w:r>
    </w:p>
    <w:p>
      <w:pPr>
        <w:keepNext/>
        <w:spacing w:before="320" w:after="80"/>
      </w:pPr>
      <w:r>
        <w:rPr>
          <w:rFonts w:ascii="Arial" w:hAnsi="Arial"/>
          <w:b/>
          <w:color w:val="0F2043"/>
          <w:sz w:val="26"/>
        </w:rPr>
        <w:t>6. COMMISSIONER OF INTERNAL REVENUE V. PHILIPPINE AIRLINES, INC. (PAL)</w:t>
      </w:r>
    </w:p>
    <w:p>
      <w:pPr>
        <w:spacing w:before="40" w:after="80" w:line="276" w:lineRule="auto"/>
      </w:pPr>
      <w:r>
        <w:rPr>
          <w:rFonts w:ascii="Calibri" w:hAnsi="Calibri"/>
          <w:b/>
          <w:color w:val="212529"/>
          <w:sz w:val="21"/>
        </w:rPr>
        <w:t xml:space="preserve">Citation: </w:t>
      </w:r>
      <w:r>
        <w:rPr>
          <w:rFonts w:ascii="Calibri" w:hAnsi="Calibri"/>
          <w:i/>
          <w:color w:val="212529"/>
          <w:sz w:val="21"/>
        </w:rPr>
        <w:t>G.R. No. 180066 | July 7, 2009 | 592 SCRA 237 | Third Division | Ponente: J. Chico-Nazario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Internal Revenue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Philippine Airlines, Inc. (PAL)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(En Banc)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PAL is exempt from the 10% Minimum Corporate Income Tax (MCIT) under its special legislative franchise (P.D. No. 1590) versus the general National Internal Revenue Code of 1997.</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Under Section 13 of Presidential Decree No. 1590 (PAL's special legislative franchise), PAL was given the option to pay either: (a) basic corporate income tax, or (b) a franchise tax of 2% of gross revenues, 'whichever is lower', in lieu of all other taxes. In 1997, Congress enacted the National Internal Revenue Code (NIRC), introducing Section 27(E) which imposes a 2% Minimum Corporate Income Tax (MCIT) on gross income whenever the business incurs a net loss. When PAL suffered heavy operational losses and reported zero taxable income, the BIR assessed PAL for deficiency MCIT. PAL protested, invoking its franchise exemption under PD 1590 and Generalia Specialibus Non Derogant.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Philippine Airlines (PAL) has a special legislative franchise (PD 1590) saying it only needs to pay basic income tax or a 2% franchise tax, 'whichever is lower, in lieu of all other taxes.' When PAL suffered losses and made zero net income, the BIR demanded Minimum Corporate Income Tax (MCIT) under the new 1997 Tax Code. The Supreme Court ruled that PAL's special franchise is a special law that cannot be repealed or modified by a general tax code without an express repealing clause.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PAL is subject to the Minimum Corporate Income Tax (MCIT) under the 1997 NIRC, despite the 'in lieu of all other taxes' clause in its special legislative franchise (P.D. No. 1590).</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general Tax Code's Minimum Corporate Income Tax apply to PAL, or does PAL's special charter franchise protect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general provisions of the 1997 NIRC repealed the special tax exemptions in PAL's charter (PD 1590), testing the bedrock canon Generalia Specialibus Non Derogant (general laws do not derogate from special laws)."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PAL is NOT subject to MCIT. PAL's special franchise (P.D. No. 1590) is a SPECIAL LAW that prevails over the general provisions of the NIRC. Under Generalia Specialibus Non Derogant, a general law does not repeal a special law unless the intent to repeal is explicit.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PAL's franchise is a special contract with the State that says 'in lieu of all other taxes'. A general tax code does not secretly repeal a special franchise law without saying so directly.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Generalia specialibus non derogant (general laws do not derogate from special provisions) and the 'in lieu of all other taxes' clause of PD 1590, PAL's special franchise tax regime prevails over the general MCIT provisions of the 1997 NIRC."</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13, Presidential Decree No. 1590 (PAL Legislative Franchise): </w:t>
            </w:r>
            <w:r>
              <w:rPr>
                <w:rFonts w:ascii="Calibri" w:hAnsi="Calibri"/>
                <w:color w:val="212529"/>
                <w:sz w:val="20"/>
              </w:rPr>
              <w:t>Confers the 'in lieu of all other taxes' privilege and two-option tax formula.</w:t>
            </w:r>
          </w:p>
          <w:p>
            <w:pPr>
              <w:spacing w:before="20" w:after="40" w:line="276" w:lineRule="auto"/>
            </w:pPr>
            <w:r>
              <w:rPr>
                <w:rFonts w:ascii="Calibri" w:hAnsi="Calibri"/>
                <w:b/>
                <w:color w:val="212529"/>
                <w:sz w:val="20"/>
              </w:rPr>
              <w:t xml:space="preserve">2. Section 27(E), National Internal Revenue Code of 1997: </w:t>
            </w:r>
            <w:r>
              <w:rPr>
                <w:rFonts w:ascii="Calibri" w:hAnsi="Calibri"/>
                <w:color w:val="212529"/>
                <w:sz w:val="20"/>
              </w:rPr>
              <w:t>General imposition of Minimum Corporate Income Tax (MCIT) on domestic corporations.</w:t>
            </w:r>
          </w:p>
          <w:p>
            <w:pPr>
              <w:spacing w:before="20" w:after="40" w:line="276" w:lineRule="auto"/>
            </w:pPr>
            <w:r>
              <w:rPr>
                <w:rFonts w:ascii="Calibri" w:hAnsi="Calibri"/>
                <w:b/>
                <w:color w:val="212529"/>
                <w:sz w:val="20"/>
              </w:rPr>
              <w:t xml:space="preserve">3. Generalia Specialibus Non Derogant (general things do not derogate from special things): </w:t>
            </w:r>
            <w:r>
              <w:rPr>
                <w:rFonts w:ascii="Calibri" w:hAnsi="Calibri"/>
                <w:color w:val="212529"/>
                <w:sz w:val="20"/>
              </w:rPr>
              <w:t>A general tax statute cannot amend or repeal a prior special legislative franchise without an express and specific repealing clause.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13 PD 1590, Section 27(E) NIRC, and Generalia Specialibus Non Derogant.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13 of PD 1590 in relation to Section 27(E) of the 1997 NIRC, governed by the immortal canon Generalia specialibus non derogant (general provisions yield to special laws)."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Special Law vs. General Law: </w:t>
            </w:r>
            <w:r>
              <w:rPr>
                <w:rFonts w:ascii="Calibri" w:hAnsi="Calibri"/>
                <w:color w:val="212529"/>
                <w:sz w:val="20"/>
              </w:rPr>
              <w:t>PD 1590 is a special law tailored exclusively for PAL to foster national air transportation. The NIRC is a general law of nationwide application. It is a fundamental rule of statutory construction that a special law prevails over a general law.</w:t>
            </w:r>
          </w:p>
          <w:p>
            <w:pPr>
              <w:spacing w:before="20" w:after="40" w:line="276" w:lineRule="auto"/>
            </w:pPr>
            <w:r>
              <w:rPr>
                <w:rFonts w:ascii="Calibri" w:hAnsi="Calibri"/>
                <w:b/>
                <w:color w:val="212529"/>
                <w:sz w:val="20"/>
              </w:rPr>
              <w:t xml:space="preserve">2. Presumption Against Implied Repeals: </w:t>
            </w:r>
            <w:r>
              <w:rPr>
                <w:rFonts w:ascii="Calibri" w:hAnsi="Calibri"/>
                <w:color w:val="212529"/>
                <w:sz w:val="20"/>
              </w:rPr>
              <w:t>Repeals by implication are not favored. In the absence of an express repeal of PD 1590 in the 1997 NIRC, the special charter remains fully operational and exempt from MCIT.</w:t>
            </w:r>
          </w:p>
          <w:p>
            <w:pPr>
              <w:spacing w:before="20" w:after="40" w:line="276" w:lineRule="auto"/>
            </w:pPr>
            <w:r>
              <w:rPr>
                <w:rFonts w:ascii="Calibri" w:hAnsi="Calibri"/>
                <w:b/>
                <w:color w:val="212529"/>
                <w:sz w:val="20"/>
              </w:rPr>
              <w:t xml:space="preserve">3. The 'In Lieu of All Other Taxes' Clause: </w:t>
            </w:r>
            <w:r>
              <w:rPr>
                <w:rFonts w:ascii="Calibri" w:hAnsi="Calibri"/>
                <w:color w:val="212529"/>
                <w:sz w:val="20"/>
              </w:rPr>
              <w:t>The explicit statutory covenant that payment of franchise tax or income tax shall be 'in lieu of all other taxes' creates a complete statutory exemption from additional corporate taxes like MCIT.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PAL was granted a special charter to keep the country's flag carrier flying. The charter specifically promised that PAL would only pay basic income tax or 2% franchise tax, and nothing else. When Congress passed the new general Tax Code, it never explicitly mentioned repealing PAL's charter. A general law never overrides a special charter unless Congress specifically orders a repeal.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Generalia Specialibus Non Derogant and the presumption against implied repeals. PAL's charter is a special law with an 'in lieu of all other taxes' clause. The general enactment of the 1997 NIRC did not repeal or modify PAL's special franchise tax regime."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CIR's petition, AFFIRMED the Court of Tax Appeals, and CANCELLED the MCIT assessment against Philippine Airlines.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PAL won and the BIR's MCIT tax assessment was cancelled.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cancelled the tax assessment, upholding PAL's franchise exemption under Generalia Specialibus Non Derogant."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C. Considerations outside the Statute -&gt; d. Lex Posterior Generalis Non Derogat Legi Priori Specialis (Special Tax Franchise vs NIRC)</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general National Internal Revenue Code does not repeal the special legislative franchise of PAL (PD 1590).</w:t>
            </w:r>
          </w:p>
          <w:p>
            <w:pPr>
              <w:spacing w:before="40" w:after="60" w:line="276" w:lineRule="auto"/>
            </w:pPr>
            <w:r>
              <w:rPr>
                <w:rFonts w:ascii="Calibri" w:hAnsi="Calibri"/>
                <w:b/>
                <w:color w:val="8C3200"/>
                <w:sz w:val="20"/>
              </w:rPr>
              <w:t>2. Leges posteriores priores contrarias abrogant (later laws repeal earlier contrary laws)</w:t>
              <w:br/>
            </w:r>
            <w:r>
              <w:rPr>
                <w:rFonts w:ascii="Calibri" w:hAnsi="Calibri"/>
                <w:b/>
                <w:color w:val="212529"/>
                <w:sz w:val="19"/>
              </w:rPr>
              <w:t xml:space="preserve">   • Literal English Translation: </w:t>
            </w:r>
            <w:r>
              <w:rPr>
                <w:rFonts w:ascii="Calibri" w:hAnsi="Calibri"/>
                <w:i/>
                <w:color w:val="212529"/>
                <w:sz w:val="19"/>
              </w:rPr>
              <w:t>Later laws repeal earlier contrary laws.</w:t>
              <w:br/>
            </w:r>
            <w:r>
              <w:rPr>
                <w:rFonts w:ascii="Calibri" w:hAnsi="Calibri"/>
                <w:b/>
                <w:color w:val="212529"/>
                <w:sz w:val="19"/>
              </w:rPr>
              <w:t xml:space="preserve">   • Plain Legal Meaning &amp; StatCon Application: </w:t>
            </w:r>
            <w:r>
              <w:rPr>
                <w:rFonts w:ascii="Calibri" w:hAnsi="Calibri"/>
                <w:color w:val="212529"/>
                <w:sz w:val="19"/>
              </w:rPr>
              <w:t>This rule applies only when laws are of the same general class, not when a general law encounters a special charter.</w:t>
            </w:r>
          </w:p>
          <w:p>
            <w:pPr>
              <w:spacing w:before="40" w:after="60" w:line="276" w:lineRule="auto"/>
            </w:pPr>
            <w:r>
              <w:rPr>
                <w:rFonts w:ascii="Calibri" w:hAnsi="Calibri"/>
                <w:b/>
                <w:color w:val="8C3200"/>
                <w:sz w:val="20"/>
              </w:rPr>
              <w:t>3.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The legislative franchise is a binding statutory contract between the State and the grantee.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C. Considerations outside the Statute -&gt; d. Lex Posterior Generalis Non Derogat Legi Priori Specialis (Special Tax Franchise vs NIRC)</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special legislative franchises with 'in lieu of all taxes' clauses prevail over general tax codes)</w:t>
              <w:br/>
              <w:br/>
              <w:t>Secondary:</w:t>
              <w:br/>
              <w:t>• Leges posteriores priores contrarias abrogant (limits of implied repeal)</w:t>
              <w:br/>
              <w:t>• Pacta sunt servanda (franchise covenants)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BIR attempted to enforce a general tax code provision against a special corporate charter without showing any express legislative repeal.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Inviolability of Special Franchises Against General Tax Codes: A general tax statute will not be construed to repeal or alter a special legislative franchise containing an 'in lieu of all taxes' clause unless the legislative intent to repeal is explicit.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general tax book for everybody does not cancel a special tax charter contract given to a specific company unless Congress explicitly writes 'we hereby cancel their charter'.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CIR v. PAL is the leading modern tax jurisprudence on Generalia specialibus non derogant: special legislative franchises with 'in lieu of all taxes' clauses cannot be repealed by general tax codes."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Internal Revenue v. Philippine Airlines, Inc. (PAL)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180066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7, 2009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Under Section 13 of Presidential Decree No. 1590 (PAL's special legislative franchise), PAL was given the option to pay either: (a) basic corporate income tax, or (b) a franchise tax of 2% of gross revenues, 'whichever is lower', in lieu of all other taxes. In 1997, Congress enacted the National Internal Revenue Code (NIRC), introducing Section 27(E) which imposes a 2% Minimum Corporate Income Tax (MCIT) on gross income whenever the business incurs a net loss. When PAL suffered heavy operational losses and reported zero taxable income, the BIR assessed PAL for deficiency MCIT. PAL protested, invoking its franchise exemption under PD 1590 and Generalia Specialibus Non Derogant.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13, Presidential Decree No. 1590 (PAL Legislative Franchise): Confers the 'in lieu of all other taxes' privilege and two-option tax formula.</w:t>
              <w:br/>
              <w:t>2. Section 27(E), National Internal Revenue Code of 1997: General imposition of Minimum Corporate Income Tax (MCIT) on domestic corporations.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BIR attempted to enforce a general tax code provision against a special corporate charter without showing any express legislative repeal.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PAL is subject to the Minimum Corporate Income Tax (MCIT) under the 1997 NIRC, despite the 'in lieu of all other taxes' clause in its special legislative franchise (P.D. No. 1590).</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Internal Revenue v. Philippine Airlines, Inc. (PAL),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13, Presidential Decree No. 1590 (PAL Legislative Franchise): Confers the 'in lieu of all other taxes' privilege and two-option tax formula.</w:t>
              <w:br/>
              <w:t>2. Section 27(E), National Internal Revenue Code of 1997: General imposition of Minimum Corporate Income Tax (MCIT) on domestic corporations.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BIR attempted to enforce a general tax code provision against a special corporate charter without showing any expres...</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CIR's petition, AFFIRMED the Court of Tax Appeals, and CANCELLED the MCIT assessment against Philippine Airlines.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PAL is NOT subject to MCIT. PAL's special franchise (P.D. No. 1590) is a SPECIAL LAW that prevails over the general provisions of the NIRC. Under Generalia Specialibus Non Derogant, a general law does not repeal a special law unless the intent to repeal is explicit.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BIR attempted to enforce a general tax code provision against a special corporate charter without showing any express legislative repeal.</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Inviolability of Special Franchises Against General Tax Codes: A general tax statute will not be construed to repeal or alter a special legislative franchise containing an 'in lieu of all taxes' clause unless the legislative intent to repeal is explicit.</w:t>
              <w:br/>
              <w:t xml:space="preserve">   - Result: No. PAL's franchise is a special contract with the State that says 'in lieu of all other taxes'. A general tax code does not secretly repeal a special franchise law without saying so directly.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Leges posteriores priores contrarias abrogant (limits of implied repeal)</w:t>
              <w:br/>
              <w:t>• Pacta sunt servanda (franchise covenants)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Internal Revenue v. Philippine Airlines, Inc. (PAL) to mean and apply strictly in accordance with Generalia specialibus non derogant, holding that No. PAL's franchise is a special contract with the State that says 'in lieu of all other taxes'. A general tax code does not secretly repeal a special franchise.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PAL was granted a special charter to keep the country's flag carrier flying. The charter specifically promised that PAL would only pay basic income tax or 2% franchise tax, and nothing else. When Congress passed the new general Tax Code, it never explicitly mentioned repealing PAL's charter. A general law never overrides a special charter unless Congress specifically orders a repeal.</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Inviolability of Special Franchises Against General Tax Codes: A general tax statute will not be construed to repeal or alter a special legislative franchise containing an 'in lieu of all taxes' clause unless the legislative intent to repeal is explicit.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general tax book for everybody does not cancel a special tax charter contract given to a specific company unless Congress explicitly writes 'we hereby cancel their charter'.</w:t>
            </w:r>
          </w:p>
        </w:tc>
      </w:tr>
    </w:tbl>
    <w:p>
      <w:r>
        <w:br w:type="page"/>
      </w:r>
    </w:p>
    <w:p>
      <w:pPr>
        <w:keepNext/>
        <w:spacing w:before="320" w:after="80"/>
      </w:pPr>
      <w:r>
        <w:rPr>
          <w:rFonts w:ascii="Arial" w:hAnsi="Arial"/>
          <w:b/>
          <w:color w:val="0F2043"/>
          <w:sz w:val="26"/>
        </w:rPr>
        <w:t>7. REPUBLIC OF THE PHILIPPINES V. DEL MONTE MOTORS, INC.</w:t>
      </w:r>
    </w:p>
    <w:p>
      <w:pPr>
        <w:spacing w:before="40" w:after="80" w:line="276" w:lineRule="auto"/>
      </w:pPr>
      <w:r>
        <w:rPr>
          <w:rFonts w:ascii="Calibri" w:hAnsi="Calibri"/>
          <w:b/>
          <w:color w:val="212529"/>
          <w:sz w:val="21"/>
        </w:rPr>
        <w:t xml:space="preserve">Citation: </w:t>
      </w:r>
      <w:r>
        <w:rPr>
          <w:rFonts w:ascii="Calibri" w:hAnsi="Calibri"/>
          <w:i/>
          <w:color w:val="212529"/>
          <w:sz w:val="21"/>
        </w:rPr>
        <w:t>G.R. No. 156956 | October 9, 2006 | 504 SCRA 86 | First Division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Republic of the Philippines, represented by the Metropolitan Manila Development Authority (MMDA)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Del Monte Motors, Inc. and the Court of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Quezon City (Branch 224)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assailing the garnishment of MMDA public funds in Land Bank of the Philippines to satisfy a money judgment in favor of a private contractor.</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Del Monte Motors obtained a final money judgment against the Metropolitan Manila Development Authority (MMDA) arising from a contract for the supply of mobile clinics. Del Monte secured a writ of execution and caused the sheriff to garnish MMDA's public deposit accounts held at the Land Bank of the Philippines. MMDA petitioned the Supreme Court, contending that under Presidential Decree No. 1445 (Government Auditing Code) and settled public policy, public funds allocated for governmental functions are EXEMPT FROM GARNISHMENT and execution, and can only be disbursed through a claim filed with the Commission on Audit (COA).</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bus manufacturer won a money judgment against the MMDA for supplying mobile clinics and had the court sheriff garnish (freeze and seize) MMDA's bank accounts at Land Bank. The government went to the Supreme Court, arguing that public funds intended for flood control, garbage collection, and traffic management cannot be seized by court sheriffs because state money can only be disbursed through proper government appropriation and COA approval. The Supreme Court ruled that public funds are strictly exempt from garnishment.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public funds of a government agency (MMDA) deposited in a government depository bank are subject to garnishment and execution to satisfy a civil money judgment.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winning contractor freeze and seize the government's bank accounts to collect a debt?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public funds allocated for governmental services are subject to judicial garnishment, testing the canon of Salus Populi Est Suprema Lex (the welfare of the people is the supreme law) and the statutory immunity of public funds under PD 1445."</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Public funds of government agencies like MMDA are STRICTLY EXEMPT from garnishment and execution. Public policy and statutory auditing laws demand that government funds cannot be seized to satisfy private claims without legislative appropriation and COA approval.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Government money belongs to the public for traffic, flood control, and emergency services. A sheriff cannot seize government accounts. The winning party must file a claim with the Commission on Audit (COA) to get paid through proper budget appropriations.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Salus populi est suprema lex (the welfare of the people is the supreme law) and Section 84 of PD 1445, public funds are exempt from garnishment. The proper remedy to enforce a money judgment against the government is to file a claim before the Commission on Audit (COA)."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1445 (Government Auditing Code of the Philippines): </w:t>
            </w:r>
            <w:r>
              <w:rPr>
                <w:rFonts w:ascii="Calibri" w:hAnsi="Calibri"/>
                <w:color w:val="212529"/>
                <w:sz w:val="20"/>
              </w:rPr>
              <w:t>Mandatory procedure for settlement of money claims against the government through COA.</w:t>
            </w:r>
          </w:p>
          <w:p>
            <w:pPr>
              <w:spacing w:before="20" w:after="40" w:line="276" w:lineRule="auto"/>
            </w:pPr>
            <w:r>
              <w:rPr>
                <w:rFonts w:ascii="Calibri" w:hAnsi="Calibri"/>
                <w:b/>
                <w:color w:val="212529"/>
                <w:sz w:val="20"/>
              </w:rPr>
              <w:t xml:space="preserve">2. Article VI, Section 29(1), 1987 Constitution: </w:t>
            </w:r>
            <w:r>
              <w:rPr>
                <w:rFonts w:ascii="Calibri" w:hAnsi="Calibri"/>
                <w:color w:val="212529"/>
                <w:sz w:val="20"/>
              </w:rPr>
              <w:t>No money shall be paid out of the Treasury except in pursuance of an appropriation made by law.</w:t>
            </w:r>
          </w:p>
          <w:p>
            <w:pPr>
              <w:spacing w:before="20" w:after="40" w:line="276" w:lineRule="auto"/>
            </w:pPr>
            <w:r>
              <w:rPr>
                <w:rFonts w:ascii="Calibri" w:hAnsi="Calibri"/>
                <w:b/>
                <w:color w:val="212529"/>
                <w:sz w:val="20"/>
              </w:rPr>
              <w:t xml:space="preserve">3. Salus Populi Est Suprema Lex (the welfare of the people is the supreme law): </w:t>
            </w:r>
            <w:r>
              <w:rPr>
                <w:rFonts w:ascii="Calibri" w:hAnsi="Calibri"/>
                <w:color w:val="212529"/>
                <w:sz w:val="20"/>
              </w:rPr>
              <w:t>Public operations and municipal services must not be paralyzed by private enforcement actions.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1445, Article VI Sec 29(1) Constitution, and Salus Populi Est Suprema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1445, Article VI, Section 29 of the Constitution, and the supreme canon Salus populi est suprema lex (the welfare of the people is the supreme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Public Character of MMDA Funds: </w:t>
            </w:r>
            <w:r>
              <w:rPr>
                <w:rFonts w:ascii="Calibri" w:hAnsi="Calibri"/>
                <w:color w:val="212529"/>
                <w:sz w:val="20"/>
              </w:rPr>
              <w:t>MMDA funds in Land Bank are public funds earmarked by law for vital governmental functions including traffic management, flood control, and solid waste disposal.</w:t>
            </w:r>
          </w:p>
          <w:p>
            <w:pPr>
              <w:spacing w:before="20" w:after="40" w:line="276" w:lineRule="auto"/>
            </w:pPr>
            <w:r>
              <w:rPr>
                <w:rFonts w:ascii="Calibri" w:hAnsi="Calibri"/>
                <w:b/>
                <w:color w:val="212529"/>
                <w:sz w:val="20"/>
              </w:rPr>
              <w:t xml:space="preserve">2. Prohibition Against Garnishment of State Funds: </w:t>
            </w:r>
            <w:r>
              <w:rPr>
                <w:rFonts w:ascii="Calibri" w:hAnsi="Calibri"/>
                <w:color w:val="212529"/>
                <w:sz w:val="20"/>
              </w:rPr>
              <w:t>Garnishment of public funds would paralyze essential public services, endangering public order and health. Public policy strictly immunizes government bank accounts from execution.</w:t>
            </w:r>
          </w:p>
          <w:p>
            <w:pPr>
              <w:spacing w:before="20" w:after="40" w:line="276" w:lineRule="auto"/>
            </w:pPr>
            <w:r>
              <w:rPr>
                <w:rFonts w:ascii="Calibri" w:hAnsi="Calibri"/>
                <w:b/>
                <w:color w:val="212529"/>
                <w:sz w:val="20"/>
              </w:rPr>
              <w:t xml:space="preserve">3. Exclusive Remedy Through COA: </w:t>
            </w:r>
            <w:r>
              <w:rPr>
                <w:rFonts w:ascii="Calibri" w:hAnsi="Calibri"/>
                <w:color w:val="212529"/>
                <w:sz w:val="20"/>
              </w:rPr>
              <w:t>A final judgment against the government establishes the validity of the claim, but the creditor must file a claim with the COA, which has primary jurisdiction over government disbursements.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contractors could freeze government bank accounts, the MMDA wouldn't have money to pay traffic enforcers, pump floodwaters, or pick up trash. The city would grind to a halt. To protect the public welfare, the law says court sheriffs cannot touch government bank accounts; creditors must go through COA.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Salus Populi Est Suprema Lex and constitutional fiscal doctrines. Public funds are held in trust for vital state services. The Court held that garnishment of MMDA funds is void ab initio, and the judgment creditor must present its claim before COA."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notices of garnishment, and DECLARED MMDA public funds exempt from execution.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freeze on the government's bank accounts was lifted and declared illegal.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lifted the garnishment, reaffirming that public funds are exempt from execution under public policy and statutory auditing laws."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C. Considerations outside the Statute -&gt; e. Borrowed Statute Rule (UCC / Chattel Mortgage Law)</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Public funds essential for urban sanitation and flood control cannot be diverted to private execution.</w:t>
            </w:r>
          </w:p>
          <w:p>
            <w:pPr>
              <w:spacing w:before="40" w:after="60" w:line="276" w:lineRule="auto"/>
            </w:pPr>
            <w:r>
              <w:rPr>
                <w:rFonts w:ascii="Calibri" w:hAnsi="Calibri"/>
                <w:b/>
                <w:color w:val="8C3200"/>
                <w:sz w:val="20"/>
              </w:rPr>
              <w:t>2. Nemo potest gladius principis in se convertere (no one can turn the sword of the sovereign against itself)</w:t>
              <w:br/>
            </w:r>
            <w:r>
              <w:rPr>
                <w:rFonts w:ascii="Calibri" w:hAnsi="Calibri"/>
                <w:b/>
                <w:color w:val="212529"/>
                <w:sz w:val="19"/>
              </w:rPr>
              <w:t xml:space="preserve">   • Literal English Translation: </w:t>
            </w:r>
            <w:r>
              <w:rPr>
                <w:rFonts w:ascii="Calibri" w:hAnsi="Calibri"/>
                <w:i/>
                <w:color w:val="212529"/>
                <w:sz w:val="19"/>
              </w:rPr>
              <w:t>No one can turn the sovereign's power against itself.</w:t>
              <w:br/>
            </w:r>
            <w:r>
              <w:rPr>
                <w:rFonts w:ascii="Calibri" w:hAnsi="Calibri"/>
                <w:b/>
                <w:color w:val="212529"/>
                <w:sz w:val="19"/>
              </w:rPr>
              <w:t xml:space="preserve">   • Plain Legal Meaning &amp; StatCon Application: </w:t>
            </w:r>
            <w:r>
              <w:rPr>
                <w:rFonts w:ascii="Calibri" w:hAnsi="Calibri"/>
                <w:color w:val="212529"/>
                <w:sz w:val="19"/>
              </w:rPr>
              <w:t>Judicial processes of execution cannot be used to paralyze government functions.</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constitutional and statutory requirement for appropriation prior to disbursement is absolute.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C. Considerations outside the Statute -&gt; e. Borrowed Statute Rule (UCC / Chattel Mortgage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Salus populi est suprema lex</w:t>
              <w:br/>
              <w:t>(the welfare of the people is the supreme law / public funds dedicated to vital state services are exempt from judicial garnishment)</w:t>
              <w:br/>
              <w:br/>
              <w:t>Secondary:</w:t>
              <w:br/>
              <w:t>• Nemo potest gladius principis in se convertere (sovereign funds protected)</w:t>
              <w:br/>
              <w:t>• Dura lex sed lex (mandatory constitutional appropriation requirement)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permitted the garnishment of public funds, violating public policy and constitutional rules on public treasury disbursements.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Doctrine of Immunity of Public Funds: All public funds in government depositories are held in trust for the public welfare and are strictly immune from garnishment and execution.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Government money meant for public services can never be seized by court sheriffs; winning a case against the government means you must ask COA for payment through proper budgets.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Republic v. Del Monte Motors confirms that under Salus populi est suprema lex and PD 1445, public funds are exempt from garnishment and must be claimed before COA."</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Republic of the Philippines v. Del Monte Motors, Inc.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156956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9, 2006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Del Monte Motors obtained a final money judgment against the Metropolitan Manila Development Authority (MMDA) arising from a contract for the supply of mobile clinics. Del Monte secured a writ of execution and caused the sheriff to garnish MMDA's public deposit accounts held at the Land Bank of the Philippines. MMDA petitioned the Supreme Court, contending that under Presidential Decree No. 1445 (Government Auditing Code) and settled public policy, public funds allocated for governmental functions are EXEMPT FROM GARNISHMENT and execution, and can only be disbursed through a claim filed with the Commission on Audit (COA).</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1445 (Government Auditing Code of the Philippines): Mandatory procedure for settlement of money claims against the government through COA.</w:t>
              <w:br/>
              <w:t>2. Article VI, Section 29(1), 1987 Constitution: No money shall be paid out of the Treasury except in pursuance of an appropriation made by law.</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permitted the garnishment of public funds, violating public policy and constitutional rules on public treasury disbursements.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public funds of a government agency (MMDA) deposited in a government depository bank are subject to garnishment and execution to satisfy a civil money judgment.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Republic of the Philippines v. Del Monte Motors, Inc., under the canon of Salus populi est suprema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1445 (Government Auditing Code of the Philippines): Mandatory procedure for settlement of money claims against the government through COA.</w:t>
              <w:br/>
              <w:t>2. Article VI, Section 29(1), 1987 Constitution: No money shall be paid out of the Treasury except in pursuance of an appropriation made by law.</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permitted the garnishment of public funds, violating public policy and constitutional rules on public tr...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notices of garnishment, and DECLARED MMDA public funds exempt from execution.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Public funds of government agencies like MMDA are STRICTLY EXEMPT from garnishment and execution. Public policy and statutory auditing laws demand that government funds cannot be seized to satisfy private claims without legislative appropriation and COA approval.</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permitted the garnishment of public funds, violating public policy and constitutional rules on public treasury disbursements.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Salus populi est suprema lex</w:t>
              <w:br/>
              <w:t xml:space="preserve">   - Application: Doctrine of Immunity of Public Funds: All public funds in government depositories are held in trust for the public welfare and are strictly immune from garnishment and execution.</w:t>
              <w:br/>
              <w:t xml:space="preserve">   - Result: No. Government money belongs to the public for traffic, flood control, and emergency services. A sheriff cannot seize government accounts. The winning party must file a claim with the Commission on Audit (COA) to get paid through proper budget appropriations.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Nemo potest gladius principis in se convertere (sovereign funds protected)</w:t>
              <w:br/>
              <w:t>• Dura lex sed lex (mandatory constitutional appropriation requirement)</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Republic of the Philippines v. Del Monte Motors, Inc. to mean and apply strictly in accordance with Salus populi est suprema lex, holding that No. Government money belongs to the public for traffic, flood control, and emergency services. A sheriff cannot seize government accounts. The winning party mus.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contractors could freeze government bank accounts, the MMDA wouldn't have money to pay traffic enforcers, pump floodwaters, or pick up trash. The city would grind to a halt. To protect the public welfare, the law says court sheriffs cannot touch government bank accounts; creditors must go through COA.</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Salus populi est suprema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Doctrine of Immunity of Public Funds: All public funds in government depositories are held in trust for the public welfare and are strictly immune from garnishment and execution.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Government money meant for public services can never be seized by court sheriffs; winning a case against the government means you must ask COA for payment through proper budgets.</w:t>
            </w:r>
          </w:p>
        </w:tc>
      </w:tr>
    </w:tbl>
    <w:p>
      <w:r>
        <w:br w:type="page"/>
      </w:r>
    </w:p>
    <w:p>
      <w:pPr>
        <w:keepNext/>
        <w:spacing w:before="320" w:after="80"/>
      </w:pPr>
      <w:r>
        <w:rPr>
          <w:rFonts w:ascii="Arial" w:hAnsi="Arial"/>
          <w:b/>
          <w:color w:val="0F2043"/>
          <w:sz w:val="26"/>
        </w:rPr>
        <w:t>8. MARIA VIRGINIA V. REMO V. THE HONORABLE SECRETARY OF FOREIGN AFFAIRS</w:t>
      </w:r>
    </w:p>
    <w:p>
      <w:pPr>
        <w:spacing w:before="40" w:after="80" w:line="276" w:lineRule="auto"/>
      </w:pPr>
      <w:r>
        <w:rPr>
          <w:rFonts w:ascii="Calibri" w:hAnsi="Calibri"/>
          <w:b/>
          <w:color w:val="212529"/>
          <w:sz w:val="21"/>
        </w:rPr>
        <w:t xml:space="preserve">Citation: </w:t>
      </w:r>
      <w:r>
        <w:rPr>
          <w:rFonts w:ascii="Calibri" w:hAnsi="Calibri"/>
          <w:i/>
          <w:color w:val="212529"/>
          <w:sz w:val="21"/>
        </w:rPr>
        <w:t>G.R. No. 169202 | March 5, 2010 | 614 SCRA 281 | Second Division | Ponente: J. Carpio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Maria Virginia V. Remo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Honorable Secretary of Foreign Affairs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a married woman's right to revert to her maiden name in her Philippine Passport under Republic Act No. 8239 (Philippine Passport Act of 1996) and Article 370 of the Civil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Maria Virginia Remo, a married Filipino woman, applied to renew her Philippine passport and requested to revert to her maiden name ('Remo') while her marriage was still fully subsisting. The Department of Foreign Affairs (DFA) denied her request, citing Section 5(d) of Republic Act No. 8239 (Philippine Passport Act of 1996) and DFA Implementing Rules, which allow a married woman to revert to her maiden name in a passport ONLY upon death of the husband, annulment/divorce, or legal separation. Remo petitioned the courts, arguing that under Article 370 of the Civil Code, a married woman is not obligated to use her husband's surname and may choose to use her maiden name at any time.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married woman who used her husband's last name on her old passport wanted to switch back to her maiden last name on her new passport, even though they were still happily married. The DFA refused, citing the Passport Act rules which say once you choose to put your husband's surname on your passport, you can only change it back if your husband dies or you get an annulment/divorce. The Supreme Court ruled that while the Civil Code allows a woman to use her maiden name in daily life, the Passport Act is a special law governing travel documents that restricts mid-marriage name changes on passports to prevent identity confusion.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married woman who previously used her husband's surname on her passport can revert to her maiden name in passport renewal while the marriage is still subsisting.</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married woman switch back to her maiden name on her passport while still married, despite the specific restrictions in the Passport 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Article 370 of the Civil Code overrides the special name-change restrictions under Section 5(d) of the Philippine Passport Act (RA 8239), testing the canon Generalia Specialibus Non Derogant (general laws do not derogate from special laws)."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 married woman who has chosen to adopt her husband's surname in her passport CANNOT revert to her maiden name while the marriage is subsisting. Under Generalia Specialibus Non Derogant, the special Passport Act prevails over the general Civil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Under the Civil Code, you can choose to keep your maiden name when you get married. But once you elect to put your married name on your official passport, the special Passport Act applies: you cannot switch back and forth until the marriage ends, in order to maintain international travel security.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while Article 370 of the Civil Code gives a married woman the option to use her maiden name, under Generalia specialibus non derogant (general laws yield to special laws), RA 8239 is a special law governing international travel documents. Once she opts to use her husband's surname in her passport, she can only revert to her maiden name upon death, divorce, or annulment."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5(d), Republic Act No. 8239 (Philippine Passport Act of 1996): </w:t>
            </w:r>
            <w:r>
              <w:rPr>
                <w:rFonts w:ascii="Calibri" w:hAnsi="Calibri"/>
                <w:color w:val="212529"/>
                <w:sz w:val="20"/>
              </w:rPr>
              <w:t>Restricts amendment of passport names of married women to instances of widowhood, annulment, or divorce.</w:t>
            </w:r>
          </w:p>
          <w:p>
            <w:pPr>
              <w:spacing w:before="20" w:after="40" w:line="276" w:lineRule="auto"/>
            </w:pPr>
            <w:r>
              <w:rPr>
                <w:rFonts w:ascii="Calibri" w:hAnsi="Calibri"/>
                <w:b/>
                <w:color w:val="212529"/>
                <w:sz w:val="20"/>
              </w:rPr>
              <w:t xml:space="preserve">2. Article 370, Civil Code of the Philippines: </w:t>
            </w:r>
            <w:r>
              <w:rPr>
                <w:rFonts w:ascii="Calibri" w:hAnsi="Calibri"/>
                <w:color w:val="212529"/>
                <w:sz w:val="20"/>
              </w:rPr>
              <w:t>General rule allowing married women to use maiden name or husband's surname.</w:t>
            </w:r>
          </w:p>
          <w:p>
            <w:pPr>
              <w:spacing w:before="20" w:after="40" w:line="276" w:lineRule="auto"/>
            </w:pPr>
            <w:r>
              <w:rPr>
                <w:rFonts w:ascii="Calibri" w:hAnsi="Calibri"/>
                <w:b/>
                <w:color w:val="212529"/>
                <w:sz w:val="20"/>
              </w:rPr>
              <w:t xml:space="preserve">3. Generalia Specialibus Non Derogant (general provisions do not derogate from special provisions): </w:t>
            </w:r>
            <w:r>
              <w:rPr>
                <w:rFonts w:ascii="Calibri" w:hAnsi="Calibri"/>
                <w:color w:val="212529"/>
                <w:sz w:val="20"/>
              </w:rPr>
              <w:t>The specific passport security statute prevails over the general civil law on surnames.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5(d) RA 8239, Article 370 Civil Code, and Generalia Specialibus Non Derogant.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5(d) of RA 8239 in relation to Article 370 of the Civil Code, governed by Generalia specialibus non derogant (special laws prevail over general laws)."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Harmonization of Civil Code and Passport Act: </w:t>
            </w:r>
            <w:r>
              <w:rPr>
                <w:rFonts w:ascii="Calibri" w:hAnsi="Calibri"/>
                <w:color w:val="212529"/>
                <w:sz w:val="20"/>
              </w:rPr>
              <w:t>Article 370 of the Civil Code grants a woman the choice of whether to adopt her husband's surname. However, once she exercises that choice and registers her married name on her official passport, RA 8239 regulates how and when that passport name may be changed.</w:t>
            </w:r>
          </w:p>
          <w:p>
            <w:pPr>
              <w:spacing w:before="20" w:after="40" w:line="276" w:lineRule="auto"/>
            </w:pPr>
            <w:r>
              <w:rPr>
                <w:rFonts w:ascii="Calibri" w:hAnsi="Calibri"/>
                <w:b/>
                <w:color w:val="212529"/>
                <w:sz w:val="20"/>
              </w:rPr>
              <w:t xml:space="preserve">2. Special Law on Travel Documents: </w:t>
            </w:r>
            <w:r>
              <w:rPr>
                <w:rFonts w:ascii="Calibri" w:hAnsi="Calibri"/>
                <w:color w:val="212529"/>
                <w:sz w:val="20"/>
              </w:rPr>
              <w:t>RA 8239 is a special law designed to protect the integrity of Philippine passports and prevent identity fraud in international travel. Its specific provisions override general civil provisions.</w:t>
            </w:r>
          </w:p>
          <w:p>
            <w:pPr>
              <w:spacing w:before="20" w:after="40" w:line="276" w:lineRule="auto"/>
            </w:pPr>
            <w:r>
              <w:rPr>
                <w:rFonts w:ascii="Calibri" w:hAnsi="Calibri"/>
                <w:b/>
                <w:color w:val="212529"/>
                <w:sz w:val="20"/>
              </w:rPr>
              <w:t xml:space="preserve">3. Validity of Administrative Regulations: </w:t>
            </w:r>
            <w:r>
              <w:rPr>
                <w:rFonts w:ascii="Calibri" w:hAnsi="Calibri"/>
                <w:color w:val="212529"/>
                <w:sz w:val="20"/>
              </w:rPr>
              <w:t>The DFA regulations strictly tracking Section 5(d) of RA 8239 were valid exercises of subordinate rule-making power consistent with statutory intent.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Civil Code gives you the freedom to choose your name. But a passport is an international border-control document. If people could switch names back and forth on their passports during marriage, it would cause chaos for international security. The specific passport law controls over the general family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Generalia Specialibus Non Derogant. The Civil Code is general law on personal names, while the Passport Act is special law governing international travel integrity. The Court held that statutory passport restrictions control during the subsistence of the marriage."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and AFFIRMED the decision of the Court of Appeals and DFA denying the reversion to maiden name on the passport.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denied and the woman was not allowed to switch her passport name while married.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DFA's denial, upholding the primacy of the special Passport Act over general Civil Code provisions."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III. Basic Guidelines in Construction -&gt; C. Considerations outside the Statute -&gt; f. Interpretare et Concordare Leges Legibus Est Optimus Interpretandi</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special provisions of the Philippine Passport Act prevail over the general provisions of the Civil Code on names.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Section 5(d) of RA 8239 explicitly enumerates the exclusive grounds for changing passport names.</w:t>
            </w:r>
          </w:p>
          <w:p>
            <w:pPr>
              <w:spacing w:before="40" w:after="60" w:line="276" w:lineRule="auto"/>
            </w:pPr>
            <w:r>
              <w:rPr>
                <w:rFonts w:ascii="Calibri" w:hAnsi="Calibri"/>
                <w:b/>
                <w:color w:val="8C3200"/>
                <w:sz w:val="20"/>
              </w:rPr>
              <w:t>3.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The clear text of RA 8239 establishes international security standards for travel documents.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III. Basic Guidelines in Construction -&gt; C. Considerations outside the Statute -&gt; f. Interpretare et Concordare Leges Legibus Est Optimus Interpretandi</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Philippine Passport Act RA 8239 governs over general Civil Code name rules)</w:t>
              <w:br/>
              <w:br/>
              <w:t>Secondary:</w:t>
              <w:br/>
              <w:t>• Verba legis non est recedendum (clear statutory text on passport name changes)</w:t>
              <w:br/>
              <w:t>• Optima statuti interpretatrix est ipsum statutum (statute is its own best interpreter)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 sought to elevate general civil law provisions over a specific, subsequent statute governing international travel document security.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Primacy of Special Regulatory Statutes: Special statutes enacted to protect state security and international document integrity override general civil law provisions on the same subject.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special security law on passports beats a general civil law about family names.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Remo v. Secretary of Foreign Affairs is the leading modern case applying Generalia specialibus non derogant to resolve conflicts between the Civil Code and special regulatory statutes."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Maria Virginia V. Remo v. The Honorable Secretary of Foreign Affairs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169202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5,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Maria Virginia Remo, a married Filipino woman, applied to renew her Philippine passport and requested to revert to her maiden name ('Remo') while her marriage was still fully subsisting. The Department of Foreign Affairs (DFA) denied her request, citing Section 5(d) of Republic Act No. 8239 (Philippine Passport Act of 1996) and DFA Implementing Rules, which allow a married woman to revert to her maiden name in a passport ONLY upon death of the husband, annulment/divorce, or legal separation. Remo petitioned the courts, arguing that under Article 370 of the Civil Code, a married woman is not obligated to use her husband's surname and may choose to use her maiden name at any time.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5(d), Republic Act No. 8239 (Philippine Passport Act of 1996): Restricts amendment of passport names of married women to instances of widowhood, annulment, or divorce.</w:t>
              <w:br/>
              <w:t>2. Article 370, Civil Code of the Philippines: General rule allowing married women to use maiden name or husband's surname.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 sought to elevate general civil law provisions over a specific, subsequent statute governing international travel document security.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married woman who previously used her husband's surname on her passport can revert to her maiden name in passport renewal while the marriage is still subsisting.</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Maria Virginia V. Remo v. The Honorable Secretary of Foreign Affairs,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5(d), Republic Act No. 8239 (Philippine Passport Act of 1996): Restricts amendment of passport names of married women to instances of widowhood, annulment, or divorce.</w:t>
              <w:br/>
              <w:t>2. Article 370, Civil Code of the Philippines: General rule allowing married women to use maiden name or husband's surname.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Petitioner sought to elevate general civil law provisions over a specific, subsequent statute governing international tr...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and AFFIRMED the decision of the Court of Appeals and DFA denying the reversion to maiden name on the passport.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 married woman who has chosen to adopt her husband's surname in her passport CANNOT revert to her maiden name while the marriage is subsisting. Under Generalia Specialibus Non Derogant, the special Passport Act prevails over the general Civil Code.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Petitioner sought to elevate general civil law provisions over a specific, subsequent statute governing international travel document securi.</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Primacy of Special Regulatory Statutes: Special statutes enacted to protect state security and international document integrity override general civil law provisions on the same subject.</w:t>
              <w:br/>
              <w:t xml:space="preserve">   - Result: No. Under the Civil Code, you can choose to keep your maiden name when you get married. But once you elect to put your married name on your official passport, the special Passport Act applies: you cannot switch back and forth until the marriage ends, in order to maintain international travel security.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(clear statutory text on passport name changes)</w:t>
              <w:br/>
              <w:t>• Optima statuti interpretatrix est ipsum statutum (statute is its own best interpreter)</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Maria Virginia V. Remo v. The Honorable Secretary of Foreign Affairs to mean and apply strictly in accordance with Generalia specialibus non derogant, holding that No. Under the Civil Code, you can choose to keep your maiden name when you get married. But once you elect to put your married name on your official passport, 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Civil Code gives you the freedom to choose your name. But a passport is an international border-control document. If people could switch names back and forth on their passports during marriage, it would cause chaos for international security. The specific passport law controls over the general family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Primacy of Special Regulatory Statutes: Special statutes enacted to protect state security and international document integrity override general civil law provisions on the same subject.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special security law on passports beats a general civil law about family names.</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IV (Part 1)</w:t>
              <w:br/>
            </w:r>
            <w:r>
              <w:rPr>
                <w:rFonts w:ascii="Arial" w:hAnsi="Arial"/>
                <w:b/>
                <w:color w:val="FFFFFF"/>
                <w:sz w:val="24"/>
              </w:rPr>
              <w:t>AIDS TO CONSTRUCTION: INTRINSIC AIDS</w:t>
              <w:br/>
            </w:r>
            <w:r>
              <w:rPr>
                <w:rFonts w:ascii="Arial" w:hAnsi="Arial"/>
                <w:i/>
                <w:color w:val="D7E6FA"/>
                <w:sz w:val="19"/>
              </w:rPr>
              <w:t>Cases 9 to 18 | Textual &amp; Structural Aids Found Within the Statute Itself</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Preambles &amp; Title: Explaining legislative intent, object, and scope</w:t>
            </w:r>
          </w:p>
          <w:p>
            <w:pPr>
              <w:spacing w:before="20" w:after="20"/>
            </w:pPr>
            <w:r>
              <w:rPr>
                <w:rFonts w:ascii="Calibri" w:hAnsi="Calibri"/>
                <w:color w:val="F0F5FF"/>
                <w:sz w:val="18"/>
              </w:rPr>
              <w:t>• • Headnotes &amp; Epigraphs: Non-controlling topical guides to statutory sections</w:t>
            </w:r>
          </w:p>
          <w:p>
            <w:pPr>
              <w:spacing w:before="20" w:after="20"/>
            </w:pPr>
            <w:r>
              <w:rPr>
                <w:rFonts w:ascii="Calibri" w:hAnsi="Calibri"/>
                <w:color w:val="F0F5FF"/>
                <w:sz w:val="18"/>
              </w:rPr>
              <w:t>• • Punctuations &amp; Capitalizations: Semicolons and commas determining clause independence</w:t>
            </w:r>
          </w:p>
          <w:p>
            <w:pPr>
              <w:spacing w:before="20" w:after="20"/>
            </w:pPr>
            <w:r>
              <w:rPr>
                <w:rFonts w:ascii="Calibri" w:hAnsi="Calibri"/>
                <w:color w:val="F0F5FF"/>
                <w:sz w:val="18"/>
              </w:rPr>
              <w:t>• • Lingual Text &amp; Translation: Controlling enacted language (Spanish vs. English text)</w:t>
            </w:r>
          </w:p>
        </w:tc>
      </w:tr>
    </w:tbl>
    <w:p>
      <w:pPr>
        <w:spacing w:before="120"/>
      </w:pPr>
    </w:p>
    <w:p>
      <w:pPr>
        <w:keepNext/>
        <w:spacing w:before="320" w:after="80"/>
      </w:pPr>
      <w:r>
        <w:rPr>
          <w:rFonts w:ascii="Arial" w:hAnsi="Arial"/>
          <w:b/>
          <w:color w:val="0F2043"/>
          <w:sz w:val="26"/>
        </w:rPr>
        <w:t>9. PEOPLE OF THE PHILIPPINES V. MARIO FRANCISCO Y MARTIN</w:t>
      </w:r>
    </w:p>
    <w:p>
      <w:pPr>
        <w:spacing w:before="40" w:after="80" w:line="276" w:lineRule="auto"/>
      </w:pPr>
      <w:r>
        <w:rPr>
          <w:rFonts w:ascii="Calibri" w:hAnsi="Calibri"/>
          <w:b/>
          <w:color w:val="212529"/>
          <w:sz w:val="21"/>
        </w:rPr>
        <w:t xml:space="preserve">Citation: </w:t>
      </w:r>
      <w:r>
        <w:rPr>
          <w:rFonts w:ascii="Calibri" w:hAnsi="Calibri"/>
          <w:i/>
          <w:color w:val="212529"/>
          <w:sz w:val="21"/>
        </w:rPr>
        <w:t>G.R. No. 106357 | September 3, 1998 | 295 SCRA 159 | En Banc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Mario Francisco y Martin (Appellant)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Quezon City (Branch 95)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 conviction for Illegal Possession of Firearms under P.D. No. 1866, as amended by Republic Act No. 8294, involving the statutory effect of homicide committed with an unlicensed firearm.</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Mario Francisco was charged with Murder and separately charged with Illegal Possession of Unlicensed Firearms under P.D. No. 1866 for shooting and killing a person with an unlicensed .38 caliber revolver. During the pendency of the appeal, Congress enacted Republic Act No. 8294, which amended P.D. No. 1866. Under Section 1 of RA 8294, the law provided that if homicide or murder is committed with the use of an unlicensed firearm, such use of an unlicensed firearm shall be considered merely as an AGGRAVATING CIRCUMSTANCE in the homicide or murder case, and no separate conviction for illegal possession of firearm can be sustained. Francisco sought the retroactive dismissal of the separate illegal possession charge.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shot and killed someone with an unlicensed gun and was convicted of both Murder and Illegal Possession of Firearms. While his appeal was pending, a new law (RA 8294) was enacted stating that if an unlicensed gun is used to kill someone, the gun is merely an aggravating circumstance in the murder case, and you cannot be convicted of a separate gun-possession crime. The Supreme Court retroactively dismissed the separate firearms conviction, holding that penal laws favorable to the accused apply retroactively.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amendatory provisions of R.A. No. 8294 apply retroactively to bar a separate conviction for Illegal Possession of Firearms when homicide or murder is committed with the weapon.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new firearm law (RA 8294) apply retroactively to cancel a separate gun-possession conviction if the gun was used in a killing?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RA 8294 applies retroactively to dismiss a separate charge of illegal possession of firearms where homicide was committed, testing the canon Favorabilia Sunt Amplianda (beneficial penal laws are retroactive) and Title/Context of the amendatory statute as an intrinsic aid."</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R.A. No. 8294 applies RETROACTIVELY because it is favorable to the accused. Under the amended law, use of an unlicensed firearm in a killing is merely an aggravating circumstance, precluding a separate conviction for illegal possession of firearms.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Under Article 22 of the Revised Penal Code, penal laws that favor the accused apply retroactively. Because the new statute decriminalized separate firearm possession when used in a killing, the separate firearm charge was dismissed.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Article 22 of the Revised Penal Code and Favorabilia sunt amplianda, odiosa restringenda, RA 8294 operates retroactively in favor of the accused, extinguishing the separate offense of illegal possession of firearms."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 Presidential Decree No. 1866 (as amended by Republic Act No. 8294): </w:t>
            </w:r>
            <w:r>
              <w:rPr>
                <w:rFonts w:ascii="Calibri" w:hAnsi="Calibri"/>
                <w:color w:val="212529"/>
                <w:sz w:val="20"/>
              </w:rPr>
              <w:t>Provides that use of an unlicensed firearm in murder or homicide is an aggravating circumstance, not a separate distinct crime.</w:t>
            </w:r>
          </w:p>
          <w:p>
            <w:pPr>
              <w:spacing w:before="20" w:after="40" w:line="276" w:lineRule="auto"/>
            </w:pPr>
            <w:r>
              <w:rPr>
                <w:rFonts w:ascii="Calibri" w:hAnsi="Calibri"/>
                <w:b/>
                <w:color w:val="212529"/>
                <w:sz w:val="20"/>
              </w:rPr>
              <w:t xml:space="preserve">2. Article 22, Revised Penal Code: </w:t>
            </w:r>
            <w:r>
              <w:rPr>
                <w:rFonts w:ascii="Calibri" w:hAnsi="Calibri"/>
                <w:color w:val="212529"/>
                <w:sz w:val="20"/>
              </w:rPr>
              <w:t>Mandatory retroactive application of penal laws favorable to the accused.</w:t>
            </w:r>
          </w:p>
          <w:p>
            <w:pPr>
              <w:spacing w:before="20" w:after="40" w:line="276" w:lineRule="auto"/>
            </w:pPr>
            <w:r>
              <w:rPr>
                <w:rFonts w:ascii="Calibri" w:hAnsi="Calibri"/>
                <w:b/>
                <w:color w:val="212529"/>
                <w:sz w:val="20"/>
              </w:rPr>
              <w:t xml:space="preserve">3. Favorabilia Sunt Amplianda, Odiosa Restringenda (favorable things should be enlarged, hateful things restricted): </w:t>
            </w:r>
            <w:r>
              <w:rPr>
                <w:rFonts w:ascii="Calibri" w:hAnsi="Calibri"/>
                <w:color w:val="212529"/>
                <w:sz w:val="20"/>
              </w:rPr>
              <w:t>Beneficial statutory changes must be extended to all pending cases.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 RA 8294, Article 22 RPC, and Favorabilia Sunt Amplianda.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 of RA 8294 in relation to Article 22 RPC, governed by Favorabilia sunt amplianda, odiosa restringenda (favorable penal laws are enlarged)."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Statutory Intent of RA 8294: </w:t>
            </w:r>
            <w:r>
              <w:rPr>
                <w:rFonts w:ascii="Calibri" w:hAnsi="Calibri"/>
                <w:color w:val="212529"/>
                <w:sz w:val="20"/>
              </w:rPr>
              <w:t>The amendatory statute intended to treat the unlicensed firearm as a mere qualifying/aggravating circumstance of the primary homicide/murder offense, eliminating the double jeopardy-like dual convictions under the old PD 1866.</w:t>
            </w:r>
          </w:p>
          <w:p>
            <w:pPr>
              <w:spacing w:before="20" w:after="40" w:line="276" w:lineRule="auto"/>
            </w:pPr>
            <w:r>
              <w:rPr>
                <w:rFonts w:ascii="Calibri" w:hAnsi="Calibri"/>
                <w:b/>
                <w:color w:val="212529"/>
                <w:sz w:val="20"/>
              </w:rPr>
              <w:t xml:space="preserve">2. Retroactivity of Favorable Penal Statutes: </w:t>
            </w:r>
            <w:r>
              <w:rPr>
                <w:rFonts w:ascii="Calibri" w:hAnsi="Calibri"/>
                <w:color w:val="212529"/>
                <w:sz w:val="20"/>
              </w:rPr>
              <w:t>Where an amendatory statute reduces a penalty or decriminalizes a separate offense, it must be given retroactive application to pending appeals pursuant to Article 22 RPC.</w:t>
            </w:r>
          </w:p>
          <w:p>
            <w:pPr>
              <w:spacing w:before="20" w:after="40" w:line="276" w:lineRule="auto"/>
            </w:pPr>
            <w:r>
              <w:rPr>
                <w:rFonts w:ascii="Calibri" w:hAnsi="Calibri"/>
                <w:b/>
                <w:color w:val="212529"/>
                <w:sz w:val="20"/>
              </w:rPr>
              <w:t xml:space="preserve">3. Title and Preamble as Intrinsic Aids: </w:t>
            </w:r>
            <w:r>
              <w:rPr>
                <w:rFonts w:ascii="Calibri" w:hAnsi="Calibri"/>
                <w:color w:val="212529"/>
                <w:sz w:val="20"/>
              </w:rPr>
              <w:t>The title and legislative text of RA 8294 clearly convey the intent to rationalize penalties for illegal firearm possession.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passed RA 8294 to fix an unfair situation where a person was convicted twice for the exact same shooting incident. Because the new law treats the gun only as an aggravating factor, and because criminal laws that help the accused reach backward, the separate firearm conviction had to be thrown out.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examined the text and context of RA 8294 as intrinsic aids. The statute unified the offense. Applying Article 22 RPC, the Court retroactively dismissed the standalone firearm conviction."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MODIFIED the judgment, AFFIRMING the conviction for Murder with the special aggravating circumstance of use of unlicensed firearm, but ACQUITTING and DISMISSING the separate charge for Illegal Possession of Firearms.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separate firearms conviction was cancelled and dismissed retroactively.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separate firearms conviction retroactively under the beneficial provisions of RA 8294."</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b. Title of the Statute (RA 7659 / Complex Crime of Illegal Recruitment &amp; Rape)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Favorabilia sunt amplianda, odiosa restringenda (favorable things should be enlarged, hateful things restricted)</w:t>
              <w:br/>
            </w:r>
            <w:r>
              <w:rPr>
                <w:rFonts w:ascii="Calibri" w:hAnsi="Calibri"/>
                <w:b/>
                <w:color w:val="212529"/>
                <w:sz w:val="19"/>
              </w:rPr>
              <w:t xml:space="preserve">   • Literal English Translation: </w:t>
            </w:r>
            <w:r>
              <w:rPr>
                <w:rFonts w:ascii="Calibri" w:hAnsi="Calibri"/>
                <w:i/>
                <w:color w:val="212529"/>
                <w:sz w:val="19"/>
              </w:rPr>
              <w:t>Matters of favor should be enlarged, and hateful matters restrained.</w:t>
              <w:br/>
            </w:r>
            <w:r>
              <w:rPr>
                <w:rFonts w:ascii="Calibri" w:hAnsi="Calibri"/>
                <w:b/>
                <w:color w:val="212529"/>
                <w:sz w:val="19"/>
              </w:rPr>
              <w:t xml:space="preserve">   • Plain Legal Meaning &amp; StatCon Application: </w:t>
            </w:r>
            <w:r>
              <w:rPr>
                <w:rFonts w:ascii="Calibri" w:hAnsi="Calibri"/>
                <w:color w:val="212529"/>
                <w:sz w:val="19"/>
              </w:rPr>
              <w:t>Beneficial amendatory penal statutes apply retroactively to pending cases.</w:t>
            </w:r>
          </w:p>
          <w:p>
            <w:pPr>
              <w:spacing w:before="40" w:after="60" w:line="276" w:lineRule="auto"/>
            </w:pPr>
            <w:r>
              <w:rPr>
                <w:rFonts w:ascii="Calibri" w:hAnsi="Calibri"/>
                <w:b/>
                <w:color w:val="8C3200"/>
                <w:sz w:val="20"/>
              </w:rPr>
              <w:t>2. Lex prospicit, non respicit (the law looks forward, not backward)</w:t>
              <w:br/>
            </w:r>
            <w:r>
              <w:rPr>
                <w:rFonts w:ascii="Calibri" w:hAnsi="Calibri"/>
                <w:b/>
                <w:color w:val="212529"/>
                <w:sz w:val="19"/>
              </w:rPr>
              <w:t xml:space="preserve">   • Literal English Translation: </w:t>
            </w:r>
            <w:r>
              <w:rPr>
                <w:rFonts w:ascii="Calibri" w:hAnsi="Calibri"/>
                <w:i/>
                <w:color w:val="212529"/>
                <w:sz w:val="19"/>
              </w:rPr>
              <w:t>The law looks forward, not backward.</w:t>
              <w:br/>
            </w:r>
            <w:r>
              <w:rPr>
                <w:rFonts w:ascii="Calibri" w:hAnsi="Calibri"/>
                <w:b/>
                <w:color w:val="212529"/>
                <w:sz w:val="19"/>
              </w:rPr>
              <w:t xml:space="preserve">   • Plain Legal Meaning &amp; StatCon Application: </w:t>
            </w:r>
            <w:r>
              <w:rPr>
                <w:rFonts w:ascii="Calibri" w:hAnsi="Calibri"/>
                <w:color w:val="212529"/>
                <w:sz w:val="19"/>
              </w:rPr>
              <w:t>The general rule of prospectivity yields to the constitutional and statutory mandate of retroactive leniency in penal law.</w:t>
            </w:r>
          </w:p>
          <w:p>
            <w:pPr>
              <w:spacing w:before="40" w:after="60" w:line="276" w:lineRule="auto"/>
            </w:pPr>
            <w:r>
              <w:rPr>
                <w:rFonts w:ascii="Calibri" w:hAnsi="Calibri"/>
                <w:b/>
                <w:color w:val="8C3200"/>
                <w:sz w:val="20"/>
              </w:rPr>
              <w:t>3. Ex antecedentibus et consequentibus fit optima interpretatio (the best interpretation is made from what precedes and what follows)</w:t>
              <w:br/>
            </w:r>
            <w:r>
              <w:rPr>
                <w:rFonts w:ascii="Calibri" w:hAnsi="Calibri"/>
                <w:b/>
                <w:color w:val="212529"/>
                <w:sz w:val="19"/>
              </w:rPr>
              <w:t xml:space="preserve">   • Literal English Translation: </w:t>
            </w:r>
            <w:r>
              <w:rPr>
                <w:rFonts w:ascii="Calibri" w:hAnsi="Calibri"/>
                <w:i/>
                <w:color w:val="212529"/>
                <w:sz w:val="19"/>
              </w:rPr>
              <w:t>The best interpretation arises from comparing all parts of the statute.</w:t>
              <w:br/>
            </w:r>
            <w:r>
              <w:rPr>
                <w:rFonts w:ascii="Calibri" w:hAnsi="Calibri"/>
                <w:b/>
                <w:color w:val="212529"/>
                <w:sz w:val="19"/>
              </w:rPr>
              <w:t xml:space="preserve">   • Plain Legal Meaning &amp; StatCon Application: </w:t>
            </w:r>
            <w:r>
              <w:rPr>
                <w:rFonts w:ascii="Calibri" w:hAnsi="Calibri"/>
                <w:color w:val="212529"/>
                <w:sz w:val="19"/>
              </w:rPr>
              <w:t>The amendatory clauses of RA 8294 must be read in context with the entire penal framework.</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b. Title of the Statute (RA 7659 / Complex Crime of Illegal Recruitment &amp; Rape)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Favorabilia sunt amplianda, odiosa restringenda</w:t>
              <w:br/>
              <w:t>(favorable things should be enlarged, hateful things restricted / retroactive application of beneficial amendatory penal statutes under RA 8294)</w:t>
              <w:br/>
              <w:br/>
              <w:t>Secondary:</w:t>
              <w:br/>
              <w:t>• Lex prospicit non respicit (exception for favorable penal laws)</w:t>
              <w:br/>
              <w:t>• Ex antecedentibus et consequentibus (holistic contextual reading)</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convicted the appellant under a repealed dual-liability scheme that was superseded by a favorable amendatory statute.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Retroactive Application of Favorable Penal Enactments: Intrinsic textual amendments that reduce penalties or absorb separate offenses operate retroactively for the benefit of the accused.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Congress changes a criminal law to reduce penalties or remove a second charge, the new benefit applies immediately to all pending cases.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Francisco shows how the text of an amendatory penal statute is construed intrinsically to apply retroactively in favor of the accused—Favorabilia sunt amplianda."</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Mario Francisco y Martin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106357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3, 1998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Mario Francisco was charged with Murder and separately charged with Illegal Possession of Unlicensed Firearms under P.D. No. 1866 for shooting and killing a person with an unlicensed .38 caliber revolver. During the pendency of the appeal, Congress enacted Republic Act No. 8294, which amended P.D. No. 1866. Under Section 1 of RA 8294, the law provided that if homicide or murder is committed with the use of an unlicensed firearm, such use of an unlicensed firearm shall be considered merely as an AGGRAVATING CIRCUMSTANCE in the homicide or murder case, and no separate conviction for illegal possession of firearm can be sustained. Francisco sought the retroactive dismissal of the separate illegal possession charge.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 Presidential Decree No. 1866 (as amended by Republic Act No. 8294): Provides that use of an unlicensed firearm in murder or homicide is an aggravating circumstance, not a separate distinct crime.</w:t>
              <w:br/>
              <w:t>2. Article 22, Revised Penal Code: Mandatory retroactive application of penal laws favorable to the accused.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convicted the appellant under a repealed dual-liability scheme that was superseded by a favorable amendatory statute.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amendatory provisions of R.A. No. 8294 apply retroactively to bar a separate conviction for Illegal Possession of Firearms when homicide or murder is committed with the weapon.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Mario Francisco y Martin, under the canon of Favorabilia sunt amplianda, odiosa restringenda.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 Presidential Decree No. 1866 (as amended by Republic Act No. 8294): Provides that use of an unlicensed firearm in murder or homicide is an aggravating circumstance, not a separate distinct crime.</w:t>
              <w:br/>
              <w:t>2. Article 22, Revised Penal Code: Mandatory retroactive application of penal laws favorable to the accused.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convicted the appellant under a repealed dual-liability scheme that was superseded by a favorable amenda...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MODIFIED the judgment, AFFIRMING the conviction for Murder with the special aggravating circumstance of use of unlicensed firearm, but ACQUITTING and DISMISSING the separate charge for Illegal Possession of Firearms.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R.A. No. 8294 applies RETROACTIVELY because it is favorable to the accused. Under the amended law, use of an unlicensed firearm in a killing is merely an aggravating circumstance, precluding a separate conviction for illegal possession of firearms.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convicted the appellant under a repealed dual-liability scheme that was superseded by a favorable amendatory statute..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Favorabilia sunt amplianda, odiosa restringenda</w:t>
              <w:br/>
              <w:t xml:space="preserve">   - Application: Retroactive Application of Favorable Penal Enactments: Intrinsic textual amendments that reduce penalties or absorb separate offenses operate retroactively for the benefit of the accused.</w:t>
              <w:br/>
              <w:t xml:space="preserve">   - Result: Yes. Under Article 22 of the Revised Penal Code, penal laws that favor the accused apply retroactively. Because the new statute decriminalized separate firearm possession when used in a killing, the separate firearm charge was dismissed.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prospicit non respicit (exception for favorable penal laws)</w:t>
              <w:br/>
              <w:t>• Ex antecedentibus et consequentibus (holistic contextual reading)</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Mario Francisco y Martin to mean and apply strictly in accordance with Favorabilia sunt amplianda, odiosa restringenda, holding that Yes. Under Article 22 of the Revised Penal Code, penal laws that favor the accused apply retroactively. Because the new statute decriminalized separate firearm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Congress passed RA 8294 to fix an unfair situation where a person was convicted twice for the exact same shooting incident. Because the new law treats the gun only as an aggravating factor, and because criminal laws that help the accused reach backward, the separate firearm conviction had to be thrown out.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Favorabilia sunt amplianda, odiosa restringenda,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Retroactive Application of Favorable Penal Enactments: Intrinsic textual amendments that reduce penalties or absorb separate offenses operate retroactively for the benefit of the accused.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Congress changes a criminal law to reduce penalties or remove a second charge, the new benefit applies immediately to all pending cases.</w:t>
            </w:r>
          </w:p>
        </w:tc>
      </w:tr>
    </w:tbl>
    <w:p>
      <w:r>
        <w:br w:type="page"/>
      </w:r>
    </w:p>
    <w:p>
      <w:pPr>
        <w:keepNext/>
        <w:spacing w:before="320" w:after="80"/>
      </w:pPr>
      <w:r>
        <w:rPr>
          <w:rFonts w:ascii="Arial" w:hAnsi="Arial"/>
          <w:b/>
          <w:color w:val="0F2043"/>
          <w:sz w:val="26"/>
        </w:rPr>
        <w:t>10. PHILIPPINE NATIONAL BANK (PNB) V. OFFICE OF THE PRESIDENT, HLURB, AND SPOUSES JAIME &amp; ROSITA TAPIO</w:t>
      </w:r>
    </w:p>
    <w:p>
      <w:pPr>
        <w:spacing w:before="40" w:after="80" w:line="276" w:lineRule="auto"/>
      </w:pPr>
      <w:r>
        <w:rPr>
          <w:rFonts w:ascii="Calibri" w:hAnsi="Calibri"/>
          <w:b/>
          <w:color w:val="212529"/>
          <w:sz w:val="21"/>
        </w:rPr>
        <w:t xml:space="preserve">Citation: </w:t>
      </w:r>
      <w:r>
        <w:rPr>
          <w:rFonts w:ascii="Calibri" w:hAnsi="Calibri"/>
          <w:i/>
          <w:color w:val="212529"/>
          <w:sz w:val="21"/>
        </w:rPr>
        <w:t>G.R. No. 104528 | January 18, 1996 | 252 SCRA 5 | Second Division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Philippine National Bank (PNB)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Office of the President, HLURB, and Spouses Jaime &amp; Rosita Tapio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HLURB</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65 concerning whether a bank mortgage over a subdivision project can defeat the rights of prior installment lot buyers under Presidential Decree No. 957.</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Spouses Tapio bought a subdivision lot on installment from Marikina Village, Inc. and paid the purchase price in full. Unknown to the buyers, the developer had previously mortgaged the entire subdivision property to the Philippine National Bank (PNB) without the required prior clearance from the NHA/HLURB under Section 18 of P.D. No. 957. When the developer defaulted, PNB foreclosed on the entire subdivision, including the lot fully paid for by the Tapios, and refused to release the title. PNB argued that its registered real estate mortgage under the Civil Code and Mortgage Law was superior to the unrecorded installment sale.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couple bought a subdivision lot on installment and paid every single centavo. Meanwhile, the developer secretly mortgaged the entire subdivision to PNB without housing authority approval and then defaulted. PNB foreclosed and tried to kick the buyers off the land. PNB argued that a bank mortgage is protected by the Civil Code. The Supreme Court ruled in favor of the buyers, looking at the Preamble of PD 957 as an intrinsic aid: the law was created specifically to protect innocent home buyers from fraudulent developers and banks.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mortgage and foreclosure by PNB over a subdivision lot prevails over the rights of an installment buyer who paid the purchase price in full, using the Preamble of P.D. No. 957 as an intrinsic aid to construction.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bank mortgage over a subdivision defeat the rights of an innocent buyer who fully paid for his lot, when interpreted using the Preamble of the Subdivision Buyers Law (PD 957)?</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PNB's mortgage overrides the buyer's rights under PD 957, testing the role of the Preamble as an Intrinsic Aid to Statutory Construction and the principle Salus Populi Est Suprema Lex."</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PNB's mortgage and foreclosure CANNOT defeat the title of the installment buyer. The PREAMBLE of P.D. No. 957 reveals the primary legislative intent: to protect innocent subdivision buyers against the unscrupulous practice of developers mortgaging lots to banks without buyer knowledge.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Preamble of PD 957 expressly states that the law was made to protect home buyers from being victimized by developers who mortgage lots to banks. The bank cannot take the lot from a buyer who paid in full.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the Preamble of PD 957 is an intrinsic key to unlock legislative intent. The preamble explicitly identifies the mischief to be eradicated: subdivision developers mortgaging lots to banks to the detriment of buyers. PNB is bound to release the clean title to the buyer."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Preamble and Section 18, Presidential Decree No. 957: </w:t>
            </w:r>
            <w:r>
              <w:rPr>
                <w:rFonts w:ascii="Calibri" w:hAnsi="Calibri"/>
                <w:color w:val="212529"/>
                <w:sz w:val="20"/>
              </w:rPr>
              <w:t>Preamble declares state policy to protect real estate buyers; Section 18 prohibits mortgages without NHA approval.</w:t>
            </w:r>
          </w:p>
          <w:p>
            <w:pPr>
              <w:spacing w:before="20" w:after="40" w:line="276" w:lineRule="auto"/>
            </w:pPr>
            <w:r>
              <w:rPr>
                <w:rFonts w:ascii="Calibri" w:hAnsi="Calibri"/>
                <w:b/>
                <w:color w:val="212529"/>
                <w:sz w:val="20"/>
              </w:rPr>
              <w:t xml:space="preserve">2. Preamble as an Intrinsic Aid to Statutory Construction: </w:t>
            </w:r>
            <w:r>
              <w:rPr>
                <w:rFonts w:ascii="Calibri" w:hAnsi="Calibri"/>
                <w:color w:val="212529"/>
                <w:sz w:val="20"/>
              </w:rPr>
              <w:t>The preamble is the key to open the minds of the lawmakers as to the mischiefs to be remedied and the objects to be accomplished.</w:t>
            </w:r>
          </w:p>
          <w:p>
            <w:pPr>
              <w:spacing w:before="20" w:after="40" w:line="276" w:lineRule="auto"/>
            </w:pPr>
            <w:r>
              <w:rPr>
                <w:rFonts w:ascii="Calibri" w:hAnsi="Calibri"/>
                <w:b/>
                <w:color w:val="212529"/>
                <w:sz w:val="20"/>
              </w:rPr>
              <w:t xml:space="preserve">3. Salus Populi Est Suprema Lex (the welfare of the people is the supreme law): </w:t>
            </w:r>
            <w:r>
              <w:rPr>
                <w:rFonts w:ascii="Calibri" w:hAnsi="Calibri"/>
                <w:color w:val="212529"/>
                <w:sz w:val="20"/>
              </w:rPr>
              <w:t>Social welfare legislation protecting home ownership overrides general commercial mortgage laws.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Preamble and Section 18 PD 957, Preamble as an Intrinsic Aid, and Salus Populi Est Suprema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the Preamble and Section 18 of PD 957, utilizing the Preamble as an Intrinsic Aid to determine legislative intent under Salus populi est suprema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Preamble as the Key to Legislative Intent: </w:t>
            </w:r>
            <w:r>
              <w:rPr>
                <w:rFonts w:ascii="Calibri" w:hAnsi="Calibri"/>
                <w:color w:val="212529"/>
                <w:sz w:val="20"/>
              </w:rPr>
              <w:t>The 'Whereas' clauses of PD 957 expressly highlight that numerous innocent lot buyers are cheated when developers mortgage subdivision lands without their knowledge. The preamble directly guides the interpretation of Section 18.</w:t>
            </w:r>
          </w:p>
          <w:p>
            <w:pPr>
              <w:spacing w:before="20" w:after="40" w:line="276" w:lineRule="auto"/>
            </w:pPr>
            <w:r>
              <w:rPr>
                <w:rFonts w:ascii="Calibri" w:hAnsi="Calibri"/>
                <w:b/>
                <w:color w:val="212529"/>
                <w:sz w:val="20"/>
              </w:rPr>
              <w:t xml:space="preserve">2. Duty of Financing Banks: </w:t>
            </w:r>
            <w:r>
              <w:rPr>
                <w:rFonts w:ascii="Calibri" w:hAnsi="Calibri"/>
                <w:color w:val="212529"/>
                <w:sz w:val="20"/>
              </w:rPr>
              <w:t>Banks financing subdivision developers are not ordinary commercial creditors; they have a statutory duty under PD 957 to ensure that the developer has secured NHA clearance before accepting the subdivision as collateral.</w:t>
            </w:r>
          </w:p>
          <w:p>
            <w:pPr>
              <w:spacing w:before="20" w:after="40" w:line="276" w:lineRule="auto"/>
            </w:pPr>
            <w:r>
              <w:rPr>
                <w:rFonts w:ascii="Calibri" w:hAnsi="Calibri"/>
                <w:b/>
                <w:color w:val="212529"/>
                <w:sz w:val="20"/>
              </w:rPr>
              <w:t xml:space="preserve">3. Subordination of Bank Mortgage to Buyer's Title: </w:t>
            </w:r>
            <w:r>
              <w:rPr>
                <w:rFonts w:ascii="Calibri" w:hAnsi="Calibri"/>
                <w:color w:val="212529"/>
                <w:sz w:val="20"/>
              </w:rPr>
              <w:t>A bank that forecloses on a subdivision project merely steps into the shoes of the developer and is bound to respect the fully paid contracts of innocent lot buyers.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looked directly at the 'Whereas' clauses in the front of PD 957. The preamble says in plain words that the law was written because developers take buyers' money and simultaneously mortgage the land to banks. Because the preamble explains the soul of the law, the bank cannot claim ignorance and must deliver the land title to the buyer.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utilized the Preamble as an intrinsic aid. The Whereas clauses of PD 957 demonstrate the legislative intent to prioritize buyer security over bank mortgages. PNB stepped into the developer's shoes and was legally compelled to release the title."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PNB's petition, AFFIRMED the Office of the President and HLURB, and ORDERED PNB to release the clean certificate of title to the Tapio spouses.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PNB lost and was ordered to surrender the clean title to the home buyers.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ordered PNB to deliver the title to the buyers, using the Preamble of PD 957 as an intrinsic aid to uphold buyer protection."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a. Preambles (PD 957 / Buyer Protection against Foreclosing Bank)</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preamble of PD 957 expresses the soul and social purpose of the decree.</w:t>
            </w:r>
          </w:p>
          <w:p>
            <w:pPr>
              <w:spacing w:before="40" w:after="60" w:line="276" w:lineRule="auto"/>
            </w:pPr>
            <w:r>
              <w:rPr>
                <w:rFonts w:ascii="Calibri" w:hAnsi="Calibri"/>
                <w:b/>
                <w:color w:val="8C3200"/>
                <w:sz w:val="20"/>
              </w:rPr>
              <w:t>2.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Protecting families in their home purchases is a paramount public policy.</w:t>
            </w:r>
          </w:p>
          <w:p>
            <w:pPr>
              <w:spacing w:before="40" w:after="60" w:line="276" w:lineRule="auto"/>
            </w:pPr>
            <w:r>
              <w:rPr>
                <w:rFonts w:ascii="Calibri" w:hAnsi="Calibri"/>
                <w:b/>
                <w:color w:val="8C3200"/>
                <w:sz w:val="20"/>
              </w:rPr>
              <w:t>3. Nemo dat quod non habet (no one gives what he does not have)</w:t>
              <w:br/>
            </w:r>
            <w:r>
              <w:rPr>
                <w:rFonts w:ascii="Calibri" w:hAnsi="Calibri"/>
                <w:b/>
                <w:color w:val="212529"/>
                <w:sz w:val="19"/>
              </w:rPr>
              <w:t xml:space="preserve">   • Literal English Translation: </w:t>
            </w:r>
            <w:r>
              <w:rPr>
                <w:rFonts w:ascii="Calibri" w:hAnsi="Calibri"/>
                <w:i/>
                <w:color w:val="212529"/>
                <w:sz w:val="19"/>
              </w:rPr>
              <w:t>No one can give what he does not possess.</w:t>
              <w:br/>
            </w:r>
            <w:r>
              <w:rPr>
                <w:rFonts w:ascii="Calibri" w:hAnsi="Calibri"/>
                <w:b/>
                <w:color w:val="212529"/>
                <w:sz w:val="19"/>
              </w:rPr>
              <w:t xml:space="preserve">   • Plain Legal Meaning &amp; StatCon Application: </w:t>
            </w:r>
            <w:r>
              <w:rPr>
                <w:rFonts w:ascii="Calibri" w:hAnsi="Calibri"/>
                <w:color w:val="212529"/>
                <w:sz w:val="19"/>
              </w:rPr>
              <w:t>The bank cannot acquire greater rights over the lot than the defaulting developer possessed against the fully paid buyer.</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a. Preambles (PD 957 / Buyer Protection against Foreclosing Bank)</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the Preamble is the key to unlock legislative purpose in social legislation)</w:t>
              <w:br/>
              <w:br/>
              <w:t>Secondary:</w:t>
              <w:br/>
              <w:t>• Salus populi est suprema lex (buyer protection as supreme law)</w:t>
              <w:br/>
              <w:t>• Nemo dat quod non habet (bank acquires no better right than developer)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PNB attempted to enforce general Civil Code mortgage doctrines in complete disregard of the explicit statutory policy set forth in the Preamble of PD 957.</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Preamble as an Intrinsic Aid: The preamble of a statute may be consulted to discover the true intent of the legislature and to resolve ambiguities regarding the scope of statutory protections.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'Whereas' clauses (Preamble) at the beginning of a law explain why the law was made and tell judges how to interpret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PNB v. Office of the President is the leading case on the use of the Preamble as an intrinsic aid in statutory construction to enforce consumer protection."</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Philippine National Bank (PNB) v. Office of the President, HLURB, and Spouses Jaime &amp; Rosita Tapio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104528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18, 1996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Spouses Tapio bought a subdivision lot on installment from Marikina Village, Inc. and paid the purchase price in full. Unknown to the buyers, the developer had previously mortgaged the entire subdivision property to the Philippine National Bank (PNB) without the required prior clearance from the NHA/HLURB under Section 18 of P.D. No. 957. When the developer defaulted, PNB foreclosed on the entire subdivision, including the lot fully paid for by the Tapios, and refused to release the title. PNB argued that its registered real estate mortgage under the Civil Code and Mortgage Law was superior to the unrecorded installment sale.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Preamble and Section 18, Presidential Decree No. 957: Preamble declares state policy to protect real estate buyers; Section 18 prohibits mortgages without NHA approval.</w:t>
              <w:br/>
              <w:t>2. Preamble as an Intrinsic Aid to Statutory Construction: The preamble is the key to open the minds of the lawmakers as to the mischiefs to be remedied and the objects to be accomplished.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PNB attempted to enforce general Civil Code mortgage doctrines in complete disregard of the explicit statutory policy set forth in the Preamble of PD 957.</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mortgage and foreclosure by PNB over a subdivision lot prevails over the rights of an installment buyer who paid the purchase price in full, using the Preamble of P.D. No. 957 as an intrinsic aid to construction.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Philippine National Bank (PNB) v. Office of the President, HLURB, and Spouses Jaime &amp; Rosita Tapio,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Preamble and Section 18, Presidential Decree No. 957: Preamble declares state policy to protect real estate buyers; Section 18 prohibits mortgages without NHA approval.</w:t>
              <w:br/>
              <w:t>2. Preamble as an Intrinsic Aid to Statutory Construction: The preamble is the key to open the minds of the lawmakers as to the mischiefs to be remedied and the objects to be accomplished.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PNB attempted to enforce general Civil Code mortgage doctrines in complete disregard of the explicit statutory policy se...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PNB's petition, AFFIRMED the Office of the President and HLURB, and ORDERED PNB to release the clean certificate of title to the Tapio spouses.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PNB's mortgage and foreclosure CANNOT defeat the title of the installment buyer. The PREAMBLE of P.D. No. 957 reveals the primary legislative intent: to protect innocent subdivision buyers against the unscrupulous practice of developers mortgaging lots to banks without buyer knowledge.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PNB attempted to enforce general Civil Code mortgage doctrines in complete disregard of the explicit statutory policy set forth in the Pream.</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The Preamble as an Intrinsic Aid: The preamble of a statute may be consulted to discover the true intent of the legislature and to resolve ambiguities regarding the scope of statutory protections.</w:t>
              <w:br/>
              <w:t xml:space="preserve">   - Result: No. The Preamble of PD 957 expressly states that the law was made to protect home buyers from being victimized by developers who mortgage lots to banks. The bank cannot take the lot from a buyer who paid in full.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Salus populi est suprema lex (buyer protection as supreme law)</w:t>
              <w:br/>
              <w:t>• Nemo dat quod non habet (bank acquires no better right than developer)</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Philippine National Bank (PNB) v. Office of the President, HLURB, and Spouses Jaime &amp; Rosita Tapio to mean and apply strictly in accordance with Ratio legis est anima legis, holding that No. The Preamble of PD 957 expressly states that the law was made to protect home buyers from being victimized by developers who mortgage lots to banks. The ban.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looked directly at the 'Whereas' clauses in the front of PD 957. The preamble says in plain words that the law was written because developers take buyers' money and simultaneously mortgage the land to banks. Because the preamble explains the soul of the law, the bank cannot claim ignorance and must deliver the land title to the buyer.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Preamble as an Intrinsic Aid: The preamble of a statute may be consulted to discover the true intent of the legislature and to resolve ambiguities regarding the scope of statutory protections.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'Whereas' clauses (Preamble) at the beginning of a law explain why the law was made and tell judges how to interpret it.</w:t>
            </w:r>
          </w:p>
        </w:tc>
      </w:tr>
    </w:tbl>
    <w:p>
      <w:r>
        <w:br w:type="page"/>
      </w:r>
    </w:p>
    <w:p>
      <w:pPr>
        <w:keepNext/>
        <w:spacing w:before="320" w:after="80"/>
      </w:pPr>
      <w:r>
        <w:rPr>
          <w:rFonts w:ascii="Arial" w:hAnsi="Arial"/>
          <w:b/>
          <w:color w:val="0F2043"/>
          <w:sz w:val="26"/>
        </w:rPr>
        <w:t>11. BIENVENIDO A. EBARLE V. HON. QUIRICO SUCALDITO AND ALUDIO P. MONTEMAYOR</w:t>
      </w:r>
    </w:p>
    <w:p>
      <w:pPr>
        <w:spacing w:before="40" w:after="80" w:line="276" w:lineRule="auto"/>
      </w:pPr>
      <w:r>
        <w:rPr>
          <w:rFonts w:ascii="Calibri" w:hAnsi="Calibri"/>
          <w:b/>
          <w:color w:val="212529"/>
          <w:sz w:val="21"/>
        </w:rPr>
        <w:t xml:space="preserve">Citation: </w:t>
      </w:r>
      <w:r>
        <w:rPr>
          <w:rFonts w:ascii="Calibri" w:hAnsi="Calibri"/>
          <w:i/>
          <w:color w:val="212529"/>
          <w:sz w:val="21"/>
        </w:rPr>
        <w:t>G.R. No. L-33628 | December 29, 1987 | 156 SCRA 803 | En Banc | Ponente: J. Sarmiento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Bienvenido A. Ebarle, Provincial Governor of Zamboanga del Sur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Quirico Sucaldito (City Fiscal of Pagadian City) and Aludio P. Montemayor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City Fiscal of Pagadian City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under Rule 65 challenging criminal complaints for graft and corruption filed against an elective provincial governor under Executive Order No. 264.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Aludio Montemayor filed several criminal complaints for Graft, Corruption, and Anti-Dummy violations against Zamboanga del Sur Provincial Governor Bienvenido Ebarle before the City Fiscal of Pagadian City. Governor Ebarle moved to dismiss the complaints, arguing that under Executive Order No. 264 (promulgated in 1970), administrative complaints against government officials must first be submitted to the department head under oath before any prosecution can commence. Ebarle argued that EO 264 applied to both administrative and criminal complaints against elective officials, relying on the broad wording in the body of the order.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private citizen filed criminal graft charges against a Provincial Governor before the City Prosecutor. The Governor demanded that the charges be thrown out, claiming that an old Executive Order (EO 264) requires all complaints against government officials to be submitted first to the department head for investigation. The Supreme Court looked at the Title and Preamble of EO 264 and ruled that the Executive Order applies strictly to administrative disciplinary complaints against appointive civil service employees, not to criminal prosecutions of elective governors.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Executive Order No. 264 applies to criminal complaints filed against elective public officials, using the Title and Preamble of the Executive Order as intrinsic aids.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EO 264 require criminal graft charges against an elected Governor to be filed first with a department secretary?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EO 264 applies to criminal prosecutions of elective officials, testing the Title, Preamble, and Noscitur a Sociis as Intrinsic Aids to Statutory Construction."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Executive Order No. 264 applies EXCLUSIVELY to administrative complaints against appointive civil service personnel. The TITLE and PREAMBLE of EO 264 explicitly limit its scope to administrative disciplinary proceedings, not criminal investigations.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Title and Preamble of the Executive Order make it crystal clear: it was written only for administrative office discipline inside executive departments, not criminal court cases against elected officials.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Title and Preamble as intrinsic aids and Noscitur a sociis (known by its associates), EO 264 is strictly confined to administrative investigations of appointive personnel. It cannot be used as an umbrella to shield elective officials from criminal prosecution before the City Fiscal."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Title and Preamble of Executive Order No. 264 (Series of 1970): </w:t>
            </w:r>
            <w:r>
              <w:rPr>
                <w:rFonts w:ascii="Calibri" w:hAnsi="Calibri"/>
                <w:color w:val="212529"/>
                <w:sz w:val="20"/>
              </w:rPr>
              <w:t>Entitled 'Outlining the Procedure for Dealing with Complaints against Public Officials and Employees', referring to administrative discipline under the Civil Service.</w:t>
            </w:r>
          </w:p>
          <w:p>
            <w:pPr>
              <w:spacing w:before="20" w:after="40" w:line="276" w:lineRule="auto"/>
            </w:pPr>
            <w:r>
              <w:rPr>
                <w:rFonts w:ascii="Calibri" w:hAnsi="Calibri"/>
                <w:b/>
                <w:color w:val="212529"/>
                <w:sz w:val="20"/>
              </w:rPr>
              <w:t xml:space="preserve">2. Title and Preamble as Intrinsic Aids to Construction: </w:t>
            </w:r>
            <w:r>
              <w:rPr>
                <w:rFonts w:ascii="Calibri" w:hAnsi="Calibri"/>
                <w:color w:val="212529"/>
                <w:sz w:val="20"/>
              </w:rPr>
              <w:t>The title and preamble of an executive act define and delimit the scope of its enacting clauses.</w:t>
            </w:r>
          </w:p>
          <w:p>
            <w:pPr>
              <w:spacing w:before="20" w:after="40" w:line="276" w:lineRule="auto"/>
            </w:pPr>
            <w:r>
              <w:rPr>
                <w:rFonts w:ascii="Calibri" w:hAnsi="Calibri"/>
                <w:b/>
                <w:color w:val="212529"/>
                <w:sz w:val="20"/>
              </w:rPr>
              <w:t xml:space="preserve">3. Noscitur a Sociis (a thing is known by its companions): </w:t>
            </w:r>
            <w:r>
              <w:rPr>
                <w:rFonts w:ascii="Calibri" w:hAnsi="Calibri"/>
                <w:color w:val="212529"/>
                <w:sz w:val="20"/>
              </w:rPr>
              <w:t>The term 'complaints' in EO 264 is associated with administrative misconduct, not criminal offenses.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Title and Preamble of EO 264, Intrinsic Aids doctrine, and Noscitur a Sociis.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the Title and Preamble of EO 264, interpreted through Intrinsic Aids to Statutory Construction and Noscitur a sociis (known by its companions)."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Title as an Intrinsic Guide: </w:t>
            </w:r>
            <w:r>
              <w:rPr>
                <w:rFonts w:ascii="Calibri" w:hAnsi="Calibri"/>
                <w:color w:val="212529"/>
                <w:sz w:val="20"/>
              </w:rPr>
              <w:t>The title of EO 264 and its whereas clauses refer expressly to commission of administrative irregularities by civil service employees under departmental heads.</w:t>
            </w:r>
          </w:p>
          <w:p>
            <w:pPr>
              <w:spacing w:before="20" w:after="40" w:line="276" w:lineRule="auto"/>
            </w:pPr>
            <w:r>
              <w:rPr>
                <w:rFonts w:ascii="Calibri" w:hAnsi="Calibri"/>
                <w:b/>
                <w:color w:val="212529"/>
                <w:sz w:val="20"/>
              </w:rPr>
              <w:t xml:space="preserve">2. Distinction Between Administrative and Criminal Actions: </w:t>
            </w:r>
            <w:r>
              <w:rPr>
                <w:rFonts w:ascii="Calibri" w:hAnsi="Calibri"/>
                <w:color w:val="212529"/>
                <w:sz w:val="20"/>
              </w:rPr>
              <w:t>A provincial fiscal or city prosecutor has the constitutional and statutory duty to investigate public crimes. An executive order dealing with administrative office procedures cannot restrict the criminal jurisdiction of prosecutors.</w:t>
            </w:r>
          </w:p>
          <w:p>
            <w:pPr>
              <w:spacing w:before="20" w:after="40" w:line="276" w:lineRule="auto"/>
            </w:pPr>
            <w:r>
              <w:rPr>
                <w:rFonts w:ascii="Calibri" w:hAnsi="Calibri"/>
                <w:b/>
                <w:color w:val="212529"/>
                <w:sz w:val="20"/>
              </w:rPr>
              <w:t xml:space="preserve">3. Elective vs. Appointive Officials: </w:t>
            </w:r>
            <w:r>
              <w:rPr>
                <w:rFonts w:ascii="Calibri" w:hAnsi="Calibri"/>
                <w:color w:val="212529"/>
                <w:sz w:val="20"/>
              </w:rPr>
              <w:t>Elective governors have no 'department head' in the civil service hierarchy; applying EO 264 to them would lead to an impossible administrative absurdity.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Governor tried to take one generic word ('complaints') from the middle of the order and ignore everything else. But the Title and Preamble show that the order was meant for civil service bosses disciplining subordinates. You cannot use an office discipline rule to stop a criminal prosecutor from investigating graft.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Title and Preamble as intrinsic aids. The title limits the order to administrative discipline. The Court held that isolated general words in the body cannot be expanded beyond the restrictive scope established in the title and preamble."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Governor Ebarle's petition and ORDERED the City Fiscal to proceed with the preliminary investigation of the criminal charges.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Governor lost and the prosecutor was ordered to proceed with the criminal investigation.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ruling that the Title and Preamble of EO 264 restrict its operation to administrative cases only."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a. Preambles &amp; b. Title (EO 264 / Complaints against Local Officials)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Noscitur a sociis (a thing is known by its associates)</w:t>
              <w:br/>
            </w:r>
            <w:r>
              <w:rPr>
                <w:rFonts w:ascii="Calibri" w:hAnsi="Calibri"/>
                <w:b/>
                <w:color w:val="212529"/>
                <w:sz w:val="19"/>
              </w:rPr>
              <w:t xml:space="preserve">   • Literal English Translation: </w:t>
            </w:r>
            <w:r>
              <w:rPr>
                <w:rFonts w:ascii="Calibri" w:hAnsi="Calibri"/>
                <w:i/>
                <w:color w:val="212529"/>
                <w:sz w:val="19"/>
              </w:rPr>
              <w:t>It is known by its companions.</w:t>
              <w:br/>
            </w:r>
            <w:r>
              <w:rPr>
                <w:rFonts w:ascii="Calibri" w:hAnsi="Calibri"/>
                <w:b/>
                <w:color w:val="212529"/>
                <w:sz w:val="19"/>
              </w:rPr>
              <w:t xml:space="preserve">   • Plain Legal Meaning &amp; StatCon Application: </w:t>
            </w:r>
            <w:r>
              <w:rPr>
                <w:rFonts w:ascii="Calibri" w:hAnsi="Calibri"/>
                <w:color w:val="212529"/>
                <w:sz w:val="19"/>
              </w:rPr>
              <w:t>The word 'complaints' in EO 264 is defined and colored by its association with administrative misconduct in the title.</w:t>
            </w:r>
          </w:p>
          <w:p>
            <w:pPr>
              <w:spacing w:before="40" w:after="60" w:line="276" w:lineRule="auto"/>
            </w:pPr>
            <w:r>
              <w:rPr>
                <w:rFonts w:ascii="Calibri" w:hAnsi="Calibri"/>
                <w:b/>
                <w:color w:val="8C3200"/>
                <w:sz w:val="20"/>
              </w:rPr>
              <w:t>2. Ex antecedentibus et consequentibus fit optima interpretatio (the best interpretation is made from what precedes and what follows)</w:t>
              <w:br/>
            </w:r>
            <w:r>
              <w:rPr>
                <w:rFonts w:ascii="Calibri" w:hAnsi="Calibri"/>
                <w:b/>
                <w:color w:val="212529"/>
                <w:sz w:val="19"/>
              </w:rPr>
              <w:t xml:space="preserve">   • Literal English Translation: </w:t>
            </w:r>
            <w:r>
              <w:rPr>
                <w:rFonts w:ascii="Calibri" w:hAnsi="Calibri"/>
                <w:i/>
                <w:color w:val="212529"/>
                <w:sz w:val="19"/>
              </w:rPr>
              <w:t>The best interpretation arises from comparing the whole context.</w:t>
              <w:br/>
            </w:r>
            <w:r>
              <w:rPr>
                <w:rFonts w:ascii="Calibri" w:hAnsi="Calibri"/>
                <w:b/>
                <w:color w:val="212529"/>
                <w:sz w:val="19"/>
              </w:rPr>
              <w:t xml:space="preserve">   • Plain Legal Meaning &amp; StatCon Application: </w:t>
            </w:r>
            <w:r>
              <w:rPr>
                <w:rFonts w:ascii="Calibri" w:hAnsi="Calibri"/>
                <w:color w:val="212529"/>
                <w:sz w:val="19"/>
              </w:rPr>
              <w:t>The body of an executive order must be read in conformity with its title and preamble.</w:t>
            </w:r>
          </w:p>
          <w:p>
            <w:pPr>
              <w:spacing w:before="40" w:after="60" w:line="276" w:lineRule="auto"/>
            </w:pPr>
            <w:r>
              <w:rPr>
                <w:rFonts w:ascii="Calibri" w:hAnsi="Calibri"/>
                <w:b/>
                <w:color w:val="8C3200"/>
                <w:sz w:val="20"/>
              </w:rPr>
              <w:t>3.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 absurdity.</w:t>
              <w:br/>
            </w:r>
            <w:r>
              <w:rPr>
                <w:rFonts w:ascii="Calibri" w:hAnsi="Calibri"/>
                <w:b/>
                <w:color w:val="212529"/>
                <w:sz w:val="19"/>
              </w:rPr>
              <w:t xml:space="preserve">   • Plain Legal Meaning &amp; StatCon Application: </w:t>
            </w:r>
            <w:r>
              <w:rPr>
                <w:rFonts w:ascii="Calibri" w:hAnsi="Calibri"/>
                <w:color w:val="212529"/>
                <w:sz w:val="19"/>
              </w:rPr>
              <w:t>It is absurd to require an elective governor to submit a complaint to a non-existent department head.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a. Preambles &amp; b. Title (EO 264 / Complaints against Local Officials)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Noscitur a sociis</w:t>
              <w:br/>
              <w:t>(a thing is known by its associates / the meaning of 'complaints' in EO 264 is restricted by its title and preamble to administrative cases)</w:t>
              <w:br/>
              <w:br/>
              <w:t>Secondary:</w:t>
              <w:br/>
              <w:t>• Ex antecedentibus et consequentibus (reading body with title and preamble)</w:t>
              <w:br/>
              <w:t>• Lex non intendit absurdum (the law avoids absurd constructions)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Governor isolated a single phrase from the text, ignoring the clear limiting context provided by the Title and Preamble of the Executive Order.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Title and Preamble as Restrictive Intrinsic Aids: The title and preamble of an act serve as intrinsic guides that restrict and qualify broad or ambiguous terms in the body of the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You cannot pluck one broad word from a law and ignore the Title and Introduction that explain what the law is really about.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Ebarle v. Sucaldito demonstrates that the Title and Preamble are indispensable intrinsic aids that restrict general terms in the body of an enactment."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Bienvenido A. Ebarle v. Hon. Quirico Sucaldito and Aludio P. Montemayor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L-33628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December 29, 1987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Aludio Montemayor filed several criminal complaints for Graft, Corruption, and Anti-Dummy violations against Zamboanga del Sur Provincial Governor Bienvenido Ebarle before the City Fiscal of Pagadian City. Governor Ebarle moved to dismiss the complaints, arguing that under Executive Order No. 264 (promulgated in 1970), administrative complaints against government officials must first be submitted to the department head under oath before any prosecution can commence. Ebarle argued that EO 264 applied to both administrative and criminal complaints against elective officials, relying on the broad wording in the body of the order.</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Title and Preamble of Executive Order No. 264 (Series of 1970): Entitled 'Outlining the Procedure for Dealing with Complaints against Public Officials and Employees', referring to administrative discipline under the Civil Service.</w:t>
              <w:br/>
              <w:t>2. Title and Preamble as Intrinsic Aids to Construction: The title and preamble of an executive act define and delimit the scope of its enacting clauses.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Governor isolated a single phrase from the text, ignoring the clear limiting context provided by the Title and Preamble of the Executive Order.</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Executive Order No. 264 applies to criminal complaints filed against elective public officials, using the Title and Preamble of the Executive Order as intrinsic aids.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Bienvenido A. Ebarle v. Hon. Quirico Sucaldito and Aludio P. Montemayor, under the canon of Noscitur a sociis.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Title and Preamble of Executive Order No. 264 (Series of 1970): Entitled 'Outlining the Procedure for Dealing with Complaints against Public Officials and Employees', referring to administrative discipline under the Civil Service.</w:t>
              <w:br/>
              <w:t>2. Title and Preamble as Intrinsic Aids to Construction: The title and preamble of an executive act define and delimit the scope of its enacting clauses.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term is associated with or preceded by specific words, creating uncertainty as to its exact scope and whether general words are restricted by specific company.</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Governor Ebarle's petition and ORDERED the City Fiscal to proceed with the preliminary investigation of the criminal charges.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Executive Order No. 264 applies EXCLUSIVELY to administrative complaints against appointive civil service personnel. The TITLE and PREAMBLE of EO 264 explicitly limit its scope to administrative disciplinary proceedings, not criminal investigations.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presence of general terms alongside specific enumerations created ambiguity as to the intended scope and class of covered acts or subjects.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legislative intent and give harmonious effect to associated words by restricting general terms to the class of specific words.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Noscitur a sociis</w:t>
              <w:br/>
              <w:t xml:space="preserve">   - Application: Title and Preamble as Restrictive Intrinsic Aids: The title and preamble of an act serve as intrinsic guides that restrict and qualify broad or ambiguous terms in the body of the statute.</w:t>
              <w:br/>
              <w:t xml:space="preserve">   - Result: No. The Title and Preamble of the Executive Order make it crystal clear: it was written only for administrative office discipline inside executive departments, not criminal court cases against elected officials.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 antecedentibus et consequentibus (reading body with title and preamble)</w:t>
              <w:br/>
              <w:t>• Lex non intendit absurdum (the law avoids absurd constructions)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Bienvenido A. Ebarle v. Hon. Quirico Sucaldito and Aludio P. Montemayor to mean and apply strictly in accordance with Noscitur a sociis, holding that No. The Title and Preamble of the Executive Order make it crystal clear: it was written only for administrative office discipline inside executive departments,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Governor tried to take one generic word ('complaints') from the middle of the order and ignore everything else. But the Title and Preamble show that the order was meant for civil service bosses disciplining subordinates. You cannot use an office discipline rule to stop a criminal prosecutor from investigating graft.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Noscitur a sociis,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Title and Preamble as Restrictive Intrinsic Aids: The title and preamble of an act serve as intrinsic guides that restrict and qualify broad or ambiguous terms in the body of the statute.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You cannot pluck one broad word from a law and ignore the Title and Introduction that explain what the law is really about.</w:t>
            </w:r>
          </w:p>
        </w:tc>
      </w:tr>
    </w:tbl>
    <w:p>
      <w:r>
        <w:br w:type="page"/>
      </w:r>
    </w:p>
    <w:p>
      <w:pPr>
        <w:keepNext/>
        <w:spacing w:before="320" w:after="80"/>
      </w:pPr>
      <w:r>
        <w:rPr>
          <w:rFonts w:ascii="Arial" w:hAnsi="Arial"/>
          <w:b/>
          <w:color w:val="0F2043"/>
          <w:sz w:val="26"/>
        </w:rPr>
        <w:t>12. COMMISSIONER OF CUSTOMS V. AGAPITO RELUNIA</w:t>
      </w:r>
    </w:p>
    <w:p>
      <w:pPr>
        <w:spacing w:before="40" w:after="80" w:line="276" w:lineRule="auto"/>
      </w:pPr>
      <w:r>
        <w:rPr>
          <w:rFonts w:ascii="Calibri" w:hAnsi="Calibri"/>
          <w:b/>
          <w:color w:val="212529"/>
          <w:sz w:val="21"/>
        </w:rPr>
        <w:t xml:space="preserve">Citation: </w:t>
      </w:r>
      <w:r>
        <w:rPr>
          <w:rFonts w:ascii="Calibri" w:hAnsi="Calibri"/>
          <w:i/>
          <w:color w:val="212529"/>
          <w:sz w:val="21"/>
        </w:rPr>
        <w:t>G.R. No. L-11860 | May 29, 1959 | 105 Phil. 875 | En Banc | Ponente: J. Labrador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Customs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Agapito Relunia and the Court of Tax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CTA decision granting duty-free and tax-free importation of a passenger automobile by a returning military officer under Republic Act No. 1394.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Lieutenant Colonel Agapito Relunia, an officer of the Armed Forces of the Philippines returning from a military training assignment in the United States, brought home a 1954 Chevrolet automobile. The Collector of Customs assessed customs duties and special import tax under Republic Act No. 1394. Relunia claimed tax exemption under Section 6 of RA 1394, which exempts personal effects brought in by returning residents. The section contained several clauses separated by semicolons and commas. The CTA ruled that the semicolon separated the exemption clause for personal effects from the monetary limitations, allowing the tax-free entry of the car. The Commissioner of Customs appealed.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military officer returned from the US with a Chevrolet car and claimed it was exempt from import tax as 'personal effects' under a tax law. The tax court agreed with him, relying on where a semicolon was placed in the sentence. The Supreme Court reversed the tax court, ruling that punctuation marks like semicolons are low-level grammatical aids that cannot be used to invent a massive tax exemption for expensive cars that contradicts the clear legislative intent.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passenger automobile is exempt from customs duties as 'personal effects' under Section 6 of R.A. No. 1394 based on the grammatical placement of semicolons and commas.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an imported car tax-exempt just because of where a semicolon is placed in the tax exemption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punctuation marks (semicolons) can override legislative intent and the canon of Strictissimi Juris in tax exemptions under RA 1394."</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automobile is NOT EXEMPT from customs duties and taxes. Punctuation marks (such as semicolons) are LOW-RANKING INTRINSIC AIDS and can never prevail over the clear legislative intent and strict construction of tax exemptions.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An automobile is not a simple 'personal effect' like clothes or books. Punctuation marks like semicolons cannot be used to create a giant tax loophole that Congress never intended.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punctuation marks are the most fallible and lowest-ranking intrinsic aids in statutory construction. Under Strictissimi Juris in tax exemptions, an automobile cannot qualify as personal effects through grammatical semicolon manipulation."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 Republic Act No. 1394 (Special Import Tax Act): </w:t>
            </w:r>
            <w:r>
              <w:rPr>
                <w:rFonts w:ascii="Calibri" w:hAnsi="Calibri"/>
                <w:color w:val="212529"/>
                <w:sz w:val="20"/>
              </w:rPr>
              <w:t>Tax exemptions on importations, interpreted in relation to the Tariff and Customs Code.</w:t>
            </w:r>
          </w:p>
          <w:p>
            <w:pPr>
              <w:spacing w:before="20" w:after="40" w:line="276" w:lineRule="auto"/>
            </w:pPr>
            <w:r>
              <w:rPr>
                <w:rFonts w:ascii="Calibri" w:hAnsi="Calibri"/>
                <w:b/>
                <w:color w:val="212529"/>
                <w:sz w:val="20"/>
              </w:rPr>
              <w:t xml:space="preserve">2. Punctuation as an Auxiliary Intrinsic Aid: </w:t>
            </w:r>
            <w:r>
              <w:rPr>
                <w:rFonts w:ascii="Calibri" w:hAnsi="Calibri"/>
                <w:color w:val="212529"/>
                <w:sz w:val="20"/>
              </w:rPr>
              <w:t>Punctuation is an aid of low degree and can never be allowed to control or defeat the obvious purpose of the legislature.</w:t>
            </w:r>
          </w:p>
          <w:p>
            <w:pPr>
              <w:spacing w:before="20" w:after="40" w:line="276" w:lineRule="auto"/>
            </w:pPr>
            <w:r>
              <w:rPr>
                <w:rFonts w:ascii="Calibri" w:hAnsi="Calibri"/>
                <w:b/>
                <w:color w:val="212529"/>
                <w:sz w:val="20"/>
              </w:rPr>
              <w:t xml:space="preserve">3. Strictissimi Juris (of the strictest interpretation) in Tax Exemptions: </w:t>
            </w:r>
            <w:r>
              <w:rPr>
                <w:rFonts w:ascii="Calibri" w:hAnsi="Calibri"/>
                <w:color w:val="212529"/>
                <w:sz w:val="20"/>
              </w:rPr>
              <w:t>Tax exemptions are construed strictissimi juris against the claimant and liberally in favor of the State.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 RA 1394, Punctuation as an Auxiliary Aid, and Strictissimi Juris in tax exemptions.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 of RA 1394, guided by the rule on the Inferior Weight of Punctuation Marks and Strictissimi Juris in tax exemptions."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Hierarchy of Intrinsic Aids: </w:t>
            </w:r>
            <w:r>
              <w:rPr>
                <w:rFonts w:ascii="Calibri" w:hAnsi="Calibri"/>
                <w:color w:val="212529"/>
                <w:sz w:val="20"/>
              </w:rPr>
              <w:t>Punctuation marks are not part of the statutory substance; they are often inserted by legislative draftsmen or printers. A semicolon cannot expand a tax exemption beyond legislative intent.</w:t>
            </w:r>
          </w:p>
          <w:p>
            <w:pPr>
              <w:spacing w:before="20" w:after="40" w:line="276" w:lineRule="auto"/>
            </w:pPr>
            <w:r>
              <w:rPr>
                <w:rFonts w:ascii="Calibri" w:hAnsi="Calibri"/>
                <w:b/>
                <w:color w:val="212529"/>
                <w:sz w:val="20"/>
              </w:rPr>
              <w:t xml:space="preserve">2. Definition of Personal Effects: </w:t>
            </w:r>
            <w:r>
              <w:rPr>
                <w:rFonts w:ascii="Calibri" w:hAnsi="Calibri"/>
                <w:color w:val="212529"/>
                <w:sz w:val="20"/>
              </w:rPr>
              <w:t>In customs and tax jurisprudence, 'personal effects' includes personal clothing, toiletries, and small professional gear; it never encompasses expensive motorized passenger vehicles.</w:t>
            </w:r>
          </w:p>
          <w:p>
            <w:pPr>
              <w:spacing w:before="20" w:after="40" w:line="276" w:lineRule="auto"/>
            </w:pPr>
            <w:r>
              <w:rPr>
                <w:rFonts w:ascii="Calibri" w:hAnsi="Calibri"/>
                <w:b/>
                <w:color w:val="212529"/>
                <w:sz w:val="20"/>
              </w:rPr>
              <w:t xml:space="preserve">3. Strict Construction of Tax Exemptions: </w:t>
            </w:r>
            <w:r>
              <w:rPr>
                <w:rFonts w:ascii="Calibri" w:hAnsi="Calibri"/>
                <w:color w:val="212529"/>
                <w:sz w:val="20"/>
              </w:rPr>
              <w:t>Exemptions from taxation are never presumed. Ambiguities arising from punctuation must be resolved in favor of tax liability.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Punctuation is just grammar added by typists. You cannot rely on a tiny semicolon to declare a whole car tax-free. If Congress wanted to exempt cars, it would have said 'cars' in plain words. Tax exemptions must be written clearly, not hidden behind punctuation.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established that punctuation marks are weak, fallible aids. Under Strictissimi Juris, tax exemptions must be clear and explicit. A semicolon cannot transform a motor vehicle into tax-exempt 'personal effects'."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Court of Tax Appeals decision and DECLARED the imported automobile subject to customs duties and import taxes.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 court was reversed and the military officer was ordered to pay customs tax on his car.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CTA, holding that punctuation marks cannot expand tax exemptions beyond the clear text of the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e. Headnotes or Epigraphs (Tariff and Customs Code Sec. 3514)</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Tax exemptions are construed strictissimi juris against the taxpayer.</w:t>
            </w:r>
          </w:p>
          <w:p>
            <w:pPr>
              <w:spacing w:before="40" w:after="60" w:line="276" w:lineRule="auto"/>
            </w:pPr>
            <w:r>
              <w:rPr>
                <w:rFonts w:ascii="Calibri" w:hAnsi="Calibri"/>
                <w:b/>
                <w:color w:val="8C3200"/>
                <w:sz w:val="20"/>
              </w:rPr>
              <w:t>2. Verba intentioni, non e contra, debent inservire (words ought to serve the intention, not the reverse)</w:t>
              <w:br/>
            </w:r>
            <w:r>
              <w:rPr>
                <w:rFonts w:ascii="Calibri" w:hAnsi="Calibri"/>
                <w:b/>
                <w:color w:val="212529"/>
                <w:sz w:val="19"/>
              </w:rPr>
              <w:t xml:space="preserve">   • Literal English Translation: </w:t>
            </w:r>
            <w:r>
              <w:rPr>
                <w:rFonts w:ascii="Calibri" w:hAnsi="Calibri"/>
                <w:i/>
                <w:color w:val="212529"/>
                <w:sz w:val="19"/>
              </w:rPr>
              <w:t>Words should serve the intention, not intention the words.</w:t>
              <w:br/>
            </w:r>
            <w:r>
              <w:rPr>
                <w:rFonts w:ascii="Calibri" w:hAnsi="Calibri"/>
                <w:b/>
                <w:color w:val="212529"/>
                <w:sz w:val="19"/>
              </w:rPr>
              <w:t xml:space="preserve">   • Plain Legal Meaning &amp; StatCon Application: </w:t>
            </w:r>
            <w:r>
              <w:rPr>
                <w:rFonts w:ascii="Calibri" w:hAnsi="Calibri"/>
                <w:color w:val="212529"/>
                <w:sz w:val="19"/>
              </w:rPr>
              <w:t>Grammatical punctuation must yield to the substantive purpose of the statute.</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policy to raise customs revenue governs over grammatical technicalities.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e. Headnotes or Epigraphs (Tariff and Customs Code Sec. 3514)</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punctuation marks like semicolons cannot be used to invent tax exemptions for automobiles)</w:t>
              <w:br/>
              <w:br/>
              <w:t>Secondary:</w:t>
              <w:br/>
              <w:t>• Verba intentioni non e contra debent inservire (punctuation must serve legislative intent)</w:t>
              <w:br/>
              <w:t>• Ratio legis est anima legis (the purpose of the law is its soul)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tax court elevated a semicolon above legislative intent and strict tax construction, creating an unauthorized tax exemption.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Subordinate Role of Punctuation Marks: Punctuation marks are auxiliary aids of low degree; they must yield to the plain meaning of words and the primary purpose of the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Punctuation marks like commas and semicolons are the weakest tools in statutory construction and cannot be used to create tax exemptions.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Commissioner of Customs v. Relunia is the landmark ruling establishing that punctuation marks are low-ranking intrinsic aids that cannot defeat legislative intent or tax rules."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Customs v. Agapito Relunia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L-11860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May 29, 1959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Lieutenant Colonel Agapito Relunia, an officer of the Armed Forces of the Philippines returning from a military training assignment in the United States, brought home a 1954 Chevrolet automobile. The Collector of Customs assessed customs duties and special import tax under Republic Act No. 1394. Relunia claimed tax exemption under Section 6 of RA 1394, which exempts personal effects brought in by returning residents. The section contained several clauses separated by semicolons and commas. The CTA ruled that the semicolon separated the exemption clause for personal effects from the monetary limitations, allowing the tax-free entry of the car. The Commissioner of Customs appealed.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 Republic Act No. 1394 (Special Import Tax Act): Tax exemptions on importations, interpreted in relation to the Tariff and Customs Code.</w:t>
              <w:br/>
              <w:t>2. Punctuation as an Auxiliary Intrinsic Aid: Punctuation is an aid of low degree and can never be allowed to control or defeat the obvious purpose of the legislature.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tax court elevated a semicolon above legislative intent and strict tax construction, creating an unauthorized tax exemption.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passenger automobile is exempt from customs duties as 'personal effects' under Section 6 of R.A. No. 1394 based on the grammatical placement of semicolons and commas.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Customs v. Agapito Relunia,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 Republic Act No. 1394 (Special Import Tax Act): Tax exemptions on importations, interpreted in relation to the Tariff and Customs Code.</w:t>
              <w:br/>
              <w:t>2. Punctuation as an Auxiliary Intrinsic Aid: Punctuation is an aid of low degree and can never be allowed to control or defeat the obvious purpose of the legislature.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tax court elevated a semicolon above legislative intent and strict tax construction, creating an unauthorized tax ex...</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Court of Tax Appeals decision and DECLARED the imported automobile subject to customs duties and import taxes.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automobile is NOT EXEMPT from customs duties and taxes. Punctuation marks (such as semicolons) are LOW-RANKING INTRINSIC AIDS and can never prevail over the clear legislative intent and strict construction of tax exemptions.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tax court elevated a semicolon above legislative intent and strict tax construction, creating an unauthorized tax exemption..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Subordinate Role of Punctuation Marks: Punctuation marks are auxiliary aids of low degree; they must yield to the plain meaning of words and the primary purpose of the legislature.</w:t>
              <w:br/>
              <w:t xml:space="preserve">   - Result: No. An automobile is not a simple 'personal effect' like clothes or books. Punctuation marks like semicolons cannot be used to create a giant tax loophole that Congress never intended.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intentioni non e contra debent inservire (punctuation must serve legislative intent)</w:t>
              <w:br/>
              <w:t>• Ratio legis est anima legis (the purpose of the law is its soul)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Customs v. Agapito Relunia to mean and apply strictly in accordance with Strictissimi juris, holding that No. An automobile is not a simple 'personal effect' like clothes or books. Punctuation marks like semicolons cannot be used to create a giant tax loophole that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Punctuation is just grammar added by typists. You cannot rely on a tiny semicolon to declare a whole car tax-free. If Congress wanted to exempt cars, it would have said 'cars' in plain words. Tax exemptions must be written clearly, not hidden behind punctuation.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Subordinate Role of Punctuation Marks: Punctuation marks are auxiliary aids of low degree; they must yield to the plain meaning of words and the primary purpose of the legislature.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Punctuation marks like commas and semicolons are the weakest tools in statutory construction and cannot be used to create tax exemptions.</w:t>
            </w:r>
          </w:p>
        </w:tc>
      </w:tr>
    </w:tbl>
    <w:p>
      <w:r>
        <w:br w:type="page"/>
      </w:r>
    </w:p>
    <w:p>
      <w:pPr>
        <w:keepNext/>
        <w:spacing w:before="320" w:after="80"/>
      </w:pPr>
      <w:r>
        <w:rPr>
          <w:rFonts w:ascii="Arial" w:hAnsi="Arial"/>
          <w:b/>
          <w:color w:val="0F2043"/>
          <w:sz w:val="26"/>
        </w:rPr>
        <w:t>13. IN RE: IN THE MATTER OF THE ESTATE OF EMIL H. JOHNSON (DECEASED)</w:t>
      </w:r>
    </w:p>
    <w:p>
      <w:pPr>
        <w:spacing w:before="40" w:after="80" w:line="276" w:lineRule="auto"/>
      </w:pPr>
      <w:r>
        <w:rPr>
          <w:rFonts w:ascii="Calibri" w:hAnsi="Calibri"/>
          <w:b/>
          <w:color w:val="212529"/>
          <w:sz w:val="21"/>
        </w:rPr>
        <w:t xml:space="preserve">Citation: </w:t>
      </w:r>
      <w:r>
        <w:rPr>
          <w:rFonts w:ascii="Calibri" w:hAnsi="Calibri"/>
          <w:i/>
          <w:color w:val="212529"/>
          <w:sz w:val="21"/>
        </w:rPr>
        <w:t>G.R. No. L-12767 | November 16, 1918 | 39 Phil. 156 | En Banc | Ponente: J. Street</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In the Matter of the Estate of Emil H. Johnson (Petition for Probate)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Alejandra Ibañez de Johnson (Oppositor)</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an order admitting to probate the holographic will of a deceased American citizen residing in Manila under Section 636 of the Code of Civil Procedure (Act No. 190).</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Emil H. Johnson, a native of Illinois and an American citizen residing in Manila, executed a holographic will and died leaving properties in the Philippines. The will was presented for probate in Manila pursuant to Section 636 of the Code of Civil Procedure (Act No. 190), which provided that a will made outside the Philippine Islands by a person not a citizen may be admitted to probate if made in accordance with the laws of his citizenship. The trial court admitted the will. The oppositor appealed, arguing that the legislative title and heading of Section 636 referred to 'Wills proved outside the Philippine Islands', and contended that since Johnson executed his will INSIDE Manila, Section 636 could not apply.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An American living in Manila wrote a holographic will. When his estate asked the Manila court to probate the will under the Code of Civil Procedure, an oppositor argued that the chapter heading in the law book said 'Wills proved outside the Philippine Islands', so a will written inside Manila could not use that law. The Supreme Court ruled that chapter headings and section titles are mere index labels and table-of-contents guides; they cannot be used to restrict or destroy the clear, unambiguous body of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section headings and chapter titles in a statutory code can restrict or override the plain and unambiguous operative text of the statute.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heading or title of a section in a law book limit the clear meaning of the actual law written beneath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headings in a procedural code can limit the operative text of Section 636 of Act No. 190, testing Headings and Marginal Notes as Intrinsic Aids versus Verba Legis (the words of the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Section headings and chapter titles are INFERIOR INTRINSIC AIDS that cannot restrict, limit, or defeat the clear and unambiguous operative text of a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Section titles in law codes are just table-of-contents headings created to help readers browse. When the actual text of the law is clear, the title of the section cannot shrink or change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section headings and chapter titles in statutory compilations are mere catchwords and indices. Under Verba Legis, when the operative text of a statute is clear and comprehensive, section titles cannot be used to restrict or defeat the legislative command."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636, Act No. 190 (Code of Civil Procedure): </w:t>
            </w:r>
            <w:r>
              <w:rPr>
                <w:rFonts w:ascii="Calibri" w:hAnsi="Calibri"/>
                <w:color w:val="212529"/>
                <w:sz w:val="20"/>
              </w:rPr>
              <w:t>Allows probate of wills executed by foreigners in accordance with the laws of their home country or state.</w:t>
            </w:r>
          </w:p>
          <w:p>
            <w:pPr>
              <w:spacing w:before="20" w:after="40" w:line="276" w:lineRule="auto"/>
            </w:pPr>
            <w:r>
              <w:rPr>
                <w:rFonts w:ascii="Calibri" w:hAnsi="Calibri"/>
                <w:b/>
                <w:color w:val="212529"/>
                <w:sz w:val="20"/>
              </w:rPr>
              <w:t xml:space="preserve">2. Headings and Marginal Notes as Subordinate Intrinsic Aids: </w:t>
            </w:r>
            <w:r>
              <w:rPr>
                <w:rFonts w:ascii="Calibri" w:hAnsi="Calibri"/>
                <w:color w:val="212529"/>
                <w:sz w:val="20"/>
              </w:rPr>
              <w:t>Headings and titles of sections are convenient indices, but are not part of the substantive legislative enactment and cannot override clear text.</w:t>
            </w:r>
          </w:p>
          <w:p>
            <w:pPr>
              <w:spacing w:before="20" w:after="40" w:line="276" w:lineRule="auto"/>
            </w:pPr>
            <w:r>
              <w:rPr>
                <w:rFonts w:ascii="Calibri" w:hAnsi="Calibri"/>
                <w:b/>
                <w:color w:val="212529"/>
                <w:sz w:val="20"/>
              </w:rPr>
              <w:t xml:space="preserve">3. Verba Legis Non Est Recedendum (from the words of the statute there should be no departure): </w:t>
            </w:r>
            <w:r>
              <w:rPr>
                <w:rFonts w:ascii="Calibri" w:hAnsi="Calibri"/>
                <w:color w:val="212529"/>
                <w:sz w:val="20"/>
              </w:rPr>
              <w:t>The plain text of the operative section controls.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636 Act No. 190, Headings as Subordinate Aids, and Verba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636 of Act No. 190, guided by the rule on the Subordinate Nature of Section Headings and Verba legis non est recedendum (from statutory words no departure)."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Function of Section Headings: </w:t>
            </w:r>
            <w:r>
              <w:rPr>
                <w:rFonts w:ascii="Calibri" w:hAnsi="Calibri"/>
                <w:color w:val="212529"/>
                <w:sz w:val="20"/>
              </w:rPr>
              <w:t>Headings in codes are inserted for ease of reference and convenience of compilation. They are not intended to qualify or limit the substantive enactments found in the body of the sections.</w:t>
            </w:r>
          </w:p>
          <w:p>
            <w:pPr>
              <w:spacing w:before="20" w:after="40" w:line="276" w:lineRule="auto"/>
            </w:pPr>
            <w:r>
              <w:rPr>
                <w:rFonts w:ascii="Calibri" w:hAnsi="Calibri"/>
                <w:b/>
                <w:color w:val="212529"/>
                <w:sz w:val="20"/>
              </w:rPr>
              <w:t xml:space="preserve">2. Primacy of Operative Language: </w:t>
            </w:r>
            <w:r>
              <w:rPr>
                <w:rFonts w:ascii="Calibri" w:hAnsi="Calibri"/>
                <w:color w:val="212529"/>
                <w:sz w:val="20"/>
              </w:rPr>
              <w:t>Where the language of the section itself is broad, clear, and unambiguous, it must be given full effect without regard to any restrictive phrasing in the chapter caption.</w:t>
            </w:r>
          </w:p>
          <w:p>
            <w:pPr>
              <w:spacing w:before="20" w:after="40" w:line="276" w:lineRule="auto"/>
            </w:pPr>
            <w:r>
              <w:rPr>
                <w:rFonts w:ascii="Calibri" w:hAnsi="Calibri"/>
                <w:b/>
                <w:color w:val="212529"/>
                <w:sz w:val="20"/>
              </w:rPr>
              <w:t xml:space="preserve">3. Valid Execution Under Foreign Law: </w:t>
            </w:r>
            <w:r>
              <w:rPr>
                <w:rFonts w:ascii="Calibri" w:hAnsi="Calibri"/>
                <w:color w:val="212529"/>
                <w:sz w:val="20"/>
              </w:rPr>
              <w:t>The deceased, as a citizen of Illinois, executed a will conforming to Illinois law, which Section 636 explicitly authorized to be probated in Philippine courts.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chapter heading is just a label on a folder. If the paper inside the folder gives a complete right, you don't throw away the paper just because the folder label was short. The text of the law was clear, so the title heading could not block the probate of the will.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laid down the fundamental rule on statutory headings. Section titles are mere bookmarks for convenience. Under Verba Legis, the clear operative text of Section 636 governs, and cannot be narrowed by an imperfect chapter heading."</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trial court order admitting the holographic will of Emil H. Johnson to probate.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American citizen's will was declared validly probated.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probate, establishing that section headings cannot restrict the plain operative text of a statute."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e. Headnotes / Section Headings (Code of Civil Procedure Sec. 636)</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substantive text of Section 636 governs over editorial headings.</w:t>
            </w:r>
          </w:p>
          <w:p>
            <w:pPr>
              <w:spacing w:before="40" w:after="60" w:line="276" w:lineRule="auto"/>
            </w:pPr>
            <w:r>
              <w:rPr>
                <w:rFonts w:ascii="Calibri" w:hAnsi="Calibri"/>
                <w:b/>
                <w:color w:val="8C3200"/>
                <w:sz w:val="20"/>
              </w:rPr>
              <w:t>2. Rubrica non est lex (the title/heading is not the law)</w:t>
              <w:br/>
            </w:r>
            <w:r>
              <w:rPr>
                <w:rFonts w:ascii="Calibri" w:hAnsi="Calibri"/>
                <w:b/>
                <w:color w:val="212529"/>
                <w:sz w:val="19"/>
              </w:rPr>
              <w:t xml:space="preserve">   • Literal English Translation: </w:t>
            </w:r>
            <w:r>
              <w:rPr>
                <w:rFonts w:ascii="Calibri" w:hAnsi="Calibri"/>
                <w:i/>
                <w:color w:val="212529"/>
                <w:sz w:val="19"/>
              </w:rPr>
              <w:t>The heading is not the law.</w:t>
              <w:br/>
            </w:r>
            <w:r>
              <w:rPr>
                <w:rFonts w:ascii="Calibri" w:hAnsi="Calibri"/>
                <w:b/>
                <w:color w:val="212529"/>
                <w:sz w:val="19"/>
              </w:rPr>
              <w:t xml:space="preserve">   • Plain Legal Meaning &amp; StatCon Application: </w:t>
            </w:r>
            <w:r>
              <w:rPr>
                <w:rFonts w:ascii="Calibri" w:hAnsi="Calibri"/>
                <w:color w:val="212529"/>
                <w:sz w:val="19"/>
              </w:rPr>
              <w:t>Section titles and marginal notes do not possess substantive legislative force to restrict clear statutory text.</w:t>
            </w:r>
          </w:p>
          <w:p>
            <w:pPr>
              <w:spacing w:before="40" w:after="60" w:line="276" w:lineRule="auto"/>
            </w:pPr>
            <w:r>
              <w:rPr>
                <w:rFonts w:ascii="Calibri" w:hAnsi="Calibri"/>
                <w:b/>
                <w:color w:val="8C3200"/>
                <w:sz w:val="20"/>
              </w:rPr>
              <w:t>3. Absoluta sententia expositore non eget (when the language is clear, no explanation is required)</w:t>
              <w:br/>
            </w:r>
            <w:r>
              <w:rPr>
                <w:rFonts w:ascii="Calibri" w:hAnsi="Calibri"/>
                <w:b/>
                <w:color w:val="212529"/>
                <w:sz w:val="19"/>
              </w:rPr>
              <w:t xml:space="preserve">   • Literal English Translation: </w:t>
            </w:r>
            <w:r>
              <w:rPr>
                <w:rFonts w:ascii="Calibri" w:hAnsi="Calibri"/>
                <w:i/>
                <w:color w:val="212529"/>
                <w:sz w:val="19"/>
              </w:rPr>
              <w:t>An absolute sentence requires no expositor.</w:t>
              <w:br/>
            </w:r>
            <w:r>
              <w:rPr>
                <w:rFonts w:ascii="Calibri" w:hAnsi="Calibri"/>
                <w:b/>
                <w:color w:val="212529"/>
                <w:sz w:val="19"/>
              </w:rPr>
              <w:t xml:space="preserve">   • Plain Legal Meaning &amp; StatCon Application: </w:t>
            </w:r>
            <w:r>
              <w:rPr>
                <w:rFonts w:ascii="Calibri" w:hAnsi="Calibri"/>
                <w:color w:val="212529"/>
                <w:sz w:val="19"/>
              </w:rPr>
              <w:t>The clear text of the probate statute requires no construction from marginal titles.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e. Headnotes / Section Headings (Code of Civil Procedure Sec. 636)</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Rubrica non est lex</w:t>
              <w:br/>
              <w:t>(the title or heading is not the law / section headings and marginal notes in codes are mere convenience indices that cannot restrict clear operative text)</w:t>
              <w:br/>
              <w:br/>
              <w:t>Secondary:</w:t>
              <w:br/>
              <w:t>• Verba legis non est recedendum (statutory words control)</w:t>
              <w:br/>
              <w:t>• Absoluta sententia expositore non eget (clear text needs no exposition)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oppositor attempted to use an editorial section heading to override and restrict the clear operative body of the Code of Civil Procedure.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Subordinate Status of Section Headings: Section headings, titles, and marginal notes are mere editorial guides and indices; they cannot be used to restrict, limit, or contradict the clear operative text of the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titles and book headings are just table-of-contents labels; they are not the actual law and cannot shrink what the law says.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In Re Estate of Johnson is the classic benchmark case for the maxim Rubrica non est lex: section headings cannot restrict the clear text of a statute."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In Re: In the Matter of the Estate of Emil H. Johnson (Deceased)</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L-12767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16, 1918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Emil H. Johnson, a native of Illinois and an American citizen residing in Manila, executed a holographic will and died leaving properties in the Philippines. The will was presented for probate in Manila pursuant to Section 636 of the Code of Civil Procedure (Act No. 190), which provided that a will made outside the Philippine Islands by a person not a citizen may be admitted to probate if made in accordance with the laws of his citizenship. The trial court admitted the will. The oppositor appealed, arguing that the legislative title and heading of Section 636 referred to 'Wills proved outside the Philippine Islands', and contended that since Johnson executed his will INSIDE Manila, Section 636 could not apply.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636, Act No. 190 (Code of Civil Procedure): Allows probate of wills executed by foreigners in accordance with the laws of their home country or state.</w:t>
              <w:br/>
              <w:t>2. Headings and Marginal Notes as Subordinate Intrinsic Aids: Headings and titles of sections are convenient indices, but are not part of the substantive legislative enactment and cannot override clear text.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oppositor attempted to use an editorial section heading to override and restrict the clear operative body of the Code of Civil Procedure.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section headings and chapter titles in a statutory code can restrict or override the plain and unambiguous operative text of the statute.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In Re: In the Matter of the Estate of Emil H. Johnson (Deceased), under the canon of Rubrica non est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636, Act No. 190 (Code of Civil Procedure): Allows probate of wills executed by foreigners in accordance with the laws of their home country or state.</w:t>
              <w:br/>
              <w:t>2. Headings and Marginal Notes as Subordinate Intrinsic Aids: Headings and titles of sections are convenient indices, but are not part of the substantive legislative enactment and cannot override clear text.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oppositor attempted to use an editorial section heading to override and restrict the clear operative body of the Cod...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trial court order admitting the holographic will of Emil H. Johnson to probate.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Section headings and chapter titles are INFERIOR INTRINSIC AIDS that cannot restrict, limit, or defeat the clear and unambiguous operative text of a statute.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oppositor attempted to use an editorial section heading to override and restrict the clear operative body of the Code of Civil Procedure.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Rubrica non est lex</w:t>
              <w:br/>
              <w:t xml:space="preserve">   - Application: Subordinate Status of Section Headings: Section headings, titles, and marginal notes are mere editorial guides and indices; they cannot be used to restrict, limit, or contradict the clear operative text of the statute.</w:t>
              <w:br/>
              <w:t xml:space="preserve">   - Result: No. Section titles in law codes are just table-of-contents headings created to help readers browse. When the actual text of the law is clear, the title of the section cannot shrink or change the law.</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(statutory words control)</w:t>
              <w:br/>
              <w:t>• Absoluta sententia expositore non eget (clear text needs no exposition)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In Re: In the Matter of the Estate of Emil H. Johnson (Deceased) to mean and apply strictly in accordance with Rubrica non est lex, holding that No. Section titles in law codes are just table-of-contents headings created to help readers browse. When the actual text of the law is clear, the title of the 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 chapter heading is just a label on a folder. If the paper inside the folder gives a complete right, you don't throw away the paper just because the folder label was short. The text of the law was clear, so the title heading could not block the probate of the will.</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Rubrica non est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Subordinate Status of Section Headings: Section headings, titles, and marginal notes are mere editorial guides and indices; they cannot be used to restrict, limit, or contradict the clear operative text of the statute.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Section titles and book headings are just table-of-contents labels; they are not the actual law and cannot shrink what the law says.</w:t>
            </w:r>
          </w:p>
        </w:tc>
      </w:tr>
    </w:tbl>
    <w:p>
      <w:r>
        <w:br w:type="page"/>
      </w:r>
    </w:p>
    <w:p>
      <w:pPr>
        <w:keepNext/>
        <w:spacing w:before="320" w:after="80"/>
      </w:pPr>
      <w:r>
        <w:rPr>
          <w:rFonts w:ascii="Arial" w:hAnsi="Arial"/>
          <w:b/>
          <w:color w:val="0F2043"/>
          <w:sz w:val="26"/>
        </w:rPr>
        <w:t>14. PEOPLE OF THE PHILIPPINES V. ROSAURO SUBIDO</w:t>
      </w:r>
    </w:p>
    <w:p>
      <w:pPr>
        <w:spacing w:before="40" w:after="80" w:line="276" w:lineRule="auto"/>
      </w:pPr>
      <w:r>
        <w:rPr>
          <w:rFonts w:ascii="Calibri" w:hAnsi="Calibri"/>
          <w:b/>
          <w:color w:val="212529"/>
          <w:sz w:val="21"/>
        </w:rPr>
        <w:t xml:space="preserve">Citation: </w:t>
      </w:r>
      <w:r>
        <w:rPr>
          <w:rFonts w:ascii="Calibri" w:hAnsi="Calibri"/>
          <w:i/>
          <w:color w:val="212529"/>
          <w:sz w:val="21"/>
        </w:rPr>
        <w:t>G.R. No. L-21734 | September 5, 1975 | 66 SCRA 545 | Second Division | Ponente: J. Antonio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Rosauro Subido (Appellant)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an order of execution imposing subsidiary imprisonment for failure to pay a criminal libel fine under Article 355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Rosauro Subido, editor of the Manila Post, was convicted of Libel and sentenced by the trial court to pay a fine of P500.00 'with subsidiary imprisonment in case of insolvency'. Subido appealed the subsidiary imprisonment, pointing out that Article 355 of the Revised Penal Code penalizes libel with 'a fine ranging from 200 to 2,000 pesos, or imprisonment, or both'. Subido argued that under the punctuation and phrasing of Article 355 in relation to Article 39 RPC, subsidiary imprisonment applies only when the penalty imposed is fine ALONE, and that the presence of commas in Article 355 showed legislative intent to exclude subsidiary imprisonment.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newspaper editor was convicted of libel and fined 500 pesos, with an order that if he refuses to pay, he must serve subsidiary jail time. The editor claimed that because of the commas in the libel statute, the court had no legal power to send him to jail for failing to pay the fine. The Supreme Court rejected his punctuation argument and held that under Article 39 of the Revised Penal Code, subsidiary imprisonment applies to all unpaid criminal fines.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an accused sentenced to pay a fine for criminal libel is subject to subsidiary imprisonment in case of insolvency, notwithstanding grammatical punctuation arguments on Article 355 RPC.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convicted person have to serve jail time if he fails to pay a criminal fine, despite comma placement in the libel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subsidiary imprisonment applies to criminal libel fines under Article 39 in relation to Article 355 RPC, testing the subordination of Punctuation Marks to the Statute as a Whole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convict IS SUBJECT to subsidiary imprisonment upon failure to pay the criminal fine. Article 39 of the Revised Penal Code explicitly mandates subsidiary imprisonment for insolvency in payment of fines.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If you are fined for a crime and don't pay, you must serve subsidiary jail time. Punctuation in the libel article cannot cancel the general rule of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Article 39 of the Revised Penal Code and Ut res magis valeat quam pereat, subsidiary imprisonment is a mandatory statutory consequence of insolvency in criminal fines. Punctuation marks in Article 355 cannot override the general provisions of the Penal Code."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39, Revised Penal Code: </w:t>
            </w:r>
            <w:r>
              <w:rPr>
                <w:rFonts w:ascii="Calibri" w:hAnsi="Calibri"/>
                <w:color w:val="212529"/>
                <w:sz w:val="20"/>
              </w:rPr>
              <w:t>Mandates subsidiary penalty of imprisonment when the convict has no property to meet the fine.</w:t>
            </w:r>
          </w:p>
          <w:p>
            <w:pPr>
              <w:spacing w:before="20" w:after="40" w:line="276" w:lineRule="auto"/>
            </w:pPr>
            <w:r>
              <w:rPr>
                <w:rFonts w:ascii="Calibri" w:hAnsi="Calibri"/>
                <w:b/>
                <w:color w:val="212529"/>
                <w:sz w:val="20"/>
              </w:rPr>
              <w:t xml:space="preserve">2. Article 355, Revised Penal Code: </w:t>
            </w:r>
            <w:r>
              <w:rPr>
                <w:rFonts w:ascii="Calibri" w:hAnsi="Calibri"/>
                <w:color w:val="212529"/>
                <w:sz w:val="20"/>
              </w:rPr>
              <w:t>Penalty for libel by means of writing or similar means.</w:t>
            </w:r>
          </w:p>
          <w:p>
            <w:pPr>
              <w:spacing w:before="20" w:after="40" w:line="276" w:lineRule="auto"/>
            </w:pPr>
            <w:r>
              <w:rPr>
                <w:rFonts w:ascii="Calibri" w:hAnsi="Calibri"/>
                <w:b/>
                <w:color w:val="212529"/>
                <w:sz w:val="20"/>
              </w:rPr>
              <w:t xml:space="preserve">3. Punctuation as a Subordinate Intrinsic Aid: </w:t>
            </w:r>
            <w:r>
              <w:rPr>
                <w:rFonts w:ascii="Calibri" w:hAnsi="Calibri"/>
                <w:color w:val="212529"/>
                <w:sz w:val="20"/>
              </w:rPr>
              <w:t>Punctuation marks are not controlling when the statutory command of the entire code is clear.</w:t>
            </w:r>
          </w:p>
          <w:p>
            <w:pPr>
              <w:spacing w:before="20" w:after="40" w:line="276" w:lineRule="auto"/>
            </w:pPr>
            <w:r>
              <w:rPr>
                <w:rFonts w:ascii="Calibri" w:hAnsi="Calibri"/>
                <w:b/>
                <w:color w:val="212529"/>
                <w:sz w:val="20"/>
              </w:rPr>
              <w:t xml:space="preserve">4. Ut Res Magis Valeat Quam Pereat (that the thing may rather have effect than perish): </w:t>
            </w:r>
            <w:r>
              <w:rPr>
                <w:rFonts w:ascii="Calibri" w:hAnsi="Calibri"/>
                <w:color w:val="212529"/>
                <w:sz w:val="20"/>
              </w:rPr>
              <w:t>General provisions on penalties (Book I) apply systematically to specific crimes (Book II).</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Articles 39 &amp; 355 RPC, Punctuation as a Subordinate Aid, and Ut Res Magis Valeat Quam Pereat.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39 in relation to Article 355 RPC, governed by Ut res magis valeat quam pereat (construction of the penal code as an integrated whole) and the inferior weight of punctuation marks."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General Principles of the Penal Code: </w:t>
            </w:r>
            <w:r>
              <w:rPr>
                <w:rFonts w:ascii="Calibri" w:hAnsi="Calibri"/>
                <w:color w:val="212529"/>
                <w:sz w:val="20"/>
              </w:rPr>
              <w:t>Article 39 of Book I of the RPC lays down the universal rule for subsidiary imprisonment for all crimes penalized with fines in Book II, unless specifically exempted by statute.</w:t>
            </w:r>
          </w:p>
          <w:p>
            <w:pPr>
              <w:spacing w:before="20" w:after="40" w:line="276" w:lineRule="auto"/>
            </w:pPr>
            <w:r>
              <w:rPr>
                <w:rFonts w:ascii="Calibri" w:hAnsi="Calibri"/>
                <w:b/>
                <w:color w:val="212529"/>
                <w:sz w:val="20"/>
              </w:rPr>
              <w:t xml:space="preserve">2. Punctuation Cannot Destroy Penal Sanctions: </w:t>
            </w:r>
            <w:r>
              <w:rPr>
                <w:rFonts w:ascii="Calibri" w:hAnsi="Calibri"/>
                <w:color w:val="212529"/>
                <w:sz w:val="20"/>
              </w:rPr>
              <w:t>Punctuation marks are grammatical devices and cannot be used to dismantle the penal structure established in Book I.</w:t>
            </w:r>
          </w:p>
          <w:p>
            <w:pPr>
              <w:spacing w:before="20" w:after="40" w:line="276" w:lineRule="auto"/>
            </w:pPr>
            <w:r>
              <w:rPr>
                <w:rFonts w:ascii="Calibri" w:hAnsi="Calibri"/>
                <w:b/>
                <w:color w:val="212529"/>
                <w:sz w:val="20"/>
              </w:rPr>
              <w:t xml:space="preserve">3. Harmonious Construction of Books I and II: </w:t>
            </w:r>
            <w:r>
              <w:rPr>
                <w:rFonts w:ascii="Calibri" w:hAnsi="Calibri"/>
                <w:color w:val="212529"/>
                <w:sz w:val="20"/>
              </w:rPr>
              <w:t>Book I provides the general machinery for executing penalties, while Book II defines specific offenses. Both must be harmonized together.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Penal Code is divided into two books: Book I gives general rules for all crimes, and Book II lists specific crimes. Book I says that if you don't pay a criminal fine, you serve subsidiary jail time. You cannot use a comma in Book II to nullify Book I.</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Book I and Book II of the RPC. Under Ut Res Magis Valeat Quam Pereat, Article 39 universally attaches subsidiary imprisonment to unpaid fines. Punctuation marks in Article 355 cannot defeat the general penal structure."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trial court order imposing subsidiary imprisonment on Rosauro Subido in case of insolvency to pay the P500 fine.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order of subsidiary imprisonment for non-payment of fine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subsidiary imprisonment, ruling that punctuation cannot defeat the mandatory application of Article 39 RPC."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c. Punctuations (Semicolon Separating Penal Sanctions / Subsidiary Imprisonment)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Book I and Book II of the Revised Penal Code must be construed together to make penal sanctions effective.</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Article 39 RPC explicitly commands subsidiary imprisonment for unpaid fines.</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Subsidiary imprisonment is a mandatory consequence of criminal fine insolvency.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c. Punctuations (Semicolon Separating Penal Sanctions / Subsidiary Imprisonment)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harmonizing Book I general penalty rules with Book II specific crimes regardless of punctuation)</w:t>
              <w:br/>
              <w:br/>
              <w:t>Secondary:</w:t>
              <w:br/>
              <w:t>• Verba legis non est recedendum (statutory mandate of subsidiary imprisonment)</w:t>
              <w:br/>
              <w:t>• Dura lex sed lex (harsh consequence of unpaid criminal fines)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appellant attempted to use grammatical punctuation to dismantle the universal penal machinery of Book I of the Revised Penal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Harmonization of Penal Code Books: Punctuation in a specific crime definition cannot override or neutralize the general rules on penalties established in the fundamental chapters of the penal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comma in a specific criminal provision cannot cancel the general rules on punishment written in the front of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Subido establishes that punctuation marks cannot override the universal penal framework of the Revised Penal Code—Ut res magis valeat quam pereat."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Rosauro Subido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L-21734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5, 1975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Rosauro Subido, editor of the Manila Post, was convicted of Libel and sentenced by the trial court to pay a fine of P500.00 'with subsidiary imprisonment in case of insolvency'. Subido appealed the subsidiary imprisonment, pointing out that Article 355 of the Revised Penal Code penalizes libel with 'a fine ranging from 200 to 2,000 pesos, or imprisonment, or both'. Subido argued that under the punctuation and phrasing of Article 355 in relation to Article 39 RPC, subsidiary imprisonment applies only when the penalty imposed is fine ALONE, and that the presence of commas in Article 355 showed legislative intent to exclude subsidiary imprisonment.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39, Revised Penal Code: Mandates subsidiary penalty of imprisonment when the convict has no property to meet the fine.</w:t>
              <w:br/>
              <w:t>2. Article 355, Revised Penal Code: Penalty for libel by means of writing or similar means.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appellant attempted to use grammatical punctuation to dismantle the universal penal machinery of Book I of the Revised Penal Code.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an accused sentenced to pay a fine for criminal libel is subject to subsidiary imprisonment in case of insolvency, notwithstanding grammatical punctuation arguments on Article 355 RPC.</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Rosauro Subido,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39, Revised Penal Code: Mandates subsidiary penalty of imprisonment when the convict has no property to meet the fine.</w:t>
              <w:br/>
              <w:t>2. Article 355, Revised Penal Code: Penalty for libel by means of writing or similar means.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appellant attempted to use grammatical punctuation to dismantle the universal penal machinery of Book I of the Revis...</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trial court order imposing subsidiary imprisonment on Rosauro Subido in case of insolvency to pay the P500 fine.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convict IS SUBJECT to subsidiary imprisonment upon failure to pay the criminal fine. Article 39 of the Revised Penal Code explicitly mandates subsidiary imprisonment for insolvency in payment of fines.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appellant attempted to use grammatical punctuation to dismantle the universal penal machinery of Book I of the Revised Penal Code..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Harmonization of Penal Code Books: Punctuation in a specific crime definition cannot override or neutralize the general rules on penalties established in the fundamental chapters of the penal code.</w:t>
              <w:br/>
              <w:t xml:space="preserve">   - Result: Yes. If you are fined for a crime and don't pay, you must serve subsidiary jail time. Punctuation in the libel article cannot cancel the general rule of the Penal Code.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(statutory mandate of subsidiary imprisonment)</w:t>
              <w:br/>
              <w:t>• Dura lex sed lex (harsh consequence of unpaid criminal fines)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Rosauro Subido to mean and apply strictly in accordance with Ut res magis valeat quam pereat, holding that Yes. If you are fined for a crime and don't pay, you must serve subsidiary jail time. Punctuation in the libel article cannot cancel the general rule of the Pen.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Penal Code is divided into two books: Book I gives general rules for all crimes, and Book II lists specific crimes. Book I says that if you don't pay a criminal fine, you serve subsidiary jail time. You cannot use a comma in Book II to nullify Book I.</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Harmonization of Penal Code Books: Punctuation in a specific crime definition cannot override or neutralize the general rules on penalties established in the fundamental chapters of the penal code.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comma in a specific criminal provision cannot cancel the general rules on punishment written in the front of the Penal Code.</w:t>
            </w:r>
          </w:p>
        </w:tc>
      </w:tr>
    </w:tbl>
    <w:p>
      <w:r>
        <w:br w:type="page"/>
      </w:r>
    </w:p>
    <w:p>
      <w:pPr>
        <w:keepNext/>
        <w:spacing w:before="320" w:after="80"/>
      </w:pPr>
      <w:r>
        <w:rPr>
          <w:rFonts w:ascii="Arial" w:hAnsi="Arial"/>
          <w:b/>
          <w:color w:val="0F2043"/>
          <w:sz w:val="26"/>
        </w:rPr>
        <w:t>15. FLORENTINO AND FLORENTINO V. PHILIPPINE NATIONAL BANK</w:t>
      </w:r>
    </w:p>
    <w:p>
      <w:pPr>
        <w:spacing w:before="40" w:after="80" w:line="276" w:lineRule="auto"/>
      </w:pPr>
      <w:r>
        <w:rPr>
          <w:rFonts w:ascii="Calibri" w:hAnsi="Calibri"/>
          <w:b/>
          <w:color w:val="212529"/>
          <w:sz w:val="21"/>
        </w:rPr>
        <w:t xml:space="preserve">Citation: </w:t>
      </w:r>
      <w:r>
        <w:rPr>
          <w:rFonts w:ascii="Calibri" w:hAnsi="Calibri"/>
          <w:i/>
          <w:color w:val="212529"/>
          <w:sz w:val="21"/>
        </w:rPr>
        <w:t>G.R. No. L-8782 | April 28, 1956 | 98 Phil. 959 | En Banc | Ponente: J. Jugo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Marcelino Florentino and Estela Florentino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Philippine National Bank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Ilocos Sur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to compel PNB to accept Backpay Certificates under Republic Act No. 897 in payment of a pre-existing mortgage loan.</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Spouses Florentino incurred a mortgage debt with PNB. When Republic Act No. 897 (Backpay Law) was enacted, Section 2 amended the law to provide that backpay certificates may be used to pay 'obligations subsisting at the time of the approval of this amendatory Act for which the applicant may directly be liable to any government-owned corporation... who may also be in arrears in the payment of taxes, duties, or other valuable consideration...' Florentino offered to pay his PNB mortgage using backpay certificates. PNB refused, arguing that the qualifying relative clause 'who may also be in arrears in the payment of taxes...' modified the word 'corporation' (meaning PNB had to be in arrears in taxes before it could be forced to accept certificates).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couple wanted to pay off their PNB bank mortgage using government backpay certificates under the Backpay Law (RA 897). PNB refused, claiming that under the grammar of the sentence, the words 'who may also be in arrears in taxes' referred to PNB itself, so PNB was only forced to accept certificates if PNB itself owed unpaid taxes to the government! The Supreme Court rejected PNB's absurd grammatical trick, applying the Doctrine of Last Antecedent: the qualifying words modify the immediately preceding subject ('applicant'), not the remote institution ('corporation').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qualifying phrase 'who may also be in arrears in the payment of taxes' in Section 2 of R.A. No. 897 modifies 'applicant' or 'government-owned corporation', testing the Doctrine of Last Antecedent (Ad Proximum Antecedens Fiat Relatio).</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clause 'who is in arrears in taxes' refer to the borrower who applied, or to the bank, under the Doctrine of Last Antecedent?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qualifying clause in RA 897 modifies 'applicant' or 'corporation', testing the Doctrine of Last Antecedent (Ad Proximum Antecedens Fiat Relatio Nisi Impediatur Sententia)."</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The phrase modifies the 'APPLICANT', not the government corporation. Under the DOCTRINE OF LAST ANTECEDENT (Ad Proximum Antecedens Fiat Relatio), a qualifying relative clause is referred to the nearest antecedent word, unless such construction is impossible.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It modifies the applicant/borrower. Under the Doctrine of Last Antecedent, qualifying words attach to the nearest word before them ('applicant'), not to a distant word across the sentence ('corporation'). PNB was ordered to accept the backpay certificates.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applied the Doctrine of Last Antecedent (Ad proximum antecedens fiat relatio nisi impediatur sententia). Qualifying relative words must be referred to the immediately preceding antecedent ('applicant') rather than a remote antecedent ('corporation'). PNB was compelled by mandamus to accept the backpay certificates."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 Republic Act No. 897 (Backpay Law amendatory act): </w:t>
            </w:r>
            <w:r>
              <w:rPr>
                <w:rFonts w:ascii="Calibri" w:hAnsi="Calibri"/>
                <w:color w:val="212529"/>
                <w:sz w:val="20"/>
              </w:rPr>
              <w:t>Mandates acceptance of backpay certificates in payment of outstanding obligations to government financial institutions.</w:t>
            </w:r>
          </w:p>
          <w:p>
            <w:pPr>
              <w:spacing w:before="20" w:after="40" w:line="276" w:lineRule="auto"/>
            </w:pPr>
            <w:r>
              <w:rPr>
                <w:rFonts w:ascii="Calibri" w:hAnsi="Calibri"/>
                <w:b/>
                <w:color w:val="212529"/>
                <w:sz w:val="20"/>
              </w:rPr>
              <w:t xml:space="preserve">2. Ad Proximum Antecedens Fiat Relatio Nisi Impediatur Sententia (relative words refer to the nearest antecedent): </w:t>
            </w:r>
            <w:r>
              <w:rPr>
                <w:rFonts w:ascii="Calibri" w:hAnsi="Calibri"/>
                <w:color w:val="212529"/>
                <w:sz w:val="20"/>
              </w:rPr>
              <w:t>Fundamental canon of grammar and statutory construction regarding the placement of qualifying clauses.</w:t>
            </w:r>
          </w:p>
          <w:p>
            <w:pPr>
              <w:spacing w:before="20" w:after="40" w:line="276" w:lineRule="auto"/>
            </w:pPr>
            <w:r>
              <w:rPr>
                <w:rFonts w:ascii="Calibri" w:hAnsi="Calibri"/>
                <w:b/>
                <w:color w:val="212529"/>
                <w:sz w:val="20"/>
              </w:rPr>
              <w:t xml:space="preserve">3. Ratio Legis Est Anima Legis (the reason of the law is the soul of the law): </w:t>
            </w:r>
            <w:r>
              <w:rPr>
                <w:rFonts w:ascii="Calibri" w:hAnsi="Calibri"/>
                <w:color w:val="212529"/>
                <w:sz w:val="20"/>
              </w:rPr>
              <w:t>The Backpay Law was enacted to provide relief to veterans and public employees by enabling them to settle debts.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 RA 897, Doctrine of Last Antecedent (Ad Proximum Antecedens), and Ratio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 of RA 897, governed by Ad proximum antecedens fiat relatio (relative words refer to the nearest antecedent) and Ratio legis est anima legis."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Application of the Doctrine of Last Antecedent: </w:t>
            </w:r>
            <w:r>
              <w:rPr>
                <w:rFonts w:ascii="Calibri" w:hAnsi="Calibri"/>
                <w:color w:val="212529"/>
                <w:sz w:val="20"/>
              </w:rPr>
              <w:t>In grammatical construction, relative and qualifying words, phrases, and clauses are to be applied to the words or phrase immediately preceding, and not to be construed as extending to or including others more remote.</w:t>
            </w:r>
          </w:p>
          <w:p>
            <w:pPr>
              <w:spacing w:before="20" w:after="40" w:line="276" w:lineRule="auto"/>
            </w:pPr>
            <w:r>
              <w:rPr>
                <w:rFonts w:ascii="Calibri" w:hAnsi="Calibri"/>
                <w:b/>
                <w:color w:val="212529"/>
                <w:sz w:val="20"/>
              </w:rPr>
              <w:t xml:space="preserve">2. Absurdity of PNB's Construction: </w:t>
            </w:r>
            <w:r>
              <w:rPr>
                <w:rFonts w:ascii="Calibri" w:hAnsi="Calibri"/>
                <w:color w:val="212529"/>
                <w:sz w:val="20"/>
              </w:rPr>
              <w:t>To hold that 'who may be in arrears in taxes' refers to PNB would mean that a government bank must first be a tax evader before citizens can use backpay certificates, an utterly absurd result.</w:t>
            </w:r>
          </w:p>
          <w:p>
            <w:pPr>
              <w:spacing w:before="20" w:after="40" w:line="276" w:lineRule="auto"/>
            </w:pPr>
            <w:r>
              <w:rPr>
                <w:rFonts w:ascii="Calibri" w:hAnsi="Calibri"/>
                <w:b/>
                <w:color w:val="212529"/>
                <w:sz w:val="20"/>
              </w:rPr>
              <w:t xml:space="preserve">3. Mandamus as Proper Remedy: </w:t>
            </w:r>
            <w:r>
              <w:rPr>
                <w:rFonts w:ascii="Calibri" w:hAnsi="Calibri"/>
                <w:color w:val="212529"/>
                <w:sz w:val="20"/>
              </w:rPr>
              <w:t>Since PNB had a clear statutory duty to accept the certificates, mandamus was the proper remedy to enforce compliance.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PNB argued that the phrase referred to PNB itself. That would mean Congress said: 'You can only pay PNB with backpay certificates if PNB has been caught failing to pay its own government taxes!' That is completely ridiculous. Grammatically and logically, the words attach to the closest person: the applicant borrower.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Ad Proximum Antecedens. Qualifying phrases attach to the immediately preceding word ('applicant'). PNB's interpretation would lead to the absurd conclusion that government banks must be in tax default before citizens can pay debts, which violates Ratio Legis."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for Mandamus, REVERSED the CFI, and ORDERED PNB to accept the backpay certificates in payment of the Florentino mortgage.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PNB was ordered by mandamus to accept the backpay certificates.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issued a writ of mandamus commanding PNB to accept the backpay certificates under the Doctrine of Last Antecedent."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c. Punctuations (Semicolon Separating Qualifying Clauses / RA 897 Backpay Certificates)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Ad proximum antecedens fiat relatio nisi impediatur sententia (relative words refer to the nearest antecedent unless prevented by context)</w:t>
              <w:br/>
            </w:r>
            <w:r>
              <w:rPr>
                <w:rFonts w:ascii="Calibri" w:hAnsi="Calibri"/>
                <w:b/>
                <w:color w:val="212529"/>
                <w:sz w:val="19"/>
              </w:rPr>
              <w:t xml:space="preserve">   • Literal English Translation: </w:t>
            </w:r>
            <w:r>
              <w:rPr>
                <w:rFonts w:ascii="Calibri" w:hAnsi="Calibri"/>
                <w:i/>
                <w:color w:val="212529"/>
                <w:sz w:val="19"/>
              </w:rPr>
              <w:t>Let relation be made to the nearest antecedent unless it hinders the sense.</w:t>
              <w:br/>
            </w:r>
            <w:r>
              <w:rPr>
                <w:rFonts w:ascii="Calibri" w:hAnsi="Calibri"/>
                <w:b/>
                <w:color w:val="212529"/>
                <w:sz w:val="19"/>
              </w:rPr>
              <w:t xml:space="preserve">   • Plain Legal Meaning &amp; StatCon Application: </w:t>
            </w:r>
            <w:r>
              <w:rPr>
                <w:rFonts w:ascii="Calibri" w:hAnsi="Calibri"/>
                <w:color w:val="212529"/>
                <w:sz w:val="19"/>
              </w:rPr>
              <w:t>Qualifying relative clauses are referred to the immediately preceding noun ('applicant') rather than remote words ('corporation').</w:t>
            </w:r>
          </w:p>
          <w:p>
            <w:pPr>
              <w:spacing w:before="40" w:after="60" w:line="276" w:lineRule="auto"/>
            </w:pPr>
            <w:r>
              <w:rPr>
                <w:rFonts w:ascii="Calibri" w:hAnsi="Calibri"/>
                <w:b/>
                <w:color w:val="8C3200"/>
                <w:sz w:val="20"/>
              </w:rPr>
              <w:t>2.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 absurdity.</w:t>
              <w:br/>
            </w:r>
            <w:r>
              <w:rPr>
                <w:rFonts w:ascii="Calibri" w:hAnsi="Calibri"/>
                <w:b/>
                <w:color w:val="212529"/>
                <w:sz w:val="19"/>
              </w:rPr>
              <w:t xml:space="preserve">   • Plain Legal Meaning &amp; StatCon Application: </w:t>
            </w:r>
            <w:r>
              <w:rPr>
                <w:rFonts w:ascii="Calibri" w:hAnsi="Calibri"/>
                <w:color w:val="212529"/>
                <w:sz w:val="19"/>
              </w:rPr>
              <w:t>It is absurd to interpret a debt-relief statute as requiring government banks to be in tax arrears.</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intent to provide financial relief to backpay holders dictates mandatory acceptance by government banks.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c. Punctuations (Semicolon Separating Qualifying Clauses / RA 897 Backpay Certificates)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Ad proximum antecedens fiat relatio nisi impediatur sententia</w:t>
              <w:br/>
              <w:t>(relative words refer to the nearest antecedent / qualifying phrases modify the immediately preceding noun, not remote words)</w:t>
              <w:br/>
              <w:br/>
              <w:t>Secondary:</w:t>
              <w:br/>
              <w:t>• Lex non intendit absurdum (avoiding absurd grammatical interpretations)</w:t>
              <w:br/>
              <w:t>• Ratio legis est anima legis (debt-relief purpose of backpay laws)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PNB distorted grammatical rules to link a qualifying clause to a remote subject, manufacturing an absurd barrier to statutory debt redemption.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Doctrine of Last Antecedent: Qualifying and relative words or clauses refer strictly to the immediately preceding antecedent unless a clear contrary intention appears from the text.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descriptive phrase in a sentence applies to the noun right next to it, not to a noun located far away in the beginning of the sentence.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Florentino v. PNB is the classic landmark decision defining the Doctrine of Last Antecedent: Ad proximum antecedens fiat relatio nisi impediatur sententia."</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Florentino and Florentino v. Philippine National Bank</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L-8782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28, 1956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Spouses Florentino incurred a mortgage debt with PNB. When Republic Act No. 897 (Backpay Law) was enacted, Section 2 amended the law to provide that backpay certificates may be used to pay 'obligations subsisting at the time of the approval of this amendatory Act for which the applicant may directly be liable to any government-owned corporation... who may also be in arrears in the payment of taxes, duties, or other valuable consideration...' Florentino offered to pay his PNB mortgage using backpay certificates. PNB refused, arguing that the qualifying relative clause 'who may also be in arrears in the payment of taxes...' modified the word 'corporation' (meaning PNB had to be in arrears in taxes before it could be forced to accept certificates).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 Republic Act No. 897 (Backpay Law amendatory act): Mandates acceptance of backpay certificates in payment of outstanding obligations to government financial institutions.</w:t>
              <w:br/>
              <w:t>2. Ad Proximum Antecedens Fiat Relatio Nisi Impediatur Sententia (relative words refer to the nearest antecedent): Fundamental canon of grammar and statutory construction regarding the placement of qualifying clauses.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PNB distorted grammatical rules to link a qualifying clause to a remote subject, manufacturing an absurd barrier to statutory debt redemption.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qualifying phrase 'who may also be in arrears in the payment of taxes' in Section 2 of R.A. No. 897 modifies 'applicant' or 'government-owned corporation', testing the Doctrine of Last Antecedent (Ad Proximum Antecedens Fiat Relatio).</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Florentino and Florentino v. Philippine National Bank, under the canon of Ad proximum antecedens fiat relatio nisi impediatur sententia.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 Republic Act No. 897 (Backpay Law amendatory act): Mandates acceptance of backpay certificates in payment of outstanding obligations to government financial institutions.</w:t>
              <w:br/>
              <w:t>2. Ad Proximum Antecedens Fiat Relatio Nisi Impediatur Sententia (relative words refer to the nearest antecedent): Fundamental canon of grammar and statutory construction regarding the placement of qualifying clauses.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PNB distorted grammatical rules to link a qualifying clause to a remote subject, manufacturing an absurd barrier to stat...</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for Mandamus, REVERSED the CFI, and ORDERED PNB to accept the backpay certificates in payment of the Florentino mortgage.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The phrase modifies the 'APPLICANT', not the government corporation. Under the DOCTRINE OF LAST ANTECEDENT (Ad Proximum Antecedens Fiat Relatio), a qualifying relative clause is referred to the nearest antecedent word, unless such construction is impossible.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PNB distorted grammatical rules to link a qualifying clause to a remote subject, manufacturing an absurd barrier to statutory debt redemptio.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Ad proximum antecedens fiat relatio nisi impediatur sententia</w:t>
              <w:br/>
              <w:t xml:space="preserve">   - Application: The Doctrine of Last Antecedent: Qualifying and relative words or clauses refer strictly to the immediately preceding antecedent unless a clear contrary intention appears from the text.</w:t>
              <w:br/>
              <w:t xml:space="preserve">   - Result: It modifies the applicant/borrower. Under the Doctrine of Last Antecedent, qualifying words attach to the nearest word before them ('applicant'), not to a distant word across the sentence ('corporation'). PNB was ordered to accept the backpay certificates.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non intendit absurdum (avoiding absurd grammatical interpretations)</w:t>
              <w:br/>
              <w:t>• Ratio legis est anima legis (debt-relief purpose of backpay laws)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Florentino and Florentino v. Philippine National Bank to mean and apply strictly in accordance with Ad proximum antecedens fiat relatio nisi impediatur sententia, holding that It modifies the applicant/borrower. Under the Doctrine of Last Antecedent, qualifying words attach to the nearest word before them ('applicant'), not to a dista.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PNB argued that the phrase referred to PNB itself. That would mean Congress said: 'You can only pay PNB with backpay certificates if PNB has been caught failing to pay its own government taxes!' That is completely ridiculous. Grammatically and logically, the words attach to the closest person: the applicant borrower.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Ad proximum antecedens fiat relatio nisi impediatur sententia,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Doctrine of Last Antecedent: Qualifying and relative words or clauses refer strictly to the immediately preceding antecedent unless a clear contrary intention appears from the text.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descriptive phrase in a sentence applies to the noun right next to it, not to a noun located far away in the beginning of the sentence.</w:t>
            </w:r>
          </w:p>
        </w:tc>
      </w:tr>
    </w:tbl>
    <w:p>
      <w:r>
        <w:br w:type="page"/>
      </w:r>
    </w:p>
    <w:p>
      <w:pPr>
        <w:keepNext/>
        <w:spacing w:before="320" w:after="80"/>
      </w:pPr>
      <w:r>
        <w:rPr>
          <w:rFonts w:ascii="Arial" w:hAnsi="Arial"/>
          <w:b/>
          <w:color w:val="0F2043"/>
          <w:sz w:val="26"/>
        </w:rPr>
        <w:t>16. VIVENCIO MAPA AND CANDIDO MAPA V. HON. JOKER ARROYO, EXECUTIVE SECRETARY, AND LABRADOR DEVELOPMENT CORPORATION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78585 | July 5, 1989 | 175 SCRA 76 | En Banc | Ponente: J. Paras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Vivencio Mapa and Candido Mapa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Joker Arroyo (Executive Secretary) and Labrador Development Corporation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HLURB</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concerning whether Section 20 of P.D. No. 957 applies to commercial subdivision lots under the Doctrine of Last Antecedent.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Petitioners Vivencio and Candido Mapa bought commercial lots in a subdivision from Labrador Development Corporation. When the developer failed to complete perimeter fences and roads, the Mapas stopped paying installment amortizations and demanded a refund under Section 20 of P.D. No. 957, which requires developers to complete facilities according to approved subdivision plans. The developer refused, arguing that Section 20 applies exclusively to residential subdivisions, because the title and preamble of PD 957 mention 'residential' subdivision lots, and the qualifying words in the section should be restricted to residential properties under the Doctrine of Last Antecedent.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Two brothers bought commercial lots in a subdivision and stopped paying installments because the developer failed to construct the promised subdivision roads and drainage. The developer claimed that PD 957 only protects 'residential' lots, not commercial lots. The Supreme Court ruled that Section 20 uses the comprehensive term 'subdivision project' without qualification, and under the Doctrine of Last Antecedent and plain meaning, all subdivision lots within an approved plan are protected.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Section 20 of P.D. No. 957 applies to both residential and commercial subdivision lots, testing the Doctrine of Last Antecedent and Ubi Lex Non Distinguit.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subdivision protection law apply to commercial lots as well as residential lots?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20 of PD 957 protects buyers of commercial subdivision lots, testing the Doctrine of Last Antecedent and Ubi Lex Non Distinguit Nec Nos Distinguere Debemus."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Section 20 of P.D. No. 957 applies to ALL subdivision lots, whether residential or commercial. The phrase 'subdivision project' is used without qualification, and qualifying residential terms in other sections cannot be imported to restrict Section 20.</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protects all lots in an approved subdivision project. Where the statute says 'subdivision project' without restricting it to houses, commercial lot buyers have the exact same right to demand roads and drainage.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Ubi lex non distinguit nec nos distinguere debemus (where the law does not distinguish, we should not distinguish) and the Doctrine of Last Antecedent, Section 20 of PD 957 applies to all subdivision lots, residential or commercial, without distinction."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20, Presidential Decree No. 957: </w:t>
            </w:r>
            <w:r>
              <w:rPr>
                <w:rFonts w:ascii="Calibri" w:hAnsi="Calibri"/>
                <w:color w:val="212529"/>
                <w:sz w:val="20"/>
              </w:rPr>
              <w:t>Mandates completion of subdivision infrastructure according to approved plans and specifications.</w:t>
            </w:r>
          </w:p>
          <w:p>
            <w:pPr>
              <w:spacing w:before="20" w:after="40" w:line="276" w:lineRule="auto"/>
            </w:pPr>
            <w:r>
              <w:rPr>
                <w:rFonts w:ascii="Calibri" w:hAnsi="Calibri"/>
                <w:b/>
                <w:color w:val="212529"/>
                <w:sz w:val="20"/>
              </w:rPr>
              <w:t xml:space="preserve">2. Ubi Lex Non Distinguit, Nec Nos Distinguere Debemus (where the law does not distinguish, we should not distinguish): </w:t>
            </w:r>
            <w:r>
              <w:rPr>
                <w:rFonts w:ascii="Calibri" w:hAnsi="Calibri"/>
                <w:color w:val="212529"/>
                <w:sz w:val="20"/>
              </w:rPr>
              <w:t>Since Section 20 uses 'subdivision project' without distinguishing between residential and commercial, courts must make no distinction.</w:t>
            </w:r>
          </w:p>
          <w:p>
            <w:pPr>
              <w:spacing w:before="20" w:after="40" w:line="276" w:lineRule="auto"/>
            </w:pPr>
            <w:r>
              <w:rPr>
                <w:rFonts w:ascii="Calibri" w:hAnsi="Calibri"/>
                <w:b/>
                <w:color w:val="212529"/>
                <w:sz w:val="20"/>
              </w:rPr>
              <w:t xml:space="preserve">3. Doctrine of Last Antecedent: </w:t>
            </w:r>
            <w:r>
              <w:rPr>
                <w:rFonts w:ascii="Calibri" w:hAnsi="Calibri"/>
                <w:color w:val="212529"/>
                <w:sz w:val="20"/>
              </w:rPr>
              <w:t>Qualifying words in one section cannot be mechanically transposed to restrict broad unqualified terms in another section.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20 PD 957, Ubi Lex Non Distinguit, and Doctrine of Last Antecedent.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20 of PD 957, governed by Ubi lex non distinguit nec nos distinguere debemus and the proper limits of the Doctrine of Last Antecedent."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Comprehensive Scope of 'Subdivision Project': </w:t>
            </w:r>
            <w:r>
              <w:rPr>
                <w:rFonts w:ascii="Calibri" w:hAnsi="Calibri"/>
                <w:color w:val="212529"/>
                <w:sz w:val="20"/>
              </w:rPr>
              <w:t>Section 2 of PD 957 broadly defines a subdivision project as a tract of land partitioned for residential, commercial, or industrial purposes.</w:t>
            </w:r>
          </w:p>
          <w:p>
            <w:pPr>
              <w:spacing w:before="20" w:after="40" w:line="276" w:lineRule="auto"/>
            </w:pPr>
            <w:r>
              <w:rPr>
                <w:rFonts w:ascii="Calibri" w:hAnsi="Calibri"/>
                <w:b/>
                <w:color w:val="212529"/>
                <w:sz w:val="20"/>
              </w:rPr>
              <w:t xml:space="preserve">2. Inapplicability of Restrictive Modifiers: </w:t>
            </w:r>
            <w:r>
              <w:rPr>
                <w:rFonts w:ascii="Calibri" w:hAnsi="Calibri"/>
                <w:color w:val="212529"/>
                <w:sz w:val="20"/>
              </w:rPr>
              <w:t>Qualifying words in the preamble or other distinct clauses cannot be used to restrict Section 20 where the statutory text is clear and universal.</w:t>
            </w:r>
          </w:p>
          <w:p>
            <w:pPr>
              <w:spacing w:before="20" w:after="40" w:line="276" w:lineRule="auto"/>
            </w:pPr>
            <w:r>
              <w:rPr>
                <w:rFonts w:ascii="Calibri" w:hAnsi="Calibri"/>
                <w:b/>
                <w:color w:val="212529"/>
                <w:sz w:val="20"/>
              </w:rPr>
              <w:t xml:space="preserve">3. Developer's Statutory Duty: </w:t>
            </w:r>
            <w:r>
              <w:rPr>
                <w:rFonts w:ascii="Calibri" w:hAnsi="Calibri"/>
                <w:color w:val="212529"/>
                <w:sz w:val="20"/>
              </w:rPr>
              <w:t>A developer who undertakes an approved subdivision plan is legally obligated under police power to deliver the promised infrastructure to all buyers.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definition section of PD 957 says 'subdivision project' includes residential, commercial, and industrial land. When Section 20 orders developers to build facilities for the subdivision project, it covers the entire development. The developer cannot cut off protections for commercial buyers.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the definition section of PD 957 with Section 20. Under Ubi Lex Non Distinguit, because the decree defines subdivision projects to include commercial land, developers are legally bound to complete facilities for all lots."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Office of the President and HLURB, HOLDING that Section 20 of PD 957 protects commercial lot buyers.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developer was ordered to complete the facilities for the commercial lots.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ruling, holding that Section 20 of PD 957 covers both residential and commercial subdivision lots."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a. Preambles, b. Title &amp; c. Punctuations (PD 957 / Scope of Subdivision Protection)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Section 20 PD 957 does not distinguish between residential and commercial subdivision buyers.</w:t>
            </w:r>
          </w:p>
          <w:p>
            <w:pPr>
              <w:spacing w:before="40" w:after="60" w:line="276" w:lineRule="auto"/>
            </w:pPr>
            <w:r>
              <w:rPr>
                <w:rFonts w:ascii="Calibri" w:hAnsi="Calibri"/>
                <w:b/>
                <w:color w:val="8C3200"/>
                <w:sz w:val="20"/>
              </w:rPr>
              <w:t>2. Ad proximum antecedens fiat relatio (relative words refer to the nearest antecedent)</w:t>
              <w:br/>
            </w:r>
            <w:r>
              <w:rPr>
                <w:rFonts w:ascii="Calibri" w:hAnsi="Calibri"/>
                <w:b/>
                <w:color w:val="212529"/>
                <w:sz w:val="19"/>
              </w:rPr>
              <w:t xml:space="preserve">   • Literal English Translation: </w:t>
            </w:r>
            <w:r>
              <w:rPr>
                <w:rFonts w:ascii="Calibri" w:hAnsi="Calibri"/>
                <w:i/>
                <w:color w:val="212529"/>
                <w:sz w:val="19"/>
              </w:rPr>
              <w:t>Relative words refer to the nearest antecedent.</w:t>
              <w:br/>
            </w:r>
            <w:r>
              <w:rPr>
                <w:rFonts w:ascii="Calibri" w:hAnsi="Calibri"/>
                <w:b/>
                <w:color w:val="212529"/>
                <w:sz w:val="19"/>
              </w:rPr>
              <w:t xml:space="preserve">   • Plain Legal Meaning &amp; StatCon Application: </w:t>
            </w:r>
            <w:r>
              <w:rPr>
                <w:rFonts w:ascii="Calibri" w:hAnsi="Calibri"/>
                <w:color w:val="212529"/>
                <w:sz w:val="19"/>
              </w:rPr>
              <w:t>Qualifying words in specific sections cannot be exported to restrict general definition clauses.</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Broad consumer protection in real estate developments advances public economic welfare.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a. Preambles, b. Title &amp; c. Punctuations (PD 957 / Scope of Subdivision Protection)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Section 20 PD 957 applies to both residential and commercial subdivision lots)</w:t>
              <w:br/>
              <w:br/>
              <w:t>Secondary:</w:t>
              <w:br/>
              <w:t>• Ad proximum antecedens fiat relatio (limits of qualifying modifiers)</w:t>
              <w:br/>
              <w:t>• Salus populi est suprema lex (real estate consumer protection)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developer attempted to manufacture a non-existent commercial exemption by misapplying qualifying modifiers from other sections.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Universal Application of Statutory Definitions: When the statutory definition clause encompasses multiple categories (residential, commercial, industrial), subsequent operative sections must be applied to all categories unless explicitly restricted.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the definition at the start of a law says 'subdivision includes commercial lots', you cannot later claim that the law only applies to residential houses.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Mapa v. Arroyo shows how statutory definitions in PD 957 control operative sections under Ubi lex non distinguit."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Vivencio Mapa and Candido Mapa v. Hon. Joker Arroyo, Executive Secretary, and Labrador Development Corporation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78585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5, 1989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Petitioners Vivencio and Candido Mapa bought commercial lots in a subdivision from Labrador Development Corporation. When the developer failed to complete perimeter fences and roads, the Mapas stopped paying installment amortizations and demanded a refund under Section 20 of P.D. No. 957, which requires developers to complete facilities according to approved subdivision plans. The developer refused, arguing that Section 20 applies exclusively to residential subdivisions, because the title and preamble of PD 957 mention 'residential' subdivision lots, and the qualifying words in the section should be restricted to residential properties under the Doctrine of Last Antecedent.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20, Presidential Decree No. 957: Mandates completion of subdivision infrastructure according to approved plans and specifications.</w:t>
              <w:br/>
              <w:t>2. Ubi Lex Non Distinguit, Nec Nos Distinguere Debemus (where the law does not distinguish, we should not distinguish): Since Section 20 uses 'subdivision project' without distinguishing between residential and commercial, courts must make no distinction.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developer attempted to manufacture a non-existent commercial exemption by misapplying qualifying modifiers from other sections.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Section 20 of P.D. No. 957 applies to both residential and commercial subdivision lots, testing the Doctrine of Last Antecedent and Ubi Lex Non Distinguit.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Vivencio Mapa and Candido Mapa v. Hon. Joker Arroyo, Executive Secretary, and Labrador Development Corporation,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20, Presidential Decree No. 957: Mandates completion of subdivision infrastructure according to approved plans and specifications.</w:t>
              <w:br/>
              <w:t>2. Ubi Lex Non Distinguit, Nec Nos Distinguere Debemus (where the law does not distinguish, we should not distinguish): Since Section 20 uses 'subdivision project' without distinguishing between residential and commercial, courts must make no distinction.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Office of the President and HLURB, HOLDING that Section 20 of PD 957 protects commercial lot buyers.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Section 20 of P.D. No. 957 applies to ALL subdivision lots, whether residential or commercial. The phrase 'subdivision project' is used without qualification, and qualifying residential terms in other sections cannot be imported to restrict Section 20.</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developer attempted to manufacture a non-existent commercial exemption by misapplying qualifying modifiers from other sections..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Universal Application of Statutory Definitions: When the statutory definition clause encompasses multiple categories (residential, commercial, industrial), subsequent operative sections must be applied to all categories unless explicitly restricted.</w:t>
              <w:br/>
              <w:t xml:space="preserve">   - Result: Yes. The law protects all lots in an approved subdivision project. Where the statute says 'subdivision project' without restricting it to houses, commercial lot buyers have the exact same right to demand roads and drainage.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Ad proximum antecedens fiat relatio (limits of qualifying modifiers)</w:t>
              <w:br/>
              <w:t>• Salus populi est suprema lex (real estate consumer protection)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Vivencio Mapa and Candido Mapa v. Hon. Joker Arroyo, Executive Secretary, and Labrador Development Corporation to mean and apply strictly in accordance with Ubi lex non distinguit, nec nos distinguere debemus, holding that Yes. The law protects all lots in an approved subdivision project. Where the statute says 'subdivision project' without restricting it to houses, commercial lot.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definition section of PD 957 says 'subdivision project' includes residential, commercial, and industrial land. When Section 20 orders developers to build facilities for the subdivision project, it covers the entire development. The developer cannot cut off protections for commercial buyers.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Universal Application of Statutory Definitions: When the statutory definition clause encompasses multiple categories (residential, commercial, industrial), subsequent operative sections must be applied to all categories unless explicitly restricted.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If the definition at the start of a law says 'subdivision includes commercial lots', you cannot later claim that the law only applies to residential houses.</w:t>
            </w:r>
          </w:p>
        </w:tc>
      </w:tr>
    </w:tbl>
    <w:p>
      <w:r>
        <w:br w:type="page"/>
      </w:r>
    </w:p>
    <w:p>
      <w:pPr>
        <w:keepNext/>
        <w:spacing w:before="320" w:after="80"/>
      </w:pPr>
      <w:r>
        <w:rPr>
          <w:rFonts w:ascii="Arial" w:hAnsi="Arial"/>
          <w:b/>
          <w:color w:val="0F2043"/>
          <w:sz w:val="26"/>
        </w:rPr>
        <w:t>17. PEOPLE OF THE PHILIPPINE ISLANDS V. MAXIMO YABUT</w:t>
      </w:r>
    </w:p>
    <w:p>
      <w:pPr>
        <w:spacing w:before="40" w:after="80" w:line="276" w:lineRule="auto"/>
      </w:pPr>
      <w:r>
        <w:rPr>
          <w:rFonts w:ascii="Calibri" w:hAnsi="Calibri"/>
          <w:b/>
          <w:color w:val="212529"/>
          <w:sz w:val="21"/>
        </w:rPr>
        <w:t xml:space="preserve">Citation: </w:t>
      </w:r>
      <w:r>
        <w:rPr>
          <w:rFonts w:ascii="Calibri" w:hAnsi="Calibri"/>
          <w:i/>
          <w:color w:val="212529"/>
          <w:sz w:val="21"/>
        </w:rPr>
        <w:t>G.R. No. 39085 | September 27, 1933 | 58 Phil. 499 | En Banc | Ponente: J. Vickers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 Islands (Appellee)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Maximo Yabut (Appellant)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 conviction for Homicide with the special aggravating circumstance of Quasi-Recidivism under Article 160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Maximo Yabut was convicted of Homicide and sentenced to prison. While serving his sentence in Bilibid Prison, Yabut struck and killed another prisoner with a wooden club. The trial court convicted him of Homicide and applied the special aggravating circumstance of QUASI-RECIDIVISM under Article 160 of the Revised Penal Code, imposing the maximum period of Reclusion Temporal. Yabut appealed, arguing that Article 160 RPC applies only when the second offense is committed while serving sentence for a crime involving the SAME title or class, relying on the placement of commas and the phrase 'another offense' in the Spanish text.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prisoner serving time in Bilibid Prison murdered a fellow inmate. The court sentenced him to the maximum penalty for 'Quasi-Recidivism' (committing a new felony while serving an existing prison sentence). The prisoner argued that quasi-recidivism should only apply if the new crime is the exact same type of crime as his first conviction, citing the Spanish text and comma placements. The Supreme Court rejected his argument, holding that Article 160 applies to ANY new felony committed while serving sentence, regardless of crime classification.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Quasi-Recidivism under Article 160 of the Revised Penal Code requires that the prior and subsequent offenses belong to the same statutory classification or title.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quasi-recidivism apply whenever a prisoner commits ANY new felony while serving sentence, or must the new crime be the exact same type of crime as his old conviction?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Quasi-Recidivism under Article 160 RPC applies to any felony committed during imprisonment, testing the canon of Verba Legis (the words of the law) and Ubi Lex Non Distinguit."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Quasi-recidivism applies to ANY FELONY committed while serving sentence. Article 160 of the RPC makes no distinction regarding the nature or classification of the previous or subsequent offenses.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Quasi-recidivism applies to ANY crime committed in prison. If you are serving time and you commit a new felony, the law automatically imposes the maximum penalty. Where the law does not distinguish between types of crimes, courts must make no distinction.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Ubi lex non distinguit nec nos distinguere debemus (where the law does not distinguish, we should not distinguish) and Verba Legis, Article 160 RPC applies to 'another felony' of any nature committed while serving sentence, triggering the mandatory maximum penalty of quasi-recidivism."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160, Revised Penal Code: </w:t>
            </w:r>
            <w:r>
              <w:rPr>
                <w:rFonts w:ascii="Calibri" w:hAnsi="Calibri"/>
                <w:color w:val="212529"/>
                <w:sz w:val="20"/>
              </w:rPr>
              <w:t>Quasi-recidivism: any person who shall commit a felony after having been convicted by final judgment, before beginning to serve such sentence, or while serving the same, shall be punished by the maximum period.</w:t>
            </w:r>
          </w:p>
          <w:p>
            <w:pPr>
              <w:spacing w:before="20" w:after="40" w:line="276" w:lineRule="auto"/>
            </w:pPr>
            <w:r>
              <w:rPr>
                <w:rFonts w:ascii="Calibri" w:hAnsi="Calibri"/>
                <w:b/>
                <w:color w:val="212529"/>
                <w:sz w:val="20"/>
              </w:rPr>
              <w:t xml:space="preserve">2. Ubi Lex Non Distinguit, Nec Nos Distinguere Debemus (where the law does not distinguish, we should not distinguish): </w:t>
            </w:r>
            <w:r>
              <w:rPr>
                <w:rFonts w:ascii="Calibri" w:hAnsi="Calibri"/>
                <w:color w:val="212529"/>
                <w:sz w:val="20"/>
              </w:rPr>
              <w:t>The statute uses the universal term 'a felony' without qualification.</w:t>
            </w:r>
          </w:p>
          <w:p>
            <w:pPr>
              <w:spacing w:before="20" w:after="40" w:line="276" w:lineRule="auto"/>
            </w:pPr>
            <w:r>
              <w:rPr>
                <w:rFonts w:ascii="Calibri" w:hAnsi="Calibri"/>
                <w:b/>
                <w:color w:val="212529"/>
                <w:sz w:val="20"/>
              </w:rPr>
              <w:t xml:space="preserve">3. Distinction Between Recidivism (Art. 14) and Quasi-Recidivism (Art. 160): </w:t>
            </w:r>
            <w:r>
              <w:rPr>
                <w:rFonts w:ascii="Calibri" w:hAnsi="Calibri"/>
                <w:color w:val="212529"/>
                <w:sz w:val="20"/>
              </w:rPr>
              <w:t>Ordinary recidivism requires offenses under the same RPC title; quasi-recidivism requires only that a new felony be committed while serving sentence.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160 RPC, Ubi Lex Non Distinguit, and distinction between Art 14 and Art 160.</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160 RPC, governed by Ubi lex non distinguit nec nos distinguere debemus (where the law does not distinguish, we must not distinguish)."</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Text of Article 160: </w:t>
            </w:r>
            <w:r>
              <w:rPr>
                <w:rFonts w:ascii="Calibri" w:hAnsi="Calibri"/>
                <w:color w:val="212529"/>
                <w:sz w:val="20"/>
              </w:rPr>
              <w:t>The statutory language 'shall commit a felony' is absolute and generic. It does not contain the restriction found in Article 14(9) requiring crimes to be embraced under the same Title of the Code.</w:t>
            </w:r>
          </w:p>
          <w:p>
            <w:pPr>
              <w:spacing w:before="20" w:after="40" w:line="276" w:lineRule="auto"/>
            </w:pPr>
            <w:r>
              <w:rPr>
                <w:rFonts w:ascii="Calibri" w:hAnsi="Calibri"/>
                <w:b/>
                <w:color w:val="212529"/>
                <w:sz w:val="20"/>
              </w:rPr>
              <w:t xml:space="preserve">2. Legislative Rationale of Quasi-Recidivism: </w:t>
            </w:r>
            <w:r>
              <w:rPr>
                <w:rFonts w:ascii="Calibri" w:hAnsi="Calibri"/>
                <w:color w:val="212529"/>
                <w:sz w:val="20"/>
              </w:rPr>
              <w:t>The special aggravation arises from the offender's flagrant contempt for the penal system by committing a new crime while under correctional custody.</w:t>
            </w:r>
          </w:p>
          <w:p>
            <w:pPr>
              <w:spacing w:before="20" w:after="40" w:line="276" w:lineRule="auto"/>
            </w:pPr>
            <w:r>
              <w:rPr>
                <w:rFonts w:ascii="Calibri" w:hAnsi="Calibri"/>
                <w:b/>
                <w:color w:val="212529"/>
                <w:sz w:val="20"/>
              </w:rPr>
              <w:t xml:space="preserve">3. Rejection of Punctuation Arguments: </w:t>
            </w:r>
            <w:r>
              <w:rPr>
                <w:rFonts w:ascii="Calibri" w:hAnsi="Calibri"/>
                <w:color w:val="212529"/>
                <w:sz w:val="20"/>
              </w:rPr>
              <w:t>Syntactical arguments based on comma placements cannot be used to read an unwritten restriction into an unambiguous penal provision.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Ordinary recidivism (Article 14) requires the two crimes to be under the same title (like two robberies). But quasi-recidivism (Article 160) is different: it punishes the fact that you committed a crime while already behind bars! The law says 'a felony' without restriction. The court cannot add words to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contrasted Article 14 with Article 160. Article 160 penalizes contempt of prison discipline and uses the generic phrase 'a felony'. Under Ubi Lex Non Distinguit, the maximum penalty must be applied regardless of the nature of the previous offense."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conviction and the imposition of the MAXIMUM PERIOD of Reclusion Temporal under the quasi-recidivism provisions of Article 160 RPC.</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conviction with maximum penalty for quasi-recidivism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maximum penalty, holding that quasi-recidivism applies to all felonies under Ubi Lex Non Distinguit."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f. Lingual Text (RPC Art. 160 Quasi-Recidivism / Spanish Text Prevails over English)</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Article 160 RPC applies to 'a felony' of any class without distinction.</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plain statutory phrase 'shall commit a felony' cannot be qualified by judicial interpretation.</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mandatory maximum penalty for quasi-recidivism must be enforced as enacted.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f. Lingual Text (RPC Art. 160 Quasi-Recidivism / Spanish Text Prevails over English)</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Quasi-recidivism under Article 160 RPC applies to any felony committed during sentence)</w:t>
              <w:br/>
              <w:br/>
              <w:t>Secondary:</w:t>
              <w:br/>
              <w:t>• Verba legis non est recedendum (strict adherence to statutory penal terms)</w:t>
              <w:br/>
              <w:t>• Dura lex sed lex (harsh mandatory maximum penalty)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accused attempted to import the restrictive requirements of ordinary recidivism (Art. 14) into the independent generic text of quasi-recidivism (Art. 160).</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Comparison of Related Statutory Provisions: Where the legislature includes a specific restriction in one section (Art. 14) but deliberately omits it in another (Art. 160), the omission is intentional under Ubi Lex Non Distinguit.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one section of a law says 'crimes of the same type' and another section simply says 'any crime', you cannot copy the limitation from the first section into the second section.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Yabut illustrates statutory comparison between Articles 14 and 160 RPC: Ubi lex non distinguit dictates that quasi-recidivism applies to all felonies."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 Islands v. Maximo Yabut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39085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27, 1933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Maximo Yabut was convicted of Homicide and sentenced to prison. While serving his sentence in Bilibid Prison, Yabut struck and killed another prisoner with a wooden club. The trial court convicted him of Homicide and applied the special aggravating circumstance of QUASI-RECIDIVISM under Article 160 of the Revised Penal Code, imposing the maximum period of Reclusion Temporal. Yabut appealed, arguing that Article 160 RPC applies only when the second offense is committed while serving sentence for a crime involving the SAME title or class, relying on the placement of commas and the phrase 'another offense' in the Spanish text.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160, Revised Penal Code: Quasi-recidivism: any person who shall commit a felony after having been convicted by final judgment, before beginning to serve such sentence, or while serving the same, shall be punished by the maximum period.</w:t>
              <w:br/>
              <w:t>2. Ubi Lex Non Distinguit, Nec Nos Distinguere Debemus (where the law does not distinguish, we should not distinguish): The statute uses the universal term 'a felony' without qualification.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accused attempted to import the restrictive requirements of ordinary recidivism (Art. 14) into the independent generic text of quasi-recidivism (Art. 160).</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Quasi-Recidivism under Article 160 of the Revised Penal Code requires that the prior and subsequent offenses belong to the same statutory classification or title.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 Islands v. Maximo Yabut,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160, Revised Penal Code: Quasi-recidivism: any person who shall commit a felony after having been convicted by final judgment, before beginning to serve such sentence, or while serving the same, shall be punished by the maximum period.</w:t>
              <w:br/>
              <w:t>2. Ubi Lex Non Distinguit, Nec Nos Distinguere Debemus (where the law does not distinguish, we should not distinguish): The statute uses the universal term 'a felony' without qualification.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conviction and the imposition of the MAXIMUM PERIOD of Reclusion Temporal under the quasi-recidivism provisions of Article 160 RPC.</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Quasi-recidivism applies to ANY FELONY committed while serving sentence. Article 160 of the RPC makes no distinction regarding the nature or classification of the previous or subsequent offenses.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accused attempted to import the restrictive requirements of ordinary recidivism (Art. 14) into the independent generic text of quasi-rec.</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Comparison of Related Statutory Provisions: Where the legislature includes a specific restriction in one section (Art. 14) but deliberately omits it in another (Art. 160), the omission is intentional under Ubi Lex Non Distinguit.</w:t>
              <w:br/>
              <w:t xml:space="preserve">   - Result: No. Quasi-recidivism applies to ANY crime committed in prison. If you are serving time and you commit a new felony, the law automatically imposes the maximum penalty. Where the law does not distinguish between types of crimes, courts must make no distinction.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(strict adherence to statutory penal terms)</w:t>
              <w:br/>
              <w:t>• Dura lex sed lex (harsh mandatory maximum penalty)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 Islands v. Maximo Yabut to mean and apply strictly in accordance with Ubi lex non distinguit, nec nos distinguere debemus, holding that No. Quasi-recidivism applies to ANY crime committed in prison. If you are serving time and you commit a new felony, the law automatically imposes the maximum pe.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Ordinary recidivism (Article 14) requires the two crimes to be under the same title (like two robberies). But quasi-recidivism (Article 160) is different: it punishes the fact that you committed a crime while already behind bars! The law says 'a felony' without restriction. The court cannot add words to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Comparison of Related Statutory Provisions: Where the legislature includes a specific restriction in one section (Art. 14) but deliberately omits it in another (Art. 160), the omission is intentional under Ubi Lex Non Distinguit.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one section of a law says 'crimes of the same type' and another section simply says 'any crime', you cannot copy the limitation from the first section into the second section.</w:t>
            </w:r>
          </w:p>
        </w:tc>
      </w:tr>
    </w:tbl>
    <w:p>
      <w:r>
        <w:br w:type="page"/>
      </w:r>
    </w:p>
    <w:p>
      <w:pPr>
        <w:keepNext/>
        <w:spacing w:before="320" w:after="80"/>
      </w:pPr>
      <w:r>
        <w:rPr>
          <w:rFonts w:ascii="Arial" w:hAnsi="Arial"/>
          <w:b/>
          <w:color w:val="0F2043"/>
          <w:sz w:val="26"/>
        </w:rPr>
        <w:t>18. BAKING V. DIRECTOR OF PRISONS</w:t>
      </w:r>
    </w:p>
    <w:p>
      <w:pPr>
        <w:spacing w:before="40" w:after="80" w:line="276" w:lineRule="auto"/>
      </w:pPr>
      <w:r>
        <w:rPr>
          <w:rFonts w:ascii="Calibri" w:hAnsi="Calibri"/>
          <w:b/>
          <w:color w:val="212529"/>
          <w:sz w:val="21"/>
        </w:rPr>
        <w:t xml:space="preserve">Citation: </w:t>
      </w:r>
      <w:r>
        <w:rPr>
          <w:rFonts w:ascii="Calibri" w:hAnsi="Calibri"/>
          <w:i/>
          <w:color w:val="212529"/>
          <w:sz w:val="21"/>
        </w:rPr>
        <w:t>G.R. No. L-30364 | July 28, 1969 | 28 SCRA 850 | En Banc | Ponente: J. Fernando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Baking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Director of Prisons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Habeas Corpus)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Habeas Corpus seeking full credit for preventive imprisonment under Article 29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 Baking was detained preventively during the trial of his criminal case before being convicted and sentenced to prison. He petitioned for habeas corpus, demanding that his entire period of preventive detention be credited in full against his prison sentence. Under Article 29 of the Revised Penal Code as originally enacted, detention prisoners were credited with only ONE-HALF (1/2) of their preventive imprisonment, provided they agreed to abide by the same disciplinary rules as convicted prisoners. Baking argued that under modern human rights standards, constitutional due process, and the Title of Article 29 ('Period of preventive imprisonment deducted'), full credit should be granted.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prisoner who spent years in jail while waiting for his trial to finish demanded that 100% of his waiting time be deducted from his final prison sentence. Under the old Article 29 of the Revised Penal Code, the law strictly stated that detention prisoners only get 50% credit (half-time) for preventive detention. The Supreme Court ruled that while human rights principles are important, the written statute clearly and strictly allowed only one-half credit, and the courts cannot rewrite the law (Dura Lex Sed Lex). (Note: Congress subsequently amended Article 29 under RA 6127 to grant full credit).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prisoner is entitled to full deduction of preventive imprisonment under the original text of Article 29 of the Revised Penal Code, testing Verba Legis and Dura Lex Sed Lex.</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Supreme Court grant a prisoner 100% credit for pre-trial jail time when the written penal statute strictly says 'one-half'?</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courts can expand the statutory credit for preventive imprisonment beyond the 'one-half' specified in Article 29 RPC, testing Verba Legis (the words of the law) and Dura Lex Sed Lex (the law is harsh, but it is the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Under the clear text of Article 29 of the RPC as then written, detention prisoners were entitled to deduction of ONLY ONE-HALF (1/2) of their preventive imprisonment. Courts must apply the law as written (Dura lex, sed lex), leaving policy reforms to Congress.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text of the law explicitly said 'one-half'. Even if the rule was harsh and unfair, judges cannot change the math written in the statute. The duty of the court is to apply the law as written.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Verba Legis and Dura lex, sed lex (the law is harsh, but it is the law), the explicit statutory fraction 'one-half' in Article 29 RPC was mandatory. The Court cannot engage in judicial legislation to grant full credit, which was subsequently enacted by Congress in RA 6127."</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29, Revised Penal Code (prior to amendment by R.A. No. 6127): </w:t>
            </w:r>
            <w:r>
              <w:rPr>
                <w:rFonts w:ascii="Calibri" w:hAnsi="Calibri"/>
                <w:color w:val="212529"/>
                <w:sz w:val="20"/>
              </w:rPr>
              <w:t>Explicitly provided that offenders who have undergone preventive imprisonment shall be credited in the service of their sentence with one-half of the time.</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When the statutory fraction is explicit, courts cannot substitute a different number.</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The harshness of a statutory deduction rule does not justify judicial modification.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29 RPC, Verba Legis, and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29 RPC, applied strictly under Verba legis non est recedendum (from statutory words there must be no departure) and Dura lex, sed lex (the law is harsh, but it is the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Statutory Text Controls: </w:t>
            </w:r>
            <w:r>
              <w:rPr>
                <w:rFonts w:ascii="Calibri" w:hAnsi="Calibri"/>
                <w:color w:val="212529"/>
                <w:sz w:val="20"/>
              </w:rPr>
              <w:t>Article 29 explicitly fixed the credit at 'one-half'. The language was unambiguous and left zero room for judicial discretion.</w:t>
            </w:r>
          </w:p>
          <w:p>
            <w:pPr>
              <w:spacing w:before="20" w:after="40" w:line="276" w:lineRule="auto"/>
            </w:pPr>
            <w:r>
              <w:rPr>
                <w:rFonts w:ascii="Calibri" w:hAnsi="Calibri"/>
                <w:b/>
                <w:color w:val="212529"/>
                <w:sz w:val="20"/>
              </w:rPr>
              <w:t xml:space="preserve">2. Prohibition Against Judicial Legislation: </w:t>
            </w:r>
            <w:r>
              <w:rPr>
                <w:rFonts w:ascii="Calibri" w:hAnsi="Calibri"/>
                <w:color w:val="212529"/>
                <w:sz w:val="20"/>
              </w:rPr>
              <w:t>Expanding statutory credit from one-half to full credit is an exclusive prerogative of the Legislature. The judiciary cannot amend statutes under the guise of equitable construction.</w:t>
            </w:r>
          </w:p>
          <w:p>
            <w:pPr>
              <w:spacing w:before="20" w:after="40" w:line="276" w:lineRule="auto"/>
            </w:pPr>
            <w:r>
              <w:rPr>
                <w:rFonts w:ascii="Calibri" w:hAnsi="Calibri"/>
                <w:b/>
                <w:color w:val="212529"/>
                <w:sz w:val="20"/>
              </w:rPr>
              <w:t xml:space="preserve">3. Prompting Legislative Reform: </w:t>
            </w:r>
            <w:r>
              <w:rPr>
                <w:rFonts w:ascii="Calibri" w:hAnsi="Calibri"/>
                <w:color w:val="212529"/>
                <w:sz w:val="20"/>
              </w:rPr>
              <w:t>The Supreme Court recognized the moral and humanitarian merit of full credit, which prompted Congress shortly thereafter to enact Republic Act No. 6127 amending Article 29 to provide full credit.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said 'one-half'. You cannot read 'one-half' and pretend it says 'full credit'. Even though the Justices sympathized with the prisoner, they followed their judicial duty to apply the statute as enacted, while urging Congress to amend the law (which Congress did in RA 6127).</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Dura Lex Sed Lex. Although the one-half credit rule was harsh, the text of Article 29 RPC was unambiguous under Verba Legis. The Court held that changing the fraction required an act of Congress, which led to the enactment of RA 6127."</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for habeas corpus, HOLDING that petitioner was entitled only to one-half credit under Article 29 of the Revised Penal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denied and only half-time credit was granted under the existing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denied the habeas corpus petition, applying the strict one-half credit under Verba Legis and Dura Lex Sed Lex."</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A. Intrinsic Aids -&gt; f. Lingual Text (Spanish Enacted Text vs English Translation / Complex Crimes)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explicit statutory fraction 'one-half' in Article 29 RPC must be applied as written.</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Courts cannot change explicit numerical quantities in a penal statute.</w:t>
            </w:r>
          </w:p>
          <w:p>
            <w:pPr>
              <w:spacing w:before="40" w:after="60" w:line="276" w:lineRule="auto"/>
            </w:pPr>
            <w:r>
              <w:rPr>
                <w:rFonts w:ascii="Calibri" w:hAnsi="Calibri"/>
                <w:b/>
                <w:color w:val="8C3200"/>
                <w:sz w:val="20"/>
              </w:rPr>
              <w:t>3. Judicis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It is the duty of a judge to state the law, not to create it.</w:t>
              <w:br/>
            </w:r>
            <w:r>
              <w:rPr>
                <w:rFonts w:ascii="Calibri" w:hAnsi="Calibri"/>
                <w:b/>
                <w:color w:val="212529"/>
                <w:sz w:val="19"/>
              </w:rPr>
              <w:t xml:space="preserve">   • Plain Legal Meaning &amp; StatCon Application: </w:t>
            </w:r>
            <w:r>
              <w:rPr>
                <w:rFonts w:ascii="Calibri" w:hAnsi="Calibri"/>
                <w:color w:val="212529"/>
                <w:sz w:val="19"/>
              </w:rPr>
              <w:t>Changing preventive imprisonment credit requires legislative enactment, not judicial decree.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A. Intrinsic Aids -&gt; f. Lingual Text (Spanish Enacted Text vs English Translation / Complex Crimes)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Dura lex, sed lex</w:t>
              <w:br/>
              <w:t>(the law is harsh, but it is the law / courts cannot change the explicit 'one-half' credit in Article 29 RPC through judicial legislation)</w:t>
              <w:br/>
              <w:br/>
              <w:t>Secondary:</w:t>
              <w:br/>
              <w:t>• Verba legis non est recedendum (plain text on numerical fractions)</w:t>
              <w:br/>
              <w:t>• Judicis est ius dicere non dare (judges declare law, not make it)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sought to have the judiciary rewrite a clear statutory fraction from 'one-half' to 'full credit' in violation of separation of powers.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Judicial Restraint on Explicit Statutory Quantities: Where the statute specifies an exact numerical ratio or fraction, courts must enforce it strictly under Dura Lex Sed Lex; humanitarian adjustments belong exclusively to the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Judges cannot change numbers in a law; if the statute says 'half', judges must apply 'half' until Congress passes a new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Baking v. Director of Prisons is a profound example of Dura lex, sed lex and Judicis est ius dicere non dare: courts cannot alter explicit statutory fractions."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Baking v. Director of Prisons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L-30364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28, 1969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 Baking was detained preventively during the trial of his criminal case before being convicted and sentenced to prison. He petitioned for habeas corpus, demanding that his entire period of preventive detention be credited in full against his prison sentence. Under Article 29 of the Revised Penal Code as originally enacted, detention prisoners were credited with only ONE-HALF (1/2) of their preventive imprisonment, provided they agreed to abide by the same disciplinary rules as convicted prisoners. Baking argued that under modern human rights standards, constitutional due process, and the Title of Article 29 ('Period of preventive imprisonment deducted'), full credit should be granted.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29, Revised Penal Code (prior to amendment by R.A. No. 6127): Explicitly provided that offenders who have undergone preventive imprisonment shall be credited in the service of their sentence with one-half of the time.</w:t>
              <w:br/>
              <w:t>2. Verba Legis Non Est Recedendum (from the words of the statute there should be no departure): When the statutory fraction is explicit, courts cannot substitute a different number.</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sought to have the judiciary rewrite a clear statutory fraction from 'one-half' to 'full credit' in violation of separation of powers.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prisoner is entitled to full deduction of preventive imprisonment under the original text of Article 29 of the Revised Penal Code, testing Verba Legis and Dura Lex Sed Lex.</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Baking v. Director of Prisons, under the canon of Dura lex, sed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29, Revised Penal Code (prior to amendment by R.A. No. 6127): Explicitly provided that offenders who have undergone preventive imprisonment shall be credited in the service of their sentence with one-half of the time.</w:t>
              <w:br/>
              <w:t>2. Verba Legis Non Est Recedendum (from the words of the statute there should be no departure): When the statutory fraction is explicit, courts cannot substitute a different number.</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sought to have the judiciary rewrite a clear statutory fraction from 'one-half' to 'full credit' in viola...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for habeas corpus, HOLDING that petitioner was entitled only to one-half credit under Article 29 of the Revised Penal Code.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Under the clear text of Article 29 of the RPC as then written, detention prisoners were entitled to deduction of ONLY ONE-HALF (1/2) of their preventive imprisonment. Courts must apply the law as written (Dura lex, sed lex), leaving policy reforms to Congress.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sought to have the judiciary rewrite a clear statutory fraction from 'one-half' to 'full credit' in violation of separation 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Dura lex, sed lex</w:t>
              <w:br/>
              <w:t xml:space="preserve">   - Application: Judicial Restraint on Explicit Statutory Quantities: Where the statute specifies an exact numerical ratio or fraction, courts must enforce it strictly under Dura Lex Sed Lex; humanitarian adjustments belong exclusively to the legislature.</w:t>
              <w:br/>
              <w:t xml:space="preserve">   - Result: No. The text of the law explicitly said 'one-half'. Even if the rule was harsh and unfair, judges cannot change the math written in the statute. The duty of the court is to apply the law as written.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(plain text on numerical fractions)</w:t>
              <w:br/>
              <w:t>• Judicis est ius dicere non dare (judges declare law, not make it)</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Baking v. Director of Prisons to mean and apply strictly in accordance with Dura lex, sed lex, holding that No. The text of the law explicitly said 'one-half'. Even if the rule was harsh and unfair, judges cannot change the math written in the statute. The duty of the.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law said 'one-half'. You cannot read 'one-half' and pretend it says 'full credit'. Even though the Justices sympathized with the prisoner, they followed their judicial duty to apply the statute as enacted, while urging Congress to amend the law (which Congress did in RA 6127).</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Dura lex, sed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Judicial Restraint on Explicit Statutory Quantities: Where the statute specifies an exact numerical ratio or fraction, courts must enforce it strictly under Dura Lex Sed Lex; humanitarian adjustments belong exclusively to the legislature.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Judges cannot change numbers in a law; if the statute says 'half', judges must apply 'half' until Congress passes a new law.</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IV (Part 2)</w:t>
              <w:br/>
            </w:r>
            <w:r>
              <w:rPr>
                <w:rFonts w:ascii="Arial" w:hAnsi="Arial"/>
                <w:b/>
                <w:color w:val="FFFFFF"/>
                <w:sz w:val="24"/>
              </w:rPr>
              <w:t>AIDS TO CONSTRUCTION: EXTRINSIC AIDS</w:t>
              <w:br/>
            </w:r>
            <w:r>
              <w:rPr>
                <w:rFonts w:ascii="Arial" w:hAnsi="Arial"/>
                <w:i/>
                <w:color w:val="D7E6FA"/>
                <w:sz w:val="19"/>
              </w:rPr>
              <w:t>Cases 19 to 24 | External Sources, Legislative History &amp; Contemporary Context</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Policy &amp; Purpose of the Law: Ascertaining legislative mischief and remedial objective</w:t>
            </w:r>
          </w:p>
          <w:p>
            <w:pPr>
              <w:spacing w:before="20" w:after="20"/>
            </w:pPr>
            <w:r>
              <w:rPr>
                <w:rFonts w:ascii="Calibri" w:hAnsi="Calibri"/>
                <w:color w:val="F0F5FF"/>
                <w:sz w:val="18"/>
              </w:rPr>
              <w:t>• • Legislative History: Committee reports, legislative debates, and statutory evolution</w:t>
            </w:r>
          </w:p>
          <w:p>
            <w:pPr>
              <w:spacing w:before="20" w:after="20"/>
            </w:pPr>
            <w:r>
              <w:rPr>
                <w:rFonts w:ascii="Calibri" w:hAnsi="Calibri"/>
                <w:color w:val="F0F5FF"/>
                <w:sz w:val="18"/>
              </w:rPr>
              <w:t>• • Contemporaneous Construction: Executive and administrative interpretations given great weight</w:t>
            </w:r>
          </w:p>
          <w:p>
            <w:pPr>
              <w:spacing w:before="20" w:after="20"/>
            </w:pPr>
            <w:r>
              <w:rPr>
                <w:rFonts w:ascii="Calibri" w:hAnsi="Calibri"/>
                <w:color w:val="F0F5FF"/>
                <w:sz w:val="18"/>
              </w:rPr>
              <w:t>• • Dictionaries &amp; Ordinary Meaning: Natural and customary definitions of words</w:t>
            </w:r>
          </w:p>
        </w:tc>
      </w:tr>
    </w:tbl>
    <w:p>
      <w:pPr>
        <w:spacing w:before="120"/>
      </w:pPr>
    </w:p>
    <w:p>
      <w:pPr>
        <w:keepNext/>
        <w:spacing w:before="320" w:after="80"/>
      </w:pPr>
      <w:r>
        <w:rPr>
          <w:rFonts w:ascii="Arial" w:hAnsi="Arial"/>
          <w:b/>
          <w:color w:val="0F2043"/>
          <w:sz w:val="26"/>
        </w:rPr>
        <w:t>19. METROPOLITAN MANILA DEVELOPMENT AUTHORITY (MMDA) V. DANTE O. GARIN</w:t>
      </w:r>
    </w:p>
    <w:p>
      <w:pPr>
        <w:spacing w:before="40" w:after="80" w:line="276" w:lineRule="auto"/>
      </w:pPr>
      <w:r>
        <w:rPr>
          <w:rFonts w:ascii="Calibri" w:hAnsi="Calibri"/>
          <w:b/>
          <w:color w:val="212529"/>
          <w:sz w:val="21"/>
        </w:rPr>
        <w:t xml:space="preserve">Citation: </w:t>
      </w:r>
      <w:r>
        <w:rPr>
          <w:rFonts w:ascii="Calibri" w:hAnsi="Calibri"/>
          <w:i/>
          <w:color w:val="212529"/>
          <w:sz w:val="21"/>
        </w:rPr>
        <w:t>G.R. No. 130230 | April 15, 2005 | 456 SCRA 176 | En Banc | Ponente: J. Chico-Nazario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Metropolitan Manila Development Authority (MMDA)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Dante O. Garin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Parañaque City (Branch 258)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MMDA has statutory police power under Republic Act No. 7924 to confiscate and suspend driver's licenses.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Atty. Dante Garin was flagged down by an MMDA traffic enforcer in Parañaque City for illegal parking. The enforcer confiscated Garin's driver's license and issued a Traffic Violation Receipt (TVR) pursuant to MMDA Memorandum Circular No. 92-005. Garin filed an injunction suit before the RTC, arguing that MMDA possesses no police power or legislative authority under its charter (R.A. No. 7924) to confiscate driver's licenses. The MMDA argued that Section 5(f) of RA 7924, which empowers it to 'install and administer a single ticketing system and organize administrative suspensions,' implies the power to confiscate licenses.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An MMDA traffic enforcer confiscated a lawyer's driver's license for illegal parking. The lawyer sued, claiming MMDA has no legal power to seize licenses because it is not a police force and has no lawmaking powers. The Supreme Court examined the Congressional Deliberations (Legislative Debates) of RA 7924 as an extrinsic aid and confirmed that Congress explicitly stripped MMDA of police power and legislative authority, turning it into an administrative coordination agency only. Therefore, MMDA cannot confiscate driver's licenses without a local ordinance.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MMDA has the statutory authority under R.A. No. 7924 to confiscate driver's licenses, using Legislative Debates and Congressional Journals as Extrinsic Aids.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MMDA have the legal power to confiscate driver's licenses under its charter, when checked against Congressional debates?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MMDA possesses police power to confiscate driver's licenses under RA 7924, testing Legislative Debates and Congressional Records as Extrinsic Aids to Construction and Potestas Delegata Non Delegari Potest."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MMDA has NO STATUTORY AUTHORITY to confiscate driver's licenses. Extrinsic aids—specifically the LEGISLATIVE DEBATES on R.A. No. 7924—reveal that Congress explicitly intended to create the MMDA as an administrative coordinating body, NOT a political police power agency.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transcripts of the Senate and House debates prove that lawmakers deliberately refused to give MMDA police power. MMDA is an administrative agency that coordinates services; it cannot take away licenses unless authorized by a valid local municipal ordinance.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Legislative Debates as an Extrinsic Aid, Congress explicitly stripped MMDA of police power and legislative authority. As affirmed in MMDA v. Bel-Air Village, MMDA cannot confiscate driver's licenses under RA 7924 without a specific delegation from local sanggunians."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7924 (MMDA Charter): </w:t>
            </w:r>
            <w:r>
              <w:rPr>
                <w:rFonts w:ascii="Calibri" w:hAnsi="Calibri"/>
                <w:color w:val="212529"/>
                <w:sz w:val="20"/>
              </w:rPr>
              <w:t>Creates the MMDA as an administrative planning and coordinating agency for basic services.</w:t>
            </w:r>
          </w:p>
          <w:p>
            <w:pPr>
              <w:spacing w:before="20" w:after="40" w:line="276" w:lineRule="auto"/>
            </w:pPr>
            <w:r>
              <w:rPr>
                <w:rFonts w:ascii="Calibri" w:hAnsi="Calibri"/>
                <w:b/>
                <w:color w:val="212529"/>
                <w:sz w:val="20"/>
              </w:rPr>
              <w:t xml:space="preserve">2. Legislative Debates and Congressional Records as Extrinsic Aids: </w:t>
            </w:r>
            <w:r>
              <w:rPr>
                <w:rFonts w:ascii="Calibri" w:hAnsi="Calibri"/>
                <w:color w:val="212529"/>
                <w:sz w:val="20"/>
              </w:rPr>
              <w:t>Statements and deliberations of legislators during floor debates reveal the definitive legislative intent regarding agency powers.</w:t>
            </w:r>
          </w:p>
          <w:p>
            <w:pPr>
              <w:spacing w:before="20" w:after="40" w:line="276" w:lineRule="auto"/>
            </w:pPr>
            <w:r>
              <w:rPr>
                <w:rFonts w:ascii="Calibri" w:hAnsi="Calibri"/>
                <w:b/>
                <w:color w:val="212529"/>
                <w:sz w:val="20"/>
              </w:rPr>
              <w:t xml:space="preserve">3. Potestas Delegata Non Delegari Potest (a delegated power cannot be delegated): </w:t>
            </w:r>
            <w:r>
              <w:rPr>
                <w:rFonts w:ascii="Calibri" w:hAnsi="Calibri"/>
                <w:color w:val="212529"/>
                <w:sz w:val="20"/>
              </w:rPr>
              <w:t>Police power is inherently legislative; an administrative agency cannot assume police power by implication.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7924, Legislative Debates as Extrinsic Aids, and Potestas Delegata Non Delegari Potest.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7924, interpreted through Legislative Debates and Committee Records as Extrinsic Aids under the doctrine of Potestas delegata non delegari potest."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Intent from Floor Debates: </w:t>
            </w:r>
            <w:r>
              <w:rPr>
                <w:rFonts w:ascii="Calibri" w:hAnsi="Calibri"/>
                <w:color w:val="212529"/>
                <w:sz w:val="20"/>
              </w:rPr>
              <w:t>The transcripts of the Senate deliberations (speeches of Senators Macapagal-Arroyo, Tolentino, and Biazon) clearly show that Congress explicitly rejected giving MMDA police power or ordinance-making authority.</w:t>
            </w:r>
          </w:p>
          <w:p>
            <w:pPr>
              <w:spacing w:before="20" w:after="40" w:line="276" w:lineRule="auto"/>
            </w:pPr>
            <w:r>
              <w:rPr>
                <w:rFonts w:ascii="Calibri" w:hAnsi="Calibri"/>
                <w:b/>
                <w:color w:val="212529"/>
                <w:sz w:val="20"/>
              </w:rPr>
              <w:t xml:space="preserve">2. Administrative vs. Police Authority: </w:t>
            </w:r>
            <w:r>
              <w:rPr>
                <w:rFonts w:ascii="Calibri" w:hAnsi="Calibri"/>
                <w:color w:val="212529"/>
                <w:sz w:val="20"/>
              </w:rPr>
              <w:t>MMDA is limited to planning, monitoring, and coordinating functions. Regulating and seizing driver's licenses is an exercise of police power belonging exclusively to the LTO and local government units under the Local Government Code.</w:t>
            </w:r>
          </w:p>
          <w:p>
            <w:pPr>
              <w:spacing w:before="20" w:after="40" w:line="276" w:lineRule="auto"/>
            </w:pPr>
            <w:r>
              <w:rPr>
                <w:rFonts w:ascii="Calibri" w:hAnsi="Calibri"/>
                <w:b/>
                <w:color w:val="212529"/>
                <w:sz w:val="20"/>
              </w:rPr>
              <w:t xml:space="preserve">3. Subordination of Administrative Regulations: </w:t>
            </w:r>
            <w:r>
              <w:rPr>
                <w:rFonts w:ascii="Calibri" w:hAnsi="Calibri"/>
                <w:color w:val="212529"/>
                <w:sz w:val="20"/>
              </w:rPr>
              <w:t>MMDA circulars ordering automatic license confiscation are ultra vires and void because they exceed the statutory authority conferred by Congress.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reading the official transcripts of the Senate debates on RA 7924, the Senators clearly agreed: 'MMDA is not a local government; it has no police power.' Because the legislative debates show Congress deliberately withheld the power to seize licenses, the MMDA cannot give itself that power through internal circulars.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utilized the Congressional Records as an extrinsic aid. The debates prove that Congress deliberately designed MMDA without police power. Under the principle that administrative powers cannot exceed statutory grants, MMDA's license confiscation was declared ultra vires."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trial court decision, ENJOINED the MMDA from confiscating driver's licenses without statutory or ordinance authority, and ORDERED the return of Garin's license.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lawyer won and MMDA was prohibited from confiscating driver's licenses without an ordinance.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prohibited MMDA from confiscating driver's licenses, using Congressional debates as an extrinsic aid to define the limits of agency power."</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B. Extrinsic Aids -&gt; a. Policy &amp; b. Purpose of the Law (RA 7924 / Absence of Police Power to Confiscate Driver's Licenses)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Police power is vested in the Legislature and local sanggunians; MMDA cannot assume it by implication.</w:t>
            </w:r>
          </w:p>
          <w:p>
            <w:pPr>
              <w:spacing w:before="40" w:after="60" w:line="276" w:lineRule="auto"/>
            </w:pPr>
            <w:r>
              <w:rPr>
                <w:rFonts w:ascii="Calibri" w:hAnsi="Calibri"/>
                <w:b/>
                <w:color w:val="8C3200"/>
                <w:sz w:val="20"/>
              </w:rPr>
              <w:t>2.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Congressional records and debates explain the true boundaries of the statutory enactment.</w:t>
            </w:r>
          </w:p>
          <w:p>
            <w:pPr>
              <w:spacing w:before="40" w:after="60" w:line="276" w:lineRule="auto"/>
            </w:pPr>
            <w:r>
              <w:rPr>
                <w:rFonts w:ascii="Calibri" w:hAnsi="Calibri"/>
                <w:b/>
                <w:color w:val="8C3200"/>
                <w:sz w:val="20"/>
              </w:rPr>
              <w:t>3. Ultra vires non potest (an act beyond powers is void)</w:t>
              <w:br/>
            </w:r>
            <w:r>
              <w:rPr>
                <w:rFonts w:ascii="Calibri" w:hAnsi="Calibri"/>
                <w:b/>
                <w:color w:val="212529"/>
                <w:sz w:val="19"/>
              </w:rPr>
              <w:t xml:space="preserve">   • Literal English Translation: </w:t>
            </w:r>
            <w:r>
              <w:rPr>
                <w:rFonts w:ascii="Calibri" w:hAnsi="Calibri"/>
                <w:i/>
                <w:color w:val="212529"/>
                <w:sz w:val="19"/>
              </w:rPr>
              <w:t>Beyond powers cannot stand.</w:t>
              <w:br/>
            </w:r>
            <w:r>
              <w:rPr>
                <w:rFonts w:ascii="Calibri" w:hAnsi="Calibri"/>
                <w:b/>
                <w:color w:val="212529"/>
                <w:sz w:val="19"/>
              </w:rPr>
              <w:t xml:space="preserve">   • Plain Legal Meaning &amp; StatCon Application: </w:t>
            </w:r>
            <w:r>
              <w:rPr>
                <w:rFonts w:ascii="Calibri" w:hAnsi="Calibri"/>
                <w:color w:val="212529"/>
                <w:sz w:val="19"/>
              </w:rPr>
              <w:t>Administrative circulars issued without statutory authorization are null and void.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B. Extrinsic Aids -&gt; a. Policy &amp; b. Purpose of the Law (RA 7924 / Absence of Police Power to Confiscate Driver's Licenses)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Potestas delegata non delegari potest</w:t>
              <w:br/>
              <w:t>(a delegated power cannot be delegated / MMDA cannot exercise police power to confiscate licenses without statutory or ordinance authority)</w:t>
              <w:br/>
              <w:br/>
              <w:t>Secondary:</w:t>
              <w:br/>
              <w:t>• Optima statuti interpretatrix (legislative debates as extrinsic guide)</w:t>
              <w:br/>
              <w:t>• Ultra vires non potest (nullity of unauthorized administrative acts)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MMDA attempted to arrogate inherent police powers through administrative circulars in direct defiance of the legislative intent recorded in Congressional debates.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Legislative Debates as Extrinsic Aids: The record of floor debates in Congress is a recognized extrinsic aid to determine the precise nature, scope, and limitations of powers granted to administrative agencies.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you want to know what a law means, read what the Senators and Congressmen said when they debated and voted on the bill.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MMDA v. Garin is the leading authority on using Congressional Floor Debates as an extrinsic aid to establish that MMDA lacks police power to seize licenses."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Metropolitan Manila Development Authority (MMDA) v. Dante O. Garin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130230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15, 2005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Atty. Dante Garin was flagged down by an MMDA traffic enforcer in Parañaque City for illegal parking. The enforcer confiscated Garin's driver's license and issued a Traffic Violation Receipt (TVR) pursuant to MMDA Memorandum Circular No. 92-005. Garin filed an injunction suit before the RTC, arguing that MMDA possesses no police power or legislative authority under its charter (R.A. No. 7924) to confiscate driver's licenses. The MMDA argued that Section 5(f) of RA 7924, which empowers it to 'install and administer a single ticketing system and organize administrative suspensions,' implies the power to confiscate licenses.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7924 (MMDA Charter): Creates the MMDA as an administrative planning and coordinating agency for basic services.</w:t>
              <w:br/>
              <w:t>2. Legislative Debates and Congressional Records as Extrinsic Aids: Statements and deliberations of legislators during floor debates reveal the definitive legislative intent regarding agency powers.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MMDA attempted to arrogate inherent police powers through administrative circulars in direct defiance of the legislative intent recorded in Congressional debates.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MMDA has the statutory authority under R.A. No. 7924 to confiscate driver's licenses, using Legislative Debates and Congressional Journals as Extrinsic Aids.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Metropolitan Manila Development Authority (MMDA) v. Dante O. Garin, under the canon of Potestas delegata non delegari potest.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7924 (MMDA Charter): Creates the MMDA as an administrative planning and coordinating agency for basic services.</w:t>
              <w:br/>
              <w:t>2. Legislative Debates and Congressional Records as Extrinsic Aids: Statements and deliberations of legislators during floor debates reveal the definitive legislative intent regarding agency powers.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MMDA attempted to arrogate inherent police powers through administrative circulars in direct defiance of the legislative...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trial court decision, ENJOINED the MMDA from confiscating driver's licenses without statutory or ordinance authority, and ORDERED the return of Garin's license.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MMDA has NO STATUTORY AUTHORITY to confiscate driver's licenses. Extrinsic aids—specifically the LEGISLATIVE DEBATES on R.A. No. 7924—reveal that Congress explicitly intended to create the MMDA as an administrative coordinating body, NOT a political police power agency.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MMDA attempted to arrogate inherent police powers through administrative circulars in direct defiance of the legislative intent recorded in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Potestas delegata non delegari potest</w:t>
              <w:br/>
              <w:t xml:space="preserve">   - Application: Legislative Debates as Extrinsic Aids: The record of floor debates in Congress is a recognized extrinsic aid to determine the precise nature, scope, and limitations of powers granted to administrative agencies.</w:t>
              <w:br/>
              <w:t xml:space="preserve">   - Result: No. The transcripts of the Senate and House debates prove that lawmakers deliberately refused to give MMDA police power. MMDA is an administrative agency that coordinates services; it cannot take away licenses unless authorized by a valid local municipal ordinance.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Optima statuti interpretatrix (legislative debates as extrinsic guide)</w:t>
              <w:br/>
              <w:t>• Ultra vires non potest (nullity of unauthorized administrative acts)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Metropolitan Manila Development Authority (MMDA) v. Dante O. Garin to mean and apply strictly in accordance with Potestas delegata non delegari potest, holding that No. The transcripts of the Senate and House debates prove that lawmakers deliberately refused to give MMDA police power. MMDA is an administrative agency that 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When reading the official transcripts of the Senate debates on RA 7924, the Senators clearly agreed: 'MMDA is not a local government; it has no police power.' Because the legislative debates show Congress deliberately withheld the power to seize licenses, the MMDA cannot give itself that power through internal circulars.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Potestas delegata non delegari potest,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Legislative Debates as Extrinsic Aids: The record of floor debates in Congress is a recognized extrinsic aid to determine the precise nature, scope, and limitations of powers granted to administrative agencies.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If you want to know what a law means, read what the Senators and Congressmen said when they debated and voted on the bill.</w:t>
            </w:r>
          </w:p>
        </w:tc>
      </w:tr>
    </w:tbl>
    <w:p>
      <w:r>
        <w:br w:type="page"/>
      </w:r>
    </w:p>
    <w:p>
      <w:pPr>
        <w:keepNext/>
        <w:spacing w:before="320" w:after="80"/>
      </w:pPr>
      <w:r>
        <w:rPr>
          <w:rFonts w:ascii="Arial" w:hAnsi="Arial"/>
          <w:b/>
          <w:color w:val="0F2043"/>
          <w:sz w:val="26"/>
        </w:rPr>
        <w:t>20. COMMISSIONER OF INTERNAL REVENUE V. SM PRIME HOLDINGS, INC. AND FIRST ASIA REALTY DEVELOPMENT CORP.</w:t>
      </w:r>
    </w:p>
    <w:p>
      <w:pPr>
        <w:spacing w:before="40" w:after="80" w:line="276" w:lineRule="auto"/>
      </w:pPr>
      <w:r>
        <w:rPr>
          <w:rFonts w:ascii="Calibri" w:hAnsi="Calibri"/>
          <w:b/>
          <w:color w:val="212529"/>
          <w:sz w:val="21"/>
        </w:rPr>
        <w:t xml:space="preserve">Citation: </w:t>
      </w:r>
      <w:r>
        <w:rPr>
          <w:rFonts w:ascii="Calibri" w:hAnsi="Calibri"/>
          <w:i/>
          <w:color w:val="212529"/>
          <w:sz w:val="21"/>
        </w:rPr>
        <w:t>G.R. No. 183505 | February 26, 2010 | 613 SCRA 774 | First Division | Ponente: J. Del Castillo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Internal Revenue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SM Prime Holdings, Inc. and First Asia Realty Development Corp.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(En Banc)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cinema ticket sales are subject to Value-Added Tax (VAT) under Section 108 of the National Internal Revenue Code of 1997 and Revenue Memorandum Circular (RMC) No. 28-2001.</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BIR issued Revenue Memorandum Circular (RMC) No. 28-2001 declaring that gross receipts from cinema ticket sales and film exhibition are subject to 10% Value-Added Tax (VAT) under Section 108 of the NIRC of 1997 as 'services of the same kind'. Based on this circular, the CIR assessed SM Prime Holdings and First Asia Realty for deficiency VAT on their movie theater admissions. SM Prime protested, arguing that: (1) Section 108 does not include cinema exhibition in its enumeration of taxable services; (2) under the Local Government Code (Section 140), cinema admissions are subject to local amusement tax, and legislative history shows Congress never intended to impose national VAT on movie tickets; and (3) the BIR cannot expand the Tax Code via an administrative circular.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BIR issued a memorandum circular saying all movie ticket sales in mall cinemas must pay a 10% national VAT. SM Prime challenged the tax, pointing out that movie theaters already pay local amusement taxes to cities, and that the Tax Code never mentioned cinema tickets under VAT. The Supreme Court investigated the Legislative History of the Tax Code as an extrinsic aid and confirmed that Congress deliberately exempted cinema admissions from national VAT to avoid double taxation with local amusement taxes. The BIR circular was declared illegal.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gross receipts from cinema theater admissions are subject to Value-Added Tax (VAT) under Section 108 of the NIRC, using Legislative History and Contemporaneous Construction as Extrinsic Aids.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Are cinema ticket sales subject to national VAT, when examined through the legislative history of the Tax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cinema admissions are subject to VAT under Section 108 NIRC, testing Legislative History as an Extrinsic Aid to Construction and the rule that Administrative Regulations cannot expand the Tax Code (Strictissimi Juris)."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Cinema ticket admissions are NOT subject to Value-Added Tax (VAT). EXTRINSIC AIDS—specifically the LEGISLATIVE HISTORY of the NIRC and VAT enactments—demonstrate that Congress deliberately excluded cinema operators from VAT coverage to leave the taxation of cinemas exclusively to local government amusement taxes.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legislative history shows Congress deliberately left out cinema tickets from VAT because local cities already tax movie tickets with an amusement tax. The BIR cannot invent a new VAT on movies through an administrative circular.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Legislative History as an Extrinsic Aid, Congress consistently excluded motion picture exhibition from the VAT system. Under Strictissimi Juris, the BIR cannot expand Section 108 through RMC No. 28-2001, rendering the circular null and void."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108, National Internal Revenue Code of 1997: </w:t>
            </w:r>
            <w:r>
              <w:rPr>
                <w:rFonts w:ascii="Calibri" w:hAnsi="Calibri"/>
                <w:color w:val="212529"/>
                <w:sz w:val="20"/>
              </w:rPr>
              <w:t>Enumerates transactions and services subject to VAT, omitting cinema and theatrical admissions.</w:t>
            </w:r>
          </w:p>
          <w:p>
            <w:pPr>
              <w:spacing w:before="20" w:after="40" w:line="276" w:lineRule="auto"/>
            </w:pPr>
            <w:r>
              <w:rPr>
                <w:rFonts w:ascii="Calibri" w:hAnsi="Calibri"/>
                <w:b/>
                <w:color w:val="212529"/>
                <w:sz w:val="20"/>
              </w:rPr>
              <w:t xml:space="preserve">2. Legislative History and Prior Enactments as Extrinsic Aids: </w:t>
            </w:r>
            <w:r>
              <w:rPr>
                <w:rFonts w:ascii="Calibri" w:hAnsi="Calibri"/>
                <w:color w:val="212529"/>
                <w:sz w:val="20"/>
              </w:rPr>
              <w:t>The evolution of VAT statutes from E.O. 273 to R.A. 7716 and R.A. 8424 shows the continuous legislative intent to exclude cinema admissions.</w:t>
            </w:r>
          </w:p>
          <w:p>
            <w:pPr>
              <w:spacing w:before="20" w:after="40" w:line="276" w:lineRule="auto"/>
            </w:pPr>
            <w:r>
              <w:rPr>
                <w:rFonts w:ascii="Calibri" w:hAnsi="Calibri"/>
                <w:b/>
                <w:color w:val="212529"/>
                <w:sz w:val="20"/>
              </w:rPr>
              <w:t xml:space="preserve">3. Strictissimi Juris (of the strictest interpretation) in Tax Imposition: </w:t>
            </w:r>
            <w:r>
              <w:rPr>
                <w:rFonts w:ascii="Calibri" w:hAnsi="Calibri"/>
                <w:color w:val="212529"/>
                <w:sz w:val="20"/>
              </w:rPr>
              <w:t>Taxes cannot be imposed by administrative implication; statutes are strictly construed against the taxing authority.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108 NIRC, Legislative History as Extrinsic Aid, and Strictissimi Juris.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108 NIRC, interpreted through Legislative History as an Extrinsic Aid and the bedrock canon Strictissimi Juris in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Evolution of VAT Laws: </w:t>
            </w:r>
            <w:r>
              <w:rPr>
                <w:rFonts w:ascii="Calibri" w:hAnsi="Calibri"/>
                <w:color w:val="212529"/>
                <w:sz w:val="20"/>
              </w:rPr>
              <w:t>From the original VAT law (E.O. No. 273) through the Expanded VAT (R.A. No. 7716) and the 1997 Tax Code, cinema exhibition was never included in the VAT base. In fact, proposed amendments to include movie theaters were repeatedly rejected by Congress.</w:t>
            </w:r>
          </w:p>
          <w:p>
            <w:pPr>
              <w:spacing w:before="20" w:after="40" w:line="276" w:lineRule="auto"/>
            </w:pPr>
            <w:r>
              <w:rPr>
                <w:rFonts w:ascii="Calibri" w:hAnsi="Calibri"/>
                <w:b/>
                <w:color w:val="212529"/>
                <w:sz w:val="20"/>
              </w:rPr>
              <w:t xml:space="preserve">2. Harmonization with Local Government Code: </w:t>
            </w:r>
            <w:r>
              <w:rPr>
                <w:rFonts w:ascii="Calibri" w:hAnsi="Calibri"/>
                <w:color w:val="212529"/>
                <w:sz w:val="20"/>
              </w:rPr>
              <w:t>Under Section 140 LGC, local governments are granted the exclusive power to levy amusement taxes on cinemas. Congress avoided double taxation by keeping cinema admissions outside the national VAT system.</w:t>
            </w:r>
          </w:p>
          <w:p>
            <w:pPr>
              <w:spacing w:before="20" w:after="40" w:line="276" w:lineRule="auto"/>
            </w:pPr>
            <w:r>
              <w:rPr>
                <w:rFonts w:ascii="Calibri" w:hAnsi="Calibri"/>
                <w:b/>
                <w:color w:val="212529"/>
                <w:sz w:val="20"/>
              </w:rPr>
              <w:t xml:space="preserve">3. Administrative Regulations Cannot Legislate: </w:t>
            </w:r>
            <w:r>
              <w:rPr>
                <w:rFonts w:ascii="Calibri" w:hAnsi="Calibri"/>
                <w:color w:val="212529"/>
                <w:sz w:val="20"/>
              </w:rPr>
              <w:t>RMC No. 28-2001 was an unauthorized exercise of administrative legislation that attempted to tax a service that the Legislature deliberately excluded.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traced the entire history of tax laws passed by Congress over 20 years. Every time someone proposed adding movie tickets to the VAT law, Congress voted NO. When the law is traced historically, the legislative intent is crystal clear: only cities collect amusement tax on movies, and the BIR cannot change the law with a circular.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Legislative History as an extrinsic aid. The legislative trail shows continuous, deliberate congressional refusal to include cinema exhibitions in VAT. The Court struck down the BIR circular for usurping the legislative power of Congress."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CIR's petition, AFFIRMED the Court of Tax Appeals, and DECLARED RMC No. 28-2001 NULL AND VOID for imposing an unauthorized tax on cinema admissions.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SM Prime won; the cinema VAT assessment and BIR circular were declared illegal and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voided the BIR circular and cancelled the VAT assessment on cinema tickets under the doctrine of Legislative History."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B. Extrinsic Aids -&gt; c. Legislative History &amp; e. Contemporaneous Construction (Movie Theaters Not Subject to VAT)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Tax statutes are construed strictly against the government; taxes cannot be created by administrative regulation.</w:t>
            </w:r>
          </w:p>
          <w:p>
            <w:pPr>
              <w:spacing w:before="40" w:after="60" w:line="276" w:lineRule="auto"/>
            </w:pPr>
            <w:r>
              <w:rPr>
                <w:rFonts w:ascii="Calibri" w:hAnsi="Calibri"/>
                <w:b/>
                <w:color w:val="8C3200"/>
                <w:sz w:val="20"/>
              </w:rPr>
              <w:t>2.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Legislative history and amendments reveal the true statutory boundaries of the VAT law.</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The BIR cannot usurp the constitutional power of Congress to impose new taxes.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B. Extrinsic Aids -&gt; c. Legislative History &amp; e. Contemporaneous Construction (Movie Theaters Not Subject to VAT)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tax laws are strictly construed against the government; administrative circulars cannot expand the VAT base)</w:t>
              <w:br/>
              <w:br/>
              <w:t>Secondary:</w:t>
              <w:br/>
              <w:t>• Optima statuti interpretatrix (legislative history as guide)</w:t>
              <w:br/>
              <w:t>• Potestas delegata non delegari potest (administrative agencies cannot legislate)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BIR issued an administrative circular that created a new tax on cinema tickets in direct violation of the legislative history of the Tax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Legislative History as a Constraint on Executive Agencies: The legislative history and evolution of a statute serve as an authoritative extrinsic aid to prevent administrative agencies from expanding tax liabilities beyond statutory boundaries.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Tracing the history of how a law was changed over the years proves what Congress wanted, preventing tax agencies from inventing new taxes.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CIR v. SM Prime Holdings is the leading case on Legislative History as an extrinsic aid to invalidate unauthorized administrative tax regulations."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Internal Revenue v. SM Prime Holdings, Inc. and First Asia Realty Development Corp.</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183505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26,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BIR issued Revenue Memorandum Circular (RMC) No. 28-2001 declaring that gross receipts from cinema ticket sales and film exhibition are subject to 10% Value-Added Tax (VAT) under Section 108 of the NIRC of 1997 as 'services of the same kind'. Based on this circular, the CIR assessed SM Prime Holdings and First Asia Realty for deficiency VAT on their movie theater admissions. SM Prime protested, arguing that: (1) Section 108 does not include cinema exhibition in its enumeration of taxable services; (2) under the Local Government Code (Section 140), cinema admissions are subject to local amusement tax, and legislative history shows Congress never intended to impose national VAT on movie tickets; and (3) the BIR cannot expand the Tax Code via an administrative circular.</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108, National Internal Revenue Code of 1997: Enumerates transactions and services subject to VAT, omitting cinema and theatrical admissions.</w:t>
              <w:br/>
              <w:t>2. Legislative History and Prior Enactments as Extrinsic Aids: The evolution of VAT statutes from E.O. 273 to R.A. 7716 and R.A. 8424 shows the continuous legislative intent to exclude cinema admissions.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BIR issued an administrative circular that created a new tax on cinema tickets in direct violation of the legislative history of the Tax Code.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gross receipts from cinema theater admissions are subject to Value-Added Tax (VAT) under Section 108 of the NIRC, using Legislative History and Contemporaneous Construction as Extrinsic Aids.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Internal Revenue v. SM Prime Holdings, Inc. and First Asia Realty Development Corp.,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108, National Internal Revenue Code of 1997: Enumerates transactions and services subject to VAT, omitting cinema and theatrical admissions.</w:t>
              <w:br/>
              <w:t>2. Legislative History and Prior Enactments as Extrinsic Aids: The evolution of VAT statutes from E.O. 273 to R.A. 7716 and R.A. 8424 shows the continuous legislative intent to exclude cinema admissions.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BIR issued an administrative circular that created a new tax on cinema tickets in direct violation of the legislativ...</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CIR's petition, AFFIRMED the Court of Tax Appeals, and DECLARED RMC No. 28-2001 NULL AND VOID for imposing an unauthorized tax on cinema admissions.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Cinema ticket admissions are NOT subject to Value-Added Tax (VAT). EXTRINSIC AIDS—specifically the LEGISLATIVE HISTORY of the NIRC and VAT enactments—demonstrate that Congress deliberately excluded cinema operators from VAT coverage to leave the taxation of cinemas exclusively to local government amusement taxes.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BIR issued an administrative circular that created a new tax on cinema tickets in direct violation of the legislative history of the Tax.</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Legislative History as a Constraint on Executive Agencies: The legislative history and evolution of a statute serve as an authoritative extrinsic aid to prevent administrative agencies from expanding tax liabilities beyond statutory boundaries.</w:t>
              <w:br/>
              <w:t xml:space="preserve">   - Result: No. The legislative history shows Congress deliberately left out cinema tickets from VAT because local cities already tax movie tickets with an amusement tax. The BIR cannot invent a new VAT on movies through an administrative circular.</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Optima statuti interpretatrix (legislative history as guide)</w:t>
              <w:br/>
              <w:t>• Potestas delegata non delegari potest (administrative agencies cannot legislate)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Internal Revenue v. SM Prime Holdings, Inc. and First Asia Realty Development Corp. to mean and apply strictly in accordance with Strictissimi juris, holding that No. The legislative history shows Congress deliberately left out cinema tickets from VAT because local cities already tax movie tickets with an amusement tax. 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traced the entire history of tax laws passed by Congress over 20 years. Every time someone proposed adding movie tickets to the VAT law, Congress voted NO. When the law is traced historically, the legislative intent is crystal clear: only cities collect amusement tax on movies, and the BIR cannot change the law with a circular.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Legislative History as a Constraint on Executive Agencies: The legislative history and evolution of a statute serve as an authoritative extrinsic aid to prevent administrative agencies from expanding tax liabilities beyond statutory boundaries.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Tracing the history of how a law was changed over the years proves what Congress wanted, preventing tax agencies from inventing new taxes.</w:t>
            </w:r>
          </w:p>
        </w:tc>
      </w:tr>
    </w:tbl>
    <w:p>
      <w:r>
        <w:br w:type="page"/>
      </w:r>
    </w:p>
    <w:p>
      <w:pPr>
        <w:keepNext/>
        <w:spacing w:before="320" w:after="80"/>
      </w:pPr>
      <w:r>
        <w:rPr>
          <w:rFonts w:ascii="Arial" w:hAnsi="Arial"/>
          <w:b/>
          <w:color w:val="0F2043"/>
          <w:sz w:val="26"/>
        </w:rPr>
        <w:t>21. LAXAMANA V. BALTAZAR</w:t>
      </w:r>
    </w:p>
    <w:p>
      <w:pPr>
        <w:spacing w:before="40" w:after="80" w:line="276" w:lineRule="auto"/>
      </w:pPr>
      <w:r>
        <w:rPr>
          <w:rFonts w:ascii="Calibri" w:hAnsi="Calibri"/>
          <w:b/>
          <w:color w:val="212529"/>
          <w:sz w:val="21"/>
        </w:rPr>
        <w:t xml:space="preserve">Citation: </w:t>
      </w:r>
      <w:r>
        <w:rPr>
          <w:rFonts w:ascii="Calibri" w:hAnsi="Calibri"/>
          <w:i/>
          <w:color w:val="212529"/>
          <w:sz w:val="21"/>
        </w:rPr>
        <w:t>G.R. No. L-5955 | September 19, 1952 | 92 Phil. 32 | En Banc | Ponente: J. Bengzon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Laxamana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Flaviano Baltazar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Quo Warranto)</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Quo Warranto concerning whether the Vice-Mayor or a Provincial Governor's appointee succeeds as Mayor during the temporary suspension of the Municipal Mayor under Section 2195 of the Revised Administrative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Municipal Mayor of Sexmoan, Pampanga was suspended from office pending administrative charges. The Provincial Governor appointed Flaviano Baltazar to take over as Mayor. The elected Vice-Mayor, Jose Laxamana, contested the appointment and claimed the right to assume the office of Mayor pursuant to Section 2195 of the Revised Administrative Code, which provided that 'upon the occasion of the absence, suspension, or other temporary disability of the mayor, his duties shall be discharged by the vice-mayor.' Baltazar argued that Section 21(a) of the Revised Election Code gave the Governor the general power to fill vacancies in municipal offices.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mayor of a town was suspended. The Provincial Governor appointed an outsider to act as mayor. The elected Vice-Mayor filed a lawsuit, arguing that the Administrative Code explicitly says that when the mayor is suspended, the vice-mayor takes over the duties. The outsider argued that the Election Code gave the Governor the right to fill vacancies. The Supreme Court investigated the legislative history of local government succession and ruled that Section 2195 specifically provides for automatic temporary succession by the vice-mayor, which prevails over the general vacancy power of the Governor.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Vice-Mayor automatically assumes the office of Mayor during the temporary suspension of the incumbent Mayor, using Legislative History as an Extrinsic Aid.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Vice-Mayor automatically take over when the Mayor is suspended, or can the Governor appoint someone else?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Vice-Mayor succeeds to the office during temporary suspension of the Mayor under Section 2195 of the Administrative Code, testing Legislative History and Generalia Specialibus Non Derogant."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VICE-MAYOR automatically assumes the duties of the Mayor during the Mayor's temporary suspension. Section 2195 of the Revised Administrative Code is a SPECIAL PROVISION on temporary disability that prevails over the general vacancy rules of the Election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specifically says the Vice-Mayor takes over when the Mayor is suspended. The Governor's general power to fill permanent vacancies cannot be used to bypass the elected Vice-Mayor during temporary suspensions.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Legislative History as an Extrinsic Aid and Generalia specialibus non derogant, Section 2195 of the Revised Administrative Code specifically mandates automatic temporary succession by the Vice-Mayor. The Governor has no power to appoint a substitute where the law provides an automatic successor."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2195, Revised Administrative Code: </w:t>
            </w:r>
            <w:r>
              <w:rPr>
                <w:rFonts w:ascii="Calibri" w:hAnsi="Calibri"/>
                <w:color w:val="212529"/>
                <w:sz w:val="20"/>
              </w:rPr>
              <w:t>Specific provision mandating that upon the absence, suspension, or temporary disability of the mayor, his duties shall be discharged by the vice-mayor.</w:t>
            </w:r>
          </w:p>
          <w:p>
            <w:pPr>
              <w:spacing w:before="20" w:after="40" w:line="276" w:lineRule="auto"/>
            </w:pPr>
            <w:r>
              <w:rPr>
                <w:rFonts w:ascii="Calibri" w:hAnsi="Calibri"/>
                <w:b/>
                <w:color w:val="212529"/>
                <w:sz w:val="20"/>
              </w:rPr>
              <w:t xml:space="preserve">2. Section 21(a), Revised Election Code: </w:t>
            </w:r>
            <w:r>
              <w:rPr>
                <w:rFonts w:ascii="Calibri" w:hAnsi="Calibri"/>
                <w:color w:val="212529"/>
                <w:sz w:val="20"/>
              </w:rPr>
              <w:t>General provision governing the filling of vacancies in municipal offices.</w:t>
            </w:r>
          </w:p>
          <w:p>
            <w:pPr>
              <w:spacing w:before="20" w:after="40" w:line="276" w:lineRule="auto"/>
            </w:pPr>
            <w:r>
              <w:rPr>
                <w:rFonts w:ascii="Calibri" w:hAnsi="Calibri"/>
                <w:b/>
                <w:color w:val="212529"/>
                <w:sz w:val="20"/>
              </w:rPr>
              <w:t xml:space="preserve">3. Generalia Specialibus Non Derogant (general provisions yield to special provisions): </w:t>
            </w:r>
            <w:r>
              <w:rPr>
                <w:rFonts w:ascii="Calibri" w:hAnsi="Calibri"/>
                <w:color w:val="212529"/>
                <w:sz w:val="20"/>
              </w:rPr>
              <w:t>The specific automatic succession rule for temporary disability controls over general vacancy filling.</w:t>
            </w:r>
          </w:p>
          <w:p>
            <w:pPr>
              <w:spacing w:before="20" w:after="40" w:line="276" w:lineRule="auto"/>
            </w:pPr>
            <w:r>
              <w:rPr>
                <w:rFonts w:ascii="Calibri" w:hAnsi="Calibri"/>
                <w:b/>
                <w:color w:val="212529"/>
                <w:sz w:val="20"/>
              </w:rPr>
              <w:t xml:space="preserve">4. Legislative History as an Extrinsic Aid: </w:t>
            </w:r>
            <w:r>
              <w:rPr>
                <w:rFonts w:ascii="Calibri" w:hAnsi="Calibri"/>
                <w:color w:val="212529"/>
                <w:sz w:val="20"/>
              </w:rPr>
              <w:t>The historical evolution of municipal administration laws confirms the statutory policy of succession through the vice-mayor.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2195 RAC, Section 21(a) Election Code, Generalia Specialibus Non Derogant, and Legislative History.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2195 of the Revised Administrative Code, applied under Generalia specialibus non derogant (general laws yield to special provisions) and Legislative History as an Extrinsic Aid."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Evolution of Municipal Succession: </w:t>
            </w:r>
            <w:r>
              <w:rPr>
                <w:rFonts w:ascii="Calibri" w:hAnsi="Calibri"/>
                <w:color w:val="212529"/>
                <w:sz w:val="20"/>
              </w:rPr>
              <w:t>The historical purpose of creating the office of Vice-Mayor was precisely to have a readily available, democratically elected substitute to assume executive duties instantly during the mayor's temporary absence or disability.</w:t>
            </w:r>
          </w:p>
          <w:p>
            <w:pPr>
              <w:spacing w:before="20" w:after="40" w:line="276" w:lineRule="auto"/>
            </w:pPr>
            <w:r>
              <w:rPr>
                <w:rFonts w:ascii="Calibri" w:hAnsi="Calibri"/>
                <w:b/>
                <w:color w:val="212529"/>
                <w:sz w:val="20"/>
              </w:rPr>
              <w:t xml:space="preserve">2. Distinction Between Permanent Vacancy and Temporary Disability: </w:t>
            </w:r>
            <w:r>
              <w:rPr>
                <w:rFonts w:ascii="Calibri" w:hAnsi="Calibri"/>
                <w:color w:val="212529"/>
                <w:sz w:val="20"/>
              </w:rPr>
              <w:t>Section 21(a) of the Election Code governs permanent vacancies (death, permanent resignation, removal). Section 2195 of the Administrative Code specifically governs temporary suspensions.</w:t>
            </w:r>
          </w:p>
          <w:p>
            <w:pPr>
              <w:spacing w:before="20" w:after="40" w:line="276" w:lineRule="auto"/>
            </w:pPr>
            <w:r>
              <w:rPr>
                <w:rFonts w:ascii="Calibri" w:hAnsi="Calibri"/>
                <w:b/>
                <w:color w:val="212529"/>
                <w:sz w:val="20"/>
              </w:rPr>
              <w:t xml:space="preserve">3. Democratic Will of the Electorate: </w:t>
            </w:r>
            <w:r>
              <w:rPr>
                <w:rFonts w:ascii="Calibri" w:hAnsi="Calibri"/>
                <w:color w:val="212529"/>
                <w:sz w:val="20"/>
              </w:rPr>
              <w:t>The electorate elected the Vice-Mayor with the expectation that he would step into the Mayor's shoes when needed; executive appointment of a political favorite violates the statutory scheme.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Why do people elect a Vice-Mayor? To take over when the Mayor is sick, away, or suspended! If the Governor could appoint a political ally whenever the Mayor is suspended, the office of Vice-Mayor would be meaningless. The specific succession law controls.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examined the legislative history of municipal governance. The specific text of Section 2195 RAC guarantees automatic succession by the Vice-Mayor during temporary suspensions. Under Generalia Specialibus Non Derogant, this specific rule defeats general gubernatorial vacancy powers."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for Quo Warranto, OUSTED respondent Baltazar, and DECLARED petitioner Vice-Mayor Jose Laxamana entitled to discharge the duties of Mayor.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Vice-Mayor won and was declared the rightful acting Mayor.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ousted the Governor's appointee and declared the Vice-Mayor the lawful acting Mayor under Section 2195 RAC."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B. Extrinsic Aids -&gt; c. Legislative History &amp; Legislative Evolution (RAC Sec. 2195 / Vice-Mayor Succession)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specific temporary succession rule in Section 2195 RAC prevails over general vacancy provisions in the Election Code.</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reason for creating the vice-mayoralty is to ensure continuous democratic local executive succession.</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Respecting the democratic choice of the voters for Vice-Mayor preserves local government stability.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B. Extrinsic Aids -&gt; c. Legislative History &amp; Legislative Evolution (RAC Sec. 2195 / Vice-Mayor Succession)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specific temporary succession rule for Vice-Mayor under Section 2195 RAC overrides general vacancy powers)</w:t>
              <w:br/>
              <w:br/>
              <w:t>Secondary:</w:t>
              <w:br/>
              <w:t>• Ratio legis est anima legis (purpose of the vice-mayoralty)</w:t>
              <w:br/>
              <w:t>• Salus populi est suprema lex (democratic electoral succession)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Provincial Governor attempted to use a general vacancy statute to override the specific statutory succession mechanism enacted for the Vice-Mayor.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Primacy of Specific Succession Provisions: Where a statute creates an automatic line of succession for temporary disability, executive appointing authorities cannot create artificial vacancies to install political appointees.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specific law saying 'the vice-mayor takes over when the mayor is suspended' beats a general law about appointing replacements.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Laxamana v. Baltazar is the foundational jurisprudence harmonizing local government succession through Legislative History and Generalia specialibus non derogant."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Laxamana v. Baltazar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L-5955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19, 1952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Municipal Mayor of Sexmoan, Pampanga was suspended from office pending administrative charges. The Provincial Governor appointed Flaviano Baltazar to take over as Mayor. The elected Vice-Mayor, Jose Laxamana, contested the appointment and claimed the right to assume the office of Mayor pursuant to Section 2195 of the Revised Administrative Code, which provided that 'upon the occasion of the absence, suspension, or other temporary disability of the mayor, his duties shall be discharged by the vice-mayor.' Baltazar argued that Section 21(a) of the Revised Election Code gave the Governor the general power to fill vacancies in municipal offices.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2195, Revised Administrative Code: Specific provision mandating that upon the absence, suspension, or temporary disability of the mayor, his duties shall be discharged by the vice-mayor.</w:t>
              <w:br/>
              <w:t>2. Section 21(a), Revised Election Code: General provision governing the filling of vacancies in municipal offices.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Provincial Governor attempted to use a general vacancy statute to override the specific statutory succession mechanism enacted for the Vice-Mayor.</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Vice-Mayor automatically assumes the office of Mayor during the temporary suspension of the incumbent Mayor, using Legislative History as an Extrinsic Aid.</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Laxamana v. Baltazar,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2195, Revised Administrative Code: Specific provision mandating that upon the absence, suspension, or temporary disability of the mayor, his duties shall be discharged by the vice-mayor.</w:t>
              <w:br/>
              <w:t>2. Section 21(a), Revised Election Code: General provision governing the filling of vacancies in municipal offices.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Provincial Governor attempted to use a general vacancy statute to override the specific statutory succession mechani...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for Quo Warranto, OUSTED respondent Baltazar, and DECLARED petitioner Vice-Mayor Jose Laxamana entitled to discharge the duties of Mayor.</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VICE-MAYOR automatically assumes the duties of the Mayor during the Mayor's temporary suspension. Section 2195 of the Revised Administrative Code is a SPECIAL PROVISION on temporary disability that prevails over the general vacancy rules of the Election Code.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Provincial Governor attempted to use a general vacancy statute to override the specific statutory succession mechanism enacted for the V.</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Primacy of Specific Succession Provisions: Where a statute creates an automatic line of succession for temporary disability, executive appointing authorities cannot create artificial vacancies to install political appointees.</w:t>
              <w:br/>
              <w:t xml:space="preserve">   - Result: Yes. The law specifically says the Vice-Mayor takes over when the Mayor is suspended. The Governor's general power to fill permanent vacancies cannot be used to bypass the elected Vice-Mayor during temporary suspensions.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Ratio legis est anima legis (purpose of the vice-mayoralty)</w:t>
              <w:br/>
              <w:t>• Salus populi est suprema lex (democratic electoral succession)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Laxamana v. Baltazar to mean and apply strictly in accordance with Generalia specialibus non derogant, holding that Yes. The law specifically says the Vice-Mayor takes over when the Mayor is suspended. The Governor's general power to fill permanent vacancies cannot be used to.</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Why do people elect a Vice-Mayor? To take over when the Mayor is sick, away, or suspended! If the Governor could appoint a political ally whenever the Mayor is suspended, the office of Vice-Mayor would be meaningless. The specific succession law controls.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Primacy of Specific Succession Provisions: Where a statute creates an automatic line of succession for temporary disability, executive appointing authorities cannot create artificial vacancies to install political appointees.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specific law saying 'the vice-mayor takes over when the mayor is suspended' beats a general law about appointing replacements.</w:t>
            </w:r>
          </w:p>
        </w:tc>
      </w:tr>
    </w:tbl>
    <w:p>
      <w:r>
        <w:br w:type="page"/>
      </w:r>
    </w:p>
    <w:p>
      <w:pPr>
        <w:keepNext/>
        <w:spacing w:before="320" w:after="80"/>
      </w:pPr>
      <w:r>
        <w:rPr>
          <w:rFonts w:ascii="Arial" w:hAnsi="Arial"/>
          <w:b/>
          <w:color w:val="0F2043"/>
          <w:sz w:val="26"/>
        </w:rPr>
        <w:t>22. ALVAREZ V. GUINGONA</w:t>
      </w:r>
    </w:p>
    <w:p>
      <w:pPr>
        <w:spacing w:before="40" w:after="80" w:line="276" w:lineRule="auto"/>
      </w:pPr>
      <w:r>
        <w:rPr>
          <w:rFonts w:ascii="Calibri" w:hAnsi="Calibri"/>
          <w:b/>
          <w:color w:val="212529"/>
          <w:sz w:val="21"/>
        </w:rPr>
        <w:t xml:space="preserve">Citation: </w:t>
      </w:r>
      <w:r>
        <w:rPr>
          <w:rFonts w:ascii="Calibri" w:hAnsi="Calibri"/>
          <w:i/>
          <w:color w:val="212529"/>
          <w:sz w:val="21"/>
        </w:rPr>
        <w:t>G.R. No. 118303 | January 31, 1996 | 252 SCRA 695 | En Banc | Ponente: J. Hermosisima, Jr.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Alvarez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Executive Secretary Teofisto Guingona, Jr.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Prohibition challenging the constitutionality of Republic Act No. 7720 converting the Municipality of Santiago, Isabela into an independent component city under the Enrolled Bill Doctrine.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Petitioners challenged the validity of Republic Act No. 7720 (Charter of the City of Santiago), contending that the law did not originate exclusively in the House of Representatives as required by Article VI, Section 24 of the 1987 Constitution for local bills. Petitioners cited entries in the Congressional Journals showing that the Senate passed its own version before receiving the House bill. The respondents invoked the ENROLLED BILL DOCTRINE, showing that the final bill was duly signed by the Speaker of the House and the Senate President and approved by the President of the Philippines.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group of citizens challenged the law that turned the town of Santiago, Isabela into a city, claiming the law was unconstitutional because the Senate started working on the bill before the House finished it, citing entries in the legislative journals. The government defended the law using the Enrolled Bill Doctrine, showing that the final official copy of the bill was formally signed by the Senate President, Speaker of the House, and President of the Philippines. The Supreme Court upheld the city charter, ruling that the Enrolled Bill is conclusive evidence of the regular passage of a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Enrolled Bill Doctrine prevails over Congressional Journals and records in establishing the regular constitutional enactment of a statute (R.A. No. 7720).</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officially signed copy of a law (Enrolled Bill) beat journal notes when someone challenges how the law was passed in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RA 7720 is constitutional under the Enrolled Bill Doctrine, testing whether an Enrolled Bill is conclusive proof of regular enactment over conflicting entries in Congressional Journals."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ENROLLED BILL DOCTRINE prevails. The signing of a bill by the Speaker of the House and the Senate President and its certification as having passed both Houses is CONCLUSIVE PROOF of its due enactment, which courts cannot question by inspecting legislative journals.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When the heads of both Houses of Congress sign a law and send it to the President, that official paper (Enrolled Bill) is final and conclusive. Courts respect the separation of powers and will not go digging through legislative diary notes to second-guess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the Enrolled Bill Doctrine and the principle of separation of powers, an enrolled bill signed by the Senate President and House Speaker carries absolute verity and is conclusive upon the courts as to the regular passage of the statute."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VI, Section 24 and 26, 1987 Constitution: </w:t>
            </w:r>
            <w:r>
              <w:rPr>
                <w:rFonts w:ascii="Calibri" w:hAnsi="Calibri"/>
                <w:color w:val="212529"/>
                <w:sz w:val="20"/>
              </w:rPr>
              <w:t>Constitutional requirements for legislative enactment of local bills and enrolled bill certification.</w:t>
            </w:r>
          </w:p>
          <w:p>
            <w:pPr>
              <w:spacing w:before="20" w:after="40" w:line="276" w:lineRule="auto"/>
            </w:pPr>
            <w:r>
              <w:rPr>
                <w:rFonts w:ascii="Calibri" w:hAnsi="Calibri"/>
                <w:b/>
                <w:color w:val="212529"/>
                <w:sz w:val="20"/>
              </w:rPr>
              <w:t xml:space="preserve">2. The Enrolled Bill Doctrine: </w:t>
            </w:r>
            <w:r>
              <w:rPr>
                <w:rFonts w:ascii="Calibri" w:hAnsi="Calibri"/>
                <w:color w:val="212529"/>
                <w:sz w:val="20"/>
              </w:rPr>
              <w:t>An enrolled bill signed by the leaders of Congress imports absolute verity and is conclusive of its due enactment.</w:t>
            </w:r>
          </w:p>
          <w:p>
            <w:pPr>
              <w:spacing w:before="20" w:after="40" w:line="276" w:lineRule="auto"/>
            </w:pPr>
            <w:r>
              <w:rPr>
                <w:rFonts w:ascii="Calibri" w:hAnsi="Calibri"/>
                <w:b/>
                <w:color w:val="212529"/>
                <w:sz w:val="20"/>
              </w:rPr>
              <w:t xml:space="preserve">3. Presumption of Regularity and Constitutionality: </w:t>
            </w:r>
            <w:r>
              <w:rPr>
                <w:rFonts w:ascii="Calibri" w:hAnsi="Calibri"/>
                <w:color w:val="212529"/>
                <w:sz w:val="20"/>
              </w:rPr>
              <w:t>Official acts of the legislative and executive branches are presumed regular and valid under Omnia Praesumuntur Rite Esse Acta.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VI 1987 Constitution, Enrolled Bill Doctrine, and Omnia Praesumuntur Rite Esse Acta.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VI of the Constitution, governed by the Enrolled Bill Doctrine and the presumption Omnia praesumuntur rite et solemniter esse acta (all acts are presumed to have been done regularly)."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Conclusiveness of the Enrolled Bill: </w:t>
            </w:r>
            <w:r>
              <w:rPr>
                <w:rFonts w:ascii="Calibri" w:hAnsi="Calibri"/>
                <w:color w:val="212529"/>
                <w:sz w:val="20"/>
              </w:rPr>
              <w:t>The enrolled copy of a bill, bearing the authentic signatures of the Speaker of the House and the President of the Senate, is the definitive, solemn declaration of the Legislature that the bill was regularly passed in compliance with constitutional procedures.</w:t>
            </w:r>
          </w:p>
          <w:p>
            <w:pPr>
              <w:spacing w:before="20" w:after="40" w:line="276" w:lineRule="auto"/>
            </w:pPr>
            <w:r>
              <w:rPr>
                <w:rFonts w:ascii="Calibri" w:hAnsi="Calibri"/>
                <w:b/>
                <w:color w:val="212529"/>
                <w:sz w:val="20"/>
              </w:rPr>
              <w:t xml:space="preserve">2. Judicial Non-Interference in Legislative Process: </w:t>
            </w:r>
            <w:r>
              <w:rPr>
                <w:rFonts w:ascii="Calibri" w:hAnsi="Calibri"/>
                <w:color w:val="212529"/>
                <w:sz w:val="20"/>
              </w:rPr>
              <w:t>To permit courts to examine legislative journals and second-guess the accuracy of legislative certifications would violate the separation of powers and create constitutional instability.</w:t>
            </w:r>
          </w:p>
          <w:p>
            <w:pPr>
              <w:spacing w:before="20" w:after="40" w:line="276" w:lineRule="auto"/>
            </w:pPr>
            <w:r>
              <w:rPr>
                <w:rFonts w:ascii="Calibri" w:hAnsi="Calibri"/>
                <w:b/>
                <w:color w:val="212529"/>
                <w:sz w:val="20"/>
              </w:rPr>
              <w:t xml:space="preserve">3. Originating in the House: </w:t>
            </w:r>
            <w:r>
              <w:rPr>
                <w:rFonts w:ascii="Calibri" w:hAnsi="Calibri"/>
                <w:color w:val="212529"/>
                <w:sz w:val="20"/>
              </w:rPr>
              <w:t>Article VI, Section 24 only requires that the legislative initiative for local bills begin in the House; the Senate has full constitutional power to propose or concur with amendments, including passing its own consolidated version.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requires checks and balances. When the Senate President and House Speaker sign an official document saying 'this bill was properly voted on and passed', the Supreme Court must respect that official word. Judges do not go through minute-by-minute journal notes to impeach the official signature of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Enrolled Bill Doctrine. The authentic signatures of the legislative leaders import absolute verity. Under the separation of powers and Omnia Praesumuntur Rite Esse Acta, the enrolled bill is conclusive proof of constitutional enactment."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UPHELD the constitutionality and validity of Republic Act No. 7720 creating the City of Santiago.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city charter was declared completely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the constitutionality of RA 7720, reaffirming the conclusive authority of the Enrolled Bill Doctrine."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B. Extrinsic Aids -&gt; c. Legislative History &amp; Congressional Debates (RA 7720 / Internal Revenue Allotment for City Conversion)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donec probetur in contrarium (all acts are presumed to have been done regularly and with solemnity until the contrary is proved)</w:t>
              <w:br/>
            </w:r>
            <w:r>
              <w:rPr>
                <w:rFonts w:ascii="Calibri" w:hAnsi="Calibri"/>
                <w:b/>
                <w:color w:val="212529"/>
                <w:sz w:val="19"/>
              </w:rPr>
              <w:t xml:space="preserve">   • Literal English Translation: </w:t>
            </w:r>
            <w:r>
              <w:rPr>
                <w:rFonts w:ascii="Calibri" w:hAnsi="Calibri"/>
                <w:i/>
                <w:color w:val="212529"/>
                <w:sz w:val="19"/>
              </w:rPr>
              <w:t>All things are presumed to have been done regularly.</w:t>
              <w:br/>
            </w:r>
            <w:r>
              <w:rPr>
                <w:rFonts w:ascii="Calibri" w:hAnsi="Calibri"/>
                <w:b/>
                <w:color w:val="212529"/>
                <w:sz w:val="19"/>
              </w:rPr>
              <w:t xml:space="preserve">   • Plain Legal Meaning &amp; StatCon Application: </w:t>
            </w:r>
            <w:r>
              <w:rPr>
                <w:rFonts w:ascii="Calibri" w:hAnsi="Calibri"/>
                <w:color w:val="212529"/>
                <w:sz w:val="19"/>
              </w:rPr>
              <w:t>The enrolled bill is conclusively presumed to have been enacted in accordance with all constitutional rules.</w:t>
            </w:r>
          </w:p>
          <w:p>
            <w:pPr>
              <w:spacing w:before="40" w:after="60" w:line="276" w:lineRule="auto"/>
            </w:pPr>
            <w:r>
              <w:rPr>
                <w:rFonts w:ascii="Calibri" w:hAnsi="Calibri"/>
                <w:b/>
                <w:color w:val="8C3200"/>
                <w:sz w:val="20"/>
              </w:rPr>
              <w:t>2. Res judicata pro veritate accipitur (a matter adjudged is taken for truth)</w:t>
              <w:br/>
            </w:r>
            <w:r>
              <w:rPr>
                <w:rFonts w:ascii="Calibri" w:hAnsi="Calibri"/>
                <w:b/>
                <w:color w:val="212529"/>
                <w:sz w:val="19"/>
              </w:rPr>
              <w:t xml:space="preserve">   • Literal English Translation: </w:t>
            </w:r>
            <w:r>
              <w:rPr>
                <w:rFonts w:ascii="Calibri" w:hAnsi="Calibri"/>
                <w:i/>
                <w:color w:val="212529"/>
                <w:sz w:val="19"/>
              </w:rPr>
              <w:t>An official matter settled is accepted as truth.</w:t>
              <w:br/>
            </w:r>
            <w:r>
              <w:rPr>
                <w:rFonts w:ascii="Calibri" w:hAnsi="Calibri"/>
                <w:b/>
                <w:color w:val="212529"/>
                <w:sz w:val="19"/>
              </w:rPr>
              <w:t xml:space="preserve">   • Plain Legal Meaning &amp; StatCon Application: </w:t>
            </w:r>
            <w:r>
              <w:rPr>
                <w:rFonts w:ascii="Calibri" w:hAnsi="Calibri"/>
                <w:color w:val="212529"/>
                <w:sz w:val="19"/>
              </w:rPr>
              <w:t>The solemn certification of legislative leaders carries conclusive verity.</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The legislative power to certify bills belongs exclusively to the leaders of Congress.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B. Extrinsic Aids -&gt; c. Legislative History &amp; Congressional Debates (RA 7720 / Internal Revenue Allotment for City Conversion)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the Enrolled Bill Doctrine is conclusive proof of regular legislative enactment)</w:t>
              <w:br/>
              <w:br/>
              <w:t>Secondary:</w:t>
              <w:br/>
              <w:t>• Res judicata pro veritate accipitur (conclusive verity of official acts)</w:t>
              <w:br/>
              <w:t>• Separation of powers doctrine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petitioners attempted to undermine the solemn certification of Congress by using selective journal entries to attack an enrolled bill.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Enrolled Bill Doctrine: An enrolled bill signed by the presiding officers of both Houses of Congress and approved by the President imports absolute verity and is conclusive upon the judiciary regarding constitutional compliance.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officially signed copy of a law by the leaders of Congress is the final, untouchable truth that the law was passed properly.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Alvarez v. Guingona is the prime authority on the Enrolled Bill Doctrine: the enrolled copy of a statute prevails conclusively over legislative journals."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Alvarez v. Guingona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118303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31, 1996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Petitioners challenged the validity of Republic Act No. 7720 (Charter of the City of Santiago), contending that the law did not originate exclusively in the House of Representatives as required by Article VI, Section 24 of the 1987 Constitution for local bills. Petitioners cited entries in the Congressional Journals showing that the Senate passed its own version before receiving the House bill. The respondents invoked the ENROLLED BILL DOCTRINE, showing that the final bill was duly signed by the Speaker of the House and the Senate President and approved by the President of the Philippines.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VI, Section 24 and 26, 1987 Constitution: Constitutional requirements for legislative enactment of local bills and enrolled bill certification.</w:t>
              <w:br/>
              <w:t>2. The Enrolled Bill Doctrine: An enrolled bill signed by the leaders of Congress imports absolute verity and is conclusive of its due enactment.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petitioners attempted to undermine the solemn certification of Congress by using selective journal entries to attack an enrolled bill.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Enrolled Bill Doctrine prevails over Congressional Journals and records in establishing the regular constitutional enactment of a statute (R.A. No. 7720).</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Alvarez v. Guingona,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VI, Section 24 and 26, 1987 Constitution: Constitutional requirements for legislative enactment of local bills and enrolled bill certification.</w:t>
              <w:br/>
              <w:t>2. The Enrolled Bill Doctrine: An enrolled bill signed by the leaders of Congress imports absolute verity and is conclusive of its due enactment.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petitioners attempted to undermine the solemn certification of Congress by using selective journal entries to attack...</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UPHELD the constitutionality and validity of Republic Act No. 7720 creating the City of Santiago.</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ENROLLED BILL DOCTRINE prevails. The signing of a bill by the Speaker of the House and the Senate President and its certification as having passed both Houses is CONCLUSIVE PROOF of its due enactment, which courts cannot question by inspecting legislative journals.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petitioners attempted to undermine the solemn certification of Congress by using selective journal entries to attack an enrolled bill..</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The Enrolled Bill Doctrine: An enrolled bill signed by the presiding officers of both Houses of Congress and approved by the President imports absolute verity and is conclusive upon the judiciary regarding constitutional compliance.</w:t>
              <w:br/>
              <w:t xml:space="preserve">   - Result: Yes. When the heads of both Houses of Congress sign a law and send it to the President, that official paper (Enrolled Bill) is final and conclusive. Courts respect the separation of powers and will not go digging through legislative diary notes to second-guess Congress.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Res judicata pro veritate accipitur (conclusive verity of official acts)</w:t>
              <w:br/>
              <w:t>• Separation of powers doctrine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Alvarez v. Guingona to mean and apply strictly in accordance with Omnia praesumuntur rite et solemniter esse acta, holding that Yes. When the heads of both Houses of Congress sign a law and send it to the President, that official paper (Enrolled Bill) is final and conclusive. Courts resp.</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Constitution requires checks and balances. When the Senate President and House Speaker sign an official document saying 'this bill was properly voted on and passed', the Supreme Court must respect that official word. Judges do not go through minute-by-minute journal notes to impeach the official signature of Congress.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Enrolled Bill Doctrine: An enrolled bill signed by the presiding officers of both Houses of Congress and approved by the President imports absolute verity and is conclusive upon the judiciary regarding constitutional compliance.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officially signed copy of a law by the leaders of Congress is the final, untouchable truth that the law was passed properly.</w:t>
            </w:r>
          </w:p>
        </w:tc>
      </w:tr>
    </w:tbl>
    <w:p>
      <w:r>
        <w:br w:type="page"/>
      </w:r>
    </w:p>
    <w:p>
      <w:pPr>
        <w:keepNext/>
        <w:spacing w:before="320" w:after="80"/>
      </w:pPr>
      <w:r>
        <w:rPr>
          <w:rFonts w:ascii="Arial" w:hAnsi="Arial"/>
          <w:b/>
          <w:color w:val="0F2043"/>
          <w:sz w:val="26"/>
        </w:rPr>
        <w:t>23. BOIE-TAKEDA CHEMICALS, INC. AND PHILIPPINE INVESTMENT-MANAGEMENT CONSULTANTS (PHINMA) V. HON. DIONISIO DE LA SERNA</w:t>
      </w:r>
    </w:p>
    <w:p>
      <w:pPr>
        <w:spacing w:before="40" w:after="80" w:line="276" w:lineRule="auto"/>
      </w:pPr>
      <w:r>
        <w:rPr>
          <w:rFonts w:ascii="Calibri" w:hAnsi="Calibri"/>
          <w:b/>
          <w:color w:val="212529"/>
          <w:sz w:val="21"/>
        </w:rPr>
        <w:t xml:space="preserve">Citation: </w:t>
      </w:r>
      <w:r>
        <w:rPr>
          <w:rFonts w:ascii="Calibri" w:hAnsi="Calibri"/>
          <w:i/>
          <w:color w:val="212529"/>
          <w:sz w:val="21"/>
        </w:rPr>
        <w:t>G.R. No. 92174 | December 10, 1993 | 228 SCRA 329 | En Banc | Ponente: J. Feliciano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Boie-Takeda Chemicals, Inc. and PHINMA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Dionisio De La Serna, Undersecretary of Labor and Employment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Department of Labor and Employment (DOLE)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challenging DOLE administrative order requiring the inclusion of sales commissions in the computation of 13th Month Pay under Presidential Decree No. 851.</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Undersecretary of Labor issued an order directing Boie-Takeda and PHINMA to pay 13th month pay differentials to their medical representatives and sales employees by including SALES COMMISSIONS in the computation of 'basic salary' under P.D. No. 851 (The 13th Month Pay Law). The employers protested, arguing that Section 2 of PD 851 and its original Supplementary Rules explicitly defined 'basic salary' to EXCLUDE commissions, allowances, and profit-sharing bonuses. The DOLE Undersecretary claimed that contemporaneous executive construction and social justice required commissions that form part of regular compensation to be included.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Department of Labor ordered pharmaceutical companies to include sales commissions when calculating the mandatory 13th Month Pay of sales agents. The companies objected, pointing out that the 13th Month Pay Law (PD 851) explicitly defines 'basic salary' as regular pay EXCLUDING commissions, allowances, and bonuses. The Supreme Court ruled in favor of the employers, holding that while executive agencies give contemporaneous construction, an administrative official cannot rewrite a statute or add items that the law explicitly excluded.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sales commissions are included in the computation of 'basic salary' for the purpose of the 13th Month Pay under P.D. No. 851, testing the limits of Contemporaneous Administrative Construction.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Department of Labor order companies to include sales commissions in 13th month pay when the statute explicitly excludes commissions from 'basic salary'?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sales commissions form part of 'basic salary' under PD 851, testing the limits of Contemporaneous Administrative Construction versus Verba Legis (the words of the law) and Expressio Unius."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Sales commissions are EXCLUDED from the computation of 'basic salary' under P.D. No. 851. Contemporaneous administrative construction CANNOT supersede, expand, or alter the clear, explicit statutory definition enacted by the lawgiver.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says 'basic salary' means base pay and explicitly excludes commissions and bonuses. An administrative agency cannot change the law by issuing an order that contradicts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Verba Legis and Expressio unius est exclusio alterius, PD 851 and its original rules explicitly excluded commissions from 'basic salary'. Contemporaneous administrative construction is an extrinsic aid of secondary rank; it cannot be used to rewrite the statute or impose obligations not authorized by the decree."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851 (The 13th Month Pay Law): </w:t>
            </w:r>
            <w:r>
              <w:rPr>
                <w:rFonts w:ascii="Calibri" w:hAnsi="Calibri"/>
                <w:color w:val="212529"/>
                <w:sz w:val="20"/>
              </w:rPr>
              <w:t>Mandates payment of 13th month pay based on 'basic salary'.</w:t>
            </w:r>
          </w:p>
          <w:p>
            <w:pPr>
              <w:spacing w:before="20" w:after="40" w:line="276" w:lineRule="auto"/>
            </w:pPr>
            <w:r>
              <w:rPr>
                <w:rFonts w:ascii="Calibri" w:hAnsi="Calibri"/>
                <w:b/>
                <w:color w:val="212529"/>
                <w:sz w:val="20"/>
              </w:rPr>
              <w:t xml:space="preserve">2. Original Implementing Rules of PD 851 (December 22, 1975): </w:t>
            </w:r>
            <w:r>
              <w:rPr>
                <w:rFonts w:ascii="Calibri" w:hAnsi="Calibri"/>
                <w:color w:val="212529"/>
                <w:sz w:val="20"/>
              </w:rPr>
              <w:t>Explicitly defines basic salary as excluding commissions, allowances, and bonuses.</w:t>
            </w:r>
          </w:p>
          <w:p>
            <w:pPr>
              <w:spacing w:before="20" w:after="40" w:line="276" w:lineRule="auto"/>
            </w:pPr>
            <w:r>
              <w:rPr>
                <w:rFonts w:ascii="Calibri" w:hAnsi="Calibri"/>
                <w:b/>
                <w:color w:val="212529"/>
                <w:sz w:val="20"/>
              </w:rPr>
              <w:t xml:space="preserve">3. Limits of Contemporaneous Construction: </w:t>
            </w:r>
            <w:r>
              <w:rPr>
                <w:rFonts w:ascii="Calibri" w:hAnsi="Calibri"/>
                <w:color w:val="212529"/>
                <w:sz w:val="20"/>
              </w:rPr>
              <w:t>Administrative interpretation is entitled to great respect, but must yield when it is contrary to the clear text and purpose of the statute.</w:t>
            </w:r>
          </w:p>
          <w:p>
            <w:pPr>
              <w:spacing w:before="20" w:after="40" w:line="276" w:lineRule="auto"/>
            </w:pPr>
            <w:r>
              <w:rPr>
                <w:rFonts w:ascii="Calibri" w:hAnsi="Calibri"/>
                <w:b/>
                <w:color w:val="212529"/>
                <w:sz w:val="20"/>
              </w:rPr>
              <w:t xml:space="preserve">4. Verba Legis Non Est Recedendum (from the words of the statute there should be no departure): </w:t>
            </w:r>
            <w:r>
              <w:rPr>
                <w:rFonts w:ascii="Calibri" w:hAnsi="Calibri"/>
                <w:color w:val="212529"/>
                <w:sz w:val="20"/>
              </w:rPr>
              <w:t>The statutory phrase 'basic salary' cannot be judicially or administratively inflated.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851, Original Implementing Rules, Limits of Contemporaneous Construction, and Verba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851, governed by Verba legis non est recedendum (from statutory words no departure) and the principle that Contemporaneous Administrative Construction cannot expand substantive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Statutory Meaning of 'Basic Salary': </w:t>
            </w:r>
            <w:r>
              <w:rPr>
                <w:rFonts w:ascii="Calibri" w:hAnsi="Calibri"/>
                <w:color w:val="212529"/>
                <w:sz w:val="20"/>
              </w:rPr>
              <w:t>The word 'basic' means fundamental, foundational, and standard. It refers to the fixed regular compensation, in contrast to variable, fluctuating productivity incentives like sales commissions.</w:t>
            </w:r>
          </w:p>
          <w:p>
            <w:pPr>
              <w:spacing w:before="20" w:after="40" w:line="276" w:lineRule="auto"/>
            </w:pPr>
            <w:r>
              <w:rPr>
                <w:rFonts w:ascii="Calibri" w:hAnsi="Calibri"/>
                <w:b/>
                <w:color w:val="212529"/>
                <w:sz w:val="20"/>
              </w:rPr>
              <w:t xml:space="preserve">2. Subordination of Executive Construction: </w:t>
            </w:r>
            <w:r>
              <w:rPr>
                <w:rFonts w:ascii="Calibri" w:hAnsi="Calibri"/>
                <w:color w:val="212529"/>
                <w:sz w:val="20"/>
              </w:rPr>
              <w:t>The DOLE cannot expand the burden on employers by reinterpreting 'basic salary' through administrative circulars. Administrative interpretation cannot prevail over the clear statutory text.</w:t>
            </w:r>
          </w:p>
          <w:p>
            <w:pPr>
              <w:spacing w:before="20" w:after="40" w:line="276" w:lineRule="auto"/>
            </w:pPr>
            <w:r>
              <w:rPr>
                <w:rFonts w:ascii="Calibri" w:hAnsi="Calibri"/>
                <w:b/>
                <w:color w:val="212529"/>
                <w:sz w:val="20"/>
              </w:rPr>
              <w:t xml:space="preserve">3. Protection of Business Predictability: </w:t>
            </w:r>
            <w:r>
              <w:rPr>
                <w:rFonts w:ascii="Calibri" w:hAnsi="Calibri"/>
                <w:color w:val="212529"/>
                <w:sz w:val="20"/>
              </w:rPr>
              <w:t>Forcing employers to pay 13th month bonuses on top of variable sales commissions contradicts the legislative compromise embodied in PD 851.</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'Basic' salary means the base rate you get every month regardless of sales. A commission is an extra bonus based on how many boxes of medicine you sold. The decree explicitly excluded commissions from basic salary. The Secretary of Labor cannot write a memo to add commissions back into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defined the limits of administrative contemporaneous construction. Administrative agencies must execute the law, not amend it. Since PD 851 explicitly restricted 13th month pay to 'basic salary' excluding commissions, the DOLE order was ultra vires."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DOLE order, and DECLARED that sales commissions are excluded from 13th month pay computation under PD 851.</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employers won and the DOLE order forcing commissions into 13th month pay was nullified.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annulled the DOLE order, holding that sales commissions cannot be included in basic salary under PD 851."</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B. Extrinsic Aids -&gt; e. Contemporaneous Construction (PD 851 13th Month Pay / Administrative Rules vs Basic Salary)</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statutory definition of 'basic salary' cannot be expanded by administrative fiat.</w:t>
            </w:r>
          </w:p>
          <w:p>
            <w:pPr>
              <w:spacing w:before="40" w:after="60" w:line="276" w:lineRule="auto"/>
            </w:pPr>
            <w:r>
              <w:rPr>
                <w:rFonts w:ascii="Calibri" w:hAnsi="Calibri"/>
                <w:b/>
                <w:color w:val="8C3200"/>
                <w:sz w:val="20"/>
              </w:rPr>
              <w:t>2. Contemporanea expositio non praevalet contra expressam legem (contemporaneous exposition does not prevail against express law)</w:t>
              <w:br/>
            </w:r>
            <w:r>
              <w:rPr>
                <w:rFonts w:ascii="Calibri" w:hAnsi="Calibri"/>
                <w:b/>
                <w:color w:val="212529"/>
                <w:sz w:val="19"/>
              </w:rPr>
              <w:t xml:space="preserve">   • Literal English Translation: </w:t>
            </w:r>
            <w:r>
              <w:rPr>
                <w:rFonts w:ascii="Calibri" w:hAnsi="Calibri"/>
                <w:i/>
                <w:color w:val="212529"/>
                <w:sz w:val="19"/>
              </w:rPr>
              <w:t>Contemporaneous construction does not prevail over clear statutory text.</w:t>
              <w:br/>
            </w:r>
            <w:r>
              <w:rPr>
                <w:rFonts w:ascii="Calibri" w:hAnsi="Calibri"/>
                <w:b/>
                <w:color w:val="212529"/>
                <w:sz w:val="19"/>
              </w:rPr>
              <w:t xml:space="preserve">   • Plain Legal Meaning &amp; StatCon Application: </w:t>
            </w:r>
            <w:r>
              <w:rPr>
                <w:rFonts w:ascii="Calibri" w:hAnsi="Calibri"/>
                <w:color w:val="212529"/>
                <w:sz w:val="19"/>
              </w:rPr>
              <w:t>Executive interpretations must yield to the plain letter of the decree.</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Administrative agencies cannot usurp the legislative power to create new wage burdens.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B. Extrinsic Aids -&gt; e. Contemporaneous Construction (PD 851 13th Month Pay / Administrative Rules vs Basic Salary)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Contemporanea expositio non praevalet contra expressam legem</w:t>
              <w:br/>
              <w:t>(contemporaneous construction does not prevail against express law / DOLE cannot expand 'basic salary' in PD 851 through administrative circulars)</w:t>
              <w:br/>
              <w:br/>
              <w:t>Secondary:</w:t>
              <w:br/>
              <w:t>• Verba legis non est recedendum (plain meaning of 'basic salary')</w:t>
              <w:br/>
              <w:t>• Potestas delegata non delegari potest (limits of administrative rule-making)</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DOLE attempted to use contemporaneous administrative construction to rewrite the statutory definition of 'basic salary' in PD 851.</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Limits of Contemporaneous Administrative Construction: While contemporaneous executive construction is entitled to deference, it cannot prevail over the express words of the statute (Contemporanea expositio non praevalet contra expressam legem).</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Executive agency memos cannot change the plain words of a law; if the law says 'commissions are excluded', the agency cannot order them included.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Boie-Takeda v. De La Serna is the benchmark case defining the limits of Contemporaneous Construction: Contemporanea expositio non praevalet contra expressam legem."</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Boie-Takeda Chemicals, Inc. and Philippine Investment-Management Consultants (PHINMA) v. Hon. Dionisio De La Serna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92174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December 10, 1993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Undersecretary of Labor issued an order directing Boie-Takeda and PHINMA to pay 13th month pay differentials to their medical representatives and sales employees by including SALES COMMISSIONS in the computation of 'basic salary' under P.D. No. 851 (The 13th Month Pay Law). The employers protested, arguing that Section 2 of PD 851 and its original Supplementary Rules explicitly defined 'basic salary' to EXCLUDE commissions, allowances, and profit-sharing bonuses. The DOLE Undersecretary claimed that contemporaneous executive construction and social justice required commissions that form part of regular compensation to be included.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851 (The 13th Month Pay Law): Mandates payment of 13th month pay based on 'basic salary'.</w:t>
              <w:br/>
              <w:t>2. Original Implementing Rules of PD 851 (December 22, 1975): Explicitly defines basic salary as excluding commissions, allowances, and bonuses.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DOLE attempted to use contemporaneous administrative construction to rewrite the statutory definition of 'basic salary' in PD 851.</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sales commissions are included in the computation of 'basic salary' for the purpose of the 13th Month Pay under P.D. No. 851, testing the limits of Contemporaneous Administrative Construction.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Boie-Takeda Chemicals, Inc. and Philippine Investment-Management Consultants (PHINMA) v. Hon. Dionisio De La Serna, under the canon of Contemporanea expositio non praevalet contra expressam legem.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851 (The 13th Month Pay Law): Mandates payment of 13th month pay based on 'basic salary'.</w:t>
              <w:br/>
              <w:t>2. Original Implementing Rules of PD 851 (December 22, 1975): Explicitly defines basic salary as excluding commissions, allowances, and bonuses.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DOLE attempted to use contemporaneous administrative construction to rewrite the statutory definition of 'basic sala...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DOLE order, and DECLARED that sales commissions are excluded from 13th month pay computation under PD 851.</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Sales commissions are EXCLUDED from the computation of 'basic salary' under P.D. No. 851. Contemporaneous administrative construction CANNOT supersede, expand, or alter the clear, explicit statutory definition enacted by the lawgiver.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DOLE attempted to use contemporaneous administrative construction to rewrite the statutory definition of 'basic salary' in PD 851..</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Contemporanea expositio non praevalet contra expressam legem</w:t>
              <w:br/>
              <w:t xml:space="preserve">   - Application: Limits of Contemporaneous Administrative Construction: While contemporaneous executive construction is entitled to deference, it cannot prevail over the express words of the statute (Contemporanea expositio non praevalet contra expressam legem).</w:t>
              <w:br/>
              <w:t xml:space="preserve">   - Result: No. The law says 'basic salary' means base pay and explicitly excludes commissions and bonuses. An administrative agency cannot change the law by issuing an order that contradicts the statute.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(plain meaning of 'basic salary')</w:t>
              <w:br/>
              <w:t>• Potestas delegata non delegari potest (limits of administrative rule-making)</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Boie-Takeda Chemicals, Inc. and Philippine Investment-Management Consultants (PHINMA) v. Hon. Dionisio De La Serna to mean and apply strictly in accordance with Contemporanea expositio non praevalet contra expressam legem, holding that No. The law says 'basic salary' means base pay and explicitly excludes commissions and bonuses. An administrative agency cannot change the law by issuing an ord.</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'Basic' salary means the base rate you get every month regardless of sales. A commission is an extra bonus based on how many boxes of medicine you sold. The decree explicitly excluded commissions from basic salary. The Secretary of Labor cannot write a memo to add commissions back into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Contemporanea expositio non praevalet contra expressam legem,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Limits of Contemporaneous Administrative Construction: While contemporaneous executive construction is entitled to deference, it cannot prevail over the express words of the statute (Contemporanea expositio non praevalet contra expressam legem).</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Executive agency memos cannot change the plain words of a law; if the law says 'commissions are excluded', the agency cannot order them included.</w:t>
            </w:r>
          </w:p>
        </w:tc>
      </w:tr>
    </w:tbl>
    <w:p>
      <w:r>
        <w:br w:type="page"/>
      </w:r>
    </w:p>
    <w:p>
      <w:pPr>
        <w:keepNext/>
        <w:spacing w:before="320" w:after="80"/>
      </w:pPr>
      <w:r>
        <w:rPr>
          <w:rFonts w:ascii="Arial" w:hAnsi="Arial"/>
          <w:b/>
          <w:color w:val="0F2043"/>
          <w:sz w:val="26"/>
        </w:rPr>
        <w:t>24. RUSTAN ANG V. COURT OF APPEALS AND IRISH SAGUD</w:t>
      </w:r>
    </w:p>
    <w:p>
      <w:pPr>
        <w:spacing w:before="40" w:after="80" w:line="276" w:lineRule="auto"/>
      </w:pPr>
      <w:r>
        <w:rPr>
          <w:rFonts w:ascii="Calibri" w:hAnsi="Calibri"/>
          <w:b/>
          <w:color w:val="212529"/>
          <w:sz w:val="21"/>
        </w:rPr>
        <w:t xml:space="preserve">Citation: </w:t>
      </w:r>
      <w:r>
        <w:rPr>
          <w:rFonts w:ascii="Calibri" w:hAnsi="Calibri"/>
          <w:i/>
          <w:color w:val="212529"/>
          <w:sz w:val="21"/>
        </w:rPr>
        <w:t>G.R. No. 182835 | April 20, 2010 | 618 SCRA 592 | Third Division | Ponente: J. Abad</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Rustan Ang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Irish Sagud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Baguio City (Branch 6)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obscene picture messages (MMS) sent via cellular phone constitute 'electronic documents' under the Rules on Electronic Evidence and Republic Act No. 8792 (E-Commerce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Rustan Ang sent naked and obscene pictures of his former girlfriend Irish Sagud through cellular phone Multimedia Messaging Service (MMS) with extortion demands. He was criminally charged with violation of the Anti-Photo and Video Voyeurism Act and the RPC. During trial, the prosecution presented digital camera photographs of the cell phone screen showing the text and picture messages. Ang objected to the admissibility of the photos, arguing that under the 2001 Rules on Electronic Evidence (A.M. No. 01-7-01-SC) and the E-Commerce Act (R.A. No. 8792), an 'electronic document' refers only to computer data files, not to cellular phone SMS/MMS messages.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sent naked pictures of his ex-girlfriend via cell phone MMS to blackmailed her. In court, prosecutors presented photos of the cell phone screen showing the messages. The man argued that the digital messages were inadmissible because the Electronic Evidence Rules only apply to computers, not cell phones! The Supreme Court rejected his argument, using Extrinsic Aids and contemporaneous technological realities to rule that cell phone messages are electronic documents.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cell phone text messages (SMS) and multimedia messages (MMS) qualify as 'electronic documents' under the Rules on Electronic Evidence, using Extrinsic Aids and Contemporaneous Construction.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Are cell phone text and picture messages considered 'electronic documents' that can be used as evidence in court?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SMS and MMS cellular communications qualify as electronic documents under the Rules on Electronic Evidence, testing Contemporaneous Construction and Extrinsic Aids in interpreting modern technological terms."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Cell phone text and multimedia messages ARE ELECTRONIC DOCUMENTS within the contemplation of the Rules on Electronic Evidence. Remedial and evidentiary rules must be construed in light of CONTEMPORANEOUS TECHNOLOGICAL DEVELOPMENTS to maintain efficacy.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Cell phones are pocket computers. A digital text message or picture message stored on a phone is an electronic document. Evidentiary rules must be interpreted to cover modern technology so criminals cannot hide behind technicalities.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Contemporaneous Construction and purposive interpretation of the Rules on Electronic Evidence (A.M. No. 01-7-01-SC) in relation to RA 8792, cellular phone text messages (SMS) and multimedia messages (MMS) constitute electronic documents and are admissible in evidence."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Rule 2, Section 1(h), Rules on Electronic Evidence (A.M. No. 01-7-01-SC): </w:t>
            </w:r>
            <w:r>
              <w:rPr>
                <w:rFonts w:ascii="Calibri" w:hAnsi="Calibri"/>
                <w:color w:val="212529"/>
                <w:sz w:val="20"/>
              </w:rPr>
              <w:t>Defines electronic documents to include information generated, received, or stored by electronic, optical, or similar means.</w:t>
            </w:r>
          </w:p>
          <w:p>
            <w:pPr>
              <w:spacing w:before="20" w:after="40" w:line="276" w:lineRule="auto"/>
            </w:pPr>
            <w:r>
              <w:rPr>
                <w:rFonts w:ascii="Calibri" w:hAnsi="Calibri"/>
                <w:b/>
                <w:color w:val="212529"/>
                <w:sz w:val="20"/>
              </w:rPr>
              <w:t xml:space="preserve">2. Republic Act No. 8792 (Electronic Commerce Act of 2000): </w:t>
            </w:r>
            <w:r>
              <w:rPr>
                <w:rFonts w:ascii="Calibri" w:hAnsi="Calibri"/>
                <w:color w:val="212529"/>
                <w:sz w:val="20"/>
              </w:rPr>
              <w:t>Statutory recognition of electronic data messages and digital signatures.</w:t>
            </w:r>
          </w:p>
          <w:p>
            <w:pPr>
              <w:spacing w:before="20" w:after="40" w:line="276" w:lineRule="auto"/>
            </w:pPr>
            <w:r>
              <w:rPr>
                <w:rFonts w:ascii="Calibri" w:hAnsi="Calibri"/>
                <w:b/>
                <w:color w:val="212529"/>
                <w:sz w:val="20"/>
              </w:rPr>
              <w:t xml:space="preserve">3. Contemporanea Expositio Est Optima Et Fortissima In Lege (contemporaneous exposition is the best and strongest in the law): </w:t>
            </w:r>
            <w:r>
              <w:rPr>
                <w:rFonts w:ascii="Calibri" w:hAnsi="Calibri"/>
                <w:color w:val="212529"/>
                <w:sz w:val="20"/>
              </w:rPr>
              <w:t>Evidentiary rules are interpreted in light of existing technological realities to achieve justice.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Rules on Electronic Evidence, RA 8792, and Contemporaneous Construction in modern technology.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Rule 2 of the Rules on Electronic Evidence and RA 8792, interpreted under Contemporanea expositio est optima et fortissima in lege (contemporaneous exposition is the best in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Technological Breadth of 'Electronic Document': </w:t>
            </w:r>
            <w:r>
              <w:rPr>
                <w:rFonts w:ascii="Calibri" w:hAnsi="Calibri"/>
                <w:color w:val="212529"/>
                <w:sz w:val="20"/>
              </w:rPr>
              <w:t>An electronic document is not confined to desktop computer files. Modern cell phones process and store digital data electronically. An SMS or MMS is an electronic data message generated and stored by electronic means.</w:t>
            </w:r>
          </w:p>
          <w:p>
            <w:pPr>
              <w:spacing w:before="20" w:after="40" w:line="276" w:lineRule="auto"/>
            </w:pPr>
            <w:r>
              <w:rPr>
                <w:rFonts w:ascii="Calibri" w:hAnsi="Calibri"/>
                <w:b/>
                <w:color w:val="212529"/>
                <w:sz w:val="20"/>
              </w:rPr>
              <w:t xml:space="preserve">2. Purposive Construction of Remedial Rules: </w:t>
            </w:r>
            <w:r>
              <w:rPr>
                <w:rFonts w:ascii="Calibri" w:hAnsi="Calibri"/>
                <w:color w:val="212529"/>
                <w:sz w:val="20"/>
              </w:rPr>
              <w:t>The Supreme Court promulgated the Rules on Electronic Evidence precisely to modernize the administration of justice and accommodate digital communications.</w:t>
            </w:r>
          </w:p>
          <w:p>
            <w:pPr>
              <w:spacing w:before="20" w:after="40" w:line="276" w:lineRule="auto"/>
            </w:pPr>
            <w:r>
              <w:rPr>
                <w:rFonts w:ascii="Calibri" w:hAnsi="Calibri"/>
                <w:b/>
                <w:color w:val="212529"/>
                <w:sz w:val="20"/>
              </w:rPr>
              <w:t xml:space="preserve">3. Admissibility of Ephemeral Communications: </w:t>
            </w:r>
            <w:r>
              <w:rPr>
                <w:rFonts w:ascii="Calibri" w:hAnsi="Calibri"/>
                <w:color w:val="212529"/>
                <w:sz w:val="20"/>
              </w:rPr>
              <w:t>Digital photos of cell phone screens displaying MMS messages are admissible as secondary or direct evidence of the communication when properly authenticated.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smartphone is just a small computer. When you send an MMS photo, it is generated and stored using digital computer code. If courts said phone messages aren't 'electronic', cyber-criminals and blackmailers would walk free. The Court adapted the definition to match modern technological reality.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progressive contemporaneous construction. Evidentiary rules must keep pace with technological evolution. The Court held that cell phone SMS and MMS messages fall squarely within the definition of electronic data messages under RA 8792 and the Electronic Evidence Rules."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Ang's petition, AFFIRMED the admissibility of the MMS messages, and UPHELD his criminal conviction.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conviction was affirmed and the cell phone MMS evidence was ruled completely admissible.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conviction, holding that cellular SMS/MMS messages are electronic documents admissible under the Rules on Electronic Evidence."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B. Extrinsic Aids -&gt; f. Dictionaries &amp; Ordinary Meaning (Rules on Electronic Evidence / Ephemeral Communications)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Contemporanea expositio est optima et fortissima in lege (contemporaneous exposition is the best and strongest in the law)</w:t>
              <w:br/>
            </w:r>
            <w:r>
              <w:rPr>
                <w:rFonts w:ascii="Calibri" w:hAnsi="Calibri"/>
                <w:b/>
                <w:color w:val="212529"/>
                <w:sz w:val="19"/>
              </w:rPr>
              <w:t xml:space="preserve">   • Literal English Translation: </w:t>
            </w:r>
            <w:r>
              <w:rPr>
                <w:rFonts w:ascii="Calibri" w:hAnsi="Calibri"/>
                <w:i/>
                <w:color w:val="212529"/>
                <w:sz w:val="19"/>
              </w:rPr>
              <w:t>Contemporaneous exposition is the best and strongest in law.</w:t>
              <w:br/>
            </w:r>
            <w:r>
              <w:rPr>
                <w:rFonts w:ascii="Calibri" w:hAnsi="Calibri"/>
                <w:b/>
                <w:color w:val="212529"/>
                <w:sz w:val="19"/>
              </w:rPr>
              <w:t xml:space="preserve">   • Plain Legal Meaning &amp; StatCon Application: </w:t>
            </w:r>
            <w:r>
              <w:rPr>
                <w:rFonts w:ascii="Calibri" w:hAnsi="Calibri"/>
                <w:color w:val="212529"/>
                <w:sz w:val="19"/>
              </w:rPr>
              <w:t>Remedial rules must be construed in harmony with contemporary technological realities.</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The Rules on Electronic Evidence must be construed to make electronic proof effective in criminal prosecutions.</w:t>
            </w:r>
          </w:p>
          <w:p>
            <w:pPr>
              <w:spacing w:before="40" w:after="60" w:line="276" w:lineRule="auto"/>
            </w:pPr>
            <w:r>
              <w:rPr>
                <w:rFonts w:ascii="Calibri" w:hAnsi="Calibri"/>
                <w:b/>
                <w:color w:val="8C3200"/>
                <w:sz w:val="20"/>
              </w:rPr>
              <w:t>3.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 absurdity.</w:t>
              <w:br/>
            </w:r>
            <w:r>
              <w:rPr>
                <w:rFonts w:ascii="Calibri" w:hAnsi="Calibri"/>
                <w:b/>
                <w:color w:val="212529"/>
                <w:sz w:val="19"/>
              </w:rPr>
              <w:t xml:space="preserve">   • Plain Legal Meaning &amp; StatCon Application: </w:t>
            </w:r>
            <w:r>
              <w:rPr>
                <w:rFonts w:ascii="Calibri" w:hAnsi="Calibri"/>
                <w:color w:val="212529"/>
                <w:sz w:val="19"/>
              </w:rPr>
              <w:t>It is absurd to exclude mobile phone digital data from the scope of electronic evidence.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B. Extrinsic Aids -&gt; f. Dictionaries &amp; Ordinary Meaning (Rules on Electronic Evidence / Ephemeral Communications)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Contemporanea expositio est optima et fortissima in lege</w:t>
              <w:br/>
              <w:t>(contemporaneous exposition is the best in law / evidentiary rules must be construed to embrace contemporary mobile and digital technologies)</w:t>
              <w:br/>
              <w:br/>
              <w:t>Secondary:</w:t>
              <w:br/>
              <w:t>• Ut res magis valeat quam pereat (construction to preserve evidentiary efficacy)</w:t>
              <w:br/>
              <w:t>• Lex non intendit absurdum (avoiding absurd evidentiary exclusions)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construct a pedantic distinction between computers and mobile phones to exclude incriminating digital evidence.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Progressive Construction of Evidentiary Codes: Procedural and evidentiary rules must be given an expansive, progressive construction to encompass evolving technologies and digital communications.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Rules on electronic evidence must be interpreted to include smartphones and modern apps, not just ancient desktop computers.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Ang v. Court of Appeals is the leading case on the progressive contemporaneous construction of electronic evidence rules, confirming that SMS/MMS messages are electronic documents."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Rustan Ang v. Court of Appeals and Irish Sagud</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182835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20,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Rustan Ang sent naked and obscene pictures of his former girlfriend Irish Sagud through cellular phone Multimedia Messaging Service (MMS) with extortion demands. He was criminally charged with violation of the Anti-Photo and Video Voyeurism Act and the RPC. During trial, the prosecution presented digital camera photographs of the cell phone screen showing the text and picture messages. Ang objected to the admissibility of the photos, arguing that under the 2001 Rules on Electronic Evidence (A.M. No. 01-7-01-SC) and the E-Commerce Act (R.A. No. 8792), an 'electronic document' refers only to computer data files, not to cellular phone SMS/MMS messages.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Rule 2, Section 1(h), Rules on Electronic Evidence (A.M. No. 01-7-01-SC): Defines electronic documents to include information generated, received, or stored by electronic, optical, or similar means.</w:t>
              <w:br/>
              <w:t>2. Republic Act No. 8792 (Electronic Commerce Act of 2000): Statutory recognition of electronic data messages and digital signatures.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construct a pedantic distinction between computers and mobile phones to exclude incriminating digital evidence.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cell phone text messages (SMS) and multimedia messages (MMS) qualify as 'electronic documents' under the Rules on Electronic Evidence, using Extrinsic Aids and Contemporaneous Construction.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Rustan Ang v. Court of Appeals and Irish Sagud, under the canon of Contemporanea expositio est optima et fortissima in lege.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Rule 2, Section 1(h), Rules on Electronic Evidence (A.M. No. 01-7-01-SC): Defines electronic documents to include information generated, received, or stored by electronic, optical, or similar means.</w:t>
              <w:br/>
              <w:t>2. Republic Act No. 8792 (Electronic Commerce Act of 2000): Statutory recognition of electronic data messages and digital signatures.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attempted to construct a pedantic distinction between computers and mobile phones to exclude incriminatin...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Ang's petition, AFFIRMED the admissibility of the MMS messages, and UPHELD his criminal conviction.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Cell phone text and multimedia messages ARE ELECTRONIC DOCUMENTS within the contemplation of the Rules on Electronic Evidence. Remedial and evidentiary rules must be construed in light of CONTEMPORANEOUS TECHNOLOGICAL DEVELOPMENTS to maintain efficacy.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construct a pedantic distinction between computers and mobile phones to exclude incriminating digital evidence..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Contemporanea expositio est optima et fortissima in lege</w:t>
              <w:br/>
              <w:t xml:space="preserve">   - Application: Progressive Construction of Evidentiary Codes: Procedural and evidentiary rules must be given an expansive, progressive construction to encompass evolving technologies and digital communications.</w:t>
              <w:br/>
              <w:t xml:space="preserve">   - Result: Yes. Cell phones are pocket computers. A digital text message or picture message stored on a phone is an electronic document. Evidentiary rules must be interpreted to cover modern technology so criminals cannot hide behind technicalities.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(construction to preserve evidentiary efficacy)</w:t>
              <w:br/>
              <w:t>• Lex non intendit absurdum (avoiding absurd evidentiary exclusions)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Rustan Ang v. Court of Appeals and Irish Sagud to mean and apply strictly in accordance with Contemporanea expositio est optima et fortissima in lege, holding that Yes. Cell phones are pocket computers. A digital text message or picture message stored on a phone is an electronic document. Evidentiary rules must be interpre.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 smartphone is just a small computer. When you send an MMS photo, it is generated and stored using digital computer code. If courts said phone messages aren't 'electronic', cyber-criminals and blackmailers would walk free. The Court adapted the definition to match modern technological reality.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Contemporanea expositio est optima et fortissima in lege,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Progressive Construction of Evidentiary Codes: Procedural and evidentiary rules must be given an expansive, progressive construction to encompass evolving technologies and digital communications.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Rules on electronic evidence must be interpreted to include smartphones and modern apps, not just ancient desktop computers.</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IV (Part 3)</w:t>
              <w:br/>
            </w:r>
            <w:r>
              <w:rPr>
                <w:rFonts w:ascii="Arial" w:hAnsi="Arial"/>
                <w:b/>
                <w:color w:val="FFFFFF"/>
                <w:sz w:val="24"/>
              </w:rPr>
              <w:t>AIDS TO CONSTRUCTION: PRESUMPTIONS IN STATUTORY CONSTRUCTION</w:t>
              <w:br/>
            </w:r>
            <w:r>
              <w:rPr>
                <w:rFonts w:ascii="Arial" w:hAnsi="Arial"/>
                <w:i/>
                <w:color w:val="D7E6FA"/>
                <w:sz w:val="19"/>
              </w:rPr>
              <w:t>Cases 25 to 33 | Judicial Presumptions Guiding Interpretation</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 Presumption Against Unconstitutionality: Statutes are presumed valid; burden on challenger</w:t>
            </w:r>
          </w:p>
          <w:p>
            <w:pPr>
              <w:spacing w:before="20" w:after="20"/>
            </w:pPr>
            <w:r>
              <w:rPr>
                <w:rFonts w:ascii="Calibri" w:hAnsi="Calibri"/>
                <w:color w:val="F0F5FF"/>
                <w:sz w:val="18"/>
              </w:rPr>
              <w:t>• • Presumption Against Injustice &amp; Absurdity: Spirit over letter; avoiding unjust interpretations</w:t>
            </w:r>
          </w:p>
          <w:p>
            <w:pPr>
              <w:spacing w:before="20" w:after="20"/>
            </w:pPr>
            <w:r>
              <w:rPr>
                <w:rFonts w:ascii="Calibri" w:hAnsi="Calibri"/>
                <w:color w:val="F0F5FF"/>
                <w:sz w:val="18"/>
              </w:rPr>
              <w:t>• • Presumption Against Implied Repeals: All laws presumed enacted with knowledge of prior laws and intended to coexist</w:t>
            </w:r>
          </w:p>
          <w:p>
            <w:pPr>
              <w:spacing w:before="20" w:after="20"/>
            </w:pPr>
            <w:r>
              <w:rPr>
                <w:rFonts w:ascii="Calibri" w:hAnsi="Calibri"/>
                <w:color w:val="F0F5FF"/>
                <w:sz w:val="18"/>
              </w:rPr>
              <w:t>• • Presumption Against Ineffectiveness: Statutes presumed intended to operate effectively</w:t>
            </w:r>
          </w:p>
        </w:tc>
      </w:tr>
    </w:tbl>
    <w:p>
      <w:pPr>
        <w:spacing w:before="120"/>
      </w:pPr>
    </w:p>
    <w:p>
      <w:pPr>
        <w:keepNext/>
        <w:spacing w:before="320" w:after="80"/>
      </w:pPr>
      <w:r>
        <w:rPr>
          <w:rFonts w:ascii="Arial" w:hAnsi="Arial"/>
          <w:b/>
          <w:color w:val="0F2043"/>
          <w:sz w:val="26"/>
        </w:rPr>
        <w:t>25. ALVAREZ V. GUINGONA</w:t>
      </w:r>
    </w:p>
    <w:p>
      <w:pPr>
        <w:spacing w:before="40" w:after="80" w:line="276" w:lineRule="auto"/>
      </w:pPr>
      <w:r>
        <w:rPr>
          <w:rFonts w:ascii="Calibri" w:hAnsi="Calibri"/>
          <w:b/>
          <w:color w:val="212529"/>
          <w:sz w:val="21"/>
        </w:rPr>
        <w:t xml:space="preserve">Citation: </w:t>
      </w:r>
      <w:r>
        <w:rPr>
          <w:rFonts w:ascii="Calibri" w:hAnsi="Calibri"/>
          <w:i/>
          <w:color w:val="212529"/>
          <w:sz w:val="21"/>
        </w:rPr>
        <w:t>G.R. No. 118303 | January 31, 1996 | 252 SCRA 695 | En Banc | Ponente: J. Hermosisima, Jr.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Alvarez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Executive Secretary Teofisto Guingona, Jr.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Prohibition challenging the constitutionality of Republic Act No. 7720 converting the Municipality of Santiago, Isabela into an independent component city under the Enrolled Bill Doctrine.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Petitioners challenged the validity of Republic Act No. 7720 (Charter of the City of Santiago), contending that the law did not originate exclusively in the House of Representatives as required by Article VI, Section 24 of the 1987 Constitution for local bills. Petitioners cited entries in the Congressional Journals showing that the Senate passed its own version before receiving the House bill. The respondents invoked the ENROLLED BILL DOCTRINE, showing that the final bill was duly signed by the Speaker of the House and the Senate President and approved by the President of the Philippines.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group of citizens challenged the law that turned the town of Santiago, Isabela into a city, claiming the law was unconstitutional because the Senate started working on the bill before the House finished it, citing entries in the legislative journals. The government defended the law using the Enrolled Bill Doctrine, showing that the final official copy of the bill was formally signed by the Senate President, Speaker of the House, and President of the Philippines. The Supreme Court upheld the city charter, ruling that the Enrolled Bill is conclusive evidence of the regular passage of a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Enrolled Bill Doctrine prevails over Congressional Journals and records in establishing the regular constitutional enactment of a statute (R.A. No. 7720).</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officially signed copy of a law (Enrolled Bill) beat journal notes when someone challenges how the law was passed in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RA 7720 is constitutional under the Enrolled Bill Doctrine, testing whether an Enrolled Bill is conclusive proof of regular enactment over conflicting entries in Congressional Journals."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ENROLLED BILL DOCTRINE prevails. The signing of a bill by the Speaker of the House and the Senate President and its certification as having passed both Houses is CONCLUSIVE PROOF of its due enactment, which courts cannot question by inspecting legislative journals.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When the heads of both Houses of Congress sign a law and send it to the President, that official paper (Enrolled Bill) is final and conclusive. Courts respect the separation of powers and will not go digging through legislative diary notes to second-guess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the Enrolled Bill Doctrine and the principle of separation of powers, an enrolled bill signed by the Senate President and House Speaker carries absolute verity and is conclusive upon the courts as to the regular passage of the statute."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VI, Section 24 and 26, 1987 Constitution: </w:t>
            </w:r>
            <w:r>
              <w:rPr>
                <w:rFonts w:ascii="Calibri" w:hAnsi="Calibri"/>
                <w:color w:val="212529"/>
                <w:sz w:val="20"/>
              </w:rPr>
              <w:t>Constitutional requirements for legislative enactment of local bills and enrolled bill certification.</w:t>
            </w:r>
          </w:p>
          <w:p>
            <w:pPr>
              <w:spacing w:before="20" w:after="40" w:line="276" w:lineRule="auto"/>
            </w:pPr>
            <w:r>
              <w:rPr>
                <w:rFonts w:ascii="Calibri" w:hAnsi="Calibri"/>
                <w:b/>
                <w:color w:val="212529"/>
                <w:sz w:val="20"/>
              </w:rPr>
              <w:t xml:space="preserve">2. The Enrolled Bill Doctrine: </w:t>
            </w:r>
            <w:r>
              <w:rPr>
                <w:rFonts w:ascii="Calibri" w:hAnsi="Calibri"/>
                <w:color w:val="212529"/>
                <w:sz w:val="20"/>
              </w:rPr>
              <w:t>An enrolled bill signed by the leaders of Congress imports absolute verity and is conclusive of its due enactment.</w:t>
            </w:r>
          </w:p>
          <w:p>
            <w:pPr>
              <w:spacing w:before="20" w:after="40" w:line="276" w:lineRule="auto"/>
            </w:pPr>
            <w:r>
              <w:rPr>
                <w:rFonts w:ascii="Calibri" w:hAnsi="Calibri"/>
                <w:b/>
                <w:color w:val="212529"/>
                <w:sz w:val="20"/>
              </w:rPr>
              <w:t xml:space="preserve">3. Presumption of Regularity and Constitutionality: </w:t>
            </w:r>
            <w:r>
              <w:rPr>
                <w:rFonts w:ascii="Calibri" w:hAnsi="Calibri"/>
                <w:color w:val="212529"/>
                <w:sz w:val="20"/>
              </w:rPr>
              <w:t>Official acts of the legislative and executive branches are presumed regular and valid under Omnia Praesumuntur Rite Esse Acta.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VI 1987 Constitution, Enrolled Bill Doctrine, and Omnia Praesumuntur Rite Esse Acta.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VI of the Constitution, governed by the Enrolled Bill Doctrine and the presumption Omnia praesumuntur rite et solemniter esse acta (all acts are presumed to have been done regularly)."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Conclusiveness of the Enrolled Bill: </w:t>
            </w:r>
            <w:r>
              <w:rPr>
                <w:rFonts w:ascii="Calibri" w:hAnsi="Calibri"/>
                <w:color w:val="212529"/>
                <w:sz w:val="20"/>
              </w:rPr>
              <w:t>The enrolled copy of a bill, bearing the authentic signatures of the Speaker of the House and the President of the Senate, is the definitive, solemn declaration of the Legislature that the bill was regularly passed in compliance with constitutional procedures.</w:t>
            </w:r>
          </w:p>
          <w:p>
            <w:pPr>
              <w:spacing w:before="20" w:after="40" w:line="276" w:lineRule="auto"/>
            </w:pPr>
            <w:r>
              <w:rPr>
                <w:rFonts w:ascii="Calibri" w:hAnsi="Calibri"/>
                <w:b/>
                <w:color w:val="212529"/>
                <w:sz w:val="20"/>
              </w:rPr>
              <w:t xml:space="preserve">2. Judicial Non-Interference in Legislative Process: </w:t>
            </w:r>
            <w:r>
              <w:rPr>
                <w:rFonts w:ascii="Calibri" w:hAnsi="Calibri"/>
                <w:color w:val="212529"/>
                <w:sz w:val="20"/>
              </w:rPr>
              <w:t>To permit courts to examine legislative journals and second-guess the accuracy of legislative certifications would violate the separation of powers and create constitutional instability.</w:t>
            </w:r>
          </w:p>
          <w:p>
            <w:pPr>
              <w:spacing w:before="20" w:after="40" w:line="276" w:lineRule="auto"/>
            </w:pPr>
            <w:r>
              <w:rPr>
                <w:rFonts w:ascii="Calibri" w:hAnsi="Calibri"/>
                <w:b/>
                <w:color w:val="212529"/>
                <w:sz w:val="20"/>
              </w:rPr>
              <w:t xml:space="preserve">3. Originating in the House: </w:t>
            </w:r>
            <w:r>
              <w:rPr>
                <w:rFonts w:ascii="Calibri" w:hAnsi="Calibri"/>
                <w:color w:val="212529"/>
                <w:sz w:val="20"/>
              </w:rPr>
              <w:t>Article VI, Section 24 only requires that the legislative initiative for local bills begin in the House; the Senate has full constitutional power to propose or concur with amendments, including passing its own consolidated version.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requires checks and balances. When the Senate President and House Speaker sign an official document saying 'this bill was properly voted on and passed', the Supreme Court must respect that official word. Judges do not go through minute-by-minute journal notes to impeach the official signature of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Enrolled Bill Doctrine. The authentic signatures of the legislative leaders import absolute verity. Under the separation of powers and Omnia Praesumuntur Rite Esse Acta, the enrolled bill is conclusive proof of constitutional enactment."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UPHELD the constitutionality and validity of Republic Act No. 7720 creating the City of Santiago.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city charter was declared completely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the constitutionality of RA 7720, reaffirming the conclusive authority of the Enrolled Bill Doctrine."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a. Presumption Against Unconstitutionality (Burden of Proof to Overcome Presumption of Validity of RA 7720)</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donec probetur in contrarium (all acts are presumed to have been done regularly and with solemnity until the contrary is proved)</w:t>
              <w:br/>
            </w:r>
            <w:r>
              <w:rPr>
                <w:rFonts w:ascii="Calibri" w:hAnsi="Calibri"/>
                <w:b/>
                <w:color w:val="212529"/>
                <w:sz w:val="19"/>
              </w:rPr>
              <w:t xml:space="preserve">   • Literal English Translation: </w:t>
            </w:r>
            <w:r>
              <w:rPr>
                <w:rFonts w:ascii="Calibri" w:hAnsi="Calibri"/>
                <w:i/>
                <w:color w:val="212529"/>
                <w:sz w:val="19"/>
              </w:rPr>
              <w:t>All things are presumed to have been done regularly.</w:t>
              <w:br/>
            </w:r>
            <w:r>
              <w:rPr>
                <w:rFonts w:ascii="Calibri" w:hAnsi="Calibri"/>
                <w:b/>
                <w:color w:val="212529"/>
                <w:sz w:val="19"/>
              </w:rPr>
              <w:t xml:space="preserve">   • Plain Legal Meaning &amp; StatCon Application: </w:t>
            </w:r>
            <w:r>
              <w:rPr>
                <w:rFonts w:ascii="Calibri" w:hAnsi="Calibri"/>
                <w:color w:val="212529"/>
                <w:sz w:val="19"/>
              </w:rPr>
              <w:t>The enrolled bill is conclusively presumed to have been enacted in accordance with all constitutional rules.</w:t>
            </w:r>
          </w:p>
          <w:p>
            <w:pPr>
              <w:spacing w:before="40" w:after="60" w:line="276" w:lineRule="auto"/>
            </w:pPr>
            <w:r>
              <w:rPr>
                <w:rFonts w:ascii="Calibri" w:hAnsi="Calibri"/>
                <w:b/>
                <w:color w:val="8C3200"/>
                <w:sz w:val="20"/>
              </w:rPr>
              <w:t>2. Res judicata pro veritate accipitur (a matter adjudged is taken for truth)</w:t>
              <w:br/>
            </w:r>
            <w:r>
              <w:rPr>
                <w:rFonts w:ascii="Calibri" w:hAnsi="Calibri"/>
                <w:b/>
                <w:color w:val="212529"/>
                <w:sz w:val="19"/>
              </w:rPr>
              <w:t xml:space="preserve">   • Literal English Translation: </w:t>
            </w:r>
            <w:r>
              <w:rPr>
                <w:rFonts w:ascii="Calibri" w:hAnsi="Calibri"/>
                <w:i/>
                <w:color w:val="212529"/>
                <w:sz w:val="19"/>
              </w:rPr>
              <w:t>An official matter settled is accepted as truth.</w:t>
              <w:br/>
            </w:r>
            <w:r>
              <w:rPr>
                <w:rFonts w:ascii="Calibri" w:hAnsi="Calibri"/>
                <w:b/>
                <w:color w:val="212529"/>
                <w:sz w:val="19"/>
              </w:rPr>
              <w:t xml:space="preserve">   • Plain Legal Meaning &amp; StatCon Application: </w:t>
            </w:r>
            <w:r>
              <w:rPr>
                <w:rFonts w:ascii="Calibri" w:hAnsi="Calibri"/>
                <w:color w:val="212529"/>
                <w:sz w:val="19"/>
              </w:rPr>
              <w:t>The solemn certification of legislative leaders carries conclusive verity.</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The legislative power to certify bills belongs exclusively to the leaders of Congress.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a. Presumption Against Unconstitutionality (Burden of Proof to Overcome Presumption of Validity of RA 7720)</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the Enrolled Bill Doctrine is conclusive proof of regular legislative enactment)</w:t>
              <w:br/>
              <w:br/>
              <w:t>Secondary:</w:t>
              <w:br/>
              <w:t>• Res judicata pro veritate accipitur (conclusive verity of official acts)</w:t>
              <w:br/>
              <w:t>• Separation of powers doctrine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petitioners attempted to undermine the solemn certification of Congress by using selective journal entries to attack an enrolled bill.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Enrolled Bill Doctrine: An enrolled bill signed by the presiding officers of both Houses of Congress and approved by the President imports absolute verity and is conclusive upon the judiciary regarding constitutional compliance.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officially signed copy of a law by the leaders of Congress is the final, untouchable truth that the law was passed properly.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Alvarez v. Guingona is the prime authority on the Enrolled Bill Doctrine: the enrolled copy of a statute prevails conclusively over legislative journals."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Alvarez v. Guingona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118303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31, 1996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Petitioners challenged the validity of Republic Act No. 7720 (Charter of the City of Santiago), contending that the law did not originate exclusively in the House of Representatives as required by Article VI, Section 24 of the 1987 Constitution for local bills. Petitioners cited entries in the Congressional Journals showing that the Senate passed its own version before receiving the House bill. The respondents invoked the ENROLLED BILL DOCTRINE, showing that the final bill was duly signed by the Speaker of the House and the Senate President and approved by the President of the Philippines.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VI, Section 24 and 26, 1987 Constitution: Constitutional requirements for legislative enactment of local bills and enrolled bill certification.</w:t>
              <w:br/>
              <w:t>2. The Enrolled Bill Doctrine: An enrolled bill signed by the leaders of Congress imports absolute verity and is conclusive of its due enactment.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petitioners attempted to undermine the solemn certification of Congress by using selective journal entries to attack an enrolled bill.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Enrolled Bill Doctrine prevails over Congressional Journals and records in establishing the regular constitutional enactment of a statute (R.A. No. 7720).</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Alvarez v. Guingona,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VI, Section 24 and 26, 1987 Constitution: Constitutional requirements for legislative enactment of local bills and enrolled bill certification.</w:t>
              <w:br/>
              <w:t>2. The Enrolled Bill Doctrine: An enrolled bill signed by the leaders of Congress imports absolute verity and is conclusive of its due enactment.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petitioners attempted to undermine the solemn certification of Congress by using selective journal entries to attack...</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UPHELD the constitutionality and validity of Republic Act No. 7720 creating the City of Santiago.</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ENROLLED BILL DOCTRINE prevails. The signing of a bill by the Speaker of the House and the Senate President and its certification as having passed both Houses is CONCLUSIVE PROOF of its due enactment, which courts cannot question by inspecting legislative journals.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petitioners attempted to undermine the solemn certification of Congress by using selective journal entries to attack an enrolled bill..</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The Enrolled Bill Doctrine: An enrolled bill signed by the presiding officers of both Houses of Congress and approved by the President imports absolute verity and is conclusive upon the judiciary regarding constitutional compliance.</w:t>
              <w:br/>
              <w:t xml:space="preserve">   - Result: Yes. When the heads of both Houses of Congress sign a law and send it to the President, that official paper (Enrolled Bill) is final and conclusive. Courts respect the separation of powers and will not go digging through legislative diary notes to second-guess Congress.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Res judicata pro veritate accipitur (conclusive verity of official acts)</w:t>
              <w:br/>
              <w:t>• Separation of powers doctrine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Alvarez v. Guingona to mean and apply strictly in accordance with Omnia praesumuntur rite et solemniter esse acta, holding that Yes. When the heads of both Houses of Congress sign a law and send it to the President, that official paper (Enrolled Bill) is final and conclusive. Courts resp.</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Constitution requires checks and balances. When the Senate President and House Speaker sign an official document saying 'this bill was properly voted on and passed', the Supreme Court must respect that official word. Judges do not go through minute-by-minute journal notes to impeach the official signature of Congress.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Enrolled Bill Doctrine: An enrolled bill signed by the presiding officers of both Houses of Congress and approved by the President imports absolute verity and is conclusive upon the judiciary regarding constitutional compliance.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officially signed copy of a law by the leaders of Congress is the final, untouchable truth that the law was passed properly.</w:t>
            </w:r>
          </w:p>
        </w:tc>
      </w:tr>
    </w:tbl>
    <w:p>
      <w:r>
        <w:br w:type="page"/>
      </w:r>
    </w:p>
    <w:p>
      <w:pPr>
        <w:keepNext/>
        <w:spacing w:before="320" w:after="80"/>
      </w:pPr>
      <w:r>
        <w:rPr>
          <w:rFonts w:ascii="Arial" w:hAnsi="Arial"/>
          <w:b/>
          <w:color w:val="0F2043"/>
          <w:sz w:val="26"/>
        </w:rPr>
        <w:t>26. LAWYERS AGAINST MONOPOLY AND POVERTY (LAMP) V. THE SECRETARY OF BUDGET AND MANAGEMENT</w:t>
      </w:r>
    </w:p>
    <w:p>
      <w:pPr>
        <w:spacing w:before="40" w:after="80" w:line="276" w:lineRule="auto"/>
      </w:pPr>
      <w:r>
        <w:rPr>
          <w:rFonts w:ascii="Calibri" w:hAnsi="Calibri"/>
          <w:b/>
          <w:color w:val="212529"/>
          <w:sz w:val="21"/>
        </w:rPr>
        <w:t xml:space="preserve">Citation: </w:t>
      </w:r>
      <w:r>
        <w:rPr>
          <w:rFonts w:ascii="Calibri" w:hAnsi="Calibri"/>
          <w:i/>
          <w:color w:val="212529"/>
          <w:sz w:val="21"/>
        </w:rPr>
        <w:t>G.R. No. 164987 | April 24, 2012 | 670 SCRA 373 | En Banc | Ponente: J. Mendoza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Lawyers Against Monopoly and Poverty (LAMP)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Secretary of Budget and Management, Senate President, and Speaker of the House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Certiorari and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challenging the constitutionality of the Priority Development Assistance Fund (PDAF / Pork Barrel) under the General Appropriations Act of 2004.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Lawyers Against Monopoly and Poverty (LAMP) filed a petition challenging the constitutionality of the Priority Development Assistance Fund (PDAF) provisions in the 2004 General Appropriations Act (R.A. No. 9206). LAMP argued that the PDAF system was unconstitutional on its face because it allowed members of Congress to identify specific infrastructure projects after the enactment of the budget, thereby violating the separation of powers and non-delegation of legislative power. However, LAMP presented no concrete evidence of actual post-enactment legislator project execution in the 2004 budget, relying solely on theoretical arguments.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group of lawyers filed a petition claiming the 2004 Pork Barrel (PDAF) budget law was unconstitutional on its face because lawmakers secretly direct project spending. However, the petitioners failed to bring any concrete financial proof or audit reports to prove that the 2004 budget line-items were illegally handled. The Supreme Court dismissed the petition under the Presumption of Constitutionality, ruling that courts will not declare an entire national budget law unconstitutional without clear, convincing factual evidence. (Note: The PDAF system was later declared unconstitutional with full evidentiary records in the 2013 Belgica case).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PDAF provisions in the 2004 GAA can be declared unconstitutional without clear factual proof of constitutional violation, testing the Presumption of Constitutionality of Appropriations Statutes.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Supreme Court strike down a national budget law as unconstitutional based on pure theory without actual evidence of illegality?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2004 PDAF budget provisions can be invalidated based on theoretical assertions, testing the Presumption of Constitutionality and the burden of proof required to invalidate a statute."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2004 PDAF provisions CANNOT be declared unconstitutional in the absence of clear, compelling factual evidence. Under the PRESUMPTION OF CONSTITUTIONALITY, every legislative act is presumed valid, and the burden of proving unconstitutionality rests heavily upon the petitioner.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Supreme Court cannot strike down a law passed by Congress based on theories alone. Because every statute is presumed constitutional, the petitioner must present real, undeniable proof of violation. Speculation is not enough.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Presumption of Constitutionality, every statute is presumed to have been enacted in conformity with the Constitution. To strike down a provision in a General Appropriations Act, the petitioner must overcome this presumption with clear and convincing evidence, not mere conjectures or newspaper allegations."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9206 (General Appropriations Act of 2004): </w:t>
            </w:r>
            <w:r>
              <w:rPr>
                <w:rFonts w:ascii="Calibri" w:hAnsi="Calibri"/>
                <w:color w:val="212529"/>
                <w:sz w:val="20"/>
              </w:rPr>
              <w:t>Statutory allocation for the Priority Development Assistance Fund (PDAF).</w:t>
            </w:r>
          </w:p>
          <w:p>
            <w:pPr>
              <w:spacing w:before="20" w:after="40" w:line="276" w:lineRule="auto"/>
            </w:pPr>
            <w:r>
              <w:rPr>
                <w:rFonts w:ascii="Calibri" w:hAnsi="Calibri"/>
                <w:b/>
                <w:color w:val="212529"/>
                <w:sz w:val="20"/>
              </w:rPr>
              <w:t xml:space="preserve">2. Presumption of Constitutionality of Statutes: </w:t>
            </w:r>
            <w:r>
              <w:rPr>
                <w:rFonts w:ascii="Calibri" w:hAnsi="Calibri"/>
                <w:color w:val="212529"/>
                <w:sz w:val="20"/>
              </w:rPr>
              <w:t>Statutes carry a heavy presumption of validity; nullity will be declared only upon a clear and unequivocal breach of the Constitution.</w:t>
            </w:r>
          </w:p>
          <w:p>
            <w:pPr>
              <w:spacing w:before="20" w:after="40" w:line="276" w:lineRule="auto"/>
            </w:pPr>
            <w:r>
              <w:rPr>
                <w:rFonts w:ascii="Calibri" w:hAnsi="Calibri"/>
                <w:b/>
                <w:color w:val="212529"/>
                <w:sz w:val="20"/>
              </w:rPr>
              <w:t xml:space="preserve">3. Omnia Praesumuntur Rite Esse Acta (all acts are presumed regular): </w:t>
            </w:r>
            <w:r>
              <w:rPr>
                <w:rFonts w:ascii="Calibri" w:hAnsi="Calibri"/>
                <w:color w:val="212529"/>
                <w:sz w:val="20"/>
              </w:rPr>
              <w:t>Official budget disbursements are presumed regular in the absence of contrary evidence.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9206 (2004 GAA), Presumption of Constitutionality, and Omnia Praesumuntur Rite Esse Acta.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9206, governed by the Presumption of Constitutionality and Omnia praesumuntur rite et solemniter esse acta (all official acts are presumed regular)."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Heavy Burden on Challengers: </w:t>
            </w:r>
            <w:r>
              <w:rPr>
                <w:rFonts w:ascii="Calibri" w:hAnsi="Calibri"/>
                <w:color w:val="212529"/>
                <w:sz w:val="20"/>
              </w:rPr>
              <w:t>To overcome the presumption of constitutionality, the petitioner must demonstrate that the law is clearly, plainly, and palpably in conflict with the Constitution. Mere speculation is insufficient.</w:t>
            </w:r>
          </w:p>
          <w:p>
            <w:pPr>
              <w:spacing w:before="20" w:after="40" w:line="276" w:lineRule="auto"/>
            </w:pPr>
            <w:r>
              <w:rPr>
                <w:rFonts w:ascii="Calibri" w:hAnsi="Calibri"/>
                <w:b/>
                <w:color w:val="212529"/>
                <w:sz w:val="20"/>
              </w:rPr>
              <w:t xml:space="preserve">2. Facial Validity of 2004 PDAF Text: </w:t>
            </w:r>
            <w:r>
              <w:rPr>
                <w:rFonts w:ascii="Calibri" w:hAnsi="Calibri"/>
                <w:color w:val="212529"/>
                <w:sz w:val="20"/>
              </w:rPr>
              <w:t>On its face, the text of the 2004 GAA assigned project implementation to executive departments (DPWH, DOH, etc.), which is constitutionally permissible on paper.</w:t>
            </w:r>
          </w:p>
          <w:p>
            <w:pPr>
              <w:spacing w:before="20" w:after="40" w:line="276" w:lineRule="auto"/>
            </w:pPr>
            <w:r>
              <w:rPr>
                <w:rFonts w:ascii="Calibri" w:hAnsi="Calibri"/>
                <w:b/>
                <w:color w:val="212529"/>
                <w:sz w:val="20"/>
              </w:rPr>
              <w:t xml:space="preserve">3. Evolution to Belgica v. Ochoa (2013): </w:t>
            </w:r>
            <w:r>
              <w:rPr>
                <w:rFonts w:ascii="Calibri" w:hAnsi="Calibri"/>
                <w:color w:val="212529"/>
                <w:sz w:val="20"/>
              </w:rPr>
              <w:t>While the 2004 budget survived in LAMP due to lack of evidence, the Supreme Court later struck down the entire PDAF system in Belgica v. Ochoa (2013) when COA Special Audit Reports provided overwhelming empirical proof of post-enactment legislative control.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To destroy a law, you must bring proof, not just opinions. On paper, the 2004 budget looked normal because it said government departments would spend the money. Because the petitioners brought zero audit reports or proof of abuse, the presumption of constitutionality saved the law. (Later in 2013, COA provided the actual proof in the Belgica case, and the pork barrel was struck down).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Presumption of Constitutionality. A statute cannot be nullified on mere facial assertions without empirical proof of unconstitutional execution. The Court reaffirmed that the judiciary will not invalidate an act of Congress unless unconstitutionality is shown beyond reasonable doubt."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for lack of merit, UPHOLDING the constitutionality of the 2004 PDAF provisions under the Presumption of Constitutionality.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2004 budget law was upheld under the presumption of constitutionality.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reaffirming the Presumption of Constitutionality of General Appropriations Acts in the absence of factual proof."</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a. Presumption Against Unconstitutionality (Presumption Favoring Constitutionality of GAA CDF/PDAF Provisions)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donec probetur in contrarium (all acts are presumed to have been done regularly and with solemnity until the contrary is proved)</w:t>
              <w:br/>
            </w:r>
            <w:r>
              <w:rPr>
                <w:rFonts w:ascii="Calibri" w:hAnsi="Calibri"/>
                <w:b/>
                <w:color w:val="212529"/>
                <w:sz w:val="19"/>
              </w:rPr>
              <w:t xml:space="preserve">   • Literal English Translation: </w:t>
            </w:r>
            <w:r>
              <w:rPr>
                <w:rFonts w:ascii="Calibri" w:hAnsi="Calibri"/>
                <w:i/>
                <w:color w:val="212529"/>
                <w:sz w:val="19"/>
              </w:rPr>
              <w:t>All acts are presumed regular until proved otherwise.</w:t>
              <w:br/>
            </w:r>
            <w:r>
              <w:rPr>
                <w:rFonts w:ascii="Calibri" w:hAnsi="Calibri"/>
                <w:b/>
                <w:color w:val="212529"/>
                <w:sz w:val="19"/>
              </w:rPr>
              <w:t xml:space="preserve">   • Plain Legal Meaning &amp; StatCon Application: </w:t>
            </w:r>
            <w:r>
              <w:rPr>
                <w:rFonts w:ascii="Calibri" w:hAnsi="Calibri"/>
                <w:color w:val="212529"/>
                <w:sz w:val="19"/>
              </w:rPr>
              <w:t>The General Appropriations Act enjoys a strong presumption of constitutional validity.</w:t>
            </w:r>
          </w:p>
          <w:p>
            <w:pPr>
              <w:spacing w:before="40" w:after="60" w:line="276" w:lineRule="auto"/>
            </w:pPr>
            <w:r>
              <w:rPr>
                <w:rFonts w:ascii="Calibri" w:hAnsi="Calibri"/>
                <w:b/>
                <w:color w:val="8C3200"/>
                <w:sz w:val="20"/>
              </w:rPr>
              <w:t>2. Actori incumbit onus probandi (the burden of proof rests on the plaintiff)</w:t>
              <w:br/>
            </w:r>
            <w:r>
              <w:rPr>
                <w:rFonts w:ascii="Calibri" w:hAnsi="Calibri"/>
                <w:b/>
                <w:color w:val="212529"/>
                <w:sz w:val="19"/>
              </w:rPr>
              <w:t xml:space="preserve">   • Literal English Translation: </w:t>
            </w:r>
            <w:r>
              <w:rPr>
                <w:rFonts w:ascii="Calibri" w:hAnsi="Calibri"/>
                <w:i/>
                <w:color w:val="212529"/>
                <w:sz w:val="19"/>
              </w:rPr>
              <w:t>The burden of proof lies on the claimant.</w:t>
              <w:br/>
            </w:r>
            <w:r>
              <w:rPr>
                <w:rFonts w:ascii="Calibri" w:hAnsi="Calibri"/>
                <w:b/>
                <w:color w:val="212529"/>
                <w:sz w:val="19"/>
              </w:rPr>
              <w:t xml:space="preserve">   • Plain Legal Meaning &amp; StatCon Application: </w:t>
            </w:r>
            <w:r>
              <w:rPr>
                <w:rFonts w:ascii="Calibri" w:hAnsi="Calibri"/>
                <w:color w:val="212529"/>
                <w:sz w:val="19"/>
              </w:rPr>
              <w:t>The petitioner bears the heavy burden of establishing the unconstitutionality of a statute beyond doubt.</w:t>
            </w:r>
          </w:p>
          <w:p>
            <w:pPr>
              <w:spacing w:before="40" w:after="60" w:line="276" w:lineRule="auto"/>
            </w:pPr>
            <w:r>
              <w:rPr>
                <w:rFonts w:ascii="Calibri" w:hAnsi="Calibri"/>
                <w:b/>
                <w:color w:val="8C3200"/>
                <w:sz w:val="20"/>
              </w:rPr>
              <w:t>3. Judicis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The judge declares the law, not makes it.</w:t>
              <w:br/>
            </w:r>
            <w:r>
              <w:rPr>
                <w:rFonts w:ascii="Calibri" w:hAnsi="Calibri"/>
                <w:b/>
                <w:color w:val="212529"/>
                <w:sz w:val="19"/>
              </w:rPr>
              <w:t xml:space="preserve">   • Plain Legal Meaning &amp; StatCon Application: </w:t>
            </w:r>
            <w:r>
              <w:rPr>
                <w:rFonts w:ascii="Calibri" w:hAnsi="Calibri"/>
                <w:color w:val="212529"/>
                <w:sz w:val="19"/>
              </w:rPr>
              <w:t>Courts will not strike down legislative appropriations on speculative grounds.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a. Presumption Against Unconstitutionality (Presumption Favoring Constitutionality of GAA CDF/PDAF Provisions)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Presumption of Constitutionality of legislative appropriations acts)</w:t>
              <w:br/>
              <w:br/>
              <w:t>Secondary:</w:t>
              <w:br/>
              <w:t>• Actori incumbit onus probandi (burden of proof lies on the challenger)</w:t>
              <w:br/>
              <w:t>• Judicis est ius dicere non dare (judicial restraint in reviewing fiscal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nullify an act of Congress based on theoretical arguments without presenting evidentiary proof to overcome the Presumption of Constitutionality.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Overcoming the Presumption of Constitutionality: A statute will not be declared unconstitutional unless the violation is clear, complete, and established by undeniable factual and legal demonstration.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Every law passed by Congress is presumed valid; you cannot ask judges to destroy a budget law without presenting solid evidence of abuse.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LAMP v. DBM is the leading authority on the Presumption of Constitutionality in General Appropriations Acts—a statute will not be nullified without empirical proof."</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Lawyers Against Monopoly and Poverty (LAMP) v. The Secretary of Budget and Management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164987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24, 2012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Lawyers Against Monopoly and Poverty (LAMP) filed a petition challenging the constitutionality of the Priority Development Assistance Fund (PDAF) provisions in the 2004 General Appropriations Act (R.A. No. 9206). LAMP argued that the PDAF system was unconstitutional on its face because it allowed members of Congress to identify specific infrastructure projects after the enactment of the budget, thereby violating the separation of powers and non-delegation of legislative power. However, LAMP presented no concrete evidence of actual post-enactment legislator project execution in the 2004 budget, relying solely on theoretical arguments.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9206 (General Appropriations Act of 2004): Statutory allocation for the Priority Development Assistance Fund (PDAF).</w:t>
              <w:br/>
              <w:t>2. Presumption of Constitutionality of Statutes: Statutes carry a heavy presumption of validity; nullity will be declared only upon a clear and unequivocal breach of the Constitution.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nullify an act of Congress based on theoretical arguments without presenting evidentiary proof to overcome the Presumption of Constitutionality.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PDAF provisions in the 2004 GAA can be declared unconstitutional without clear factual proof of constitutional violation, testing the Presumption of Constitutionality of Appropriations Statutes.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Lawyers Against Monopoly and Poverty (LAMP) v. The Secretary of Budget and Management,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9206 (General Appropriations Act of 2004): Statutory allocation for the Priority Development Assistance Fund (PDAF).</w:t>
              <w:br/>
              <w:t>2. Presumption of Constitutionality of Statutes: Statutes carry a heavy presumption of validity; nullity will be declared only upon a clear and unequivocal breach of the Constitution.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attempted to nullify an act of Congress based on theoretical arguments without presenting evidentiary pro...</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for lack of merit, UPHOLDING the constitutionality of the 2004 PDAF provisions under the Presumption of Constitutionality.</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2004 PDAF provisions CANNOT be declared unconstitutional in the absence of clear, compelling factual evidence. Under the PRESUMPTION OF CONSTITUTIONALITY, every legislative act is presumed valid, and the burden of proving unconstitutionality rests heavily upon the petitioner.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nullify an act of Congress based on theoretical arguments without presenting evidentiary proof to overcome the P.</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Overcoming the Presumption of Constitutionality: A statute will not be declared unconstitutional unless the violation is clear, complete, and established by undeniable factual and legal demonstration.</w:t>
              <w:br/>
              <w:t xml:space="preserve">   - Result: No. The Supreme Court cannot strike down a law passed by Congress based on theories alone. Because every statute is presumed constitutional, the petitioner must present real, undeniable proof of violation. Speculation is not enough.</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Actori incumbit onus probandi (burden of proof lies on the challenger)</w:t>
              <w:br/>
              <w:t>• Judicis est ius dicere non dare (judicial restraint in reviewing fiscal statutes)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Lawyers Against Monopoly and Poverty (LAMP) v. The Secretary of Budget and Management to mean and apply strictly in accordance with Omnia praesumuntur rite et solemniter esse acta, holding that No. The Supreme Court cannot strike down a law passed by Congress based on theories alone. Because every statute is presumed constitutional, the petitioner must.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To destroy a law, you must bring proof, not just opinions. On paper, the 2004 budget looked normal because it said government departments would spend the money. Because the petitioners brought zero audit reports or proof of abuse, the presumption of constitutionality saved the law. (Later in 2013, COA provided the actual proof in the Belgica case, and the pork barrel was struck down).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Overcoming the Presumption of Constitutionality: A statute will not be declared unconstitutional unless the violation is clear, complete, and established by undeniable factual and legal demonstration.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Every law passed by Congress is presumed valid; you cannot ask judges to destroy a budget law without presenting solid evidence of abuse.</w:t>
            </w:r>
          </w:p>
        </w:tc>
      </w:tr>
    </w:tbl>
    <w:p>
      <w:r>
        <w:br w:type="page"/>
      </w:r>
    </w:p>
    <w:p>
      <w:pPr>
        <w:keepNext/>
        <w:spacing w:before="320" w:after="80"/>
      </w:pPr>
      <w:r>
        <w:rPr>
          <w:rFonts w:ascii="Arial" w:hAnsi="Arial"/>
          <w:b/>
          <w:color w:val="0F2043"/>
          <w:sz w:val="26"/>
        </w:rPr>
        <w:t>27. NATIONAL HOUSING AUTHORITY (NHA) V. HON. FLORELIANA CASTRO-REYES AND SPOUSES ARSENIO &amp; AMANDA POSADAS</w:t>
      </w:r>
    </w:p>
    <w:p>
      <w:pPr>
        <w:spacing w:before="40" w:after="80" w:line="276" w:lineRule="auto"/>
      </w:pPr>
      <w:r>
        <w:rPr>
          <w:rFonts w:ascii="Calibri" w:hAnsi="Calibri"/>
          <w:b/>
          <w:color w:val="212529"/>
          <w:sz w:val="21"/>
        </w:rPr>
        <w:t xml:space="preserve">Citation: </w:t>
      </w:r>
      <w:r>
        <w:rPr>
          <w:rFonts w:ascii="Calibri" w:hAnsi="Calibri"/>
          <w:i/>
          <w:color w:val="212529"/>
          <w:sz w:val="21"/>
        </w:rPr>
        <w:t>G.R. No. L-49439 | June 29, 1983 | 123 SCRA 245 | En Banc | Ponente: J. Vasquez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National Housing Authority (NHA)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Floreliana Castro-Reyes (Judge, CFI Rizal) and Spouses Arsenio &amp; Amanda Posadas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Rizal (Branch VI)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Mandamus under Rule 65 concerning just compensation formula in expropriation under Presidential Decree Nos. 464, 794, and 1224.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National Housing Authority (NHA) filed an expropriation complaint to acquire 25 hectares of land in Caloocan City for a socialized housing resettlement project. The trial court appointed commissioners who valued the property at P40.00 per square meter based on general market value. NHA protested, arguing that under Presidential Decree Nos. 464, 794, and 1224, the valuation in expropriation is strictly pegged to 'the market value declared by the owner, or the market value determined by the City Assessor, whichever is lower.' The trial judge refused to apply the presidential decrees, declaring the valuation formula unconstitutional and violative of judicial prerogative in just compensation.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National Housing Authority (NHA) took private land to build socialized housing and insisted that under Marcos-era Presidential Decrees, the court must pay only the declared tax value (which was extremely low). The trial judge refused to follow the decree and awarded a fair market price, saying the decree formula was unconstitutional. The Supreme Court initially upheld the presidential decrees under the Presumption of Constitutionality and Dura Lex Sed Lex, ruling that presidential decrees had the force of statute until formally declared void. (Note: The Supreme Court later abandoned this formula in EPZA v. Dulay).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trial courts are bound by the mandatory valuation formulas in Presidential Decrees under the Presumption of Constitutionality, pending a formal En Banc declaration of nullity.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Were trial judges required to follow the expropriation valuation formulas in Presidential Decrees under the Presumption of Constitutionality?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trial courts must enforce Presidential Decrees on just compensation under the Presumption of Constitutionality and Dura Lex Sed Lex, pending formal constitutional invalidation by the Supreme Court En Banc."</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Under the PRESUMPTION OF CONSTITUTIONALITY, Presidential Decrees were presumed valid and binding on trial judges until formally declared unconstitutional by the Supreme Court En Banc. Lower court judges have no authority to disregard operative statutes.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Every statute and decree is presumed constitutional until the Supreme Court strikes it down En Banc. Lower court judges cannot unilaterally disregard an active presidential decree simply because they believe it is unfair.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the Presumption of Constitutionality and Dura lex, sed lex, Presidential Decrees had the force of law and were binding on trial courts. A lower court cannot disregard an operative statute on grounds of unconstitutionality without meeting the strict constitutional threshold for judicial review."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Nos. 464, 794, and 1224: </w:t>
            </w:r>
            <w:r>
              <w:rPr>
                <w:rFonts w:ascii="Calibri" w:hAnsi="Calibri"/>
                <w:color w:val="212529"/>
                <w:sz w:val="20"/>
              </w:rPr>
              <w:t>Expropriation valuation formula fixing just compensation at declared tax value or assessed value, whichever is lower.</w:t>
            </w:r>
          </w:p>
          <w:p>
            <w:pPr>
              <w:spacing w:before="20" w:after="40" w:line="276" w:lineRule="auto"/>
            </w:pPr>
            <w:r>
              <w:rPr>
                <w:rFonts w:ascii="Calibri" w:hAnsi="Calibri"/>
                <w:b/>
                <w:color w:val="212529"/>
                <w:sz w:val="20"/>
              </w:rPr>
              <w:t xml:space="preserve">2. Presumption of Constitutionality of Statutes: </w:t>
            </w:r>
            <w:r>
              <w:rPr>
                <w:rFonts w:ascii="Calibri" w:hAnsi="Calibri"/>
                <w:color w:val="212529"/>
                <w:sz w:val="20"/>
              </w:rPr>
              <w:t>Every statute passed by the legislative authority is presumed constitutional; the burden of proving invalidity is beyond reasonable doubt.</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Judges cannot substitute their personal sense of fairness for the explicit command of the lawgiver.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464, PD 1224, Presumption of Constitutionality, and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1224, governed by the Presumption of Constitutionality and Dura lex, sed lex (the law is harsh, but it is the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Force and Effect of Presidential Decrees: </w:t>
            </w:r>
            <w:r>
              <w:rPr>
                <w:rFonts w:ascii="Calibri" w:hAnsi="Calibri"/>
                <w:color w:val="212529"/>
                <w:sz w:val="20"/>
              </w:rPr>
              <w:t>Under the 1973 Constitution, Presidential Decrees formed part of the law of the land, enjoying the same presumption of constitutionality as legislative acts.</w:t>
            </w:r>
          </w:p>
          <w:p>
            <w:pPr>
              <w:spacing w:before="20" w:after="40" w:line="276" w:lineRule="auto"/>
            </w:pPr>
            <w:r>
              <w:rPr>
                <w:rFonts w:ascii="Calibri" w:hAnsi="Calibri"/>
                <w:b/>
                <w:color w:val="212529"/>
                <w:sz w:val="20"/>
              </w:rPr>
              <w:t xml:space="preserve">2. Restraint on Lower Court Judicial Review: </w:t>
            </w:r>
            <w:r>
              <w:rPr>
                <w:rFonts w:ascii="Calibri" w:hAnsi="Calibri"/>
                <w:color w:val="212529"/>
                <w:sz w:val="20"/>
              </w:rPr>
              <w:t>Trial judges are bound to apply the law as enacted. Disregarding an operative statute violates judicial hierarchy and the presumption of validity.</w:t>
            </w:r>
          </w:p>
          <w:p>
            <w:pPr>
              <w:spacing w:before="20" w:after="40" w:line="276" w:lineRule="auto"/>
            </w:pPr>
            <w:r>
              <w:rPr>
                <w:rFonts w:ascii="Calibri" w:hAnsi="Calibri"/>
                <w:b/>
                <w:color w:val="212529"/>
                <w:sz w:val="20"/>
              </w:rPr>
              <w:t xml:space="preserve">3. Historical Note / Subsequent Reversal in EPZA v. Dulay: </w:t>
            </w:r>
            <w:r>
              <w:rPr>
                <w:rFonts w:ascii="Calibri" w:hAnsi="Calibri"/>
                <w:color w:val="212529"/>
                <w:sz w:val="20"/>
              </w:rPr>
              <w:t>While NHA v. Reyes upheld the decree formula under the presumption of validity, the Supreme Court En Banc subsequently declared this rigid formula unconstitutional in EPZA v. Dulay (1987) for usurping the judicial power to determine just compensation.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Laws passed by the government are presumed valid and constitutional until the Supreme Court formally strikes them down. A single trial judge cannot ignore a written decree just because he thinks the compensation is too low. The judge must apply the law as written under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Presumption of Constitutionality. Lower courts are bound to enforce operative decrees under Dura Lex Sed Lex. Although this valuation doctrine was subsequently overturned in EPZA v. Dulay, NHA v. Reyes remains the leading historical example of the Presumption of Constitutionality."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SET ASIDE the trial court's market valuation, and ORDERED the trial court to apply the statutory formula under P.D. No. 1224.</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trial court's order was set aside and the statutory decree formula was enforced under the presumption of constitutionality.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enforced the decree formula, upholding the Presumption of Constitutionality of presidential decrees."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b. Presumption Against Injustice &amp; Absurdity (PD 464 Expropriation Just Compensation Rules)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(all acts are presumed to have been done regularly)</w:t>
              <w:br/>
            </w:r>
            <w:r>
              <w:rPr>
                <w:rFonts w:ascii="Calibri" w:hAnsi="Calibri"/>
                <w:b/>
                <w:color w:val="212529"/>
                <w:sz w:val="19"/>
              </w:rPr>
              <w:t xml:space="preserve">   • Literal English Translation: </w:t>
            </w:r>
            <w:r>
              <w:rPr>
                <w:rFonts w:ascii="Calibri" w:hAnsi="Calibri"/>
                <w:i/>
                <w:color w:val="212529"/>
                <w:sz w:val="19"/>
              </w:rPr>
              <w:t>All acts are presumed regular and valid.</w:t>
              <w:br/>
            </w:r>
            <w:r>
              <w:rPr>
                <w:rFonts w:ascii="Calibri" w:hAnsi="Calibri"/>
                <w:b/>
                <w:color w:val="212529"/>
                <w:sz w:val="19"/>
              </w:rPr>
              <w:t xml:space="preserve">   • Plain Legal Meaning &amp; StatCon Application: </w:t>
            </w:r>
            <w:r>
              <w:rPr>
                <w:rFonts w:ascii="Calibri" w:hAnsi="Calibri"/>
                <w:color w:val="212529"/>
                <w:sz w:val="19"/>
              </w:rPr>
              <w:t>Statutes and presidential decrees enjoy the presumption of constitutionality.</w:t>
            </w:r>
          </w:p>
          <w:p>
            <w:pPr>
              <w:spacing w:before="40" w:after="60" w:line="276" w:lineRule="auto"/>
            </w:pPr>
            <w:r>
              <w:rPr>
                <w:rFonts w:ascii="Calibri" w:hAnsi="Calibri"/>
                <w:b/>
                <w:color w:val="8C3200"/>
                <w:sz w:val="20"/>
              </w:rPr>
              <w:t>2.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Trial judges are duty-bound to apply the written statutory valuation formula.</w:t>
            </w:r>
          </w:p>
          <w:p>
            <w:pPr>
              <w:spacing w:before="40" w:after="60" w:line="276" w:lineRule="auto"/>
            </w:pPr>
            <w:r>
              <w:rPr>
                <w:rFonts w:ascii="Calibri" w:hAnsi="Calibri"/>
                <w:b/>
                <w:color w:val="8C3200"/>
                <w:sz w:val="20"/>
              </w:rPr>
              <w:t>3. Judicis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The judge must declare the law, not create it.</w:t>
              <w:br/>
            </w:r>
            <w:r>
              <w:rPr>
                <w:rFonts w:ascii="Calibri" w:hAnsi="Calibri"/>
                <w:b/>
                <w:color w:val="212529"/>
                <w:sz w:val="19"/>
              </w:rPr>
              <w:t xml:space="preserve">   • Plain Legal Meaning &amp; StatCon Application: </w:t>
            </w:r>
            <w:r>
              <w:rPr>
                <w:rFonts w:ascii="Calibri" w:hAnsi="Calibri"/>
                <w:color w:val="212529"/>
                <w:sz w:val="19"/>
              </w:rPr>
              <w:t>Judges cannot invent their own compensation rules against explicit statutory commands.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b. Presumption Against Injustice &amp; Absurdity (PD 464 Expropriation Just Compensation Rules)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Presumption of Constitutionality of legislative acts and decrees)</w:t>
              <w:br/>
              <w:br/>
              <w:t>Secondary:</w:t>
              <w:br/>
              <w:t>• Dura lex sed lex (harsh laws must be enforced by trial courts)</w:t>
              <w:br/>
              <w:t>• Judicis est ius dicere non dare (judges apply law, not make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judge violated the Presumption of Constitutionality and judicial hierarchy by unilaterally refusing to apply operative presidential decrees.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Presumption of Constitutionality: All legislative enactments and executive decrees carry the presumption of constitutionality; lower courts must apply them until formally invalidated by the Supreme Court.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Every law written in the statute books is presumed constitutional and must be followed by judges until the Supreme Court strikes it down.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NHA v. Reyes is the classical authority on the Presumption of Constitutionality: trial courts are bound to enforce statutes under the presumption of regularity until declared unconstitutional."</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National Housing Authority (NHA) v. Hon. Floreliana Castro-Reyes and Spouses Arsenio &amp; Amanda Posadas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L-49439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June 29, 1983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National Housing Authority (NHA) filed an expropriation complaint to acquire 25 hectares of land in Caloocan City for a socialized housing resettlement project. The trial court appointed commissioners who valued the property at P40.00 per square meter based on general market value. NHA protested, arguing that under Presidential Decree Nos. 464, 794, and 1224, the valuation in expropriation is strictly pegged to 'the market value declared by the owner, or the market value determined by the City Assessor, whichever is lower.' The trial judge refused to apply the presidential decrees, declaring the valuation formula unconstitutional and violative of judicial prerogative in just compensation.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Nos. 464, 794, and 1224: Expropriation valuation formula fixing just compensation at declared tax value or assessed value, whichever is lower.</w:t>
              <w:br/>
              <w:t>2. Presumption of Constitutionality of Statutes: Every statute passed by the legislative authority is presumed constitutional; the burden of proving invalidity is beyond reasonable doubt.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judge violated the Presumption of Constitutionality and judicial hierarchy by unilaterally refusing to apply operative presidential decrees.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trial courts are bound by the mandatory valuation formulas in Presidential Decrees under the Presumption of Constitutionality, pending a formal En Banc declaration of nullity.</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National Housing Authority (NHA) v. Hon. Floreliana Castro-Reyes and Spouses Arsenio &amp; Amanda Posadas,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Nos. 464, 794, and 1224: Expropriation valuation formula fixing just compensation at declared tax value or assessed value, whichever is lower.</w:t>
              <w:br/>
              <w:t>2. Presumption of Constitutionality of Statutes: Every statute passed by the legislative authority is presumed constitutional; the burden of proving invalidity is beyond reasonable doubt.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judge violated the Presumption of Constitutionality and judicial hierarchy by unilaterally refusing to apply o...</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SET ASIDE the trial court's market valuation, and ORDERED the trial court to apply the statutory formula under P.D. No. 1224.</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Under the PRESUMPTION OF CONSTITUTIONALITY, Presidential Decrees were presumed valid and binding on trial judges until formally declared unconstitutional by the Supreme Court En Banc. Lower court judges have no authority to disregard operative statutes.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judge violated the Presumption of Constitutionality and judicial hierarchy by unilaterally refusing to apply operative presidentia.</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Presumption of Constitutionality: All legislative enactments and executive decrees carry the presumption of constitutionality; lower courts must apply them until formally invalidated by the Supreme Court.</w:t>
              <w:br/>
              <w:t xml:space="preserve">   - Result: Yes. Every statute and decree is presumed constitutional until the Supreme Court strikes it down En Banc. Lower court judges cannot unilaterally disregard an active presidential decree simply because they believe it is unfair.</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Dura lex sed lex (harsh laws must be enforced by trial courts)</w:t>
              <w:br/>
              <w:t>• Judicis est ius dicere non dare (judges apply law, not make law)</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National Housing Authority (NHA) v. Hon. Floreliana Castro-Reyes and Spouses Arsenio &amp; Amanda Posadas to mean and apply strictly in accordance with Omnia praesumuntur rite et solemniter esse acta, holding that Yes. Every statute and decree is presumed constitutional until the Supreme Court strikes it down En Banc. Lower court judges cannot unilaterally disregard an ac.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Laws passed by the government are presumed valid and constitutional until the Supreme Court formally strikes them down. A single trial judge cannot ignore a written decree just because he thinks the compensation is too low. The judge must apply the law as written under Dura Lex Sed Lex.</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Presumption of Constitutionality: All legislative enactments and executive decrees carry the presumption of constitutionality; lower courts must apply them until formally invalidated by the Supreme Court.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Every law written in the statute books is presumed constitutional and must be followed by judges until the Supreme Court strikes it down.</w:t>
            </w:r>
          </w:p>
        </w:tc>
      </w:tr>
    </w:tbl>
    <w:p>
      <w:r>
        <w:br w:type="page"/>
      </w:r>
    </w:p>
    <w:p>
      <w:pPr>
        <w:keepNext/>
        <w:spacing w:before="320" w:after="80"/>
      </w:pPr>
      <w:r>
        <w:rPr>
          <w:rFonts w:ascii="Arial" w:hAnsi="Arial"/>
          <w:b/>
          <w:color w:val="0F2043"/>
          <w:sz w:val="26"/>
        </w:rPr>
        <w:t>28. APARRI V. COURT OF APPEALS</w:t>
      </w:r>
    </w:p>
    <w:p>
      <w:pPr>
        <w:spacing w:before="40" w:after="80" w:line="276" w:lineRule="auto"/>
      </w:pPr>
      <w:r>
        <w:rPr>
          <w:rFonts w:ascii="Calibri" w:hAnsi="Calibri"/>
          <w:b/>
          <w:color w:val="212529"/>
          <w:sz w:val="21"/>
        </w:rPr>
        <w:t xml:space="preserve">Citation: </w:t>
      </w:r>
      <w:r>
        <w:rPr>
          <w:rFonts w:ascii="Calibri" w:hAnsi="Calibri"/>
          <w:i/>
          <w:color w:val="212529"/>
          <w:sz w:val="21"/>
        </w:rPr>
        <w:t>G.R. No. L-30057 | January 31, 1984 | 127 SCRA 231 | Second Division | Ponente: J. Makasiar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Aparri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expiration of a fixed term of office versus illegal removal under Republic Act No. 1160 (National Resettlement and Rehabilitation Administration / NARRA).</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Aparri was appointed General Manager of NARRA by the Board of Directors with an express resolution fixing his term of office to expire on January 15, 1962. Upon the arrival of January 15, 1962, the Board approved a resolution declaring his term ended and appointing a successor. Aparri filed a petition for Mandamus and Quo Warranto, arguing that under the Civil Service Law and R.A. No. 1160, he enjoyed constitutional security of tenure and could not be removed without cause, contending that the Board's resolution fixing a term was void ab initio for violating the presumption of life tenure in public office.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General Manager of a government resettlement agency was appointed by the Board of Directors with an explicit contract stating his term would expire on January 15, 1962. When that date arrived, the Board replaced him. He sued, claiming that public officials have security of tenure and cannot be removed without misconduct. The Supreme Court ruled that EXPIRATION OF A FIXED TERM is completely different from REMOVAL FROM OFFICE: when a term expires by law or contract, the officer simply reaches the end of his appointment, which does not violate security of tenure.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expiration of a fixed term of office constitutes removal from office in violation of the constitutional and statutory presumption of security of tenure.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end of a fixed term of office count as an illegal firing under the security of tenure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expiration of a fixed term of office is equivalent to removal from office under RA 1160 and the Civil Service Law, testing the Distinction Between Term and Tenure and the Presumption of Regularity of Executive Appointments."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Expiration of a fixed term is NOT REMOVAL. Security of tenure applies only during the officer's term; once the term expires by statutory definition or valid appointment, the right to hold office automatically ceases without any removal taking place.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Term is the time limit written in your appointment; tenure is the actual time you hold the office. When your fixed term ends, your contract is over—you were not fired, your time simply expired. Security of tenure only protects you WHILE your term is running.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established the bedrock distinction: 'Term' is the statutory period during which an officer may claim to hold office; 'Tenure' is the period he actually holds it. Under statutory construction, expiration of term does not constitute removal, and does not violate the presumption of security of tenure."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1160 (NARRA Charter): </w:t>
            </w:r>
            <w:r>
              <w:rPr>
                <w:rFonts w:ascii="Calibri" w:hAnsi="Calibri"/>
                <w:color w:val="212529"/>
                <w:sz w:val="20"/>
              </w:rPr>
              <w:t>Empowers the Board of Directors to appoint and fix the terms of management personnel.</w:t>
            </w:r>
          </w:p>
          <w:p>
            <w:pPr>
              <w:spacing w:before="20" w:after="40" w:line="276" w:lineRule="auto"/>
            </w:pPr>
            <w:r>
              <w:rPr>
                <w:rFonts w:ascii="Calibri" w:hAnsi="Calibri"/>
                <w:b/>
                <w:color w:val="212529"/>
                <w:sz w:val="20"/>
              </w:rPr>
              <w:t xml:space="preserve">2. Constitutional and Statutory Security of Tenure: </w:t>
            </w:r>
            <w:r>
              <w:rPr>
                <w:rFonts w:ascii="Calibri" w:hAnsi="Calibri"/>
                <w:color w:val="212529"/>
                <w:sz w:val="20"/>
              </w:rPr>
              <w:t>Protects civil service officers against removal without cause during their lawful term.</w:t>
            </w:r>
          </w:p>
          <w:p>
            <w:pPr>
              <w:spacing w:before="20" w:after="40" w:line="276" w:lineRule="auto"/>
            </w:pPr>
            <w:r>
              <w:rPr>
                <w:rFonts w:ascii="Calibri" w:hAnsi="Calibri"/>
                <w:b/>
                <w:color w:val="212529"/>
                <w:sz w:val="20"/>
              </w:rPr>
              <w:t xml:space="preserve">3. Distinction Between Term and Tenure: </w:t>
            </w:r>
            <w:r>
              <w:rPr>
                <w:rFonts w:ascii="Calibri" w:hAnsi="Calibri"/>
                <w:color w:val="212529"/>
                <w:sz w:val="20"/>
              </w:rPr>
              <w:t>Term is fixed by statute or appointment; tenure depends on the incumbent's actual holding of office.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1160, Civil Service Law, Distinction between Term and Tenure, and Presumption of Regularity.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1160, construed under the doctrinal distinction between Term and Tenure and the Presumption of Regularity in public appointments."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Concept of Term of Office: </w:t>
            </w:r>
            <w:r>
              <w:rPr>
                <w:rFonts w:ascii="Calibri" w:hAnsi="Calibri"/>
                <w:color w:val="212529"/>
                <w:sz w:val="20"/>
              </w:rPr>
              <w:t>A term of office is the time limit fixed by law or valid executive resolution during which an officer may hold office. When the term expires, the office becomes vacant by operation of law.</w:t>
            </w:r>
          </w:p>
          <w:p>
            <w:pPr>
              <w:spacing w:before="20" w:after="40" w:line="276" w:lineRule="auto"/>
            </w:pPr>
            <w:r>
              <w:rPr>
                <w:rFonts w:ascii="Calibri" w:hAnsi="Calibri"/>
                <w:b/>
                <w:color w:val="212529"/>
                <w:sz w:val="20"/>
              </w:rPr>
              <w:t xml:space="preserve">2. Absence of Removal: </w:t>
            </w:r>
            <w:r>
              <w:rPr>
                <w:rFonts w:ascii="Calibri" w:hAnsi="Calibri"/>
                <w:color w:val="212529"/>
                <w:sz w:val="20"/>
              </w:rPr>
              <w:t>Removal implies the ouster of an incumbent before the expiration of his term. When the term naturally ends, there is no removal, but a mere severance of official relations through expiration of statutory appointment.</w:t>
            </w:r>
          </w:p>
          <w:p>
            <w:pPr>
              <w:spacing w:before="20" w:after="40" w:line="276" w:lineRule="auto"/>
            </w:pPr>
            <w:r>
              <w:rPr>
                <w:rFonts w:ascii="Calibri" w:hAnsi="Calibri"/>
                <w:b/>
                <w:color w:val="212529"/>
                <w:sz w:val="20"/>
              </w:rPr>
              <w:t xml:space="preserve">3. Presumption of Validity of Board Action: </w:t>
            </w:r>
            <w:r>
              <w:rPr>
                <w:rFonts w:ascii="Calibri" w:hAnsi="Calibri"/>
                <w:color w:val="212529"/>
                <w:sz w:val="20"/>
              </w:rPr>
              <w:t>The Board acted within its statutory powers under RA 1160 in fixing the term; its actions carry the presumption of regularity.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your contract says you work from January 1 to December 31, leaving on December 31 is not a termination—it's just the end of the contract. The Civil Service law stops bosses from firing you in July without cause, but it does not make a 1-year contract last forever.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clarified the statutory meaning of Term versus Tenure. Security of tenure guarantees protection against arbitrary dismissal DURING the term. Upon the expiration of the term, official relations terminate automatically by operation of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Court of Appeals, DISMISSING Aparri's petition for Mandamus and Quo Warranto.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General Manager lost and his replacement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ruling that expiration of term does not constitute illegal removal under Civil Service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d. Presumption Against Ineffectiveness &amp; e. Presumption Against Absurdity (Expiration of Term vs Removal)</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(all acts are presumed to have been done regularly)</w:t>
              <w:br/>
            </w:r>
            <w:r>
              <w:rPr>
                <w:rFonts w:ascii="Calibri" w:hAnsi="Calibri"/>
                <w:b/>
                <w:color w:val="212529"/>
                <w:sz w:val="19"/>
              </w:rPr>
              <w:t xml:space="preserve">   • Literal English Translation: </w:t>
            </w:r>
            <w:r>
              <w:rPr>
                <w:rFonts w:ascii="Calibri" w:hAnsi="Calibri"/>
                <w:i/>
                <w:color w:val="212529"/>
                <w:sz w:val="19"/>
              </w:rPr>
              <w:t>All things are presumed regular.</w:t>
              <w:br/>
            </w:r>
            <w:r>
              <w:rPr>
                <w:rFonts w:ascii="Calibri" w:hAnsi="Calibri"/>
                <w:b/>
                <w:color w:val="212529"/>
                <w:sz w:val="19"/>
              </w:rPr>
              <w:t xml:space="preserve">   • Plain Legal Meaning &amp; StatCon Application: </w:t>
            </w:r>
            <w:r>
              <w:rPr>
                <w:rFonts w:ascii="Calibri" w:hAnsi="Calibri"/>
                <w:color w:val="212529"/>
                <w:sz w:val="19"/>
              </w:rPr>
              <w:t>The appointment and term-fixing by the Board of Directors enjoy the presumption of regularity.</w:t>
            </w:r>
          </w:p>
          <w:p>
            <w:pPr>
              <w:spacing w:before="40" w:after="60" w:line="276" w:lineRule="auto"/>
            </w:pPr>
            <w:r>
              <w:rPr>
                <w:rFonts w:ascii="Calibri" w:hAnsi="Calibri"/>
                <w:b/>
                <w:color w:val="8C3200"/>
                <w:sz w:val="20"/>
              </w:rPr>
              <w:t>2. Cessante ratione legis, cessat ipsa lex (when the reason of the law ceases, the law itself ceases)</w:t>
              <w:br/>
            </w:r>
            <w:r>
              <w:rPr>
                <w:rFonts w:ascii="Calibri" w:hAnsi="Calibri"/>
                <w:b/>
                <w:color w:val="212529"/>
                <w:sz w:val="19"/>
              </w:rPr>
              <w:t xml:space="preserve">   • Literal English Translation: </w:t>
            </w:r>
            <w:r>
              <w:rPr>
                <w:rFonts w:ascii="Calibri" w:hAnsi="Calibri"/>
                <w:i/>
                <w:color w:val="212529"/>
                <w:sz w:val="19"/>
              </w:rPr>
              <w:t>When the reason for a law ceases, the law ceases.</w:t>
              <w:br/>
            </w:r>
            <w:r>
              <w:rPr>
                <w:rFonts w:ascii="Calibri" w:hAnsi="Calibri"/>
                <w:b/>
                <w:color w:val="212529"/>
                <w:sz w:val="19"/>
              </w:rPr>
              <w:t xml:space="preserve">   • Plain Legal Meaning &amp; StatCon Application: </w:t>
            </w:r>
            <w:r>
              <w:rPr>
                <w:rFonts w:ascii="Calibri" w:hAnsi="Calibri"/>
                <w:color w:val="212529"/>
                <w:sz w:val="19"/>
              </w:rPr>
              <w:t>When the term of office expires, the right to hold office ceases automatically.</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explicit expiration date fixed in the appointment controls.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d. Presumption Against Ineffectiveness &amp; e. Presumption Against Absurdity (Expiration of Term vs Removal)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Board resolution fixing term of office is presumed regular and valid)</w:t>
              <w:br/>
              <w:br/>
              <w:t>Secondary:</w:t>
              <w:br/>
              <w:t>• Cessante ratione legis cessat ipsa lex (expiration of term extinguishes tenure)</w:t>
              <w:br/>
              <w:t>• Verba legis non est recedendum (adherence to appointment terms)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confused 'tenure' with 'term', attempting to convert a fixed-term appointment into permanent life tenure.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Statutory Distinction Between Term and Tenure: 'Term' represents the legal period fixed for holding office; 'Tenure' is the actual incumbency. Expiration of term is an automatic statutory termination, not a disciplinary removal.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fixed-term job ends on the agreed expiration date; you cannot use the security of tenure law to turn a temporary job into a permanent lifetime seat.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Aparri v. CA is the supreme authority on the statutory distinction between Term and Tenure under Civil Service law."</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Aparri v. Court of Appeals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L-30057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31, 1984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Aparri was appointed General Manager of NARRA by the Board of Directors with an express resolution fixing his term of office to expire on January 15, 1962. Upon the arrival of January 15, 1962, the Board approved a resolution declaring his term ended and appointing a successor. Aparri filed a petition for Mandamus and Quo Warranto, arguing that under the Civil Service Law and R.A. No. 1160, he enjoyed constitutional security of tenure and could not be removed without cause, contending that the Board's resolution fixing a term was void ab initio for violating the presumption of life tenure in public office.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1160 (NARRA Charter): Empowers the Board of Directors to appoint and fix the terms of management personnel.</w:t>
              <w:br/>
              <w:t>2. Constitutional and Statutory Security of Tenure: Protects civil service officers against removal without cause during their lawful term.</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confused 'tenure' with 'term', attempting to convert a fixed-term appointment into permanent life tenure.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expiration of a fixed term of office constitutes removal from office in violation of the constitutional and statutory presumption of security of tenure.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Aparri v. Court of Appeals,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1160 (NARRA Charter): Empowers the Board of Directors to appoint and fix the terms of management personnel.</w:t>
              <w:br/>
              <w:t>2. Constitutional and Statutory Security of Tenure: Protects civil service officers against removal without cause during their lawful term.</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confused 'tenure' with 'term', attempting to convert a fixed-term appointment into permanent life tenure....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Court of Appeals, DISMISSING Aparri's petition for Mandamus and Quo Warranto.</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Expiration of a fixed term is NOT REMOVAL. Security of tenure applies only during the officer's term; once the term expires by statutory definition or valid appointment, the right to hold office automatically ceases without any removal taking place.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confused 'tenure' with 'term', attempting to convert a fixed-term appointment into permanent life tenure..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Statutory Distinction Between Term and Tenure: 'Term' represents the legal period fixed for holding office; 'Tenure' is the actual incumbency. Expiration of term is an automatic statutory termination, not a disciplinary removal.</w:t>
              <w:br/>
              <w:t xml:space="preserve">   - Result: No. Term is the time limit written in your appointment; tenure is the actual time you hold the office. When your fixed term ends, your contract is over—you were not fired, your time simply expired. Security of tenure only protects you WHILE your term is running.</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Cessante ratione legis cessat ipsa lex (expiration of term extinguishes tenure)</w:t>
              <w:br/>
              <w:t>• Verba legis non est recedendum (adherence to appointment terms)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Aparri v. Court of Appeals to mean and apply strictly in accordance with Omnia praesumuntur rite et solemniter esse acta, holding that No. Term is the time limit written in your appointment; tenure is the actual time you hold the office. When your fixed term ends, your contract is over—you were.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your contract says you work from January 1 to December 31, leaving on December 31 is not a termination—it's just the end of the contract. The Civil Service law stops bosses from firing you in July without cause, but it does not make a 1-year contract last forever.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Statutory Distinction Between Term and Tenure: 'Term' represents the legal period fixed for holding office; 'Tenure' is the actual incumbency. Expiration of term is an automatic statutory termination, not a disciplinary removal.</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fixed-term job ends on the agreed expiration date; you cannot use the security of tenure law to turn a temporary job into a permanent lifetime seat.</w:t>
            </w:r>
          </w:p>
        </w:tc>
      </w:tr>
    </w:tbl>
    <w:p>
      <w:r>
        <w:br w:type="page"/>
      </w:r>
    </w:p>
    <w:p>
      <w:pPr>
        <w:keepNext/>
        <w:spacing w:before="320" w:after="80"/>
      </w:pPr>
      <w:r>
        <w:rPr>
          <w:rFonts w:ascii="Arial" w:hAnsi="Arial"/>
          <w:b/>
          <w:color w:val="0F2043"/>
          <w:sz w:val="26"/>
        </w:rPr>
        <w:t>29. ALONZO V. INTERMEDIATE APPELLATE COURT AND TECLA PADUA</w:t>
      </w:r>
    </w:p>
    <w:p>
      <w:pPr>
        <w:spacing w:before="40" w:after="80" w:line="276" w:lineRule="auto"/>
      </w:pPr>
      <w:r>
        <w:rPr>
          <w:rFonts w:ascii="Calibri" w:hAnsi="Calibri"/>
          <w:b/>
          <w:color w:val="212529"/>
          <w:sz w:val="21"/>
        </w:rPr>
        <w:t xml:space="preserve">Citation: </w:t>
      </w:r>
      <w:r>
        <w:rPr>
          <w:rFonts w:ascii="Calibri" w:hAnsi="Calibri"/>
          <w:i/>
          <w:color w:val="212529"/>
          <w:sz w:val="21"/>
        </w:rPr>
        <w:t>G.R. No. 72873 | May 28, 1987 | 150 SCRA 259 | First Division | Ponente: J. Cruz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Carlos Alonzo and Casimira Alonzo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Intermediate Appellate Court and Tecla Padua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Tarlac / Intermediate Appellate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legal redemption by co-heirs under Article 1088 of the Civil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Five siblings inherited a parcel of land in equal shares. In 1963 and 1964, two siblings sold their undivided shares to Carlos and Casimira Alonzo through registered deeds of sale. The buyers built a house and lived on the land for over a decade in plain view of the remaining co-heirs. In 1977 (over 13 years later), respondent Tecla Padua (one of the co-heirs) sought to redeem the sold shares under Article 1088 of the Civil Code, arguing that the 30-day redemption period had not even commenced because the co-heirs were never served with a formal WRITTEN NOTICE of the sale as literally required by Article 1088.</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Two siblings sold their inherited land shares to buyers who built a house and lived there openly for 13 years. More than a decade later, another sister tried to redeem the land, claiming she had the right to buy it back because she was never given a formal 'written notice' of the sale. The Supreme Court ruled that 13 years of actual knowledge is far better than a piece of paper, and the law will not allow a party to weaponize a literal technicality to commit injustice.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30-day legal redemption period under Article 1088 of the Civil Code had lapsed despite the lack of formal written notice, where the co-heirs had actual knowledge of the sale for over a decade.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co-heir demand to redeem land 13 years after the sale by arguing that she never received a formal written notice, even though she lived right next to the buyers the whole time?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actual notice satisfies the written notice requirement of Article 1088 of the Civil Code, testing the immortal doctrine that the Spirit and Intention of the Law Prevails Over the Letter (Ratio Legis / Scire Leges Non Hoc Est Verba Earum Tenere)."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right of redemption had LAPSED. Actual knowledge of the sale for over a decade dispensed with the need for written notice. The spirit and purpose of the law prevail over a rigid, literal requirement.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right to redeem expired long ago. Written notice is just a tool to give knowledge. When a co-heir has lived next to the buyer's house for 13 years, she obviously had actual knowledge, and the law will not permit a ridiculous absurdity.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Justice Isagani Cruz famously penned, 'The spirit, rather than the letter of a statute, determines its construction.' Under Ratio legis est anima legis and Scire leges non hoc est verba earum tenere (to know laws is not to know their words, but their force and power), actual knowledge for 13 years satisfies the statutory purpose of written notice."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1088, Civil Code of the Philippines: </w:t>
            </w:r>
            <w:r>
              <w:rPr>
                <w:rFonts w:ascii="Calibri" w:hAnsi="Calibri"/>
                <w:color w:val="212529"/>
                <w:sz w:val="20"/>
              </w:rPr>
              <w:t>Provides that co-heirs have 30 days to redeem sold shares from the date they are notified in writing by the vendor.</w:t>
            </w:r>
          </w:p>
          <w:p>
            <w:pPr>
              <w:spacing w:before="20" w:after="40" w:line="276" w:lineRule="auto"/>
            </w:pPr>
            <w:r>
              <w:rPr>
                <w:rFonts w:ascii="Calibri" w:hAnsi="Calibri"/>
                <w:b/>
                <w:color w:val="212529"/>
                <w:sz w:val="20"/>
              </w:rPr>
              <w:t xml:space="preserve">2. Ratio Legis Est Anima Legis (the reason of the law is the soul of the law): </w:t>
            </w:r>
            <w:r>
              <w:rPr>
                <w:rFonts w:ascii="Calibri" w:hAnsi="Calibri"/>
                <w:color w:val="212529"/>
                <w:sz w:val="20"/>
              </w:rPr>
              <w:t>The purpose of the written notice requirement is solely to ensure that co-heirs have actual knowledge of the sale.</w:t>
            </w:r>
          </w:p>
          <w:p>
            <w:pPr>
              <w:spacing w:before="20" w:after="40" w:line="276" w:lineRule="auto"/>
            </w:pPr>
            <w:r>
              <w:rPr>
                <w:rFonts w:ascii="Calibri" w:hAnsi="Calibri"/>
                <w:b/>
                <w:color w:val="212529"/>
                <w:sz w:val="20"/>
              </w:rPr>
              <w:t xml:space="preserve">3. Scire Leges Non Hoc Est Verba Earum Tenere, Sed Vim Ac Potestatem (to know the laws is not to observe their words, but their force and power): </w:t>
            </w:r>
            <w:r>
              <w:rPr>
                <w:rFonts w:ascii="Calibri" w:hAnsi="Calibri"/>
                <w:color w:val="212529"/>
                <w:sz w:val="20"/>
              </w:rPr>
              <w:t>Judicial interpretation must prevent the law from being used to foster injustice or absurdity.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1088 Civil Code, Ratio Legis Est Anima Legis, and Scire leges non hoc est verba earum tenere.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1088 of the Civil Code, interpreted through Ratio legis est anima legis (the reason of the law is its soul) and Scire leges non hoc est verba earum tenere (to know laws is to understand their spirit, not merely their words)."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Written Notice: </w:t>
            </w:r>
            <w:r>
              <w:rPr>
                <w:rFonts w:ascii="Calibri" w:hAnsi="Calibri"/>
                <w:color w:val="212529"/>
                <w:sz w:val="20"/>
              </w:rPr>
              <w:t>The written notice required by Article 1088 is not an ornamental sacramental ritual; its sole reason for existence is to inform the co-heir so that he can exercise redemption promptly.</w:t>
            </w:r>
          </w:p>
          <w:p>
            <w:pPr>
              <w:spacing w:before="20" w:after="40" w:line="276" w:lineRule="auto"/>
            </w:pPr>
            <w:r>
              <w:rPr>
                <w:rFonts w:ascii="Calibri" w:hAnsi="Calibri"/>
                <w:b/>
                <w:color w:val="212529"/>
                <w:sz w:val="20"/>
              </w:rPr>
              <w:t xml:space="preserve">2. Impossibility of Ignorance for 13 Years: </w:t>
            </w:r>
            <w:r>
              <w:rPr>
                <w:rFonts w:ascii="Calibri" w:hAnsi="Calibri"/>
                <w:color w:val="212529"/>
                <w:sz w:val="20"/>
              </w:rPr>
              <w:t>The co-heirs lived in the same vicinity, saw the buyers build a house, and coexisted for more than a decade. To claim ignorance due to absence of paper notice is bad faith and sheer absurdity.</w:t>
            </w:r>
          </w:p>
          <w:p>
            <w:pPr>
              <w:spacing w:before="20" w:after="40" w:line="276" w:lineRule="auto"/>
            </w:pPr>
            <w:r>
              <w:rPr>
                <w:rFonts w:ascii="Calibri" w:hAnsi="Calibri"/>
                <w:b/>
                <w:color w:val="212529"/>
                <w:sz w:val="20"/>
              </w:rPr>
              <w:t xml:space="preserve">3. Subordination of the Letter to Equity and Justice: </w:t>
            </w:r>
            <w:r>
              <w:rPr>
                <w:rFonts w:ascii="Calibri" w:hAnsi="Calibri"/>
                <w:color w:val="212529"/>
                <w:sz w:val="20"/>
              </w:rPr>
              <w:t>When the literal interpretation leads to patent injustice, absurdity, or mischief, the spirit and purpose of the statute must prevail.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purpose of writing is to inform. If you already know something for 13 years because the buyers are your physical neighbors, demanding a written letter is just an excuse to commit extortion. The Court ruled that justice and common sense come first.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Justice Cruz declared that courts must not be stymied by a pedantic allegiance to literal words. Since the co-heir had actual knowledge for over a decade, the 30-day redemption period had long expired under the true spirit of Article 1088."</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Intermediate Appellate Court, DISMISSED the complaint for legal redemption, and DECLARED the Alonzos' title absolute and indefeasible.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redemption suit was dismissed and the buyers were confirmed as absolute owners of the land.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appellate court and dismissed the redemption suit, holding that actual notice for 13 years barred redemption under the spirit of the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b. Presumption Against Injustice &amp; e. Presumption Against Absurdity (Civil Code Art. 1088 / Spirit over Letter)</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Scire leges non hoc est verba earum tenere, sed vim ac potestatem (to know laws is not to memorize their words, but to comprehend their intent and scope)</w:t>
              <w:br/>
            </w:r>
            <w:r>
              <w:rPr>
                <w:rFonts w:ascii="Calibri" w:hAnsi="Calibri"/>
                <w:b/>
                <w:color w:val="212529"/>
                <w:sz w:val="19"/>
              </w:rPr>
              <w:t xml:space="preserve">   • Literal English Translation: </w:t>
            </w:r>
            <w:r>
              <w:rPr>
                <w:rFonts w:ascii="Calibri" w:hAnsi="Calibri"/>
                <w:i/>
                <w:color w:val="212529"/>
                <w:sz w:val="19"/>
              </w:rPr>
              <w:t>To know the laws is not to hold their words, but their force and power.</w:t>
              <w:br/>
            </w:r>
            <w:r>
              <w:rPr>
                <w:rFonts w:ascii="Calibri" w:hAnsi="Calibri"/>
                <w:b/>
                <w:color w:val="212529"/>
                <w:sz w:val="19"/>
              </w:rPr>
              <w:t xml:space="preserve">   • Plain Legal Meaning &amp; StatCon Application: </w:t>
            </w:r>
            <w:r>
              <w:rPr>
                <w:rFonts w:ascii="Calibri" w:hAnsi="Calibri"/>
                <w:color w:val="212529"/>
                <w:sz w:val="19"/>
              </w:rPr>
              <w:t>True statutory interpretation grasps the underlying purpose rather than getting enslaved by literal phrasing.</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informational purpose of written notice was fully accomplished by 13 years of actual knowledge.</w:t>
            </w:r>
          </w:p>
          <w:p>
            <w:pPr>
              <w:spacing w:before="40" w:after="60" w:line="276" w:lineRule="auto"/>
            </w:pPr>
            <w:r>
              <w:rPr>
                <w:rFonts w:ascii="Calibri" w:hAnsi="Calibri"/>
                <w:b/>
                <w:color w:val="8C3200"/>
                <w:sz w:val="20"/>
              </w:rPr>
              <w:t>3.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anything impossible or absurd.</w:t>
              <w:br/>
            </w:r>
            <w:r>
              <w:rPr>
                <w:rFonts w:ascii="Calibri" w:hAnsi="Calibri"/>
                <w:b/>
                <w:color w:val="212529"/>
                <w:sz w:val="19"/>
              </w:rPr>
              <w:t xml:space="preserve">   • Plain Legal Meaning &amp; StatCon Application: </w:t>
            </w:r>
            <w:r>
              <w:rPr>
                <w:rFonts w:ascii="Calibri" w:hAnsi="Calibri"/>
                <w:color w:val="212529"/>
                <w:sz w:val="19"/>
              </w:rPr>
              <w:t>It is absurd to allow redemption 13 years later based on the absence of a written piece of paper.</w:t>
            </w:r>
          </w:p>
          <w:p>
            <w:pPr>
              <w:spacing w:before="40" w:after="60" w:line="276" w:lineRule="auto"/>
            </w:pPr>
            <w:r>
              <w:rPr>
                <w:rFonts w:ascii="Calibri" w:hAnsi="Calibri"/>
                <w:b/>
                <w:color w:val="8C3200"/>
                <w:sz w:val="20"/>
              </w:rPr>
              <w:t>4. Ius summum saepe summa malitia est (the highest law is often the greatest malice / extreme law is extreme injustice)</w:t>
              <w:br/>
            </w:r>
            <w:r>
              <w:rPr>
                <w:rFonts w:ascii="Calibri" w:hAnsi="Calibri"/>
                <w:b/>
                <w:color w:val="212529"/>
                <w:sz w:val="19"/>
              </w:rPr>
              <w:t xml:space="preserve">   • Literal English Translation: </w:t>
            </w:r>
            <w:r>
              <w:rPr>
                <w:rFonts w:ascii="Calibri" w:hAnsi="Calibri"/>
                <w:i/>
                <w:color w:val="212529"/>
                <w:sz w:val="19"/>
              </w:rPr>
              <w:t>Extreme law is extreme injustice.</w:t>
              <w:br/>
            </w:r>
            <w:r>
              <w:rPr>
                <w:rFonts w:ascii="Calibri" w:hAnsi="Calibri"/>
                <w:b/>
                <w:color w:val="212529"/>
                <w:sz w:val="19"/>
              </w:rPr>
              <w:t xml:space="preserve">   • Plain Legal Meaning &amp; StatCon Application: </w:t>
            </w:r>
            <w:r>
              <w:rPr>
                <w:rFonts w:ascii="Calibri" w:hAnsi="Calibri"/>
                <w:color w:val="212529"/>
                <w:sz w:val="19"/>
              </w:rPr>
              <w:t>A rigid, blind application of literal text produces injustice rather than law.</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b. Presumption Against Injustice &amp; e. Presumption Against Absurdity (Civil Code Art. 1088 / Spirit over Letter)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Scire leges non hoc est verba earum tenere, sed vim ac potestatem</w:t>
              <w:br/>
              <w:t>(to know laws is to understand their spirit and power, not merely their literal words / Justice Isagani Cruz's landmark doctrine)</w:t>
              <w:br/>
              <w:br/>
              <w:t>Secondary:</w:t>
              <w:br/>
              <w:t>• Ratio legis est anima legis (the reason of the law is its soul)</w:t>
              <w:br/>
              <w:t>• Lex non intendit absurdum (the law does not intend absurdity)</w:t>
              <w:br/>
              <w:t>• Ius summum saepe summa malitia est (extreme literalism is extreme injustice)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appellate court committed grave error by adhering to a blind, mechanical literalism that rewarded bad faith and produced gross injustice.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Spirit Over the Letter Doctrine: The letter of the law killeth, but the spirit giveth life. When literal adherence defeats legislative intent and produces injustice, the spirit governs.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Judges are not robots; they must interpret the law with wisdom, common sense, and fairness, ensuring the spirit of the law defeats legalistic trickery.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Alonzo v. IAC is the supreme landmark decision penned by Justice Isagani Cruz on Ratio Legis and Scire Leges: the spirit of the law must always triumph over the literal letter to prevent absurdity and injustice."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Alonzo v. Intermediate Appellate Court and Tecla Padua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72873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May 28, 1987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Five siblings inherited a parcel of land in equal shares. In 1963 and 1964, two siblings sold their undivided shares to Carlos and Casimira Alonzo through registered deeds of sale. The buyers built a house and lived on the land for over a decade in plain view of the remaining co-heirs. In 1977 (over 13 years later), respondent Tecla Padua (one of the co-heirs) sought to redeem the sold shares under Article 1088 of the Civil Code, arguing that the 30-day redemption period had not even commenced because the co-heirs were never served with a formal WRITTEN NOTICE of the sale as literally required by Article 1088.</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1088, Civil Code of the Philippines: Provides that co-heirs have 30 days to redeem sold shares from the date they are notified in writing by the vendor.</w:t>
              <w:br/>
              <w:t>2. Ratio Legis Est Anima Legis (the reason of the law is the soul of the law): The purpose of the written notice requirement is solely to ensure that co-heirs have actual knowledge of the sale.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appellate court committed grave error by adhering to a blind, mechanical literalism that rewarded bad faith and produced gross injustice.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30-day legal redemption period under Article 1088 of the Civil Code had lapsed despite the lack of formal written notice, where the co-heirs had actual knowledge of the sale for over a decade.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Alonzo v. Intermediate Appellate Court and Tecla Padua, under the canon of Scire leges non hoc est verba earum tenere, sed vim ac potestatem.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1088, Civil Code of the Philippines: Provides that co-heirs have 30 days to redeem sold shares from the date they are notified in writing by the vendor.</w:t>
              <w:br/>
              <w:t>2. Ratio Legis Est Anima Legis (the reason of the law is the soul of the law): The purpose of the written notice requirement is solely to ensure that co-heirs have actual knowledge of the sale.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appellate court committed grave error by adhering to a blind, mechanical literalism that rewarded bad faith and prod...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Intermediate Appellate Court, DISMISSED the complaint for legal redemption, and DECLARED the Alonzos' title absolute and indefeasible.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right of redemption had LAPSED. Actual knowledge of the sale for over a decade dispensed with the need for written notice. The spirit and purpose of the law prevail over a rigid, literal requirement.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Scire leges non hoc est verba earum tenere, sed vim ac potestatem</w:t>
              <w:br/>
              <w:t xml:space="preserve">   - Application: The Spirit Over the Letter Doctrine: The letter of the law killeth, but the spirit giveth life. When literal adherence defeats legislative intent and produces injustice, the spirit governs.</w:t>
              <w:br/>
              <w:t xml:space="preserve">   - Result: Yes, the right to redeem expired long ago. Written notice is just a tool to give knowledge. When a co-heir has lived next to the buyer's house for 13 years, she obviously had actual knowledge, and the law will not permit a ridiculous absurdity.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Ratio legis est anima legis (the reason of the law is its soul)</w:t>
              <w:br/>
              <w:t>• Lex non intendit absurdum (the law does not intend absurdity)</w:t>
              <w:br/>
              <w:t>• Ius summum saepe summa malitia est (extreme literalism is extreme injustice)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Alonzo v. Intermediate Appellate Court and Tecla Padua to mean and apply strictly in accordance with Scire leges non hoc est verba earum tenere, sed vim ac potestatem, holding that Yes, the right to redeem expired long ago. Written notice is just a tool to give knowledge. When a co-heir has lived next to the buyer's house for 13 years, she.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purpose of writing is to inform. If you already know something for 13 years because the buyers are your physical neighbors, demanding a written letter is just an excuse to commit extortion. The Court ruled that justice and common sense come first.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Scire leges non hoc est verba earum tenere, sed vim ac potestatem,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Spirit Over the Letter Doctrine: The letter of the law killeth, but the spirit giveth life. When literal adherence defeats legislative intent and produces injustice, the spirit governs.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Judges are not robots; they must interpret the law with wisdom, common sense, and fairness, ensuring the spirit of the law defeats legalistic trickery.</w:t>
            </w:r>
          </w:p>
        </w:tc>
      </w:tr>
    </w:tbl>
    <w:p>
      <w:r>
        <w:br w:type="page"/>
      </w:r>
    </w:p>
    <w:p>
      <w:pPr>
        <w:keepNext/>
        <w:spacing w:before="320" w:after="80"/>
      </w:pPr>
      <w:r>
        <w:rPr>
          <w:rFonts w:ascii="Arial" w:hAnsi="Arial"/>
          <w:b/>
          <w:color w:val="0F2043"/>
          <w:sz w:val="26"/>
        </w:rPr>
        <w:t>30. JOSE V. MELCHOR, JR. V. COMMISSION ON AUDIT</w:t>
      </w:r>
    </w:p>
    <w:p>
      <w:pPr>
        <w:spacing w:before="40" w:after="80" w:line="276" w:lineRule="auto"/>
      </w:pPr>
      <w:r>
        <w:rPr>
          <w:rFonts w:ascii="Calibri" w:hAnsi="Calibri"/>
          <w:b/>
          <w:color w:val="212529"/>
          <w:sz w:val="21"/>
        </w:rPr>
        <w:t xml:space="preserve">Citation: </w:t>
      </w:r>
      <w:r>
        <w:rPr>
          <w:rFonts w:ascii="Calibri" w:hAnsi="Calibri"/>
          <w:i/>
          <w:color w:val="212529"/>
          <w:sz w:val="21"/>
        </w:rPr>
        <w:t>G.R. No. 95398 | August 16, 1991 | 200 SCRA 704 | En Banc | Ponente: J. Gutierrez, Jr.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V. Melchor, Jr.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Audit (COA)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Audit (COA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assailing COA decision disallowing payments for completed infrastructure repair work based on absence of prior public bidding and certificate of availability of funds.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Melchor, as Director of the Bureau of Forestry Development, approved contracts for emergency repair of regional facilities damaged by typhoons. The contractors completed the repair work satisfactorily and the government enjoyed the full benefits of the infrastructure. Later, the Commission on Audit (COA) disallowed all disbursements on post-audit, holding that the contracts were void ab initio for failure to undergo public bidding and lack of an advance Certificate of Availability of Funds (CAF) as literally required by Sections 85 and 86 of P.D. No. 1445 (Government Auditing Code). COA held Melchor personally liable to refund the full contract amount.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government agency hired contractors to fix storm-damaged facilities. The contractors finished the work and the government used the buildings. The COA auditor disallowed the payments because the project lacked prior public bidding and an advance funding certificate, ordering the agency head to pay millions out of his own pocket. The Supreme Court ruled that because the government got the benefit of the completed work, it cannot unjustifiably enrich itself: under the principle of Quantum Meruit, the contractor must be paid the fair value of the work, and the official is not personally liable where there is no fraud.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government can refuse payment and hold a public official personally liable for completed infrastructure work under a technically void contract, invoking Quantum Meruit and prevention of unjust enrichment (Nemo Cum Alterius Detrimento Locupletari Potest).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government keep the benefits of completed repair work for free and make a public official pay out of his own pocket just because technical bidding papers were missing?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principle of Quantum Meruit applies to compensate completed government contracts despite procedural auditing defects under PD 1445, testing the canon that the Law Does Not Intend Unjust Enrichment (Nemo Cum Alterius Detrimento Locupletari Potest / Lex Non Intendit Absurdum)."</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government CANNOT unjustly enrich itself by retaining the benefits of completed work without payment. While the contract was technically defective, payment on the basis of QUANTUM MERUIT (as much as he deserved) is legally authorized, and the public official acting in good faith without fraud cannot be held personally liable.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government cannot take completed buildings for free. Under Quantum Meruit, the contractor is entitled to fair payment for actual work done, and an official who acted in good faith to repair storm damage without pocketing money cannot be made personally liable.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doctrine of Quantum Meruit (as much as he deserved) and the equitable maxim Nemo cum alterius detrimento locupletari potest (no one should be enriched at the expense of another), the government cannot keep the benefit of completed work without compensating the contractor, and personal liability cannot be imposed on an official in the absence of bad faith or fraud."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Sections 85, 86, and 87, Presidential Decree No. 1445 (Government Auditing Code): </w:t>
            </w:r>
            <w:r>
              <w:rPr>
                <w:rFonts w:ascii="Calibri" w:hAnsi="Calibri"/>
                <w:color w:val="212529"/>
                <w:sz w:val="20"/>
              </w:rPr>
              <w:t>Auditing requirements for government contracts, balanced against equitable principles of public contracting.</w:t>
            </w:r>
          </w:p>
          <w:p>
            <w:pPr>
              <w:spacing w:before="20" w:after="40" w:line="276" w:lineRule="auto"/>
            </w:pPr>
            <w:r>
              <w:rPr>
                <w:rFonts w:ascii="Calibri" w:hAnsi="Calibri"/>
                <w:b/>
                <w:color w:val="212529"/>
                <w:sz w:val="20"/>
              </w:rPr>
              <w:t xml:space="preserve">2. Quantum Meruit (as much as he deserved): </w:t>
            </w:r>
            <w:r>
              <w:rPr>
                <w:rFonts w:ascii="Calibri" w:hAnsi="Calibri"/>
                <w:color w:val="212529"/>
                <w:sz w:val="20"/>
              </w:rPr>
              <w:t>Equitable remedy allowing compensation for actual value of goods or services rendered and accepted.</w:t>
            </w:r>
          </w:p>
          <w:p>
            <w:pPr>
              <w:spacing w:before="20" w:after="40" w:line="276" w:lineRule="auto"/>
            </w:pPr>
            <w:r>
              <w:rPr>
                <w:rFonts w:ascii="Calibri" w:hAnsi="Calibri"/>
                <w:b/>
                <w:color w:val="212529"/>
                <w:sz w:val="20"/>
              </w:rPr>
              <w:t xml:space="preserve">3. Nemo Cum Alterius Detrimento Locupletari Potest (no one shall enrich himself at the expense of another): </w:t>
            </w:r>
            <w:r>
              <w:rPr>
                <w:rFonts w:ascii="Calibri" w:hAnsi="Calibri"/>
                <w:color w:val="212529"/>
                <w:sz w:val="20"/>
              </w:rPr>
              <w:t>Fundamental principle against unjust enrichment by the government.</w:t>
            </w:r>
          </w:p>
          <w:p>
            <w:pPr>
              <w:spacing w:before="20" w:after="40" w:line="276" w:lineRule="auto"/>
            </w:pPr>
            <w:r>
              <w:rPr>
                <w:rFonts w:ascii="Calibri" w:hAnsi="Calibri"/>
                <w:b/>
                <w:color w:val="212529"/>
                <w:sz w:val="20"/>
              </w:rPr>
              <w:t xml:space="preserve">4. Lex Non Intendit Aliquid Impossibile Aut Absurdum (the law does not intend anything impossible or absurd): </w:t>
            </w:r>
            <w:r>
              <w:rPr>
                <w:rFonts w:ascii="Calibri" w:hAnsi="Calibri"/>
                <w:color w:val="212529"/>
                <w:sz w:val="20"/>
              </w:rPr>
              <w:t>Statutory auditing rules must not be construed to authorize state confiscation of private labor.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1445, Quantum Meruit, and Nemo cum alterius detrimento locupletari potest.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1445, harmonized with the doctrine of Quantum Meruit and the bedrock maxim Nemo cum alterius detrimento locupletari potest (no one shall enrich himself at another's loss)."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Prevention of Government Unjust Enrichment: </w:t>
            </w:r>
            <w:r>
              <w:rPr>
                <w:rFonts w:ascii="Calibri" w:hAnsi="Calibri"/>
                <w:color w:val="212529"/>
                <w:sz w:val="20"/>
              </w:rPr>
              <w:t>The government received and currently enjoys the full benefit of the typhoon repair work. To deny compensation would amount to state enrichment at the expense of private contractors.</w:t>
            </w:r>
          </w:p>
          <w:p>
            <w:pPr>
              <w:spacing w:before="20" w:after="40" w:line="276" w:lineRule="auto"/>
            </w:pPr>
            <w:r>
              <w:rPr>
                <w:rFonts w:ascii="Calibri" w:hAnsi="Calibri"/>
                <w:b/>
                <w:color w:val="212529"/>
                <w:sz w:val="20"/>
              </w:rPr>
              <w:t xml:space="preserve">2. Scope of Quantum Meruit in Government Contracts: </w:t>
            </w:r>
            <w:r>
              <w:rPr>
                <w:rFonts w:ascii="Calibri" w:hAnsi="Calibri"/>
                <w:color w:val="212529"/>
                <w:sz w:val="20"/>
              </w:rPr>
              <w:t>Where a contract is invalid solely due to procedural auditing omissions but involves no fraud or overpricing, equity demands compensation based on the reasonable value of labor and materials.</w:t>
            </w:r>
          </w:p>
          <w:p>
            <w:pPr>
              <w:spacing w:before="20" w:after="40" w:line="276" w:lineRule="auto"/>
            </w:pPr>
            <w:r>
              <w:rPr>
                <w:rFonts w:ascii="Calibri" w:hAnsi="Calibri"/>
                <w:b/>
                <w:color w:val="212529"/>
                <w:sz w:val="20"/>
              </w:rPr>
              <w:t xml:space="preserve">3. Public Officer Good Faith: </w:t>
            </w:r>
            <w:r>
              <w:rPr>
                <w:rFonts w:ascii="Calibri" w:hAnsi="Calibri"/>
                <w:color w:val="212529"/>
                <w:sz w:val="20"/>
              </w:rPr>
              <w:t>An administrative official who acted in good faith to address an emergency without personal gain cannot be held personally liable for the contractor's compensation.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Auditing rules exist to stop corruption, not to rob honest workers who fixed government buildings after a typhoon. Since the work was inspected and utilized, equity and common sense require paying the actual fair value of the work under Quantum Meruit.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Quantum Meruit and equitable statutory interpretation. While auditing rules under PD 1445 are mandatory, they cannot be interpreted to allow the State to confiscate private work without compensation. The Court relieved the official of personal liability."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SET ASIDE the COA disallowance, AUTHORIZED payment to the contractors on the basis of QUANTUM MERUIT, and ABSOLVED petitioner Jose Melchor, Jr. from personal liability.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disallowance was set aside; contractors were ordered paid under quantum meruit, and the official was cleared of personal liability.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set aside the personal disallowance and authorized payment on quantum meruit, preventing unjust enrichment by the State."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b. Presumption Against Injustice (Quantum Meruit Compensation on Executed Government Contracts)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Nemo cum alterius detrimento locupletari potest (no one should be enriched to the damage or injury of another)</w:t>
              <w:br/>
            </w:r>
            <w:r>
              <w:rPr>
                <w:rFonts w:ascii="Calibri" w:hAnsi="Calibri"/>
                <w:b/>
                <w:color w:val="212529"/>
                <w:sz w:val="19"/>
              </w:rPr>
              <w:t xml:space="preserve">   • Literal English Translation: </w:t>
            </w:r>
            <w:r>
              <w:rPr>
                <w:rFonts w:ascii="Calibri" w:hAnsi="Calibri"/>
                <w:i/>
                <w:color w:val="212529"/>
                <w:sz w:val="19"/>
              </w:rPr>
              <w:t>No one should be enriched at another's expense.</w:t>
              <w:br/>
            </w:r>
            <w:r>
              <w:rPr>
                <w:rFonts w:ascii="Calibri" w:hAnsi="Calibri"/>
                <w:b/>
                <w:color w:val="212529"/>
                <w:sz w:val="19"/>
              </w:rPr>
              <w:t xml:space="preserve">   • Plain Legal Meaning &amp; StatCon Application: </w:t>
            </w:r>
            <w:r>
              <w:rPr>
                <w:rFonts w:ascii="Calibri" w:hAnsi="Calibri"/>
                <w:color w:val="212529"/>
                <w:sz w:val="19"/>
              </w:rPr>
              <w:t>The government cannot use auditing technicalities to confiscate completed private work for free.</w:t>
            </w:r>
          </w:p>
          <w:p>
            <w:pPr>
              <w:spacing w:before="40" w:after="60" w:line="276" w:lineRule="auto"/>
            </w:pPr>
            <w:r>
              <w:rPr>
                <w:rFonts w:ascii="Calibri" w:hAnsi="Calibri"/>
                <w:b/>
                <w:color w:val="8C3200"/>
                <w:sz w:val="20"/>
              </w:rPr>
              <w:t>2.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anything impossible or absurd.</w:t>
              <w:br/>
            </w:r>
            <w:r>
              <w:rPr>
                <w:rFonts w:ascii="Calibri" w:hAnsi="Calibri"/>
                <w:b/>
                <w:color w:val="212529"/>
                <w:sz w:val="19"/>
              </w:rPr>
              <w:t xml:space="preserve">   • Plain Legal Meaning &amp; StatCon Application: </w:t>
            </w:r>
            <w:r>
              <w:rPr>
                <w:rFonts w:ascii="Calibri" w:hAnsi="Calibri"/>
                <w:color w:val="212529"/>
                <w:sz w:val="19"/>
              </w:rPr>
              <w:t>It is absurd to interpret auditing statutes as permitting state confiscation of completed repairs.</w:t>
            </w:r>
          </w:p>
          <w:p>
            <w:pPr>
              <w:spacing w:before="40" w:after="60" w:line="276" w:lineRule="auto"/>
            </w:pPr>
            <w:r>
              <w:rPr>
                <w:rFonts w:ascii="Calibri" w:hAnsi="Calibri"/>
                <w:b/>
                <w:color w:val="8C3200"/>
                <w:sz w:val="20"/>
              </w:rPr>
              <w:t>3. Quantum meruit (as much as he deserved)</w:t>
              <w:br/>
            </w:r>
            <w:r>
              <w:rPr>
                <w:rFonts w:ascii="Calibri" w:hAnsi="Calibri"/>
                <w:b/>
                <w:color w:val="212529"/>
                <w:sz w:val="19"/>
              </w:rPr>
              <w:t xml:space="preserve">   • Literal English Translation: </w:t>
            </w:r>
            <w:r>
              <w:rPr>
                <w:rFonts w:ascii="Calibri" w:hAnsi="Calibri"/>
                <w:i/>
                <w:color w:val="212529"/>
                <w:sz w:val="19"/>
              </w:rPr>
              <w:t>As much as he deserved.</w:t>
              <w:br/>
            </w:r>
            <w:r>
              <w:rPr>
                <w:rFonts w:ascii="Calibri" w:hAnsi="Calibri"/>
                <w:b/>
                <w:color w:val="212529"/>
                <w:sz w:val="19"/>
              </w:rPr>
              <w:t xml:space="preserve">   • Plain Legal Meaning &amp; StatCon Application: </w:t>
            </w:r>
            <w:r>
              <w:rPr>
                <w:rFonts w:ascii="Calibri" w:hAnsi="Calibri"/>
                <w:color w:val="212529"/>
                <w:sz w:val="19"/>
              </w:rPr>
              <w:t>Fair and reasonable compensation must be paid for actual benefits accepted and used by the government.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b. Presumption Against Injustice (Quantum Meruit Compensation on Executed Government Contracts)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Nemo cum alterius detrimento locupletari potest</w:t>
              <w:br/>
              <w:t>(no one should be enriched at the expense of another / government cannot invoke technical contract nullity to confiscate completed works without compensation)</w:t>
              <w:br/>
              <w:br/>
              <w:t>Secondary:</w:t>
              <w:br/>
              <w:t>• Quantum meruit (as much as he deserved)</w:t>
              <w:br/>
              <w:t>• Lex non intendit absurdum (the law does not intend absurdity)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COA interpreted auditing rules with mechanical rigidity to confiscate private construction work without compensation, creating unjust enrichment.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Equitable Construction Against Unjust Enrichment: Auditing statutes must be construed in harmony with equity; procedural defects will not bar recovery on quantum meruit for completed, beneficial works.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Auditing laws must be applied with fairness; the government cannot take private services and refuse to pay by crying technicality.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Melchor v. COA establishes that statutory auditing rules under PD 1445 cannot override the equitable principle against unjust enrichment—authorizing payment under Quantum Meruit."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Jose V. Melchor, Jr. v. Commission on Audit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95398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16, 1991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Melchor, as Director of the Bureau of Forestry Development, approved contracts for emergency repair of regional facilities damaged by typhoons. The contractors completed the repair work satisfactorily and the government enjoyed the full benefits of the infrastructure. Later, the Commission on Audit (COA) disallowed all disbursements on post-audit, holding that the contracts were void ab initio for failure to undergo public bidding and lack of an advance Certificate of Availability of Funds (CAF) as literally required by Sections 85 and 86 of P.D. No. 1445 (Government Auditing Code). COA held Melchor personally liable to refund the full contract amount.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Sections 85, 86, and 87, Presidential Decree No. 1445 (Government Auditing Code): Auditing requirements for government contracts, balanced against equitable principles of public contracting.</w:t>
              <w:br/>
              <w:t>2. Quantum Meruit (as much as he deserved): Equitable remedy allowing compensation for actual value of goods or services rendered and accepted.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COA interpreted auditing rules with mechanical rigidity to confiscate private construction work without compensation, creating unjust enrichment.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government can refuse payment and hold a public official personally liable for completed infrastructure work under a technically void contract, invoking Quantum Meruit and prevention of unjust enrichment (Nemo Cum Alterius Detrimento Locupletari Potest).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Jose V. Melchor, Jr. v. Commission on Audit, under the canon of Nemo cum alterius detrimento locupletari potest.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Sections 85, 86, and 87, Presidential Decree No. 1445 (Government Auditing Code): Auditing requirements for government contracts, balanced against equitable principles of public contracting.</w:t>
              <w:br/>
              <w:t>2. Quantum Meruit (as much as he deserved): Equitable remedy allowing compensation for actual value of goods or services rendered and accepted.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COA interpreted auditing rules with mechanical rigidity to confiscate private construction work without compensation, cr...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SET ASIDE the COA disallowance, AUTHORIZED payment to the contractors on the basis of QUANTUM MERUIT, and ABSOLVED petitioner Jose Melchor, Jr. from personal liability.</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government CANNOT unjustly enrich itself by retaining the benefits of completed work without payment. While the contract was technically defective, payment on the basis of QUANTUM MERUIT (as much as he deserved) is legally authorized, and the public official acting in good faith without fraud cannot be held personally liable.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COA interpreted auditing rules with mechanical rigidity to confiscate private construction work without compensation, creating unjust enrich.</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Nemo cum alterius detrimento locupletari potest</w:t>
              <w:br/>
              <w:t xml:space="preserve">   - Application: Equitable Construction Against Unjust Enrichment: Auditing statutes must be construed in harmony with equity; procedural defects will not bar recovery on quantum meruit for completed, beneficial works.</w:t>
              <w:br/>
              <w:t xml:space="preserve">   - Result: No. The government cannot take completed buildings for free. Under Quantum Meruit, the contractor is entitled to fair payment for actual work done, and an official who acted in good faith to repair storm damage without pocketing money cannot be made personally liable.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Quantum meruit (as much as he deserved)</w:t>
              <w:br/>
              <w:t>• Lex non intendit absurdum (the law does not intend absurdity)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Jose V. Melchor, Jr. v. Commission on Audit to mean and apply strictly in accordance with Nemo cum alterius detrimento locupletari potest, holding that No. The government cannot take completed buildings for free. Under Quantum Meruit, the contractor is entitled to fair payment for actual work done, and an offic.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Auditing rules exist to stop corruption, not to rob honest workers who fixed government buildings after a typhoon. Since the work was inspected and utilized, equity and common sense require paying the actual fair value of the work under Quantum Meruit.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Nemo cum alterius detrimento locupletari potest,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Equitable Construction Against Unjust Enrichment: Auditing statutes must be construed in harmony with equity; procedural defects will not bar recovery on quantum meruit for completed, beneficial works.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Auditing laws must be applied with fairness; the government cannot take private services and refuse to pay by crying technicality.</w:t>
            </w:r>
          </w:p>
        </w:tc>
      </w:tr>
    </w:tbl>
    <w:p>
      <w:r>
        <w:br w:type="page"/>
      </w:r>
    </w:p>
    <w:p>
      <w:pPr>
        <w:keepNext/>
        <w:spacing w:before="320" w:after="80"/>
      </w:pPr>
      <w:r>
        <w:rPr>
          <w:rFonts w:ascii="Arial" w:hAnsi="Arial"/>
          <w:b/>
          <w:color w:val="0F2043"/>
          <w:sz w:val="26"/>
        </w:rPr>
        <w:t>31. REPUBLIC OF THE PHILIPPINES V. COURT OF APPEALS AND RORIDEL OLAVIANO MOLINA</w:t>
      </w:r>
    </w:p>
    <w:p>
      <w:pPr>
        <w:spacing w:before="40" w:after="80" w:line="276" w:lineRule="auto"/>
      </w:pPr>
      <w:r>
        <w:rPr>
          <w:rFonts w:ascii="Calibri" w:hAnsi="Calibri"/>
          <w:b/>
          <w:color w:val="212529"/>
          <w:sz w:val="21"/>
        </w:rPr>
        <w:t xml:space="preserve">Citation: </w:t>
      </w:r>
      <w:r>
        <w:rPr>
          <w:rFonts w:ascii="Calibri" w:hAnsi="Calibri"/>
          <w:i/>
          <w:color w:val="212529"/>
          <w:sz w:val="21"/>
        </w:rPr>
        <w:t>G.R. No. 108763 | February 13, 1997 | 268 SCRA 198 | En Banc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Republic of the Philippines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Roridel Olaviano Molina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La Trinidad, Benguet (Branch 8)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declaration of nullity of marriage under Article 36 of the Family Code (Psychological Incapacity) and Presumption in Favor of Marriage.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Roridel Molina filed a petition to declare her marriage with Reynaldo Molina void ab initio under Article 36 of the Family Code, citing psychological incapacity. Roridel alleged that Reynaldo was highly immature, irresponsible, preferred spending time with barkada, failed to support the family, and abandoned them. The RTC and CA declared the marriage void ab initio, equating emotional incompatibility and irreconcilable differences with psychological incapacity. The Solicitor General appealed on behalf of the Republic, arguing that the lower courts violated the constitutional mandate and statutory presumption protecting marriage as an inviolable social institution.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wife filed to nullify her marriage under Article 36 of the Family Code (Psychological Incapacity) because her husband was immature, spent all his time drinking with friends, and failed to provide financial support. The lower courts granted the annulment. The Supreme Court reversed the decision and laid down the famous 'Molina Guidelines', ruling that simple immaturity, refusal to support, or marital incompatibility is NOT psychological incapacity. Under the Constitution and Family Code, there is a powerful Presumption in Favor of Marriage (Semper Praesumitur Pro Matrimonio).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irreconcilable differences, immaturity, and failure to perform marital obligations constitute Psychological Incapacity under Article 36 of the Family Code, testing the Presumption in Favor of Marriage (Semper Praesumitur Pro Matrimonio).</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being immature, irresponsible, and a bad provider count as 'psychological incapacity' to void a marriage, or does the law presume the marriage is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irreconcilable differences and marital neglect satisfy Article 36 of the Family Code, testing the canonical guideline and the bedrock canon Semper Praesumitur Pro Matrimonio (always presume in favor of marriage)."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Irreconcilable differences, emotional incompatibility, and simple neglect of duties do NOT constitute Psychological Incapacity. Under Article 36 and the Constitution, there is a strong PRESUMPTION IN FAVOR OF THE VALIDITY OF MARRIAGE (Semper Praesumitur Pro Matrimonio).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Psychological incapacity is not mere bad behavior; it is a severe psychological illness that renders a person mentally incapable of understanding marital obligations. Because the law fiercely protects families, any doubt is resolved in favor of keeping the marriage intact.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As Justice Artemio Panganiban formulated in the historic Molina Guidelines: (1) burden of proof belongs to plaintiff; (2) root cause must be medically identified; (3) gravity, juridical antecedence, and incurability must be proved; and (4) under Semper praesumitur pro matrimonio (always presume in favor of marriage), all doubts are resolved in favor of the validity of the marriage."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36, Family Code of the Philippines: </w:t>
            </w:r>
            <w:r>
              <w:rPr>
                <w:rFonts w:ascii="Calibri" w:hAnsi="Calibri"/>
                <w:color w:val="212529"/>
                <w:sz w:val="20"/>
              </w:rPr>
              <w:t>Declaration of nullity of marriage based on psychological incapacity existing at the time of celebration.</w:t>
            </w:r>
          </w:p>
          <w:p>
            <w:pPr>
              <w:spacing w:before="20" w:after="40" w:line="276" w:lineRule="auto"/>
            </w:pPr>
            <w:r>
              <w:rPr>
                <w:rFonts w:ascii="Calibri" w:hAnsi="Calibri"/>
                <w:b/>
                <w:color w:val="212529"/>
                <w:sz w:val="20"/>
              </w:rPr>
              <w:t xml:space="preserve">2. Article 220, 1987 Constitution &amp; Article 1, Family Code: </w:t>
            </w:r>
            <w:r>
              <w:rPr>
                <w:rFonts w:ascii="Calibri" w:hAnsi="Calibri"/>
                <w:color w:val="212529"/>
                <w:sz w:val="20"/>
              </w:rPr>
              <w:t>Marriage is an inviolable social institution protected by the State.</w:t>
            </w:r>
          </w:p>
          <w:p>
            <w:pPr>
              <w:spacing w:before="20" w:after="40" w:line="276" w:lineRule="auto"/>
            </w:pPr>
            <w:r>
              <w:rPr>
                <w:rFonts w:ascii="Calibri" w:hAnsi="Calibri"/>
                <w:b/>
                <w:color w:val="212529"/>
                <w:sz w:val="20"/>
              </w:rPr>
              <w:t xml:space="preserve">3. Semper Praesumitur Pro Matrimonio (the presumption is always in favor of the validity of marriage): </w:t>
            </w:r>
            <w:r>
              <w:rPr>
                <w:rFonts w:ascii="Calibri" w:hAnsi="Calibri"/>
                <w:color w:val="212529"/>
                <w:sz w:val="20"/>
              </w:rPr>
              <w:t>Fundamental statutory presumption in civil and canonical family law.</w:t>
            </w:r>
          </w:p>
          <w:p>
            <w:pPr>
              <w:spacing w:before="20" w:after="40" w:line="276" w:lineRule="auto"/>
            </w:pPr>
            <w:r>
              <w:rPr>
                <w:rFonts w:ascii="Calibri" w:hAnsi="Calibri"/>
                <w:b/>
                <w:color w:val="212529"/>
                <w:sz w:val="20"/>
              </w:rPr>
              <w:t xml:space="preserve">4. Strictissimi Juris in Marital Dissolution: </w:t>
            </w:r>
            <w:r>
              <w:rPr>
                <w:rFonts w:ascii="Calibri" w:hAnsi="Calibri"/>
                <w:color w:val="212529"/>
                <w:sz w:val="20"/>
              </w:rPr>
              <w:t>Grounds for nullity of marriage are strictly construed to prevent easy de facto divorce.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36 Family Code, Molina Guidelines, and Semper Praesumitur Pro Matrimonio.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36 of the Family Code, governed by the canonical and constitutional presumption Semper praesumitur pro matrimonio (the presumption is always in favor of marriage)."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Constitutional Mandate Protecting Marriage: </w:t>
            </w:r>
            <w:r>
              <w:rPr>
                <w:rFonts w:ascii="Calibri" w:hAnsi="Calibri"/>
                <w:color w:val="212529"/>
                <w:sz w:val="20"/>
              </w:rPr>
              <w:t>The 1987 Constitution explicitly protects marriage as the foundation of the family. Article 36 was never intended to be an easy divorce escape hatch.</w:t>
            </w:r>
          </w:p>
          <w:p>
            <w:pPr>
              <w:spacing w:before="20" w:after="40" w:line="276" w:lineRule="auto"/>
            </w:pPr>
            <w:r>
              <w:rPr>
                <w:rFonts w:ascii="Calibri" w:hAnsi="Calibri"/>
                <w:b/>
                <w:color w:val="212529"/>
                <w:sz w:val="20"/>
              </w:rPr>
              <w:t xml:space="preserve">2. The Three Essential Requisites: </w:t>
            </w:r>
            <w:r>
              <w:rPr>
                <w:rFonts w:ascii="Calibri" w:hAnsi="Calibri"/>
                <w:color w:val="212529"/>
                <w:sz w:val="20"/>
              </w:rPr>
              <w:t>Psychological incapacity under Article 36 requires: (a) Gravity (truly serious and incipit); (b) Juridical Antecedence (existing prior to marriage); and (c) Incurability.</w:t>
            </w:r>
          </w:p>
          <w:p>
            <w:pPr>
              <w:spacing w:before="20" w:after="40" w:line="276" w:lineRule="auto"/>
            </w:pPr>
            <w:r>
              <w:rPr>
                <w:rFonts w:ascii="Calibri" w:hAnsi="Calibri"/>
                <w:b/>
                <w:color w:val="212529"/>
                <w:sz w:val="20"/>
              </w:rPr>
              <w:t xml:space="preserve">3. Failure vs. Incapacity: </w:t>
            </w:r>
            <w:r>
              <w:rPr>
                <w:rFonts w:ascii="Calibri" w:hAnsi="Calibri"/>
                <w:color w:val="212529"/>
                <w:sz w:val="20"/>
              </w:rPr>
              <w:t>Mere refusal, difficulty, or neglect to perform marital duties is NOT psychological incapacity. Incapacity means a psychological illness so severe that the party is mentally incapable of understanding the basic marital covenant.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explained that psychological incapacity is not a divorce coupon you get because your spouse is annoying, lazy, or irresponsible. It must be a severe mental illness rooted before the wedding that makes marriage impossible. The law always presumes a marriage is valid unless overwhelming psychiatric proof is shown.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laid down the 8 Molina Guidelines. Under Semper Praesumitur Pro Matrimonio, the law strictly presumes the validity of marriage. Because the evidence showed only irreconcilable differences and financial neglect, the statutory threshold of Article 36 was not met."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of the Republic, REVERSED the CA, and DECLARED the marriage between Roridel and Reynaldo Molina VALID AND SUBSISTING.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marriage was declared valid and the nullity petition was denied.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annulment and upheld the validity of the marriage under the Molina Guidelines and Semper Praesumitur Pro Matrimonio."</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c. Presumption Against Implied Repeals &amp; Presumption in Favor of Validity of Marriage (FC Art. 36)</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Semper praesumitur pro matrimonio (the presumption is always in favor of marriage)</w:t>
              <w:br/>
            </w:r>
            <w:r>
              <w:rPr>
                <w:rFonts w:ascii="Calibri" w:hAnsi="Calibri"/>
                <w:b/>
                <w:color w:val="212529"/>
                <w:sz w:val="19"/>
              </w:rPr>
              <w:t xml:space="preserve">   • Literal English Translation: </w:t>
            </w:r>
            <w:r>
              <w:rPr>
                <w:rFonts w:ascii="Calibri" w:hAnsi="Calibri"/>
                <w:i/>
                <w:color w:val="212529"/>
                <w:sz w:val="19"/>
              </w:rPr>
              <w:t>Always presume in favor of marriage.</w:t>
              <w:br/>
            </w:r>
            <w:r>
              <w:rPr>
                <w:rFonts w:ascii="Calibri" w:hAnsi="Calibri"/>
                <w:b/>
                <w:color w:val="212529"/>
                <w:sz w:val="19"/>
              </w:rPr>
              <w:t xml:space="preserve">   • Plain Legal Meaning &amp; StatCon Application: </w:t>
            </w:r>
            <w:r>
              <w:rPr>
                <w:rFonts w:ascii="Calibri" w:hAnsi="Calibri"/>
                <w:color w:val="212529"/>
                <w:sz w:val="19"/>
              </w:rPr>
              <w:t>All doubts in Article 36 proceedings are resolved in favor of the validity and indissolubility of marriage.</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Provisions authorizing the nullity of marriage are strictly construed to preserve social stability.</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Preserving the stability of the family as a basic social institution is paramount.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c. Presumption Against Implied Repeals &amp; Presumption in Favor of Validity of Marriage (FC Art. 36)</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Semper praesumitur pro matrimonio</w:t>
              <w:br/>
              <w:t>(the presumption is always in favor of marriage / Article 36 Family Code is construed strictly to uphold marital validity under the Molina Guidelines)</w:t>
              <w:br/>
              <w:br/>
              <w:t>Secondary:</w:t>
              <w:br/>
              <w:t>• Strictissimi juris (strict construction of nullity grounds)</w:t>
              <w:br/>
              <w:t>• Salus populi est suprema lex (constitutional protection of the family)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lower courts diluted Article 36 by treating simple irreconcilable differences as psychological incapacity, violating the Presumption in Favor of Marriage.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Presumption in Favor of Marriage: Under Semper Praesumitur Pro Matrimonio, every intendment of the law leans toward the validity and survival of marriage; psychological incapacity requires clear proof of gravity, antecedence, and incurability.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strongly protects marriage; courts will always presume a marriage is valid and will not allow couples to dissolve it over ordinary marital arguments.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Republic v. Molina is the legendary landmark decision establishing the Molina Guidelines and the statutory presumption Semper praesumitur pro matrimonio under Article 36."</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Republic of the Philippines v. Court of Appeals and Roridel Olaviano Molina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108763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13, 1997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Roridel Molina filed a petition to declare her marriage with Reynaldo Molina void ab initio under Article 36 of the Family Code, citing psychological incapacity. Roridel alleged that Reynaldo was highly immature, irresponsible, preferred spending time with barkada, failed to support the family, and abandoned them. The RTC and CA declared the marriage void ab initio, equating emotional incompatibility and irreconcilable differences with psychological incapacity. The Solicitor General appealed on behalf of the Republic, arguing that the lower courts violated the constitutional mandate and statutory presumption protecting marriage as an inviolable social institution.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36, Family Code of the Philippines: Declaration of nullity of marriage based on psychological incapacity existing at the time of celebration.</w:t>
              <w:br/>
              <w:t>2. Article 220, 1987 Constitution &amp; Article 1, Family Code: Marriage is an inviolable social institution protected by the State.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lower courts diluted Article 36 by treating simple irreconcilable differences as psychological incapacity, violating the Presumption in Favor of Marriage.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irreconcilable differences, immaturity, and failure to perform marital obligations constitute Psychological Incapacity under Article 36 of the Family Code, testing the Presumption in Favor of Marriage (Semper Praesumitur Pro Matrimonio).</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Republic of the Philippines v. Court of Appeals and Roridel Olaviano Molina, under the canon of Semper praesumitur pro matrimonio.</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36, Family Code of the Philippines: Declaration of nullity of marriage based on psychological incapacity existing at the time of celebration.</w:t>
              <w:br/>
              <w:t>2. Article 220, 1987 Constitution &amp; Article 1, Family Code: Marriage is an inviolable social institution protected by the State.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lower courts diluted Article 36 by treating simple irreconcilable differences as psychological incapacity, violating...</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of the Republic, REVERSED the CA, and DECLARED the marriage between Roridel and Reynaldo Molina VALID AND SUBSISTING.</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Irreconcilable differences, emotional incompatibility, and simple neglect of duties do NOT constitute Psychological Incapacity. Under Article 36 and the Constitution, there is a strong PRESUMPTION IN FAVOR OF THE VALIDITY OF MARRIAGE (Semper Praesumitur Pro Matrimonio).</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lower courts diluted Article 36 by treating simple irreconcilable differences as psychological incapacity, violating the Presumption in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Semper praesumitur pro matrimonio</w:t>
              <w:br/>
              <w:t xml:space="preserve">   - Application: Presumption in Favor of Marriage: Under Semper Praesumitur Pro Matrimonio, every intendment of the law leans toward the validity and survival of marriage; psychological incapacity requires clear proof of gravity, antecedence, and incurability.</w:t>
              <w:br/>
              <w:t xml:space="preserve">   - Result: No. Psychological incapacity is not mere bad behavior; it is a severe psychological illness that renders a person mentally incapable of understanding marital obligations. Because the law fiercely protects families, any doubt is resolved in favor of keeping the marriage intact.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Strictissimi juris (strict construction of nullity grounds)</w:t>
              <w:br/>
              <w:t>• Salus populi est suprema lex (constitutional protection of the family)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Republic of the Philippines v. Court of Appeals and Roridel Olaviano Molina to mean and apply strictly in accordance with Semper praesumitur pro matrimonio, holding that No. Psychological incapacity is not mere bad behavior; it is a severe psychological illness that renders a person mentally incapable of understanding marital ob.</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explained that psychological incapacity is not a divorce coupon you get because your spouse is annoying, lazy, or irresponsible. It must be a severe mental illness rooted before the wedding that makes marriage impossible. The law always presumes a marriage is valid unless overwhelming psychiatric proof is shown.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Semper praesumitur pro matrimonio,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Presumption in Favor of Marriage: Under Semper Praesumitur Pro Matrimonio, every intendment of the law leans toward the validity and survival of marriage; psychological incapacity requires clear proof of gravity, antecedence, and incurability.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law strongly protects marriage; courts will always presume a marriage is valid and will not allow couples to dissolve it over ordinary marital arguments.</w:t>
            </w:r>
          </w:p>
        </w:tc>
      </w:tr>
    </w:tbl>
    <w:p>
      <w:r>
        <w:br w:type="page"/>
      </w:r>
    </w:p>
    <w:p>
      <w:pPr>
        <w:keepNext/>
        <w:spacing w:before="320" w:after="80"/>
      </w:pPr>
      <w:r>
        <w:rPr>
          <w:rFonts w:ascii="Arial" w:hAnsi="Arial"/>
          <w:b/>
          <w:color w:val="0F2043"/>
          <w:sz w:val="26"/>
        </w:rPr>
        <w:t>32. COMMISSION ON AUDIT OF THE PROVINCE OF CEBU V. PROVINCE OF CEBU</w:t>
      </w:r>
    </w:p>
    <w:p>
      <w:pPr>
        <w:spacing w:before="40" w:after="80" w:line="276" w:lineRule="auto"/>
      </w:pPr>
      <w:r>
        <w:rPr>
          <w:rFonts w:ascii="Calibri" w:hAnsi="Calibri"/>
          <w:b/>
          <w:color w:val="212529"/>
          <w:sz w:val="21"/>
        </w:rPr>
        <w:t xml:space="preserve">Citation: </w:t>
      </w:r>
      <w:r>
        <w:rPr>
          <w:rFonts w:ascii="Calibri" w:hAnsi="Calibri"/>
          <w:i/>
          <w:color w:val="212529"/>
          <w:sz w:val="21"/>
        </w:rPr>
        <w:t>G.R. No. 141386 | November 29, 2001 | 371 SCRA 126 | En Banc | Ponente: J. Puno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 on Audit of the Province of Cebu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Province of Cebu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Audit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64 assailing COA disallowance of salaries paid to provincial teachers and clerks charged against the Special Education Fund (SEF) under Section 272 of the Local Government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Province of Cebu, through its Provincial School Board, hired extension teachers, physical education instructors, and clerical aides to handle public elementary and high school classes, charging their salaries against the provincial Special Education Fund (SEF). The COA Provincial Auditor disallowed the disbursements, contending that under Section 272 of Republic Act No. 7160 (Local Government Code) and Republic Act No. 5447 (Special Education Fund Act), the SEF can be spent ONLY for the 'establishment and maintenance of extension classes, sports activities, and school facilities,' and cannot be used to pay salaries of non-extension teachers and clerks, invoking Expressio Unius.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Province of Cebu used its Special Education Fund (a special tax collected for schools) to hire extra teachers, sports coaches, and school clerks. The COA auditor blocked the payroll, arguing that the Local Government Code strictly lists what the education fund can be spent on (building classrooms, sports, and extension classes) and does not list regular school clerks or permanent teachers. The Supreme Court ruled that under Expressio Unius, the specific statutory list of authorized expenses is exclusive, but actual extension teachers hired for extension classes were legally payable.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Special Education Fund (SEF) under Section 272 of the Local Government Code can be used to pay the salaries of regular school teachers, clerical aides, and non-extension personnel.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local governments spend the Special Education Fund on salaries of regular school clerks and non-extension personnel when the law specifies only extension classes, sports, and facilities?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272 of RA 7160 permits the use of the Special Education Fund for expenses outside its statutory enumeration, testing the canon Expressio Unius Est Exclusio Alterius (the express mention of one thing is the exclusion of another)."</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as to regular teachers and clerical personnel; YES as to genuine extension teachers. Under Expressio Unius Est Exclusio Alterius, the statutory enumeration in Section 272 of the LGC is EXCLUSIVE, and the SEF cannot be diverted to unlisted administrative expenses.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for office clerks and regular staff; yes for teachers who actually run extension classes. Because the law specifically lists what the Special Education Fund can pay for, everything not on the list is excluded under Expressio Unius.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held that under Expressio unius est exclusio alterius (the express mention of one thing is the exclusion of another), the statutory enumeration of allowable SEF expenditures in Section 272 of the LGC is exclusive. The SEF can only pay for extension teachers, sports, and school facilities, not regular administrative clerks."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272, Republic Act No. 7160 (Local Government Code of 1991): </w:t>
            </w:r>
            <w:r>
              <w:rPr>
                <w:rFonts w:ascii="Calibri" w:hAnsi="Calibri"/>
                <w:color w:val="212529"/>
                <w:sz w:val="20"/>
              </w:rPr>
              <w:t>Specifically enumerates authorized uses of the Special Education Fund (operation and maintenance of extension classes, sports, construction of facilities).</w:t>
            </w:r>
          </w:p>
          <w:p>
            <w:pPr>
              <w:spacing w:before="20" w:after="40" w:line="276" w:lineRule="auto"/>
            </w:pPr>
            <w:r>
              <w:rPr>
                <w:rFonts w:ascii="Calibri" w:hAnsi="Calibri"/>
                <w:b/>
                <w:color w:val="212529"/>
                <w:sz w:val="20"/>
              </w:rPr>
              <w:t xml:space="preserve">2. Republic Act No. 5447 (Special Education Fund Act): </w:t>
            </w:r>
            <w:r>
              <w:rPr>
                <w:rFonts w:ascii="Calibri" w:hAnsi="Calibri"/>
                <w:color w:val="212529"/>
                <w:sz w:val="20"/>
              </w:rPr>
              <w:t>Original enabling law establishing the special education fund.</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The explicit statutory specification of authorized expense items excludes all unlisted expenses.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272 RA 7160, RA 5447, and Expressio Unius Est Exclusio Alterius.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272 of RA 7160, governed by Expressio unius est exclusio alterius (the express mention of one thing is the exclusion of another)."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Nature of the Special Education Fund: </w:t>
            </w:r>
            <w:r>
              <w:rPr>
                <w:rFonts w:ascii="Calibri" w:hAnsi="Calibri"/>
                <w:color w:val="212529"/>
                <w:sz w:val="20"/>
              </w:rPr>
              <w:t>The SEF is a dedicated trust fund created from an additional 1% real property tax, strictly earmarked for specific statutory educational purposes.</w:t>
            </w:r>
          </w:p>
          <w:p>
            <w:pPr>
              <w:spacing w:before="20" w:after="40" w:line="276" w:lineRule="auto"/>
            </w:pPr>
            <w:r>
              <w:rPr>
                <w:rFonts w:ascii="Calibri" w:hAnsi="Calibri"/>
                <w:b/>
                <w:color w:val="212529"/>
                <w:sz w:val="20"/>
              </w:rPr>
              <w:t xml:space="preserve">2. Exclusivity of Statutory Enumeration: </w:t>
            </w:r>
            <w:r>
              <w:rPr>
                <w:rFonts w:ascii="Calibri" w:hAnsi="Calibri"/>
                <w:color w:val="212529"/>
                <w:sz w:val="20"/>
              </w:rPr>
              <w:t>Section 272 explicitly specifies: (a) extension classes; (b) facilities construction and repair; (c) educational research; (d) purchase of books; and (e) sports development. Under Expressio Unius, salaries of regular teachers and clerical personnel are excluded.</w:t>
            </w:r>
          </w:p>
          <w:p>
            <w:pPr>
              <w:spacing w:before="20" w:after="40" w:line="276" w:lineRule="auto"/>
            </w:pPr>
            <w:r>
              <w:rPr>
                <w:rFonts w:ascii="Calibri" w:hAnsi="Calibri"/>
                <w:b/>
                <w:color w:val="212529"/>
                <w:sz w:val="20"/>
              </w:rPr>
              <w:t xml:space="preserve">3. Validity of Extension Teachers: </w:t>
            </w:r>
            <w:r>
              <w:rPr>
                <w:rFonts w:ascii="Calibri" w:hAnsi="Calibri"/>
                <w:color w:val="212529"/>
                <w:sz w:val="20"/>
              </w:rPr>
              <w:t>Salaries of extension teachers hired precisely to handle newly opened extension classes fall squarely within 'operation and maintenance of extension classes' and are validly chargeable against the SEF.</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Special Education Fund is special money collected for specific educational needs. When a statute gives a precise checklist of 5 things you can buy with special funds, you cannot add a 6th thing like office clerks. However, teachers hired to teach extension classes fit the express category and are allowed.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Expressio Unius. Since Section 272 explicitly enumerates the allowable uses of the SEF, unlisted items like clerical salaries are excluded. The Court allowed salaries for genuine extension teachers but disallowed regular non-extension personnel."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WITH MODIFICATION the COA decision, SUSTAINING the disallowance of salaries for clerks and non-extension personnel, but ALLOWING the disbursements for genuine extension class teachers.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salaries of extension teachers were approved, but clerical and regular salaries were disallowed.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modified the disallowance, upholding Expressio Unius to restrict SEF usage strictly to statutory categories."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c. Presumption Against Implied Repeals &amp; Harmonization (RA 5447 vs Local Government Code Special Education Fund)</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statutory listing of permitted SEF disbursements excludes unlisted administrative expenditures.</w:t>
            </w:r>
          </w:p>
          <w:p>
            <w:pPr>
              <w:spacing w:before="40" w:after="60" w:line="276" w:lineRule="auto"/>
            </w:pPr>
            <w:r>
              <w:rPr>
                <w:rFonts w:ascii="Calibri" w:hAnsi="Calibri"/>
                <w:b/>
                <w:color w:val="8C3200"/>
                <w:sz w:val="20"/>
              </w:rPr>
              <w:t>2. Expressum facit cessare tacitum (what is expressed puts an end to that which is implied)</w:t>
              <w:br/>
            </w:r>
            <w:r>
              <w:rPr>
                <w:rFonts w:ascii="Calibri" w:hAnsi="Calibri"/>
                <w:b/>
                <w:color w:val="212529"/>
                <w:sz w:val="19"/>
              </w:rPr>
              <w:t xml:space="preserve">   • Literal English Translation: </w:t>
            </w:r>
            <w:r>
              <w:rPr>
                <w:rFonts w:ascii="Calibri" w:hAnsi="Calibri"/>
                <w:i/>
                <w:color w:val="212529"/>
                <w:sz w:val="19"/>
              </w:rPr>
              <w:t>That which is expressed supersedes that which is implied.</w:t>
              <w:br/>
            </w:r>
            <w:r>
              <w:rPr>
                <w:rFonts w:ascii="Calibri" w:hAnsi="Calibri"/>
                <w:b/>
                <w:color w:val="212529"/>
                <w:sz w:val="19"/>
              </w:rPr>
              <w:t xml:space="preserve">   • Plain Legal Meaning &amp; StatCon Application: </w:t>
            </w:r>
            <w:r>
              <w:rPr>
                <w:rFonts w:ascii="Calibri" w:hAnsi="Calibri"/>
                <w:color w:val="212529"/>
                <w:sz w:val="19"/>
              </w:rPr>
              <w:t>The explicit statutory enumeration of fund purposes leaves no room for implied spending categories.</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Statutory fiscal restrictions on trust funds must be strictly followed regardless of local convenience.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c. Presumption Against Implied Repeals &amp; Harmonization (RA 5447 vs Local Government Code Special Education Fund)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Expressio unius est exclusio alterius</w:t>
              <w:br/>
              <w:t>(the express mention of one thing is the exclusion of another / statutory list of allowable Special Education Fund expenses is exclusive)</w:t>
              <w:br/>
              <w:br/>
              <w:t>Secondary:</w:t>
              <w:br/>
              <w:t>• Expressum facit cessare tacitum (what is expressed ends what is implied)</w:t>
              <w:br/>
              <w:t>• Dura lex sed lex (fiscal fund restrictions are strictly enforced)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local government attempted to divert earmarked special education trust funds to general administrative salaries not enumerated in the statute.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Exclusivity of Statutory Enumeration for Special Funds: When a statute creates a special trust fund and enumerates allowable disbursements, the enumeration is exclusive under Expressio Unius.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law gives a specific shopping list for spending special tax money, you cannot buy items that are not on the list.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COA v. Province of Cebu establishes that statutory enumerations of special fund disbursements are exclusive under Expressio unius est exclusio alterius."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 on Audit of the Province of Cebu v. Province of Cebu</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141386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29, 2001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Province of Cebu, through its Provincial School Board, hired extension teachers, physical education instructors, and clerical aides to handle public elementary and high school classes, charging their salaries against the provincial Special Education Fund (SEF). The COA Provincial Auditor disallowed the disbursements, contending that under Section 272 of Republic Act No. 7160 (Local Government Code) and Republic Act No. 5447 (Special Education Fund Act), the SEF can be spent ONLY for the 'establishment and maintenance of extension classes, sports activities, and school facilities,' and cannot be used to pay salaries of non-extension teachers and clerks, invoking Expressio Unius.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272, Republic Act No. 7160 (Local Government Code of 1991): Specifically enumerates authorized uses of the Special Education Fund (operation and maintenance of extension classes, sports, construction of facilities).</w:t>
              <w:br/>
              <w:t>2. Republic Act No. 5447 (Special Education Fund Act): Original enabling law establishing the special education fund.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local government attempted to divert earmarked special education trust funds to general administrative salaries not enumerated in the statute.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Special Education Fund (SEF) under Section 272 of the Local Government Code can be used to pay the salaries of regular school teachers, clerical aides, and non-extension personnel.</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 on Audit of the Province of Cebu v. Province of Cebu, under the canon of Expressio unius est exclusio alterius.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272, Republic Act No. 7160 (Local Government Code of 1991): Specifically enumerates authorized uses of the Special Education Fund (operation and maintenance of extension classes, sports, construction of facilities).</w:t>
              <w:br/>
              <w:t>2. Republic Act No. 5447 (Special Education Fund Act): Original enabling law establishing the special education fund.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statute explicitly enumerates specific items or exceptions, raising whether non-enumerated items are excluded by necessary implication.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WITH MODIFICATION the COA decision, SUSTAINING the disallowance of salaries for clerks and non-extension personnel, but ALLOWING the disbursements for genuine extension class teachers.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as to regular teachers and clerical personnel; YES as to genuine extension teachers. Under Expressio Unius Est Exclusio Alterius, the statutory enumeration in Section 272 of the LGC is EXCLUSIVE, and the SEF cannot be diverted to unlisted administrative expenses.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statutory provision enumerated specific items, raising whether non-included matters were intentionally excluded by the Legislature.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enforce the negative implication intended by the Legislature and prevent unwarranted judicial expansion (*expressio unius est exclusio alterius*).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Expressio unius est exclusio alterius</w:t>
              <w:br/>
              <w:t xml:space="preserve">   - Application: Exclusivity of Statutory Enumeration for Special Funds: When a statute creates a special trust fund and enumerates allowable disbursements, the enumeration is exclusive under Expressio Unius.</w:t>
              <w:br/>
              <w:t xml:space="preserve">   - Result: No for office clerks and regular staff; yes for teachers who actually run extension classes. Because the law specifically lists what the Special Education Fund can pay for, everything not on the list is excluded under Expressio Unius.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Expressum facit cessare tacitum (what is expressed ends what is implied)</w:t>
              <w:br/>
              <w:t>• Dura lex sed lex (fiscal fund restrictions are strictly enforced)</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 on Audit of the Province of Cebu v. Province of Cebu to mean and apply strictly in accordance with Expressio unius est exclusio alterius, holding that No for office clerks and regular staff; yes for teachers who actually run extension classes. Because the law specifically lists what the Special Education Fund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Special Education Fund is special money collected for specific educational needs. When a statute gives a precise checklist of 5 things you can buy with special funds, you cannot add a 6th thing like office clerks. However, teachers hired to teach extension classes fit the express category and are allowed.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Expressio unius est exclusio alterius,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Exclusivity of Statutory Enumeration for Special Funds: When a statute creates a special trust fund and enumerates allowable disbursements, the enumeration is exclusive under Expressio Unius.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law gives a specific shopping list for spending special tax money, you cannot buy items that are not on the list.</w:t>
            </w:r>
          </w:p>
        </w:tc>
      </w:tr>
    </w:tbl>
    <w:p>
      <w:r>
        <w:br w:type="page"/>
      </w:r>
    </w:p>
    <w:p>
      <w:pPr>
        <w:keepNext/>
        <w:spacing w:before="320" w:after="80"/>
      </w:pPr>
      <w:r>
        <w:rPr>
          <w:rFonts w:ascii="Arial" w:hAnsi="Arial"/>
          <w:b/>
          <w:color w:val="0F2043"/>
          <w:sz w:val="26"/>
        </w:rPr>
        <w:t>33. MARIA VIRGINIA V. REMO V. THE HONORABLE SECRETARY OF FOREIGN AFFAIRS</w:t>
      </w:r>
    </w:p>
    <w:p>
      <w:pPr>
        <w:spacing w:before="40" w:after="80" w:line="276" w:lineRule="auto"/>
      </w:pPr>
      <w:r>
        <w:rPr>
          <w:rFonts w:ascii="Calibri" w:hAnsi="Calibri"/>
          <w:b/>
          <w:color w:val="212529"/>
          <w:sz w:val="21"/>
        </w:rPr>
        <w:t xml:space="preserve">Citation: </w:t>
      </w:r>
      <w:r>
        <w:rPr>
          <w:rFonts w:ascii="Calibri" w:hAnsi="Calibri"/>
          <w:i/>
          <w:color w:val="212529"/>
          <w:sz w:val="21"/>
        </w:rPr>
        <w:t>G.R. No. 169202 | March 5, 2010 | 614 SCRA 281 | Second Division | Ponente: J. Carpio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Maria Virginia V. Remo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Honorable Secretary of Foreign Affairs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a married woman's right to revert to her maiden name in her Philippine Passport under Republic Act No. 8239 (Philippine Passport Act of 1996) and Article 370 of the Civil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Maria Virginia Remo, a married Filipino woman, applied to renew her Philippine passport and requested to revert to her maiden name ('Remo') while her marriage was still fully subsisting. The Department of Foreign Affairs (DFA) denied her request, citing Section 5(d) of Republic Act No. 8239 (Philippine Passport Act of 1996) and DFA Implementing Rules, which allow a married woman to revert to her maiden name in a passport ONLY upon death of the husband, annulment/divorce, or legal separation. Remo petitioned the courts, arguing that under Article 370 of the Civil Code, a married woman is not obligated to use her husband's surname and may choose to use her maiden name at any time.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married woman who used her husband's last name on her old passport wanted to switch back to her maiden last name on her new passport, even though they were still happily married. The DFA refused, citing the Passport Act rules which say once you choose to put your husband's surname on your passport, you can only change it back if your husband dies or you get an annulment/divorce. The Supreme Court ruled that while the Civil Code allows a woman to use her maiden name in daily life, the Passport Act is a special law governing travel documents that restricts mid-marriage name changes on passports to prevent identity confusion.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married woman who previously used her husband's surname on her passport can revert to her maiden name in passport renewal while the marriage is still subsisting.</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married woman switch back to her maiden name on her passport while still married, despite the specific restrictions in the Passport 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Article 370 of the Civil Code overrides the special name-change restrictions under Section 5(d) of the Philippine Passport Act (RA 8239), testing the canon Generalia Specialibus Non Derogant (general laws do not derogate from special laws)."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 married woman who has chosen to adopt her husband's surname in her passport CANNOT revert to her maiden name while the marriage is subsisting. Under Generalia Specialibus Non Derogant, the special Passport Act prevails over the general Civil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Under the Civil Code, you can choose to keep your maiden name when you get married. But once you elect to put your married name on your official passport, the special Passport Act applies: you cannot switch back and forth until the marriage ends, in order to maintain international travel security.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while Article 370 of the Civil Code gives a married woman the option to use her maiden name, under Generalia specialibus non derogant (general laws yield to special laws), RA 8239 is a special law governing international travel documents. Once she opts to use her husband's surname in her passport, she can only revert to her maiden name upon death, divorce, or annulment."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5(d), Republic Act No. 8239 (Philippine Passport Act of 1996): </w:t>
            </w:r>
            <w:r>
              <w:rPr>
                <w:rFonts w:ascii="Calibri" w:hAnsi="Calibri"/>
                <w:color w:val="212529"/>
                <w:sz w:val="20"/>
              </w:rPr>
              <w:t>Restricts amendment of passport names of married women to instances of widowhood, annulment, or divorce.</w:t>
            </w:r>
          </w:p>
          <w:p>
            <w:pPr>
              <w:spacing w:before="20" w:after="40" w:line="276" w:lineRule="auto"/>
            </w:pPr>
            <w:r>
              <w:rPr>
                <w:rFonts w:ascii="Calibri" w:hAnsi="Calibri"/>
                <w:b/>
                <w:color w:val="212529"/>
                <w:sz w:val="20"/>
              </w:rPr>
              <w:t xml:space="preserve">2. Article 370, Civil Code of the Philippines: </w:t>
            </w:r>
            <w:r>
              <w:rPr>
                <w:rFonts w:ascii="Calibri" w:hAnsi="Calibri"/>
                <w:color w:val="212529"/>
                <w:sz w:val="20"/>
              </w:rPr>
              <w:t>General rule allowing married women to use maiden name or husband's surname.</w:t>
            </w:r>
          </w:p>
          <w:p>
            <w:pPr>
              <w:spacing w:before="20" w:after="40" w:line="276" w:lineRule="auto"/>
            </w:pPr>
            <w:r>
              <w:rPr>
                <w:rFonts w:ascii="Calibri" w:hAnsi="Calibri"/>
                <w:b/>
                <w:color w:val="212529"/>
                <w:sz w:val="20"/>
              </w:rPr>
              <w:t xml:space="preserve">3. Generalia Specialibus Non Derogant (general provisions do not derogate from special provisions): </w:t>
            </w:r>
            <w:r>
              <w:rPr>
                <w:rFonts w:ascii="Calibri" w:hAnsi="Calibri"/>
                <w:color w:val="212529"/>
                <w:sz w:val="20"/>
              </w:rPr>
              <w:t>The specific passport security statute prevails over the general civil law on surnames.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5(d) RA 8239, Article 370 Civil Code, and Generalia Specialibus Non Derogant.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5(d) of RA 8239 in relation to Article 370 of the Civil Code, governed by Generalia specialibus non derogant (special laws prevail over general laws)."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Harmonization of Civil Code and Passport Act: </w:t>
            </w:r>
            <w:r>
              <w:rPr>
                <w:rFonts w:ascii="Calibri" w:hAnsi="Calibri"/>
                <w:color w:val="212529"/>
                <w:sz w:val="20"/>
              </w:rPr>
              <w:t>Article 370 of the Civil Code grants a woman the choice of whether to adopt her husband's surname. However, once she exercises that choice and registers her married name on her official passport, RA 8239 regulates how and when that passport name may be changed.</w:t>
            </w:r>
          </w:p>
          <w:p>
            <w:pPr>
              <w:spacing w:before="20" w:after="40" w:line="276" w:lineRule="auto"/>
            </w:pPr>
            <w:r>
              <w:rPr>
                <w:rFonts w:ascii="Calibri" w:hAnsi="Calibri"/>
                <w:b/>
                <w:color w:val="212529"/>
                <w:sz w:val="20"/>
              </w:rPr>
              <w:t xml:space="preserve">2. Special Law on Travel Documents: </w:t>
            </w:r>
            <w:r>
              <w:rPr>
                <w:rFonts w:ascii="Calibri" w:hAnsi="Calibri"/>
                <w:color w:val="212529"/>
                <w:sz w:val="20"/>
              </w:rPr>
              <w:t>RA 8239 is a special law designed to protect the integrity of Philippine passports and prevent identity fraud in international travel. Its specific provisions override general civil provisions.</w:t>
            </w:r>
          </w:p>
          <w:p>
            <w:pPr>
              <w:spacing w:before="20" w:after="40" w:line="276" w:lineRule="auto"/>
            </w:pPr>
            <w:r>
              <w:rPr>
                <w:rFonts w:ascii="Calibri" w:hAnsi="Calibri"/>
                <w:b/>
                <w:color w:val="212529"/>
                <w:sz w:val="20"/>
              </w:rPr>
              <w:t xml:space="preserve">3. Validity of Administrative Regulations: </w:t>
            </w:r>
            <w:r>
              <w:rPr>
                <w:rFonts w:ascii="Calibri" w:hAnsi="Calibri"/>
                <w:color w:val="212529"/>
                <w:sz w:val="20"/>
              </w:rPr>
              <w:t>The DFA regulations strictly tracking Section 5(d) of RA 8239 were valid exercises of subordinate rule-making power consistent with statutory intent.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Civil Code gives you the freedom to choose your name. But a passport is an international border-control document. If people could switch names back and forth on their passports during marriage, it would cause chaos for international security. The specific passport law controls over the general family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Generalia Specialibus Non Derogant. The Civil Code is general law on personal names, while the Passport Act is special law governing international travel integrity. The Court held that statutory passport restrictions control during the subsistence of the marriage."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and AFFIRMED the decision of the Court of Appeals and DFA denying the reversion to maiden name on the passport.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denied and the woman was not allowed to switch her passport name while married.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DFA's denial, upholding the primacy of the special Passport Act over general Civil Code provisions."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IV. Aids to Construction -&gt; C. Presumptions -&gt; c. Presumption Against Implied Repeals &amp; Harmonization of Statutes (Civil Code Art. 370 vs Passport Act RA 8239)</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special provisions of the Philippine Passport Act prevail over the general provisions of the Civil Code on names.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Section 5(d) of RA 8239 explicitly enumerates the exclusive grounds for changing passport names.</w:t>
            </w:r>
          </w:p>
          <w:p>
            <w:pPr>
              <w:spacing w:before="40" w:after="60" w:line="276" w:lineRule="auto"/>
            </w:pPr>
            <w:r>
              <w:rPr>
                <w:rFonts w:ascii="Calibri" w:hAnsi="Calibri"/>
                <w:b/>
                <w:color w:val="8C3200"/>
                <w:sz w:val="20"/>
              </w:rPr>
              <w:t>3.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The clear text of RA 8239 establishes international security standards for travel documents.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IV. Aids to Construction -&gt; C. Presumptions -&gt; c. Presumption Against Implied Repeals &amp; Harmonization of Statutes (Civil Code Art. 370 vs Passport Act RA 8239)</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Philippine Passport Act RA 8239 governs over general Civil Code name rules)</w:t>
              <w:br/>
              <w:br/>
              <w:t>Secondary:</w:t>
              <w:br/>
              <w:t>• Verba legis non est recedendum (clear statutory text on passport name changes)</w:t>
              <w:br/>
              <w:t>• Optima statuti interpretatrix est ipsum statutum (statute is its own best interpreter)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 sought to elevate general civil law provisions over a specific, subsequent statute governing international travel document security.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Primacy of Special Regulatory Statutes: Special statutes enacted to protect state security and international document integrity override general civil law provisions on the same subject.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special security law on passports beats a general civil law about family names.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Remo v. Secretary of Foreign Affairs is the leading modern case applying Generalia specialibus non derogant to resolve conflicts between the Civil Code and special regulatory statutes."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Maria Virginia V. Remo v. The Honorable Secretary of Foreign Affairs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169202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5,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Maria Virginia Remo, a married Filipino woman, applied to renew her Philippine passport and requested to revert to her maiden name ('Remo') while her marriage was still fully subsisting. The Department of Foreign Affairs (DFA) denied her request, citing Section 5(d) of Republic Act No. 8239 (Philippine Passport Act of 1996) and DFA Implementing Rules, which allow a married woman to revert to her maiden name in a passport ONLY upon death of the husband, annulment/divorce, or legal separation. Remo petitioned the courts, arguing that under Article 370 of the Civil Code, a married woman is not obligated to use her husband's surname and may choose to use her maiden name at any time.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5(d), Republic Act No. 8239 (Philippine Passport Act of 1996): Restricts amendment of passport names of married women to instances of widowhood, annulment, or divorce.</w:t>
              <w:br/>
              <w:t>2. Article 370, Civil Code of the Philippines: General rule allowing married women to use maiden name or husband's surname.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 sought to elevate general civil law provisions over a specific, subsequent statute governing international travel document security.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married woman who previously used her husband's surname on her passport can revert to her maiden name in passport renewal while the marriage is still subsisting.</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Maria Virginia V. Remo v. The Honorable Secretary of Foreign Affairs,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5(d), Republic Act No. 8239 (Philippine Passport Act of 1996): Restricts amendment of passport names of married women to instances of widowhood, annulment, or divorce.</w:t>
              <w:br/>
              <w:t>2. Article 370, Civil Code of the Philippines: General rule allowing married women to use maiden name or husband's surname.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Petitioner sought to elevate general civil law provisions over a specific, subsequent statute governing international tr...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and AFFIRMED the decision of the Court of Appeals and DFA denying the reversion to maiden name on the passport.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 married woman who has chosen to adopt her husband's surname in her passport CANNOT revert to her maiden name while the marriage is subsisting. Under Generalia Specialibus Non Derogant, the special Passport Act prevails over the general Civil Code.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Petitioner sought to elevate general civil law provisions over a specific, subsequent statute governing international travel document securi.</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Primacy of Special Regulatory Statutes: Special statutes enacted to protect state security and international document integrity override general civil law provisions on the same subject.</w:t>
              <w:br/>
              <w:t xml:space="preserve">   - Result: No. Under the Civil Code, you can choose to keep your maiden name when you get married. But once you elect to put your married name on your official passport, the special Passport Act applies: you cannot switch back and forth until the marriage ends, in order to maintain international travel security.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(clear statutory text on passport name changes)</w:t>
              <w:br/>
              <w:t>• Optima statuti interpretatrix est ipsum statutum (statute is its own best interpreter)</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Maria Virginia V. Remo v. The Honorable Secretary of Foreign Affairs to mean and apply strictly in accordance with Generalia specialibus non derogant, holding that No. Under the Civil Code, you can choose to keep your maiden name when you get married. But once you elect to put your married name on your official passport, 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Civil Code gives you the freedom to choose your name. But a passport is an international border-control document. If people could switch names back and forth on their passports during marriage, it would cause chaos for international security. The specific passport law controls over the general family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Primacy of Special Regulatory Statutes: Special statutes enacted to protect state security and international document integrity override general civil law provisions on the same subject.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special security law on passports beats a general civil law about family names.</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