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/>
          <w:color w:val="B45309"/>
          <w:sz w:val="19"/>
        </w:rPr>
        <w:t>MANILA LAW COLLEGE • JURIS DOCTOR PROGRAM</w:t>
      </w:r>
    </w:p>
    <w:p>
      <w:pPr>
        <w:spacing w:before="40" w:after="80"/>
        <w:jc w:val="center"/>
      </w:pPr>
      <w:r>
        <w:rPr>
          <w:rFonts w:ascii="Georgia" w:hAnsi="Georgia"/>
          <w:b/>
          <w:color w:val="0F1E42"/>
          <w:sz w:val="44"/>
        </w:rPr>
        <w:t>CONSTITUTIONAL LAW 1</w:t>
      </w:r>
    </w:p>
    <w:p>
      <w:pPr>
        <w:spacing w:after="280"/>
        <w:jc w:val="center"/>
      </w:pPr>
      <w:r>
        <w:rPr>
          <w:rFonts w:ascii="Calibri" w:hAnsi="Calibri"/>
          <w:i/>
          <w:color w:val="475569"/>
          <w:sz w:val="24"/>
        </w:rPr>
        <w:t>Masterlist of Assigned Landmark Cases &amp; Digest Titles — Paragraph Edition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2" w:space="0" w:color="0f1e42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Georgia" w:hAnsi="Georgia"/>
                <w:b/>
                <w:color w:val="0F1E42"/>
                <w:sz w:val="21"/>
              </w:rPr>
              <w:t>★  MASTER CASE DIRECTORY — PARAGRAPH COMPENDIUM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Format: Paragraph Reading Edition (Non-Tabular Continuous Layout)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Course: Constitutional Law 1 (1987 Philippine Constitution)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Total Landmark Cases: 149 Assigned Supreme Court Decisions (Topics I to VII)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Each entry contains: Case Number, Complete Title, Official Citation, Promulgation Date, and Key Constitutional Doctrine / Principle.</w:t>
            </w:r>
          </w:p>
        </w:tc>
      </w:tr>
    </w:tbl>
    <w:p>
      <w:pPr>
        <w:spacing w:after="80"/>
      </w:pPr>
    </w:p>
    <w:p>
      <w:pPr>
        <w:spacing w:before="360" w:after="40"/>
      </w:pPr>
      <w:r>
        <w:rPr>
          <w:rFonts w:ascii="Georgia" w:hAnsi="Georgia"/>
          <w:b/>
          <w:color w:val="0F1E42"/>
          <w:sz w:val="28"/>
        </w:rPr>
        <w:t>Topic I: The Philippine Constitution</w:t>
      </w:r>
    </w:p>
    <w:p>
      <w:pPr>
        <w:spacing w:after="200"/>
      </w:pPr>
      <w:r>
        <w:rPr>
          <w:rFonts w:ascii="Calibri" w:hAnsi="Calibri"/>
          <w:b/>
          <w:color w:val="B45309"/>
          <w:sz w:val="20"/>
        </w:rPr>
        <w:t>Subject Scope: Amendments, Revision, Ratification, Effectivity, and Judicial Review • 10 Assigned Cases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1.  </w:t>
      </w:r>
      <w:r>
        <w:rPr>
          <w:rFonts w:ascii="Georgia" w:hAnsi="Georgia"/>
          <w:b/>
          <w:color w:val="0F1E42"/>
          <w:sz w:val="23"/>
        </w:rPr>
        <w:t>De Leon vs. Esguerra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153 SCRA 602, No. L-78059, August 31, 1987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Effectivity of the 1987 Constitution upon ratification on February 2, 1987 (Art. XVIII, Sec. 27); designation of barangay officials.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2.  </w:t>
      </w:r>
      <w:r>
        <w:rPr>
          <w:rFonts w:ascii="Georgia" w:hAnsi="Georgia"/>
          <w:b/>
          <w:color w:val="0F1E42"/>
          <w:sz w:val="23"/>
        </w:rPr>
        <w:t>Lambino vs. COMELEC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174153, October 25, 2006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Difference between Amendment and Revision; Two-Part Test (Quantitative and Qualitative Test); People's Initiative requirements.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3.  </w:t>
      </w:r>
      <w:r>
        <w:rPr>
          <w:rFonts w:ascii="Georgia" w:hAnsi="Georgia"/>
          <w:b/>
          <w:color w:val="0F1E42"/>
          <w:sz w:val="23"/>
        </w:rPr>
        <w:t>Imbong vs. COMELEC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35 SCRA 28 (1970)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Authority of Congress acting as a constituent assembly to call a Constitutional Convention (Art. XVII, Sec. 3).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4.  </w:t>
      </w:r>
      <w:r>
        <w:rPr>
          <w:rFonts w:ascii="Georgia" w:hAnsi="Georgia"/>
          <w:b/>
          <w:color w:val="0F1E42"/>
          <w:sz w:val="23"/>
        </w:rPr>
        <w:t>Defensor-Santiago vs. COMELEC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127325, March 19, 1997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Inadequacy of RA 6735 for Constitutional Amendments via People's Initiative; 12%/3% registered voter requirements and 5-year bar.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5.  </w:t>
      </w:r>
      <w:r>
        <w:rPr>
          <w:rFonts w:ascii="Georgia" w:hAnsi="Georgia"/>
          <w:b/>
          <w:color w:val="0F1E42"/>
          <w:sz w:val="23"/>
        </w:rPr>
        <w:t>Lambino vs. COMELEC (Resolution on MR)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174153, November 21, 2006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Affirmation of dismissal of People's Initiative petition; requirement of direct proposal by the people.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6.  </w:t>
      </w:r>
      <w:r>
        <w:rPr>
          <w:rFonts w:ascii="Georgia" w:hAnsi="Georgia"/>
          <w:b/>
          <w:color w:val="0F1E42"/>
          <w:sz w:val="23"/>
        </w:rPr>
        <w:t>Gonzales vs. COMELEC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21 SCRA 774 (1967)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Submission of proposed constitutional amendments simultaneously with regular general elections is permissible.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7.  </w:t>
      </w:r>
      <w:r>
        <w:rPr>
          <w:rFonts w:ascii="Georgia" w:hAnsi="Georgia"/>
          <w:b/>
          <w:color w:val="0F1E42"/>
          <w:sz w:val="23"/>
        </w:rPr>
        <w:t>Occeña vs. COMELEC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104 SCRA 1 (1981)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Adequacy of time for voters to study proposed constitutional amendments prior to plebiscite.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8.  </w:t>
      </w:r>
      <w:r>
        <w:rPr>
          <w:rFonts w:ascii="Georgia" w:hAnsi="Georgia"/>
          <w:b/>
          <w:color w:val="0F1E42"/>
          <w:sz w:val="23"/>
        </w:rPr>
        <w:t>Almario vs. Alba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127 SCRA 69 (1984)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Doctrine of proper submission in constitutional plebiscites; voters' freedom of choice.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9.  </w:t>
      </w:r>
      <w:r>
        <w:rPr>
          <w:rFonts w:ascii="Georgia" w:hAnsi="Georgia"/>
          <w:b/>
          <w:color w:val="0F1E42"/>
          <w:sz w:val="23"/>
        </w:rPr>
        <w:t>Tolentino vs. COMELEC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41 SCRA 702 (1971)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Doctrine of Proper Submission; prohibition against piecemeal ratification of constitutional revisions.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10.  </w:t>
      </w:r>
      <w:r>
        <w:rPr>
          <w:rFonts w:ascii="Georgia" w:hAnsi="Georgia"/>
          <w:b/>
          <w:color w:val="0F1E42"/>
          <w:sz w:val="23"/>
        </w:rPr>
        <w:t>Javellana vs. Executive Secretary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50 SCRA 30 (1973)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Judicial review of constitutional amendments, political question doctrine, and validity of ratification via Citizens Assemblies.</w:t>
      </w:r>
    </w:p>
    <w:p>
      <w:pPr>
        <w:spacing w:after="80"/>
      </w:pPr>
    </w:p>
    <w:p>
      <w:pPr>
        <w:spacing w:before="360" w:after="40"/>
      </w:pPr>
      <w:r>
        <w:rPr>
          <w:rFonts w:ascii="Georgia" w:hAnsi="Georgia"/>
          <w:b/>
          <w:color w:val="0F1E42"/>
          <w:sz w:val="28"/>
        </w:rPr>
        <w:t>Topic II: The Philippines as a State</w:t>
      </w:r>
    </w:p>
    <w:p>
      <w:pPr>
        <w:spacing w:after="200"/>
      </w:pPr>
      <w:r>
        <w:rPr>
          <w:rFonts w:ascii="Calibri" w:hAnsi="Calibri"/>
          <w:b/>
          <w:color w:val="B45309"/>
          <w:sz w:val="20"/>
        </w:rPr>
        <w:t>Subject Scope: National Territory, Sovereignty, State Immunity, and Exceptions • 19 Assigned Cases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11.  </w:t>
      </w:r>
      <w:r>
        <w:rPr>
          <w:rFonts w:ascii="Georgia" w:hAnsi="Georgia"/>
          <w:b/>
          <w:color w:val="0F1E42"/>
          <w:sz w:val="23"/>
        </w:rPr>
        <w:t>The Holy See vs. Rosario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238 SCRA 524, December 1, 1994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State Immunity of foreign sovereign states; distinction between acts jure imperii (sovereign) and jure gestionis (commercial).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12.  </w:t>
      </w:r>
      <w:r>
        <w:rPr>
          <w:rFonts w:ascii="Georgia" w:hAnsi="Georgia"/>
          <w:b/>
          <w:color w:val="0F1E42"/>
          <w:sz w:val="23"/>
        </w:rPr>
        <w:t>Liang vs. People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125865, January 28, 2000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Immunity of international agency officials (Asian Development Bank); defamatory acts not covered by official acts immunity.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13.  </w:t>
      </w:r>
      <w:r>
        <w:rPr>
          <w:rFonts w:ascii="Georgia" w:hAnsi="Georgia"/>
          <w:b/>
          <w:color w:val="0F1E42"/>
          <w:sz w:val="23"/>
        </w:rPr>
        <w:t>Arigo vs. Swift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206501, September 16, 2014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USS Guardian grounding on Tubbataha Reef; state immunity of foreign military commanders performing sovereign military functions; VFA application.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14.  </w:t>
      </w:r>
      <w:r>
        <w:rPr>
          <w:rFonts w:ascii="Georgia" w:hAnsi="Georgia"/>
          <w:b/>
          <w:color w:val="0F1E42"/>
          <w:sz w:val="23"/>
        </w:rPr>
        <w:t>SEAFDEC vs. NLRC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241 SCRA 580 (1995)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Immunity of international organizations from labor jurisdiction and domestic tribunal processes.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15.  </w:t>
      </w:r>
      <w:r>
        <w:rPr>
          <w:rFonts w:ascii="Georgia" w:hAnsi="Georgia"/>
          <w:b/>
          <w:color w:val="0F1E42"/>
          <w:sz w:val="23"/>
        </w:rPr>
        <w:t>Callado vs. IRRI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244 SCRA 210 (1995)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Immunity of International Rice Research Institute (IRRI) from local labor dispute proceedings pursuant to headquarters agreement.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16.  </w:t>
      </w:r>
      <w:r>
        <w:rPr>
          <w:rFonts w:ascii="Georgia" w:hAnsi="Georgia"/>
          <w:b/>
          <w:color w:val="0F1E42"/>
          <w:sz w:val="23"/>
        </w:rPr>
        <w:t>DFA vs. NLRC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113191, September 18, 1996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Immunity of Asian Development Bank; DFA diplomatic certification is conclusive on courts.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17.  </w:t>
      </w:r>
      <w:r>
        <w:rPr>
          <w:rFonts w:ascii="Georgia" w:hAnsi="Georgia"/>
          <w:b/>
          <w:color w:val="0F1E42"/>
          <w:sz w:val="23"/>
        </w:rPr>
        <w:t>Fontanilla vs. Maliaman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194 SCRA 486 (1991)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Immunity of incorporated government agencies; National Irrigation Administration (NIA) liable for torts when performing proprietary functions.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18.  </w:t>
      </w:r>
      <w:r>
        <w:rPr>
          <w:rFonts w:ascii="Georgia" w:hAnsi="Georgia"/>
          <w:b/>
          <w:color w:val="0F1E42"/>
          <w:sz w:val="23"/>
        </w:rPr>
        <w:t>Farolan vs. CTA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217 SCRA 298 (1993)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Unincorporated government agencies performing purely governmental functions (Bureau of Customs) enjoy state immunity from damage suits.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19.  </w:t>
      </w:r>
      <w:r>
        <w:rPr>
          <w:rFonts w:ascii="Georgia" w:hAnsi="Georgia"/>
          <w:b/>
          <w:color w:val="0F1E42"/>
          <w:sz w:val="23"/>
        </w:rPr>
        <w:t>China National Machinery &amp; Equipment Corp. vs. Santamaria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185572, February 7, 2012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Commercial nature of Northrail contract excludes foreign government corporation from claiming sovereign immunity.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20.  </w:t>
      </w:r>
      <w:r>
        <w:rPr>
          <w:rFonts w:ascii="Georgia" w:hAnsi="Georgia"/>
          <w:b/>
          <w:color w:val="0F1E42"/>
          <w:sz w:val="23"/>
        </w:rPr>
        <w:t>Civil Aeronautics Administration vs. CA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L-51806, November 8, 1968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Operation of international airport is a proprietary function; CAA is suable for torts and damages resulting from airport maintenance.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21.  </w:t>
      </w:r>
      <w:r>
        <w:rPr>
          <w:rFonts w:ascii="Georgia" w:hAnsi="Georgia"/>
          <w:b/>
          <w:color w:val="0F1E42"/>
          <w:sz w:val="23"/>
        </w:rPr>
        <w:t>Meritt vs. Government of the Philippine Islands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34 Phil. 311, March 21, 1916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Classic doctrine that statutory consent to be sued (suability) is not an admission of liability (liability).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22.  </w:t>
      </w:r>
      <w:r>
        <w:rPr>
          <w:rFonts w:ascii="Georgia" w:hAnsi="Georgia"/>
          <w:b/>
          <w:color w:val="0F1E42"/>
          <w:sz w:val="23"/>
        </w:rPr>
        <w:t>Republic vs. Feliciano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148 SCRA 424 (1987)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Doctrine of non-suability of the State; necessity of express statutory authority to sue the Republic.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23.  </w:t>
      </w:r>
      <w:r>
        <w:rPr>
          <w:rFonts w:ascii="Georgia" w:hAnsi="Georgia"/>
          <w:b/>
          <w:color w:val="0F1E42"/>
          <w:sz w:val="23"/>
        </w:rPr>
        <w:t>UP vs. Dizon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171182, August 23, 2012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Procedure for money claims against state universities; exclusive primary jurisdiction of the Commission on Audit (COA) under PD 1445.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24.  </w:t>
      </w:r>
      <w:r>
        <w:rPr>
          <w:rFonts w:ascii="Georgia" w:hAnsi="Georgia"/>
          <w:b/>
          <w:color w:val="0F1E42"/>
          <w:sz w:val="23"/>
        </w:rPr>
        <w:t>City of Manila vs. Teotico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L-23052, January 29, 1968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Liability of local governments for defective public works and streets under Article 2189 of the Civil Code as a special law.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25.  </w:t>
      </w:r>
      <w:r>
        <w:rPr>
          <w:rFonts w:ascii="Georgia" w:hAnsi="Georgia"/>
          <w:b/>
          <w:color w:val="0F1E42"/>
          <w:sz w:val="23"/>
        </w:rPr>
        <w:t>USA vs. Ruiz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136 SCRA 487 (1985)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Restrictive doctrine of state immunity; commercial contract for naval base wharf repair is proprietary in character.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26.  </w:t>
      </w:r>
      <w:r>
        <w:rPr>
          <w:rFonts w:ascii="Georgia" w:hAnsi="Georgia"/>
          <w:b/>
          <w:color w:val="0F1E42"/>
          <w:sz w:val="23"/>
        </w:rPr>
        <w:t>Froilan vs. Pan Oriental Shipping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L-6060, September 30, 1950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Implied waiver of state immunity when the government files a complaint against a private party, opening itself to counterclaims.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27.  </w:t>
      </w:r>
      <w:r>
        <w:rPr>
          <w:rFonts w:ascii="Georgia" w:hAnsi="Georgia"/>
          <w:b/>
          <w:color w:val="0F1E42"/>
          <w:sz w:val="23"/>
        </w:rPr>
        <w:t>Municipality of San Miguel vs. Fernandez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130 SCRA 56 (1984)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Consent to be sued does not include consent to execution; municipal and public funds are exempt from execution and garnishment.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28.  </w:t>
      </w:r>
      <w:r>
        <w:rPr>
          <w:rFonts w:ascii="Georgia" w:hAnsi="Georgia"/>
          <w:b/>
          <w:color w:val="0F1E42"/>
          <w:sz w:val="23"/>
        </w:rPr>
        <w:t>Municipality of Makati vs. CA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190 SCRA 206 (1990)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Garnishment of municipal funds is prohibited without prior legislative appropriation ordinance.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29.  </w:t>
      </w:r>
      <w:r>
        <w:rPr>
          <w:rFonts w:ascii="Georgia" w:hAnsi="Georgia"/>
          <w:b/>
          <w:color w:val="0F1E42"/>
          <w:sz w:val="23"/>
        </w:rPr>
        <w:t>Wylie vs. Rarang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209 SCRA 357 (1992)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State immunity cannot be used as a shield to perpetrate an injustice; public officers are personally liable for ultra vires and defamatory acts.</w:t>
      </w:r>
    </w:p>
    <w:p>
      <w:pPr>
        <w:spacing w:after="80"/>
      </w:pPr>
    </w:p>
    <w:p>
      <w:pPr>
        <w:spacing w:before="360" w:after="40"/>
      </w:pPr>
      <w:r>
        <w:rPr>
          <w:rFonts w:ascii="Georgia" w:hAnsi="Georgia"/>
          <w:b/>
          <w:color w:val="0F1E42"/>
          <w:sz w:val="28"/>
        </w:rPr>
        <w:t>Topic III: The Fundamental Powers of the State</w:t>
      </w:r>
    </w:p>
    <w:p>
      <w:pPr>
        <w:spacing w:after="200"/>
      </w:pPr>
      <w:r>
        <w:rPr>
          <w:rFonts w:ascii="Calibri" w:hAnsi="Calibri"/>
          <w:b/>
          <w:color w:val="B45309"/>
          <w:sz w:val="20"/>
        </w:rPr>
        <w:t>Subject Scope: Police Power, Eminent Domain (Just Compensation), and Taxation • 25 Assigned Cases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30.  </w:t>
      </w:r>
      <w:r>
        <w:rPr>
          <w:rFonts w:ascii="Georgia" w:hAnsi="Georgia"/>
          <w:b/>
          <w:color w:val="0F1E42"/>
          <w:sz w:val="23"/>
        </w:rPr>
        <w:t>MMDA vs. Bel-Air Village Association, Inc.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328 SCRA 836, March 27, 2000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Police power is inherently legislative; MMDA is an administrative coordinator and lacks delegated police power or ordinance-making powers.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31.  </w:t>
      </w:r>
      <w:r>
        <w:rPr>
          <w:rFonts w:ascii="Georgia" w:hAnsi="Georgia"/>
          <w:b/>
          <w:color w:val="0F1E42"/>
          <w:sz w:val="23"/>
        </w:rPr>
        <w:t>PASEI vs. Drilon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163 SCRA 386 (1988)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Valid exercise of police power in temporarily suspending the deployment of female domestic workers abroad for welfare protection.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32.  </w:t>
      </w:r>
      <w:r>
        <w:rPr>
          <w:rFonts w:ascii="Georgia" w:hAnsi="Georgia"/>
          <w:b/>
          <w:color w:val="0F1E42"/>
          <w:sz w:val="23"/>
        </w:rPr>
        <w:t>Tio vs. Videogram Regulatory Board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151 SCRA 208 (1987)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Interplay of police power and regulatory taxation over the videogram industry to curb piracy and promote public morals.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33.  </w:t>
      </w:r>
      <w:r>
        <w:rPr>
          <w:rFonts w:ascii="Georgia" w:hAnsi="Georgia"/>
          <w:b/>
          <w:color w:val="0F1E42"/>
          <w:sz w:val="23"/>
        </w:rPr>
        <w:t>Acebedo Optical Company, Inc. vs. CA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329 SCRA 314 (2000)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Delegation of police power to city mayors; mayor cannot impose conditions beyond statutory professional regulations in issuing permits.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34.  </w:t>
      </w:r>
      <w:r>
        <w:rPr>
          <w:rFonts w:ascii="Georgia" w:hAnsi="Georgia"/>
          <w:b/>
          <w:color w:val="0F1E42"/>
          <w:sz w:val="23"/>
        </w:rPr>
        <w:t>Taxicab Operators of MM vs. BOT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117 SCRA 597 (1982)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Phasing out of taxicabs older than 6 years in Metro Manila is a valid exercise of police power for commuter safety and pollution control.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35.  </w:t>
      </w:r>
      <w:r>
        <w:rPr>
          <w:rFonts w:ascii="Georgia" w:hAnsi="Georgia"/>
          <w:b/>
          <w:color w:val="0F1E42"/>
          <w:sz w:val="23"/>
        </w:rPr>
        <w:t>Del Mar vs. PAGCOR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346 SCRA 485 (2000)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PAGCOR charter does not grant authority to operate or franchise jai-alai betting operations through private joint ventures.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36.  </w:t>
      </w:r>
      <w:r>
        <w:rPr>
          <w:rFonts w:ascii="Georgia" w:hAnsi="Georgia"/>
          <w:b/>
          <w:color w:val="0F1E42"/>
          <w:sz w:val="23"/>
        </w:rPr>
        <w:t>Angeles University Foundation vs. City of Angeles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189999, June 27, 2012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Building permit fees are regulatory police power impositions, not taxes; non-stock educational institutions are not exempt from permit fees.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37.  </w:t>
      </w:r>
      <w:r>
        <w:rPr>
          <w:rFonts w:ascii="Georgia" w:hAnsi="Georgia"/>
          <w:b/>
          <w:color w:val="0F1E42"/>
          <w:sz w:val="23"/>
        </w:rPr>
        <w:t>Southern Luzon Drug Corporation vs. DSWD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199669, April 25, 2017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The 20% Senior Citizen and PWD discount is a valid exercise of Police Power, not Eminent Domain; tax deduction is sufficient.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38.  </w:t>
      </w:r>
      <w:r>
        <w:rPr>
          <w:rFonts w:ascii="Georgia" w:hAnsi="Georgia"/>
          <w:b/>
          <w:color w:val="0F1E42"/>
          <w:sz w:val="23"/>
        </w:rPr>
        <w:t>Republic vs. Salem Investment Corporation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137569, June 23, 2000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Requisites for valid eminent domain; necessity of establishing a genuine public use before private property is taken.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39.  </w:t>
      </w:r>
      <w:r>
        <w:rPr>
          <w:rFonts w:ascii="Georgia" w:hAnsi="Georgia"/>
          <w:b/>
          <w:color w:val="0F1E42"/>
          <w:sz w:val="23"/>
        </w:rPr>
        <w:t>Estate of Salud Jimenez vs. PEZA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349 SCRA 240, January 16, 2001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Abandonment of public purpose in expropriation entitles previous landowner to reacquire the expropriated property.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40.  </w:t>
      </w:r>
      <w:r>
        <w:rPr>
          <w:rFonts w:ascii="Georgia" w:hAnsi="Georgia"/>
          <w:b/>
          <w:color w:val="0F1E42"/>
          <w:sz w:val="23"/>
        </w:rPr>
        <w:t>MCIAA vs. Lozada, Jr.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176625, February 25, 2010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Right of former owners to repurchase expropriated airport lot upon abandonment of the airport expansion project.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41.  </w:t>
      </w:r>
      <w:r>
        <w:rPr>
          <w:rFonts w:ascii="Georgia" w:hAnsi="Georgia"/>
          <w:b/>
          <w:color w:val="0F1E42"/>
          <w:sz w:val="23"/>
        </w:rPr>
        <w:t>Republic vs. Lim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161656, June 29, 2005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Non-payment of just compensation within 5 years from finality of expropriation judgment entitles owner to recover possession.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42.  </w:t>
      </w:r>
      <w:r>
        <w:rPr>
          <w:rFonts w:ascii="Georgia" w:hAnsi="Georgia"/>
          <w:b/>
          <w:color w:val="0F1E42"/>
          <w:sz w:val="23"/>
        </w:rPr>
        <w:t>Heirs of Alberto Suguitan vs. City of Mandaluyong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328 SCRA 137, March 14, 2000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LGU expropriation under Section 19 of the Local Government Code requires an Ordinance enacted by the Sanggunian, not a mere resolution.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43.  </w:t>
      </w:r>
      <w:r>
        <w:rPr>
          <w:rFonts w:ascii="Georgia" w:hAnsi="Georgia"/>
          <w:b/>
          <w:color w:val="0F1E42"/>
          <w:sz w:val="23"/>
        </w:rPr>
        <w:t>SMI Development Corporation vs. Republic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323 SCRA 862, January 28, 2000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Definiteness of public use in eminent domain; expropriation must serve a clearly specified public purpose.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44.  </w:t>
      </w:r>
      <w:r>
        <w:rPr>
          <w:rFonts w:ascii="Georgia" w:hAnsi="Georgia"/>
          <w:b/>
          <w:color w:val="0F1E42"/>
          <w:sz w:val="23"/>
        </w:rPr>
        <w:t>Philippine Press Institute vs. COMELEC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119694, May 22, 1995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Compelling print media to provide free 'Comelec Space' constitutes taking of private property without just compensation.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45.  </w:t>
      </w:r>
      <w:r>
        <w:rPr>
          <w:rFonts w:ascii="Georgia" w:hAnsi="Georgia"/>
          <w:b/>
          <w:color w:val="0F1E42"/>
          <w:sz w:val="23"/>
        </w:rPr>
        <w:t>TELEBAP, Inc. vs. COMELEC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289 SCRA 337, April 21, 1998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Requirement of free broadcast airtime for Comelec is a valid condition of public airwave franchises under police power.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46.  </w:t>
      </w:r>
      <w:r>
        <w:rPr>
          <w:rFonts w:ascii="Georgia" w:hAnsi="Georgia"/>
          <w:b/>
          <w:color w:val="0F1E42"/>
          <w:sz w:val="23"/>
        </w:rPr>
        <w:t>Heirs of Juancho Ardona vs. Reyes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125 SCRA 220 (1983)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Concept of public use in eminent domain encompasses tourism development, economic infrastructure, and social promotion.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47.  </w:t>
      </w:r>
      <w:r>
        <w:rPr>
          <w:rFonts w:ascii="Georgia" w:hAnsi="Georgia"/>
          <w:b/>
          <w:color w:val="0F1E42"/>
          <w:sz w:val="23"/>
        </w:rPr>
        <w:t>OSG vs. Ayala Land Incorporated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177056, September 18, 2009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Prohibiting shopping malls from charging parking fees is an unconstitutional taking of private property without compensation.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48.  </w:t>
      </w:r>
      <w:r>
        <w:rPr>
          <w:rFonts w:ascii="Georgia" w:hAnsi="Georgia"/>
          <w:b/>
          <w:color w:val="0F1E42"/>
          <w:sz w:val="23"/>
        </w:rPr>
        <w:t>Mosqueda vs. Pilipino Banana Growers &amp; Exporters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189185, August 16, 2016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City ordinance banning aerial spraying is an unreasonable and oppressive police power measure violating due process and equal protection.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49.  </w:t>
      </w:r>
      <w:r>
        <w:rPr>
          <w:rFonts w:ascii="Georgia" w:hAnsi="Georgia"/>
          <w:b/>
          <w:color w:val="0F1E42"/>
          <w:sz w:val="23"/>
        </w:rPr>
        <w:t>Secretary of DPWH vs. Spouses Tecson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179334, April 21, 2015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Determination of just compensation is based on the fair market value at the time of taking, plus legal interest until fully paid.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50.  </w:t>
      </w:r>
      <w:r>
        <w:rPr>
          <w:rFonts w:ascii="Georgia" w:hAnsi="Georgia"/>
          <w:b/>
          <w:color w:val="0F1E42"/>
          <w:sz w:val="23"/>
        </w:rPr>
        <w:t>NPC vs. Heirs of Macabangkit Sangkay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656 SCRA 60 (2011)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Inverse condemnation; construction of underground hydroelectric tunnel without compensation is a taking; action does not prescribe.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51.  </w:t>
      </w:r>
      <w:r>
        <w:rPr>
          <w:rFonts w:ascii="Georgia" w:hAnsi="Georgia"/>
          <w:b/>
          <w:color w:val="0F1E42"/>
          <w:sz w:val="23"/>
        </w:rPr>
        <w:t>EPZA (now PEZA) vs. Pulido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656 SCRA 315 (2011)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Application of the Doctrine of the Law of the Case in determining just compensation valuation.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52.  </w:t>
      </w:r>
      <w:r>
        <w:rPr>
          <w:rFonts w:ascii="Georgia" w:hAnsi="Georgia"/>
          <w:b/>
          <w:color w:val="0F1E42"/>
          <w:sz w:val="23"/>
        </w:rPr>
        <w:t>Republic vs. Judge Mupas and PIATCO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181892, September 8, 2015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Valuation methodology in NAIA Terminal 3 expropriation; replacement cost method and depreciated structural value.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53.  </w:t>
      </w:r>
      <w:r>
        <w:rPr>
          <w:rFonts w:ascii="Georgia" w:hAnsi="Georgia"/>
          <w:b/>
          <w:color w:val="0F1E42"/>
          <w:sz w:val="23"/>
        </w:rPr>
        <w:t>LBP vs. Dalauta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190004, August 8, 2017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Judicial determination of just compensation is an exclusive court power; DARAB administrative formulas serve as non-binding guidelines.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54.  </w:t>
      </w:r>
      <w:r>
        <w:rPr>
          <w:rFonts w:ascii="Georgia" w:hAnsi="Georgia"/>
          <w:b/>
          <w:color w:val="0F1E42"/>
          <w:sz w:val="23"/>
        </w:rPr>
        <w:t>Alfonso vs. LBP and DAR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181912, November 29, 2016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Trial courts must consider statutory factors in RA 6657 and DAR formulas in judicially computing agrarian just compensation.</w:t>
      </w:r>
    </w:p>
    <w:p>
      <w:pPr>
        <w:spacing w:after="80"/>
      </w:pPr>
    </w:p>
    <w:p>
      <w:pPr>
        <w:spacing w:before="360" w:after="40"/>
      </w:pPr>
      <w:r>
        <w:rPr>
          <w:rFonts w:ascii="Georgia" w:hAnsi="Georgia"/>
          <w:b/>
          <w:color w:val="0F1E42"/>
          <w:sz w:val="28"/>
        </w:rPr>
        <w:t>Topic IV: State Policies, Principles and General Considerations</w:t>
      </w:r>
    </w:p>
    <w:p>
      <w:pPr>
        <w:spacing w:after="200"/>
      </w:pPr>
      <w:r>
        <w:rPr>
          <w:rFonts w:ascii="Calibri" w:hAnsi="Calibri"/>
          <w:b/>
          <w:color w:val="B45309"/>
          <w:sz w:val="20"/>
        </w:rPr>
        <w:t>Subject Scope: Republicanism, Separation of Powers, Ecology, Nationalist Provisions, Regalian Doctrine • 11 Assigned Cases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55.  </w:t>
      </w:r>
      <w:r>
        <w:rPr>
          <w:rFonts w:ascii="Georgia" w:hAnsi="Georgia"/>
          <w:b/>
          <w:color w:val="0F1E42"/>
          <w:sz w:val="23"/>
        </w:rPr>
        <w:t>MMDA vs. Concerned Residents of Manila Bay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Nos. 171947-48, February 15, 2011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Continuing Mandamus; separation of powers does not bar the Supreme Court from directing executive agencies to perform ministerial duties to clean Manila Bay.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56.  </w:t>
      </w:r>
      <w:r>
        <w:rPr>
          <w:rFonts w:ascii="Georgia" w:hAnsi="Georgia"/>
          <w:b/>
          <w:color w:val="0F1E42"/>
          <w:sz w:val="23"/>
        </w:rPr>
        <w:t>Belgica vs. Ochoa, Jr.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208566, November 19, 2013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Unconstitutionality of the PDAF / Pork Barrel System; violation of separation of powers and non-delegation doctrine; Two Fundamental Tests of delegation.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57.  </w:t>
      </w:r>
      <w:r>
        <w:rPr>
          <w:rFonts w:ascii="Georgia" w:hAnsi="Georgia"/>
          <w:b/>
          <w:color w:val="0F1E42"/>
          <w:sz w:val="23"/>
        </w:rPr>
        <w:t>Gonzales III vs. Office of the President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196231, January 28, 2014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Constitutional independence of the Office of the Ombudsman; President cannot administratively discipline the Deputy Ombudsman.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58.  </w:t>
      </w:r>
      <w:r>
        <w:rPr>
          <w:rFonts w:ascii="Georgia" w:hAnsi="Georgia"/>
          <w:b/>
          <w:color w:val="0F1E42"/>
          <w:sz w:val="23"/>
        </w:rPr>
        <w:t>Garcia vs. Executive Secretary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198554, July 30, 2012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Civilian supremacy over the military (Art. II, Sec. 3); President's power to create fact-finding and truth commissions.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59.  </w:t>
      </w:r>
      <w:r>
        <w:rPr>
          <w:rFonts w:ascii="Georgia" w:hAnsi="Georgia"/>
          <w:b/>
          <w:color w:val="0F1E42"/>
          <w:sz w:val="23"/>
        </w:rPr>
        <w:t>Oposa vs. Factoran, Jr.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224 SCRA 792 (1993)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Intergenerational responsibility; the right to a balanced and healthful ecology (Art. II, Sec. 16) is self-executing and confers legal standing on minors.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60.  </w:t>
      </w:r>
      <w:r>
        <w:rPr>
          <w:rFonts w:ascii="Georgia" w:hAnsi="Georgia"/>
          <w:b/>
          <w:color w:val="0F1E42"/>
          <w:sz w:val="23"/>
        </w:rPr>
        <w:t>Cadet 1CL Cudia vs. Superintendent of PMA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211362, February 24, 2015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Academic freedom of military institutions includes the right to dismiss cadets who violate the Honor Code, provided minimum due process is observed.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61.  </w:t>
      </w:r>
      <w:r>
        <w:rPr>
          <w:rFonts w:ascii="Georgia" w:hAnsi="Georgia"/>
          <w:b/>
          <w:color w:val="0F1E42"/>
          <w:sz w:val="23"/>
        </w:rPr>
        <w:t>Behest Loans Committee vs. Desierto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130140, October 25, 1999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State right to recover ill-gotten wealth under Art. XI, Sec. 15; prescription for behest loans starts from discovery by investigative committee.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62.  </w:t>
      </w:r>
      <w:r>
        <w:rPr>
          <w:rFonts w:ascii="Georgia" w:hAnsi="Georgia"/>
          <w:b/>
          <w:color w:val="0F1E42"/>
          <w:sz w:val="23"/>
        </w:rPr>
        <w:t>Isagani Cruz vs. Secretary of DENR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135385, December 6, 2000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Regalian Doctrine (Art. XII, Sec. 2) vs Indigenous Peoples' Rights Act (IPRA / RA 8371); recognition of ancestral domain ownership.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63.  </w:t>
      </w:r>
      <w:r>
        <w:rPr>
          <w:rFonts w:ascii="Georgia" w:hAnsi="Georgia"/>
          <w:b/>
          <w:color w:val="0F1E42"/>
          <w:sz w:val="23"/>
        </w:rPr>
        <w:t>Resident Marine Mammals vs. Sec. Angelo Reyes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180771, April 21, 2015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Legal standing of human stewards on behalf of cetacean species; unconstitutionality of Service Contract No. 46 in Tañon Strait protected seascape.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64.  </w:t>
      </w:r>
      <w:r>
        <w:rPr>
          <w:rFonts w:ascii="Georgia" w:hAnsi="Georgia"/>
          <w:b/>
          <w:color w:val="0F1E42"/>
          <w:sz w:val="23"/>
        </w:rPr>
        <w:t>Roy III vs. Chairperson Herbosa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207246, November 22, 2016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The 60-40 Filipino ownership rule for public utilities (Art. XII, Sec. 11) applies separately to both voting shares and beneficial ownership.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65.  </w:t>
      </w:r>
      <w:r>
        <w:rPr>
          <w:rFonts w:ascii="Georgia" w:hAnsi="Georgia"/>
          <w:b/>
          <w:color w:val="0F1E42"/>
          <w:sz w:val="23"/>
        </w:rPr>
        <w:t>PNOC vs. Keppel Philippines Holdings, Inc.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202050, July 25, 2016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Constitutional prohibition against foreign acquisition of private lands (Art. XII, Sec. 7); option contracts granting land purchase to foreign corporations are void.</w:t>
      </w:r>
    </w:p>
    <w:p>
      <w:pPr>
        <w:spacing w:after="80"/>
      </w:pPr>
    </w:p>
    <w:p>
      <w:pPr>
        <w:spacing w:before="360" w:after="40"/>
      </w:pPr>
      <w:r>
        <w:rPr>
          <w:rFonts w:ascii="Georgia" w:hAnsi="Georgia"/>
          <w:b/>
          <w:color w:val="0F1E42"/>
          <w:sz w:val="28"/>
        </w:rPr>
        <w:t>Topic V: Legislative Department</w:t>
      </w:r>
    </w:p>
    <w:p>
      <w:pPr>
        <w:spacing w:after="200"/>
      </w:pPr>
      <w:r>
        <w:rPr>
          <w:rFonts w:ascii="Calibri" w:hAnsi="Calibri"/>
          <w:b/>
          <w:color w:val="B45309"/>
          <w:sz w:val="20"/>
        </w:rPr>
        <w:t>Subject Scope: Bicameral Congress, Privileges, Disqualifications, Inquiries, Impeachment, and Legislative Veto • 27 Assigned Cases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66.  </w:t>
      </w:r>
      <w:r>
        <w:rPr>
          <w:rFonts w:ascii="Georgia" w:hAnsi="Georgia"/>
          <w:b/>
          <w:color w:val="0F1E42"/>
          <w:sz w:val="23"/>
        </w:rPr>
        <w:t>Lagman vs. Executive Secretary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231658, July 4, 2017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Delegated emergency powers; martial law proclamation in Mindanao; separate vs joint review powers of Congress and the Supreme Court.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67.  </w:t>
      </w:r>
      <w:r>
        <w:rPr>
          <w:rFonts w:ascii="Georgia" w:hAnsi="Georgia"/>
          <w:b/>
          <w:color w:val="0F1E42"/>
          <w:sz w:val="23"/>
        </w:rPr>
        <w:t>Trillanes IV vs. Hon. Oscar Pimentel, Sr.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179817, June 27, 2008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Election to the Senate does not confer immunity from criminal detention for coup d'état; legislative work cannot be performed inside prison.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68.  </w:t>
      </w:r>
      <w:r>
        <w:rPr>
          <w:rFonts w:ascii="Georgia" w:hAnsi="Georgia"/>
          <w:b/>
          <w:color w:val="0F1E42"/>
          <w:sz w:val="23"/>
        </w:rPr>
        <w:t>Aquino vs. COMELEC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189793, April 7, 2010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Constitutional apportionment of legislative districts; the 250,000 population requirement applies to cities, not to whole provinces.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69.  </w:t>
      </w:r>
      <w:r>
        <w:rPr>
          <w:rFonts w:ascii="Georgia" w:hAnsi="Georgia"/>
          <w:b/>
          <w:color w:val="0F1E42"/>
          <w:sz w:val="23"/>
        </w:rPr>
        <w:t>Bagabuyo vs. COMELEC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176970, December 8, 2008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Reapportionment of legislative districts via statute does not require a plebiscite under Article X, Section 10.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70.  </w:t>
      </w:r>
      <w:r>
        <w:rPr>
          <w:rFonts w:ascii="Georgia" w:hAnsi="Georgia"/>
          <w:b/>
          <w:color w:val="0F1E42"/>
          <w:sz w:val="23"/>
        </w:rPr>
        <w:t>Sema vs. COMELEC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177597, July 16, 2008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Power to create legislative districts belongs exclusively to the national Congress; ARMM regional assembly cannot create provinces or districts.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71.  </w:t>
      </w:r>
      <w:r>
        <w:rPr>
          <w:rFonts w:ascii="Georgia" w:hAnsi="Georgia"/>
          <w:b/>
          <w:color w:val="0F1E42"/>
          <w:sz w:val="23"/>
        </w:rPr>
        <w:t>People vs. Jalosjos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324 SCRA 689, February 3, 2000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Parliamentary immunity from arrest (Art. VI, Sec. 11) is unavailable for offenses punishable by more than 6 years imprisonment.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72.  </w:t>
      </w:r>
      <w:r>
        <w:rPr>
          <w:rFonts w:ascii="Georgia" w:hAnsi="Georgia"/>
          <w:b/>
          <w:color w:val="0F1E42"/>
          <w:sz w:val="23"/>
        </w:rPr>
        <w:t>Osmeña vs. Pendatun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109 Phil. 863 (1960)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Speech and debate clause protects legislators from external liability, but the House retains inherent disciplinary power to suspend its members.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73.  </w:t>
      </w:r>
      <w:r>
        <w:rPr>
          <w:rFonts w:ascii="Georgia" w:hAnsi="Georgia"/>
          <w:b/>
          <w:color w:val="0F1E42"/>
          <w:sz w:val="23"/>
        </w:rPr>
        <w:t>Pobre vs. Santiago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A.C. No. 7399, August 25, 2009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Absolute parliamentary immunity of Senators for speeches delivered on the Senate floor bars disciplinary disbarment proceedings.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74.  </w:t>
      </w:r>
      <w:r>
        <w:rPr>
          <w:rFonts w:ascii="Georgia" w:hAnsi="Georgia"/>
          <w:b/>
          <w:color w:val="0F1E42"/>
          <w:sz w:val="23"/>
        </w:rPr>
        <w:t>Liban vs. Gordon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175352, July 15, 2009 / Jan 18, 2011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Incompatible offices under Art. VI, Sec. 13; holding the office of Philippine Red Cross Chairman does not forfeit Senate seat.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75.  </w:t>
      </w:r>
      <w:r>
        <w:rPr>
          <w:rFonts w:ascii="Georgia" w:hAnsi="Georgia"/>
          <w:b/>
          <w:color w:val="0F1E42"/>
          <w:sz w:val="23"/>
        </w:rPr>
        <w:t>Baguilat vs. Speaker Alvarez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227757, July 25, 2017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Internal election of House officers and recognition of Minority Leader is a non-justiciable political question.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76.  </w:t>
      </w:r>
      <w:r>
        <w:rPr>
          <w:rFonts w:ascii="Georgia" w:hAnsi="Georgia"/>
          <w:b/>
          <w:color w:val="0F1E42"/>
          <w:sz w:val="23"/>
        </w:rPr>
        <w:t>Pimentel vs. HRET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393 SCRA 227 (2002)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Independence and constitutional composition of the House of Representatives Electoral Tribunal (HRET).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77.  </w:t>
      </w:r>
      <w:r>
        <w:rPr>
          <w:rFonts w:ascii="Georgia" w:hAnsi="Georgia"/>
          <w:b/>
          <w:color w:val="0F1E42"/>
          <w:sz w:val="23"/>
        </w:rPr>
        <w:t>Vilando vs. HRET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656 SCRA 17 (2011)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Exclusive jurisdiction of HRET over election, returns, and qualifications of House members.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78.  </w:t>
      </w:r>
      <w:r>
        <w:rPr>
          <w:rFonts w:ascii="Georgia" w:hAnsi="Georgia"/>
          <w:b/>
          <w:color w:val="0F1E42"/>
          <w:sz w:val="23"/>
        </w:rPr>
        <w:t>Reyes vs. COMELEC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207264, June 25, 2013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Jurisdiction transition from COMELEC to HRET requires three requisites: valid proclamation, proper oath, and assumption of office.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79.  </w:t>
      </w:r>
      <w:r>
        <w:rPr>
          <w:rFonts w:ascii="Georgia" w:hAnsi="Georgia"/>
          <w:b/>
          <w:color w:val="0F1E42"/>
          <w:sz w:val="23"/>
        </w:rPr>
        <w:t>Velasco vs. Speaker Belmonte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211140, January 12, 2016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Ministerial duty of the House Speaker to administer oath to the candidate conclusively declared winner by final Supreme Court judgment.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80.  </w:t>
      </w:r>
      <w:r>
        <w:rPr>
          <w:rFonts w:ascii="Georgia" w:hAnsi="Georgia"/>
          <w:b/>
          <w:color w:val="0F1E42"/>
          <w:sz w:val="23"/>
        </w:rPr>
        <w:t>Abayon vs. COMELEC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189434, February 11, 2010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HRET has exclusive jurisdiction over qualifications and election disputes involving Party-List representatives once proclaimed and seated.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81.  </w:t>
      </w:r>
      <w:r>
        <w:rPr>
          <w:rFonts w:ascii="Georgia" w:hAnsi="Georgia"/>
          <w:b/>
          <w:color w:val="0F1E42"/>
          <w:sz w:val="23"/>
        </w:rPr>
        <w:t>ABAKADA Guro vs. Purisima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166715, August 14, 2008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Three kinds of legislative oversight: scrutiny, investigation, and supervision; unconstitutionality of legislative veto post-enactment.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82.  </w:t>
      </w:r>
      <w:r>
        <w:rPr>
          <w:rFonts w:ascii="Georgia" w:hAnsi="Georgia"/>
          <w:b/>
          <w:color w:val="0F1E42"/>
          <w:sz w:val="23"/>
        </w:rPr>
        <w:t>Garcilliano vs. House of Representatives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170338, December 23, 2008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Power of legislative inquiry (Art. VI, Sec. 21) requires publication of inquiry rules of procedure in newspapers of general circulation or Official Gazette.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83.  </w:t>
      </w:r>
      <w:r>
        <w:rPr>
          <w:rFonts w:ascii="Georgia" w:hAnsi="Georgia"/>
          <w:b/>
          <w:color w:val="0F1E42"/>
          <w:sz w:val="23"/>
        </w:rPr>
        <w:t>Senate of the Philippines vs. Ermita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169777, April 20, 2006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Unconstitutionality of EO 464; Executive Privilege cannot be invoked as an blanket ban preventing cabinet officials from attending inquiries.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84.  </w:t>
      </w:r>
      <w:r>
        <w:rPr>
          <w:rFonts w:ascii="Georgia" w:hAnsi="Georgia"/>
          <w:b/>
          <w:color w:val="0F1E42"/>
          <w:sz w:val="23"/>
        </w:rPr>
        <w:t>Neri vs. Senate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180643, September 5, 2008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Elements of Presidential Communications Privilege: relation to quintessential presidential power, authored by close advisors, valid claim.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85.  </w:t>
      </w:r>
      <w:r>
        <w:rPr>
          <w:rFonts w:ascii="Georgia" w:hAnsi="Georgia"/>
          <w:b/>
          <w:color w:val="0F1E42"/>
          <w:sz w:val="23"/>
        </w:rPr>
        <w:t>AKBAYAN vs. Thomas Aquino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170516, July 16, 2008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Executive privilege over diplomatic and treaty negotiations (JPEPA) during pendency of international treaty formulation.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86.  </w:t>
      </w:r>
      <w:r>
        <w:rPr>
          <w:rFonts w:ascii="Georgia" w:hAnsi="Georgia"/>
          <w:b/>
          <w:color w:val="0F1E42"/>
          <w:sz w:val="23"/>
        </w:rPr>
        <w:t>Gudani vs. Senga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170561, August 15, 2006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President as Commander-in-Chief may order military officers not to testify before legislative inquiries without prior presidential clearance.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87.  </w:t>
      </w:r>
      <w:r>
        <w:rPr>
          <w:rFonts w:ascii="Georgia" w:hAnsi="Georgia"/>
          <w:b/>
          <w:color w:val="0F1E42"/>
          <w:sz w:val="23"/>
        </w:rPr>
        <w:t>Arnault vs. Nazareno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L-3820, July 18, 1950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Inherent power of Congress to punish recalcitrant witnesses for contempt and commit them to prison until they answer proper inquiries.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88.  </w:t>
      </w:r>
      <w:r>
        <w:rPr>
          <w:rFonts w:ascii="Georgia" w:hAnsi="Georgia"/>
          <w:b/>
          <w:color w:val="0F1E42"/>
          <w:sz w:val="23"/>
        </w:rPr>
        <w:t>NORECO vs. Sangguniang Panlungsod of Dumaguete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155 SCRA 421 (1987)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Local legislative councils (Sanggunian) do not possess inherent power to punish for contempt in the absence of express statutory grant.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89.  </w:t>
      </w:r>
      <w:r>
        <w:rPr>
          <w:rFonts w:ascii="Georgia" w:hAnsi="Georgia"/>
          <w:b/>
          <w:color w:val="0F1E42"/>
          <w:sz w:val="23"/>
        </w:rPr>
        <w:t>David vs. Macapagal-Arroyo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171396, May 3, 2006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Presidential immunity from suit during incumbency; President cannot be sued in court while holding office, but remains subject to impeachment.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90.  </w:t>
      </w:r>
      <w:r>
        <w:rPr>
          <w:rFonts w:ascii="Georgia" w:hAnsi="Georgia"/>
          <w:b/>
          <w:color w:val="0F1E42"/>
          <w:sz w:val="23"/>
        </w:rPr>
        <w:t>Lecaroz vs. Sandiganbayan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128 SCRA 324 (1984)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Impeachable officers cannot be charged criminally before the Sandiganbayan for offenses warranting removal until removed via impeachment.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91.  </w:t>
      </w:r>
      <w:r>
        <w:rPr>
          <w:rFonts w:ascii="Georgia" w:hAnsi="Georgia"/>
          <w:b/>
          <w:color w:val="0F1E42"/>
          <w:sz w:val="23"/>
        </w:rPr>
        <w:t>RE: EM No. 03-010 (COMELEC Order)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A.M. No. 03-8-22-SC, September 16, 2003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Exclusivity of impeachment mechanism for constitutional commissioners; disciplinary jurisdiction.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92.  </w:t>
      </w:r>
      <w:r>
        <w:rPr>
          <w:rFonts w:ascii="Georgia" w:hAnsi="Georgia"/>
          <w:b/>
          <w:color w:val="0F1E42"/>
          <w:sz w:val="23"/>
        </w:rPr>
        <w:t>Republic vs. Sereno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237428, June 19, 2018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Quo warranto against an impeachable officer for lack of constitutional qualifications and integrity is legally distinct from impeachment.</w:t>
      </w:r>
    </w:p>
    <w:p>
      <w:pPr>
        <w:spacing w:after="80"/>
      </w:pPr>
    </w:p>
    <w:p>
      <w:pPr>
        <w:spacing w:before="360" w:after="40"/>
      </w:pPr>
      <w:r>
        <w:rPr>
          <w:rFonts w:ascii="Georgia" w:hAnsi="Georgia"/>
          <w:b/>
          <w:color w:val="0F1E42"/>
          <w:sz w:val="28"/>
        </w:rPr>
        <w:t>Topic VI: Executive Department</w:t>
      </w:r>
    </w:p>
    <w:p>
      <w:pPr>
        <w:spacing w:after="200"/>
      </w:pPr>
      <w:r>
        <w:rPr>
          <w:rFonts w:ascii="Calibri" w:hAnsi="Calibri"/>
          <w:b/>
          <w:color w:val="B45309"/>
          <w:sz w:val="20"/>
        </w:rPr>
        <w:t>Subject Scope: The Presidency, Succession, Prohibitions, Powers (Control, Appointment, Military, Clemency) • 26 Assigned Cases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93.  </w:t>
      </w:r>
      <w:r>
        <w:rPr>
          <w:rFonts w:ascii="Georgia" w:hAnsi="Georgia"/>
          <w:b/>
          <w:color w:val="0F1E42"/>
          <w:sz w:val="23"/>
        </w:rPr>
        <w:t>Estrada vs. Desierto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Nos. 146710-15, March 2, 2001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Constructive resignation of the President; permanent vacancy under Art. VII, Sec. 8; totality of prior, contemporaneous, and subsequent acts.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94.  </w:t>
      </w:r>
      <w:r>
        <w:rPr>
          <w:rFonts w:ascii="Georgia" w:hAnsi="Georgia"/>
          <w:b/>
          <w:color w:val="0F1E42"/>
          <w:sz w:val="23"/>
        </w:rPr>
        <w:t>Civil Liberties Union vs. Executive Secretary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194 SCRA 317 (1991)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Article VII, Section 13 imposes a strict prohibition on Cabinet members holding multiple appointive offices, stricter than Article IX-B.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95.  </w:t>
      </w:r>
      <w:r>
        <w:rPr>
          <w:rFonts w:ascii="Georgia" w:hAnsi="Georgia"/>
          <w:b/>
          <w:color w:val="0F1E42"/>
          <w:sz w:val="23"/>
        </w:rPr>
        <w:t>Clarificatory Resolution in CLU &amp; Anti-Graft League vs. Juico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83896, August 1, 1991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Ex-officio positions closely related to primary department functions and uncompensated are exempt from multiple office ban.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96.  </w:t>
      </w:r>
      <w:r>
        <w:rPr>
          <w:rFonts w:ascii="Georgia" w:hAnsi="Georgia"/>
          <w:b/>
          <w:color w:val="0F1E42"/>
          <w:sz w:val="23"/>
        </w:rPr>
        <w:t>Public Interest Center Inc. vs. Elma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138965, June 30, 2006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Holding concurrent offices of Chief Presidential Legal Counsel and PCGG Chairman violates the constitutional ban on multiple offices.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97.  </w:t>
      </w:r>
      <w:r>
        <w:rPr>
          <w:rFonts w:ascii="Georgia" w:hAnsi="Georgia"/>
          <w:b/>
          <w:color w:val="0F1E42"/>
          <w:sz w:val="23"/>
        </w:rPr>
        <w:t>Soliven vs. Makasiar / Beltran vs. Makasiar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167 SCRA 393 (1988)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Presidential immunity is a personal privilege of the President and does not prevent the President from initiating criminal libel complaints.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98.  </w:t>
      </w:r>
      <w:r>
        <w:rPr>
          <w:rFonts w:ascii="Georgia" w:hAnsi="Georgia"/>
          <w:b/>
          <w:color w:val="0F1E42"/>
          <w:sz w:val="23"/>
        </w:rPr>
        <w:t>Marcos vs. Manglapus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177 SCRA 668 (1989)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Residual executive power of the President under Art. VII, Sec. 1 to protect peace and order and prevent entry of destabilizing former dictator.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99.  </w:t>
      </w:r>
      <w:r>
        <w:rPr>
          <w:rFonts w:ascii="Georgia" w:hAnsi="Georgia"/>
          <w:b/>
          <w:color w:val="0F1E42"/>
          <w:sz w:val="23"/>
        </w:rPr>
        <w:t>Ocampo vs. Rear Admiral Enriquez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225973, November 8, 2016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Presidential discretion under executive control powers to allow burial of former President Marcos at Libingan ng mga Bayani.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100.  </w:t>
      </w:r>
      <w:r>
        <w:rPr>
          <w:rFonts w:ascii="Georgia" w:hAnsi="Georgia"/>
          <w:b/>
          <w:color w:val="0F1E42"/>
          <w:sz w:val="23"/>
        </w:rPr>
        <w:t>PSALM vs. Commissioner of Internal Revenue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198146, August 8, 2017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Presidential power of control over government corporations; mandatory administrative settlement of disputes between state agencies.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101.  </w:t>
      </w:r>
      <w:r>
        <w:rPr>
          <w:rFonts w:ascii="Georgia" w:hAnsi="Georgia"/>
          <w:b/>
          <w:color w:val="0F1E42"/>
          <w:sz w:val="23"/>
        </w:rPr>
        <w:t>Ganzon vs. CA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200 SCRA 271 (1991)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General supervision over local government units under Art. X, Sec. 4 does not include control; Secretary cannot arbitrarily suspend elected mayors.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102.  </w:t>
      </w:r>
      <w:r>
        <w:rPr>
          <w:rFonts w:ascii="Georgia" w:hAnsi="Georgia"/>
          <w:b/>
          <w:color w:val="0F1E42"/>
          <w:sz w:val="23"/>
        </w:rPr>
        <w:t>Lacson vs. Romero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84 Phil. 740 (1949)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Four stages of appointing process: nomination, confirmation, issuance of commission, and acceptance by the appointee.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103.  </w:t>
      </w:r>
      <w:r>
        <w:rPr>
          <w:rFonts w:ascii="Georgia" w:hAnsi="Georgia"/>
          <w:b/>
          <w:color w:val="0F1E42"/>
          <w:sz w:val="23"/>
        </w:rPr>
        <w:t>Aguinaldo vs. President Aquino III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224302, November 29, 2016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Presidential appointment power from JBC shortlists; clustering of nominees for multiple Sandiganbayan vacancies is unconstitutional.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104.  </w:t>
      </w:r>
      <w:r>
        <w:rPr>
          <w:rFonts w:ascii="Georgia" w:hAnsi="Georgia"/>
          <w:b/>
          <w:color w:val="0F1E42"/>
          <w:sz w:val="23"/>
        </w:rPr>
        <w:t>In Re: Valenzuela and Vallarta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298 SCRA 408, November 9, 1998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Prohibition on midnight appointments under Art. VII, Sec. 15 applies to appointments in the Judiciary.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105.  </w:t>
      </w:r>
      <w:r>
        <w:rPr>
          <w:rFonts w:ascii="Georgia" w:hAnsi="Georgia"/>
          <w:b/>
          <w:color w:val="0F1E42"/>
          <w:sz w:val="23"/>
        </w:rPr>
        <w:t>Atty. Velicaria-Garafil vs. Office of the President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203372, June 16, 2015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Requisites of midnight appointment; validity of Executive Order No. 2 revoking midnight appointments lacking complete transmission.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106.  </w:t>
      </w:r>
      <w:r>
        <w:rPr>
          <w:rFonts w:ascii="Georgia" w:hAnsi="Georgia"/>
          <w:b/>
          <w:color w:val="0F1E42"/>
          <w:sz w:val="23"/>
        </w:rPr>
        <w:t>De Castro vs. JBC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191002, April 20, 2010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The constitutional ban on midnight appointments (Art. VII, Sec. 15) does not apply to appointments to the Supreme Court (Art. VIII, Sec. 4[1]).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107.  </w:t>
      </w:r>
      <w:r>
        <w:rPr>
          <w:rFonts w:ascii="Georgia" w:hAnsi="Georgia"/>
          <w:b/>
          <w:color w:val="0F1E42"/>
          <w:sz w:val="23"/>
        </w:rPr>
        <w:t>De Rama vs. CA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353 SCRA 94, February 28, 2001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Appointments made prior to the commencement of the election ban period are valid and do not constitute midnight appointments.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108.  </w:t>
      </w:r>
      <w:r>
        <w:rPr>
          <w:rFonts w:ascii="Georgia" w:hAnsi="Georgia"/>
          <w:b/>
          <w:color w:val="0F1E42"/>
          <w:sz w:val="23"/>
        </w:rPr>
        <w:t>Funa vs. COA Chair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192791, April 24, 2012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Prohibition on promotional appointment of an incumbent Commissioner to the office of COA Chairman for a fresh 7-year term.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109.  </w:t>
      </w:r>
      <w:r>
        <w:rPr>
          <w:rFonts w:ascii="Georgia" w:hAnsi="Georgia"/>
          <w:b/>
          <w:color w:val="0F1E42"/>
          <w:sz w:val="23"/>
        </w:rPr>
        <w:t>Kulayan vs. Tan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187298, July 3, 2012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Calling out powers under Commander-in-Chief clause belong exclusively to the President; provincial governors cannot call out the AFP.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110.  </w:t>
      </w:r>
      <w:r>
        <w:rPr>
          <w:rFonts w:ascii="Georgia" w:hAnsi="Georgia"/>
          <w:b/>
          <w:color w:val="0F1E42"/>
          <w:sz w:val="23"/>
        </w:rPr>
        <w:t>IBP vs. Zamora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141284, August 15, 2000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Judicial review of the factual basis of calling out the armed forces to assist the Philippine National Police in joint visibility patrols.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111.  </w:t>
      </w:r>
      <w:r>
        <w:rPr>
          <w:rFonts w:ascii="Georgia" w:hAnsi="Georgia"/>
          <w:b/>
          <w:color w:val="0F1E42"/>
          <w:sz w:val="23"/>
        </w:rPr>
        <w:t>Padilla vs. Congress of the Philippines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231671, July 25, 2017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Congress is not required to convene in joint session to approve martial law unless it intends to revoke or extend the proclamation.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112.  </w:t>
      </w:r>
      <w:r>
        <w:rPr>
          <w:rFonts w:ascii="Georgia" w:hAnsi="Georgia"/>
          <w:b/>
          <w:color w:val="0F1E42"/>
          <w:sz w:val="23"/>
        </w:rPr>
        <w:t>Olaguer vs. Military Commission No. 34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150 SCRA 144 (1987)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Open Court Doctrine; military tribunals have no jurisdiction over civilians when civil courts are functioning under martial law.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113.  </w:t>
      </w:r>
      <w:r>
        <w:rPr>
          <w:rFonts w:ascii="Georgia" w:hAnsi="Georgia"/>
          <w:b/>
          <w:color w:val="0F1E42"/>
          <w:sz w:val="23"/>
        </w:rPr>
        <w:t>Macapagal-Arroyo vs. People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220598, July 19, 2016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Doctrine of Command Responsibility applies in armed conflict/IHL, but does not substitute for proof of overt acts in plunder prosecutions.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114.  </w:t>
      </w:r>
      <w:r>
        <w:rPr>
          <w:rFonts w:ascii="Georgia" w:hAnsi="Georgia"/>
          <w:b/>
          <w:color w:val="0F1E42"/>
          <w:sz w:val="23"/>
        </w:rPr>
        <w:t>Monsanto vs. Factoran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170 SCRA 190 (1989)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Absolute pardon relieves penalty but does not erase guilt or automatically restore an employee to public office without fresh appointment.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115.  </w:t>
      </w:r>
      <w:r>
        <w:rPr>
          <w:rFonts w:ascii="Georgia" w:hAnsi="Georgia"/>
          <w:b/>
          <w:color w:val="0F1E42"/>
          <w:sz w:val="23"/>
        </w:rPr>
        <w:t>Garcia vs. Chairman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75025, September 14, 1993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Executive clemency by the President and eligibility for reinstatement to civil service without back salaries.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116.  </w:t>
      </w:r>
      <w:r>
        <w:rPr>
          <w:rFonts w:ascii="Georgia" w:hAnsi="Georgia"/>
          <w:b/>
          <w:color w:val="0F1E42"/>
          <w:sz w:val="23"/>
        </w:rPr>
        <w:t>In Re: Wilfredo Sumulong Torres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251 SCRA 709, December 29, 1995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Violation of the terms of a conditional pardon authorizes the President to order the immediate rearrest and recommitment of the convict.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117.  </w:t>
      </w:r>
      <w:r>
        <w:rPr>
          <w:rFonts w:ascii="Georgia" w:hAnsi="Georgia"/>
          <w:b/>
          <w:color w:val="0F1E42"/>
          <w:sz w:val="23"/>
        </w:rPr>
        <w:t>PHILCONSA vs. Enriquez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235 SCRA 506, August 9, 1994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Power of impoundment; executive refusal to spend appropriated funds requires express statutory authority and guidelines.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118.  </w:t>
      </w:r>
      <w:r>
        <w:rPr>
          <w:rFonts w:ascii="Georgia" w:hAnsi="Georgia"/>
          <w:b/>
          <w:color w:val="0F1E42"/>
          <w:sz w:val="23"/>
        </w:rPr>
        <w:t>Araullo vs. Aquino (DAP Case)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209287, February 3, 2015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Unconstitutionality of Disbursement Acceleration Program (DAP) cross-border transfers and pooling of unobligated funds under Art. VI, Sec. 25(5).</w:t>
      </w:r>
    </w:p>
    <w:p>
      <w:pPr>
        <w:spacing w:after="80"/>
      </w:pPr>
    </w:p>
    <w:p>
      <w:pPr>
        <w:spacing w:before="360" w:after="40"/>
      </w:pPr>
      <w:r>
        <w:rPr>
          <w:rFonts w:ascii="Georgia" w:hAnsi="Georgia"/>
          <w:b/>
          <w:color w:val="0F1E42"/>
          <w:sz w:val="28"/>
        </w:rPr>
        <w:t>Topic VII: Judicial Department</w:t>
      </w:r>
    </w:p>
    <w:p>
      <w:pPr>
        <w:spacing w:after="200"/>
      </w:pPr>
      <w:r>
        <w:rPr>
          <w:rFonts w:ascii="Calibri" w:hAnsi="Calibri"/>
          <w:b/>
          <w:color w:val="B45309"/>
          <w:sz w:val="20"/>
        </w:rPr>
        <w:t>Subject Scope: Judicial Power, Requisites of Judicial Review, Safeguards of Independence, The Supreme Court, and JBC • 31 Assigned Cases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119.  </w:t>
      </w:r>
      <w:r>
        <w:rPr>
          <w:rFonts w:ascii="Georgia" w:hAnsi="Georgia"/>
          <w:b/>
          <w:color w:val="0F1E42"/>
          <w:sz w:val="23"/>
        </w:rPr>
        <w:t>Garcia vs. Drilon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699 SCRA 352 (2013)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Expanded judicial power under Art. VIII, Sec. 1 to correct grave abuse of discretion; constitutionality of Anti-VAWC Act (RA 9262).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120.  </w:t>
      </w:r>
      <w:r>
        <w:rPr>
          <w:rFonts w:ascii="Georgia" w:hAnsi="Georgia"/>
          <w:b/>
          <w:color w:val="0F1E42"/>
          <w:sz w:val="23"/>
        </w:rPr>
        <w:t>Vinuya vs. Executive Secretary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162230, April 28, 2010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Political Question Doctrine; executive discretion in foreign affairs regarding diplomatic claims of Filipino comfort women against Japan.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121.  </w:t>
      </w:r>
      <w:r>
        <w:rPr>
          <w:rFonts w:ascii="Georgia" w:hAnsi="Georgia"/>
          <w:b/>
          <w:color w:val="0F1E42"/>
          <w:sz w:val="23"/>
        </w:rPr>
        <w:t>Save the SC Judicial Independence Movement vs. Abolition of JDF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UDK-15143, January 21, 2015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Actual case or controversy requisite; premature challenge against proposed legislative bill abolishing the Judiciary Development Fund.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122.  </w:t>
      </w:r>
      <w:r>
        <w:rPr>
          <w:rFonts w:ascii="Georgia" w:hAnsi="Georgia"/>
          <w:b/>
          <w:color w:val="0F1E42"/>
          <w:sz w:val="23"/>
        </w:rPr>
        <w:t>ISAAA vs. Greenpeace Southeast Asia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209271, July 26, 2016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Moot and academic doctrine exceptions: capable of repetition yet evading review and paramount public interest (Bt talong field trials).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123.  </w:t>
      </w:r>
      <w:r>
        <w:rPr>
          <w:rFonts w:ascii="Georgia" w:hAnsi="Georgia"/>
          <w:b/>
          <w:color w:val="0F1E42"/>
          <w:sz w:val="23"/>
        </w:rPr>
        <w:t>Southwing Heavy Industries, Inc. vs. Executive Secretary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164171, February 20, 2006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Direct injury test for legal standing (locus standi); validity of Executive Order No. 156 banning importation of used motor vehicles.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124.  </w:t>
      </w:r>
      <w:r>
        <w:rPr>
          <w:rFonts w:ascii="Georgia" w:hAnsi="Georgia"/>
          <w:b/>
          <w:color w:val="0F1E42"/>
          <w:sz w:val="23"/>
        </w:rPr>
        <w:t>Saguisag vs. Executive Secretary Ochoa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212426, January 12, 2016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Legislator's standing to challenge the Enhanced Defense Cooperation Agreement (EDCA) as an executive agreement vs treaty.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125.  </w:t>
      </w:r>
      <w:r>
        <w:rPr>
          <w:rFonts w:ascii="Georgia" w:hAnsi="Georgia"/>
          <w:b/>
          <w:color w:val="0F1E42"/>
          <w:sz w:val="23"/>
        </w:rPr>
        <w:t>West Tower Condominium Corp. vs. FPIC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194239, June 16, 2015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Writ of Kalikasan; legal standing of condominium corporation and residents to sue for pipeline oil leaks affecting public health and safety.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126.  </w:t>
      </w:r>
      <w:r>
        <w:rPr>
          <w:rFonts w:ascii="Georgia" w:hAnsi="Georgia"/>
          <w:b/>
          <w:color w:val="0F1E42"/>
          <w:sz w:val="23"/>
        </w:rPr>
        <w:t>Segovia vs. The Climate Change Commission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211010, March 7, 2017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Writ of Kalikasan vs Writ of Continuing Mandamus; Road Sharing Principle and lack of specific ministerial duty to partition roadways.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127.  </w:t>
      </w:r>
      <w:r>
        <w:rPr>
          <w:rFonts w:ascii="Georgia" w:hAnsi="Georgia"/>
          <w:b/>
          <w:color w:val="0F1E42"/>
          <w:sz w:val="23"/>
        </w:rPr>
        <w:t>Southern Hemisphere Engagement Network vs. ATC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632 SCRA 146 (2010)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Prohibition against third-party standing; facial challenge on overbreadth and vagueness is permissible only in free speech, not penal laws.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128.  </w:t>
      </w:r>
      <w:r>
        <w:rPr>
          <w:rFonts w:ascii="Georgia" w:hAnsi="Georgia"/>
          <w:b/>
          <w:color w:val="0F1E42"/>
          <w:sz w:val="23"/>
        </w:rPr>
        <w:t>Disini, Jr. vs. Secretary of Justice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203335, February 18, 2014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Facial challenge against provisions of the Cybercrime Prevention Act of 2012 (RA 10175); void for vagueness and overbreadth in online libel.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129.  </w:t>
      </w:r>
      <w:r>
        <w:rPr>
          <w:rFonts w:ascii="Georgia" w:hAnsi="Georgia"/>
          <w:b/>
          <w:color w:val="0F1E42"/>
          <w:sz w:val="23"/>
        </w:rPr>
        <w:t>Imbong vs. Ochoa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204819, April 8, 2014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Facial challenge against the Reproductive Health Law (RA 10354); protection of the life of the unborn from conception under Art. II, Sec. 12.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130.  </w:t>
      </w:r>
      <w:r>
        <w:rPr>
          <w:rFonts w:ascii="Georgia" w:hAnsi="Georgia"/>
          <w:b/>
          <w:color w:val="0F1E42"/>
          <w:sz w:val="23"/>
        </w:rPr>
        <w:t>SPARK vs. Quezon City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225442, August 8, 2017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Facial challenge against city curfew ordinances for minors; application of strict scrutiny test to protect freedom of movement and assembly.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131.  </w:t>
      </w:r>
      <w:r>
        <w:rPr>
          <w:rFonts w:ascii="Georgia" w:hAnsi="Georgia"/>
          <w:b/>
          <w:color w:val="0F1E42"/>
          <w:sz w:val="23"/>
        </w:rPr>
        <w:t>Lalican vs. Vergara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276 SCRA 518 (1997)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The 'lis mota' of the case; courts will not pass upon a constitutional question if the case can be disposed of on other legal grounds.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132.  </w:t>
      </w:r>
      <w:r>
        <w:rPr>
          <w:rFonts w:ascii="Georgia" w:hAnsi="Georgia"/>
          <w:b/>
          <w:color w:val="0F1E42"/>
          <w:sz w:val="23"/>
        </w:rPr>
        <w:t>Drilon vs. Lim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112497, August 4, 1994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Doctrine of Purposeful Hesitation; courts proceed with caution before striking down statutes or ordinances as unconstitutional.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133.  </w:t>
      </w:r>
      <w:r>
        <w:rPr>
          <w:rFonts w:ascii="Georgia" w:hAnsi="Georgia"/>
          <w:b/>
          <w:color w:val="0F1E42"/>
          <w:sz w:val="23"/>
        </w:rPr>
        <w:t>Republic vs. CA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79732, November 8, 1993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Doctrine of Operative Fact; recognizing the legal consequences and rights accrued under a statute prior to its judicial declaration of invalidity.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134.  </w:t>
      </w:r>
      <w:r>
        <w:rPr>
          <w:rFonts w:ascii="Georgia" w:hAnsi="Georgia"/>
          <w:b/>
          <w:color w:val="0F1E42"/>
          <w:sz w:val="23"/>
        </w:rPr>
        <w:t>Re: COA Opinion on Appraised Value of Retired Justices' Properties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A.M. No. 11-7-10-SC, July 31, 2012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Fiscal Autonomy of the Judiciary under Art. VIII, Sec. 3; COA cannot audit or interfere with Supreme Court constitutional fiscal prerogatives.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135.  </w:t>
      </w:r>
      <w:r>
        <w:rPr>
          <w:rFonts w:ascii="Georgia" w:hAnsi="Georgia"/>
          <w:b/>
          <w:color w:val="0F1E42"/>
          <w:sz w:val="23"/>
        </w:rPr>
        <w:t>In Re First Indorsement from Hon. Raul M. Gonzalez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A.M. No. 88-4-5433, April 15, 1988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Independence of Supreme Court Justices; Tanodbayan/Ombudsman has no jurisdiction to investigate incumbent Justices for judicial acts.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136.  </w:t>
      </w:r>
      <w:r>
        <w:rPr>
          <w:rFonts w:ascii="Georgia" w:hAnsi="Georgia"/>
          <w:b/>
          <w:color w:val="0F1E42"/>
          <w:sz w:val="23"/>
        </w:rPr>
        <w:t>Maceda vs. Vasquez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221 SCRA 464 (1993)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Ombudsman must refer criminal and administrative complaints against judges arising from judicial duties to the Supreme Court for determination.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137.  </w:t>
      </w:r>
      <w:r>
        <w:rPr>
          <w:rFonts w:ascii="Georgia" w:hAnsi="Georgia"/>
          <w:b/>
          <w:color w:val="0F1E42"/>
          <w:sz w:val="23"/>
        </w:rPr>
        <w:t>De Vera vs. Pelayo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335 SCRA 281, July 6, 2000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Administrative supervision over all courts and court personnel is the exclusive constitutional prerogative of the Supreme Court.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138.  </w:t>
      </w:r>
      <w:r>
        <w:rPr>
          <w:rFonts w:ascii="Georgia" w:hAnsi="Georgia"/>
          <w:b/>
          <w:color w:val="0F1E42"/>
          <w:sz w:val="23"/>
        </w:rPr>
        <w:t>Ampong vs. CSC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167916, August 26, 2008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Civil Service Commission has no authority to investigate or discipline court personnel without Supreme Court clearance.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139.  </w:t>
      </w:r>
      <w:r>
        <w:rPr>
          <w:rFonts w:ascii="Georgia" w:hAnsi="Georgia"/>
          <w:b/>
          <w:color w:val="0F1E42"/>
          <w:sz w:val="23"/>
        </w:rPr>
        <w:t>Carpio-Morales vs. CA &amp; Binay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Nos. 217126-27, November 10, 2015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Abandonment of the Condonation / Aguinaldo Doctrine; unconstitutionality of Section 14, par. 2 of RA 6770 restricting court injunctions.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140.  </w:t>
      </w:r>
      <w:r>
        <w:rPr>
          <w:rFonts w:ascii="Georgia" w:hAnsi="Georgia"/>
          <w:b/>
          <w:color w:val="0F1E42"/>
          <w:sz w:val="23"/>
        </w:rPr>
        <w:t>Estipona vs. Lobrigo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226679, August 15, 2017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Exclusive rule-making power of the Supreme Court under Art. VIII, Sec. 5(5); Section 23 of RA 9165 banning plea bargaining in drug cases is unconstitutional.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141.  </w:t>
      </w:r>
      <w:r>
        <w:rPr>
          <w:rFonts w:ascii="Georgia" w:hAnsi="Georgia"/>
          <w:b/>
          <w:color w:val="0F1E42"/>
          <w:sz w:val="23"/>
        </w:rPr>
        <w:t>Mamiscal vs. Clerk of Court Abdullah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A.M. No. SCC-13-18-J, July 1, 2015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Sole disciplinary authority of the Supreme Court over personnel of Shari'a Courts.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142.  </w:t>
      </w:r>
      <w:r>
        <w:rPr>
          <w:rFonts w:ascii="Georgia" w:hAnsi="Georgia"/>
          <w:b/>
          <w:color w:val="0F1E42"/>
          <w:sz w:val="23"/>
        </w:rPr>
        <w:t>SM Land vs. BCDA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203655, September 7, 2015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Supreme Court En Banc voting, quorum, and modification of established doctrinal pronouncements.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143.  </w:t>
      </w:r>
      <w:r>
        <w:rPr>
          <w:rFonts w:ascii="Georgia" w:hAnsi="Georgia"/>
          <w:b/>
          <w:color w:val="0F1E42"/>
          <w:sz w:val="23"/>
        </w:rPr>
        <w:t>Sesbreño vs. CA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161390, April 16, 2008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Constitutional period to decide cases under Art. VIII, Sec. 15; directory nature of periods for lower courts without prejudice to administrative liability.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144.  </w:t>
      </w:r>
      <w:r>
        <w:rPr>
          <w:rFonts w:ascii="Georgia" w:hAnsi="Georgia"/>
          <w:b/>
          <w:color w:val="0F1E42"/>
          <w:sz w:val="23"/>
        </w:rPr>
        <w:t>Re: Problem of Delays in Cases Before Sandiganbayan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A.M. No. 00-8-05-SC, November 28, 2001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Constitutional duty to observe statutory and constitutional deadlines in rendering judicial decisions.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145.  </w:t>
      </w:r>
      <w:r>
        <w:rPr>
          <w:rFonts w:ascii="Georgia" w:hAnsi="Georgia"/>
          <w:b/>
          <w:color w:val="0F1E42"/>
          <w:sz w:val="23"/>
        </w:rPr>
        <w:t>Re: Report on Judicial Audit in RTC Br. 56 Mandaue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A.M. No. 09-7-284-RTC, February 16, 2011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Sanctions for gross inefficiency and failure to decide cases within the constitutional period.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146.  </w:t>
      </w:r>
      <w:r>
        <w:rPr>
          <w:rFonts w:ascii="Georgia" w:hAnsi="Georgia"/>
          <w:b/>
          <w:color w:val="0F1E42"/>
          <w:sz w:val="23"/>
        </w:rPr>
        <w:t>Chavez vs. JBC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202242, April 16, 2013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Constitutional composition of the Judicial and Bar Council under Art. VIII, Sec. 8; Congress is entitled to only one representative with one vote.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147.  </w:t>
      </w:r>
      <w:r>
        <w:rPr>
          <w:rFonts w:ascii="Georgia" w:hAnsi="Georgia"/>
          <w:b/>
          <w:color w:val="0F1E42"/>
          <w:sz w:val="23"/>
        </w:rPr>
        <w:t>Jardeleza vs. Chief Justice Sereno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213181, August 19, 2014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Due process in JBC proceedings; invocation of JBC Rule 10, Sec. 2 on integrity challenges requires notice and opportunity to explain.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148.  </w:t>
      </w:r>
      <w:r>
        <w:rPr>
          <w:rFonts w:ascii="Georgia" w:hAnsi="Georgia"/>
          <w:b/>
          <w:color w:val="0F1E42"/>
          <w:sz w:val="23"/>
        </w:rPr>
        <w:t>Umali vs. JBC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228628, July 25, 2017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Reiteration of Chavez doctrine; half-vote arrangement between Senate and House representatives in JBC is constitutionally permissible.</w:t>
      </w:r>
    </w:p>
    <w:p>
      <w:pPr>
        <w:spacing w:before="160" w:after="40"/>
        <w:ind w:left="216"/>
      </w:pPr>
      <w:r>
        <w:rPr>
          <w:rFonts w:ascii="Georgia" w:hAnsi="Georgia"/>
          <w:b/>
          <w:color w:val="B45309"/>
          <w:sz w:val="22"/>
        </w:rPr>
        <w:t xml:space="preserve">CASE 149.  </w:t>
      </w:r>
      <w:r>
        <w:rPr>
          <w:rFonts w:ascii="Georgia" w:hAnsi="Georgia"/>
          <w:b/>
          <w:color w:val="0F1E42"/>
          <w:sz w:val="23"/>
        </w:rPr>
        <w:t>Judge Villanueva vs. JBC</w:t>
      </w:r>
    </w:p>
    <w:p>
      <w:pPr>
        <w:spacing w:before="20" w:after="60"/>
        <w:ind w:left="504"/>
      </w:pPr>
      <w:r>
        <w:rPr>
          <w:rFonts w:ascii="Calibri" w:hAnsi="Calibri"/>
          <w:b/>
          <w:color w:val="64748B"/>
          <w:sz w:val="19"/>
        </w:rPr>
        <w:t xml:space="preserve">Citation: </w:t>
      </w:r>
      <w:r>
        <w:rPr>
          <w:rFonts w:ascii="Calibri" w:hAnsi="Calibri"/>
          <w:i/>
          <w:color w:val="475569"/>
          <w:sz w:val="19"/>
        </w:rPr>
        <w:t>G.R. No. 211833, April 7, 2015</w:t>
      </w:r>
    </w:p>
    <w:p>
      <w:pPr>
        <w:spacing w:before="40" w:after="120" w:line="276" w:lineRule="auto"/>
        <w:ind w:left="504"/>
      </w:pPr>
      <w:r>
        <w:rPr>
          <w:rFonts w:ascii="Calibri" w:hAnsi="Calibri"/>
          <w:b/>
          <w:color w:val="1E293B"/>
          <w:sz w:val="20"/>
        </w:rPr>
        <w:t xml:space="preserve">Key Legal Doctrine: </w:t>
      </w:r>
      <w:r>
        <w:rPr>
          <w:rFonts w:ascii="Calibri" w:hAnsi="Calibri"/>
          <w:color w:val="111827"/>
          <w:sz w:val="20"/>
        </w:rPr>
        <w:t>JBC policy requiring 5 years service for first-level judges before promotion to second-level courts is a valid exercise of rule-making discretion.</w:t>
      </w:r>
    </w:p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