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82B49"/>
          <w:sz w:val="44"/>
        </w:rPr>
        <w:t>BASIC LEGAL AND JUDICIAL ETHICS (BLJE)</w:t>
      </w:r>
    </w:p>
    <w:p>
      <w:pPr>
        <w:spacing w:before="0" w:after="40"/>
        <w:jc w:val="center"/>
      </w:pPr>
      <w:r>
        <w:rPr>
          <w:rFonts w:ascii="Calibri" w:hAnsi="Calibri"/>
          <w:i/>
          <w:color w:val="0F4C81"/>
          <w:sz w:val="22"/>
        </w:rPr>
        <w:t>Applied Case Digest Compendium under the Code of Professional Responsibility and Accountability (CPRA)</w:t>
      </w:r>
    </w:p>
    <w:p>
      <w:pPr>
        <w:spacing w:before="0" w:after="240"/>
        <w:jc w:val="center"/>
      </w:pPr>
      <w:r>
        <w:rPr>
          <w:rFonts w:ascii="Calibri" w:hAnsi="Calibri"/>
          <w:b/>
          <w:color w:val="6C757D"/>
          <w:sz w:val="20"/>
        </w:rPr>
        <w:t>Manila Law College • First Semester, AY 2026-2027</w:t>
        <w:br/>
        <w:t>Applied Case Digest Compendium under the Code of Professional Responsibility and Accountability (CPRA)</w:t>
      </w:r>
    </w:p>
    <w:tbl>
      <w:tblPr>
        <w:tblW w:type="auto" w:w="0"/>
        <w:jc w:val="center"/>
        <w:tblLook w:firstColumn="1" w:firstRow="1" w:lastColumn="0" w:lastRow="0" w:noHBand="0" w:noVBand="1" w:val="04A0"/>
      </w:tblPr>
      <w:tblGrid>
        <w:gridCol w:w="9360"/>
      </w:tblGrid>
      <w:tr>
        <w:tc>
          <w:tcPr>
            <w:tcW w:type="dxa" w:w="9360"/>
            <w:shd w:fill="182B49"/>
          </w:tcPr>
          <w:p>
            <w:pPr>
              <w:spacing w:before="40" w:after="40"/>
            </w:pPr>
            <w:r>
              <w:rPr>
                <w:sz w:val="4"/>
              </w:rPr>
            </w:r>
          </w:p>
        </w:tc>
      </w:tr>
    </w:tbl>
    <w:p>
      <w:pPr>
        <w:spacing w:after="120"/>
      </w:pPr>
    </w:p>
    <w:p>
      <w:pPr>
        <w:keepNext/>
        <w:spacing w:before="320" w:after="40"/>
      </w:pPr>
      <w:r>
        <w:rPr>
          <w:rFonts w:ascii="Calibri" w:hAnsi="Calibri"/>
          <w:b/>
          <w:color w:val="A30000"/>
          <w:sz w:val="26"/>
        </w:rPr>
        <w:t xml:space="preserve">CASE 13: </w:t>
      </w:r>
      <w:r>
        <w:rPr>
          <w:rFonts w:ascii="Calibri" w:hAnsi="Calibri"/>
          <w:b/>
          <w:color w:val="182B49"/>
          <w:sz w:val="26"/>
        </w:rPr>
        <w:t>Re: Lorenzo "Larry" Gadon</w:t>
      </w:r>
    </w:p>
    <w:p>
      <w:pPr>
        <w:keepNext/>
        <w:spacing w:before="0" w:after="120"/>
      </w:pPr>
      <w:r>
        <w:rPr>
          <w:rFonts w:ascii="Calibri" w:hAnsi="Calibri"/>
          <w:b/>
          <w:i/>
          <w:color w:val="0F4C81"/>
          <w:sz w:val="20"/>
        </w:rPr>
        <w:t>A.C. No. 13521, June 27, 2023 | Per Curiam (En Banc)</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Lorenzo Gadon was captured on a viral video clip hurling extremely foul, misogynistic, and abusive vulgarities against journalist Raissa Robles. The Supreme Court motu proprio issued a show-cause order and placed him under preventive suspension. The Court evaluated whether his public conduct and repeated profane outbursts over social media violated his ethical duties as an officer of the court.</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Atty. Gadon's scandalous, profane, and misogynistic video tirade against a journalist warrants his disbarment under the CPRA.</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The Supreme Court unanimously disbarred Atty. Gadon for gross misconduct and repeated violations of the ethical duties of propriety and dignity.</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Sections 1, 2, 13, and 14; Canon VI (Accountability), Sections 33 and 34. The CPRA specifically regulates social media conduct of lawyers, mandating that lawyers shall not post false, abusive, scandalous, or degrading content.</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Court held that the legal profession demands high standards of decency, propriety, and respect. Gadon's vulgar, misogynistic, and abhorrent language displayed in the public sphere over digital media caused irreparable damage to the public trust and the nobility of the legal profession. His history of previous suspensions demonstrated an incorrigible disregard for judicial authority and professional decorum.</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Lorenzo Gadon was DISBARRED from the practice of law and his name stricken from the Roll of Attorneys.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Propriety (Sec. 1 &amp; 2)</w:t>
            </w:r>
          </w:p>
        </w:tc>
        <w:tc>
          <w:tcPr>
            <w:tcW w:type="dxa" w:w="6192"/>
            <w:shd w:fill="FFFFFF"/>
            <w:tcMar>
              <w:top w:w="70" w:type="dxa"/>
              <w:bottom w:w="70" w:type="dxa"/>
              <w:left w:w="90" w:type="dxa"/>
              <w:right w:w="90" w:type="dxa"/>
            </w:tcMar>
          </w:tcPr>
          <w:p>
            <w:r>
              <w:rPr>
                <w:rFonts w:ascii="Calibri" w:hAnsi="Calibri"/>
                <w:color w:val="212529"/>
                <w:sz w:val="17"/>
              </w:rPr>
              <w:t>Failure to maintain dignity and propriety in public and digital dealings.</w:t>
            </w:r>
          </w:p>
        </w:tc>
      </w:tr>
      <w:tr>
        <w:tc>
          <w:tcPr>
            <w:tcW w:type="dxa" w:w="3168"/>
            <w:shd w:fill="F7F9FA"/>
            <w:tcMar>
              <w:top w:w="70" w:type="dxa"/>
              <w:bottom w:w="70" w:type="dxa"/>
              <w:left w:w="80" w:type="dxa"/>
              <w:right w:w="80" w:type="dxa"/>
            </w:tcMar>
          </w:tcPr>
          <w:p>
            <w:r>
              <w:rPr>
                <w:rFonts w:ascii="Calibri" w:hAnsi="Calibri"/>
                <w:b/>
                <w:color w:val="0F4C81"/>
                <w:sz w:val="17"/>
              </w:rPr>
              <w:t>CPRA Canon II: Social Media (Sec. 13 &amp; 14)</w:t>
            </w:r>
          </w:p>
        </w:tc>
        <w:tc>
          <w:tcPr>
            <w:tcW w:type="dxa" w:w="6192"/>
            <w:shd w:fill="F7F9FA"/>
            <w:tcMar>
              <w:top w:w="70" w:type="dxa"/>
              <w:bottom w:w="70" w:type="dxa"/>
              <w:left w:w="90" w:type="dxa"/>
              <w:right w:w="90" w:type="dxa"/>
            </w:tcMar>
          </w:tcPr>
          <w:p>
            <w:r>
              <w:rPr>
                <w:rFonts w:ascii="Calibri" w:hAnsi="Calibri"/>
                <w:color w:val="212529"/>
                <w:sz w:val="17"/>
              </w:rPr>
              <w:t>Posting abusive, misogynistic, and scandalous statements on online platforms.</w:t>
            </w:r>
          </w:p>
        </w:tc>
      </w:tr>
      <w:tr>
        <w:tc>
          <w:tcPr>
            <w:tcW w:type="dxa" w:w="3168"/>
            <w:shd w:fill="FFFFFF"/>
            <w:tcMar>
              <w:top w:w="70" w:type="dxa"/>
              <w:bottom w:w="70" w:type="dxa"/>
              <w:left w:w="80" w:type="dxa"/>
              <w:right w:w="80" w:type="dxa"/>
            </w:tcMar>
          </w:tcPr>
          <w:p>
            <w:r>
              <w:rPr>
                <w:rFonts w:ascii="Calibri" w:hAnsi="Calibri"/>
                <w:b/>
                <w:color w:val="0F4C81"/>
                <w:sz w:val="17"/>
              </w:rPr>
              <w:t>CPRA Canon VI: Accountability</w:t>
            </w:r>
          </w:p>
        </w:tc>
        <w:tc>
          <w:tcPr>
            <w:tcW w:type="dxa" w:w="6192"/>
            <w:shd w:fill="FFFFFF"/>
            <w:tcMar>
              <w:top w:w="70" w:type="dxa"/>
              <w:bottom w:w="70" w:type="dxa"/>
              <w:left w:w="90" w:type="dxa"/>
              <w:right w:w="90" w:type="dxa"/>
            </w:tcMar>
          </w:tcPr>
          <w:p>
            <w:r>
              <w:rPr>
                <w:rFonts w:ascii="Calibri" w:hAnsi="Calibri"/>
                <w:color w:val="212529"/>
                <w:sz w:val="17"/>
              </w:rPr>
              <w:t>Imposition of the supreme penalty of disbarment for serious administrative offenses.</w:t>
            </w:r>
          </w:p>
        </w:tc>
      </w:tr>
    </w:tbl>
    <w:p>
      <w:pPr>
        <w:spacing w:after="160"/>
      </w:pPr>
    </w:p>
    <w:p>
      <w:pPr>
        <w:keepNext/>
        <w:spacing w:before="320" w:after="40"/>
      </w:pPr>
      <w:r>
        <w:rPr>
          <w:rFonts w:ascii="Calibri" w:hAnsi="Calibri"/>
          <w:b/>
          <w:color w:val="A30000"/>
          <w:sz w:val="26"/>
        </w:rPr>
        <w:t xml:space="preserve">CASE 14: </w:t>
      </w:r>
      <w:r>
        <w:rPr>
          <w:rFonts w:ascii="Calibri" w:hAnsi="Calibri"/>
          <w:b/>
          <w:color w:val="182B49"/>
          <w:sz w:val="26"/>
        </w:rPr>
        <w:t>Ventura v. Atty. Samson</w:t>
      </w:r>
    </w:p>
    <w:p>
      <w:pPr>
        <w:keepNext/>
        <w:spacing w:before="0" w:after="120"/>
      </w:pPr>
      <w:r>
        <w:rPr>
          <w:rFonts w:ascii="Calibri" w:hAnsi="Calibri"/>
          <w:b/>
          <w:i/>
          <w:color w:val="0F4C81"/>
          <w:sz w:val="20"/>
        </w:rPr>
        <w:t>A.C. No. 9608, November 27, 2012 | 686 SCRA 430</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engaged the services of respondent Atty. Samson to handle a civil case. The respondent demanded and received substantial professional fees and filing expenses. However, he failed to file the necessary complaint, failed to inform the client of the status of the case, and when demanded to return the case funds, refused to refund the unused amounts, giving evasive excuses.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Atty. Samson violated the ethical duties of competence, diligence, and fidelity in handling client funds and causes.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Respondent committed gross negligence and dishonesty in handling client funds.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Sections 1, 2, 6, 7; Canon IV (Competence and Diligence), Sections 1, 2, 3; CPR Canons 16, 17, 18.</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 owes fidelity to the cause of his client and must be mindful of the trust reposed in him. When a lawyer receives money from a client for a specific purpose (such as filing fees and acceptance fee), he holds it in trust and must immediately account for or return it if the purpose is not accomplished. Failure to render the required legal service and misappropriation of funds constitutes grave ethical misconduct.</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Samson was SUSPENDED from the practice of law for one (1) year with an order to immediately RESTITUTE the full amount to the complainant.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Fidelity &amp; Fiduciary Duty</w:t>
            </w:r>
          </w:p>
        </w:tc>
        <w:tc>
          <w:tcPr>
            <w:tcW w:type="dxa" w:w="6192"/>
            <w:shd w:fill="FFFFFF"/>
            <w:tcMar>
              <w:top w:w="70" w:type="dxa"/>
              <w:bottom w:w="70" w:type="dxa"/>
              <w:left w:w="90" w:type="dxa"/>
              <w:right w:w="90" w:type="dxa"/>
            </w:tcMar>
          </w:tcPr>
          <w:p>
            <w:r>
              <w:rPr>
                <w:rFonts w:ascii="Calibri" w:hAnsi="Calibri"/>
                <w:color w:val="212529"/>
                <w:sz w:val="17"/>
              </w:rPr>
              <w:t>Misappropriation and failure to promptly account for money received from a client.</w:t>
            </w:r>
          </w:p>
        </w:tc>
      </w:tr>
      <w:tr>
        <w:tc>
          <w:tcPr>
            <w:tcW w:type="dxa" w:w="3168"/>
            <w:shd w:fill="F7F9FA"/>
            <w:tcMar>
              <w:top w:w="70" w:type="dxa"/>
              <w:bottom w:w="70" w:type="dxa"/>
              <w:left w:w="80" w:type="dxa"/>
              <w:right w:w="80" w:type="dxa"/>
            </w:tcMar>
          </w:tcPr>
          <w:p>
            <w:r>
              <w:rPr>
                <w:rFonts w:ascii="Calibri" w:hAnsi="Calibri"/>
                <w:b/>
                <w:color w:val="0F4C81"/>
                <w:sz w:val="17"/>
              </w:rPr>
              <w:t>CPRA Canon IV: Competence and Diligence</w:t>
            </w:r>
          </w:p>
        </w:tc>
        <w:tc>
          <w:tcPr>
            <w:tcW w:type="dxa" w:w="6192"/>
            <w:shd w:fill="F7F9FA"/>
            <w:tcMar>
              <w:top w:w="70" w:type="dxa"/>
              <w:bottom w:w="70" w:type="dxa"/>
              <w:left w:w="90" w:type="dxa"/>
              <w:right w:w="90" w:type="dxa"/>
            </w:tcMar>
          </w:tcPr>
          <w:p>
            <w:r>
              <w:rPr>
                <w:rFonts w:ascii="Calibri" w:hAnsi="Calibri"/>
                <w:color w:val="212529"/>
                <w:sz w:val="17"/>
              </w:rPr>
              <w:t>Gross negligence in failing to perform the legal services contracted and paid for.</w:t>
            </w:r>
          </w:p>
        </w:tc>
      </w:tr>
    </w:tbl>
    <w:p>
      <w:pPr>
        <w:spacing w:after="160"/>
      </w:pPr>
    </w:p>
    <w:p>
      <w:pPr>
        <w:keepNext/>
        <w:spacing w:before="320" w:after="40"/>
      </w:pPr>
      <w:r>
        <w:rPr>
          <w:rFonts w:ascii="Calibri" w:hAnsi="Calibri"/>
          <w:b/>
          <w:color w:val="A30000"/>
          <w:sz w:val="26"/>
        </w:rPr>
        <w:t xml:space="preserve">CASE 15: </w:t>
      </w:r>
      <w:r>
        <w:rPr>
          <w:rFonts w:ascii="Calibri" w:hAnsi="Calibri"/>
          <w:b/>
          <w:color w:val="182B49"/>
          <w:sz w:val="26"/>
        </w:rPr>
        <w:t>Guevarra v. Atty. Eala</w:t>
      </w:r>
    </w:p>
    <w:p>
      <w:pPr>
        <w:keepNext/>
        <w:spacing w:before="0" w:after="120"/>
      </w:pPr>
      <w:r>
        <w:rPr>
          <w:rFonts w:ascii="Calibri" w:hAnsi="Calibri"/>
          <w:b/>
          <w:i/>
          <w:color w:val="0F4C81"/>
          <w:sz w:val="20"/>
        </w:rPr>
        <w:t>A.C. No. 7136, August 1, 2007 | 529 SCRA 1</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Joselano Guevarra filed a disbarment complaint against Atty. Jose Emmanuel 'Noli' Eala for grossly immoral conduct. While still lawfully married, Atty. Eala engaged in an adulterous relationship with complainant's wife, Irene Moje, flaunted their relationship in public social events, lived together with her, and sired a child with her.</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engaging in an illicit, adulterous relationship with a married woman constitutes grossly immoral conduct warranting disbarment.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Adultery and concubinage by a member of the Bar constitute gross immorality.</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1; CPR Canon 1, Rule 1.01 and Canon 7, Rule 7.03; Section 27, Rule 138 of the Rules of Court.</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Good moral character is a continuing requirement for the practice of law. Grossly immoral conduct is conduct that is so corrupt as to constitute a criminal act, or so unprincipled as to be reprehensible to a high degree. Siring a child with a married woman while being married himself shows a flagrant disregard for the sanctity of marriage and the moral integrity required of lawyers.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Jose Emmanuel M. Eala was DISBARRED from the practice of law for grossly immoral conduct.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Propriety (Sec. 1)</w:t>
            </w:r>
          </w:p>
        </w:tc>
        <w:tc>
          <w:tcPr>
            <w:tcW w:type="dxa" w:w="6192"/>
            <w:shd w:fill="FFFFFF"/>
            <w:tcMar>
              <w:top w:w="70" w:type="dxa"/>
              <w:bottom w:w="70" w:type="dxa"/>
              <w:left w:w="90" w:type="dxa"/>
              <w:right w:w="90" w:type="dxa"/>
            </w:tcMar>
          </w:tcPr>
          <w:p>
            <w:r>
              <w:rPr>
                <w:rFonts w:ascii="Calibri" w:hAnsi="Calibri"/>
                <w:color w:val="212529"/>
                <w:sz w:val="17"/>
              </w:rPr>
              <w:t>Lawyers must maintain good moral character and avoid scandalous or adulterous conduct in private life.</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to Law</w:t>
            </w:r>
          </w:p>
        </w:tc>
        <w:tc>
          <w:tcPr>
            <w:tcW w:type="dxa" w:w="6192"/>
            <w:shd w:fill="F7F9FA"/>
            <w:tcMar>
              <w:top w:w="70" w:type="dxa"/>
              <w:bottom w:w="70" w:type="dxa"/>
              <w:left w:w="90" w:type="dxa"/>
              <w:right w:w="90" w:type="dxa"/>
            </w:tcMar>
          </w:tcPr>
          <w:p>
            <w:r>
              <w:rPr>
                <w:rFonts w:ascii="Calibri" w:hAnsi="Calibri"/>
                <w:color w:val="212529"/>
                <w:sz w:val="17"/>
              </w:rPr>
              <w:t>Duty to respect and uphold the institution of marriage and the laws of the land.</w:t>
            </w:r>
          </w:p>
        </w:tc>
      </w:tr>
    </w:tbl>
    <w:p>
      <w:pPr>
        <w:spacing w:after="160"/>
      </w:pPr>
    </w:p>
    <w:p>
      <w:pPr>
        <w:keepNext/>
        <w:spacing w:before="320" w:after="40"/>
      </w:pPr>
      <w:r>
        <w:rPr>
          <w:rFonts w:ascii="Calibri" w:hAnsi="Calibri"/>
          <w:b/>
          <w:color w:val="A30000"/>
          <w:sz w:val="26"/>
        </w:rPr>
        <w:t xml:space="preserve">CASE 16: </w:t>
      </w:r>
      <w:r>
        <w:rPr>
          <w:rFonts w:ascii="Calibri" w:hAnsi="Calibri"/>
          <w:b/>
          <w:color w:val="182B49"/>
          <w:sz w:val="26"/>
        </w:rPr>
        <w:t>Magayanes v. Vasquez</w:t>
      </w:r>
    </w:p>
    <w:p>
      <w:pPr>
        <w:keepNext/>
        <w:spacing w:before="0" w:after="120"/>
      </w:pPr>
      <w:r>
        <w:rPr>
          <w:rFonts w:ascii="Calibri" w:hAnsi="Calibri"/>
          <w:b/>
          <w:i/>
          <w:color w:val="0F4C81"/>
          <w:sz w:val="20"/>
        </w:rPr>
        <w:t>A.M. No. MTJ-23-014, April 11, 2024</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 verified administrative complaint was lodged against a presiding judge for gross misconduct, undue delay in resolving motions, and inappropriate fraternization with party litigants. The complainant established that the judge had off-the-record communications with an opposing counsel and accepted hospitality during the pendency of a disputed land matter.</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the judge violated the New Code of Judicial Conduct and CPRA standards on judicial propriety and impartiality.</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The judge committed gross misconduct and violated the mandate of judicial impartiality.</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New Code of Judicial Conduct (A.M. No. 03-05-01-SC), Canons 1 (Independence), 2 (Integrity), 3 (Impartiality), and 4 (Propriety); CPRA Canon II.</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Judges must not only be impartial; they must appear impartial at all times. Engaging in private, ex parte communications and fraternizing with litigants whose cases are pending before their sala destroys public faith in the integrity of the judicial system. Judges must avoid any appearance of impropriety in all their activities.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respondent judge was found GUILTY of gross misconduct and FINED, with a stern warning against repetition of similar acts.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NCJC Canon 3: Impartiality</w:t>
            </w:r>
          </w:p>
        </w:tc>
        <w:tc>
          <w:tcPr>
            <w:tcW w:type="dxa" w:w="6192"/>
            <w:shd w:fill="FFFFFF"/>
            <w:tcMar>
              <w:top w:w="70" w:type="dxa"/>
              <w:bottom w:w="70" w:type="dxa"/>
              <w:left w:w="90" w:type="dxa"/>
              <w:right w:w="90" w:type="dxa"/>
            </w:tcMar>
          </w:tcPr>
          <w:p>
            <w:r>
              <w:rPr>
                <w:rFonts w:ascii="Calibri" w:hAnsi="Calibri"/>
                <w:color w:val="212529"/>
                <w:sz w:val="17"/>
              </w:rPr>
              <w:t>Prohibition against ex parte communications and fraternization with party litigants.</w:t>
            </w:r>
          </w:p>
        </w:tc>
      </w:tr>
      <w:tr>
        <w:tc>
          <w:tcPr>
            <w:tcW w:type="dxa" w:w="3168"/>
            <w:shd w:fill="F7F9FA"/>
            <w:tcMar>
              <w:top w:w="70" w:type="dxa"/>
              <w:bottom w:w="70" w:type="dxa"/>
              <w:left w:w="80" w:type="dxa"/>
              <w:right w:w="80" w:type="dxa"/>
            </w:tcMar>
          </w:tcPr>
          <w:p>
            <w:r>
              <w:rPr>
                <w:rFonts w:ascii="Calibri" w:hAnsi="Calibri"/>
                <w:b/>
                <w:color w:val="0F4C81"/>
                <w:sz w:val="17"/>
              </w:rPr>
              <w:t>NCJC Canon 4 / CPRA Canon II: Propriety</w:t>
            </w:r>
          </w:p>
        </w:tc>
        <w:tc>
          <w:tcPr>
            <w:tcW w:type="dxa" w:w="6192"/>
            <w:shd w:fill="F7F9FA"/>
            <w:tcMar>
              <w:top w:w="70" w:type="dxa"/>
              <w:bottom w:w="70" w:type="dxa"/>
              <w:left w:w="90" w:type="dxa"/>
              <w:right w:w="90" w:type="dxa"/>
            </w:tcMar>
          </w:tcPr>
          <w:p>
            <w:r>
              <w:rPr>
                <w:rFonts w:ascii="Calibri" w:hAnsi="Calibri"/>
                <w:color w:val="212529"/>
                <w:sz w:val="17"/>
              </w:rPr>
              <w:t>Duty to preserve the dignity of the bench and avoid all appearances of judicial bias.</w:t>
            </w:r>
          </w:p>
        </w:tc>
      </w:tr>
    </w:tbl>
    <w:p>
      <w:pPr>
        <w:spacing w:after="160"/>
      </w:pPr>
    </w:p>
    <w:p>
      <w:pPr>
        <w:keepNext/>
        <w:spacing w:before="320" w:after="40"/>
      </w:pPr>
      <w:r>
        <w:rPr>
          <w:rFonts w:ascii="Calibri" w:hAnsi="Calibri"/>
          <w:b/>
          <w:color w:val="A30000"/>
          <w:sz w:val="26"/>
        </w:rPr>
        <w:t xml:space="preserve">CASE 17: </w:t>
      </w:r>
      <w:r>
        <w:rPr>
          <w:rFonts w:ascii="Calibri" w:hAnsi="Calibri"/>
          <w:b/>
          <w:color w:val="182B49"/>
          <w:sz w:val="26"/>
        </w:rPr>
        <w:t>Linsangan v. Atty. Nicomedes Tolentino</w:t>
      </w:r>
    </w:p>
    <w:p>
      <w:pPr>
        <w:keepNext/>
        <w:spacing w:before="0" w:after="120"/>
      </w:pPr>
      <w:r>
        <w:rPr>
          <w:rFonts w:ascii="Calibri" w:hAnsi="Calibri"/>
          <w:b/>
          <w:i/>
          <w:color w:val="0F4C81"/>
          <w:sz w:val="20"/>
        </w:rPr>
        <w:t>A.C. No. 6672, September 4, 2009 | 598 SCRA 133</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Nicomedes Tolentino operated a law practice where he authorized paralegals and non-lawyer agents (labour 'runners') to solicit seafarers with maritime money claims. He distributed calling cards promising financial loans, payment of hospital bills, and 30% commission rates, effectively ambulance-chasing overseas workers.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ambulance-chasing, soliciting legal business through non-lawyer agents, and advancing personal loans to secure retainers violate legal ethics.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Ambulance-chasing and commercialized solicitation of clients are strictly prohibited.</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Sections 17 &amp; 18; CPR Canon 2, Rules 2.03 and 3.01; Rule 138, Section 27.</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practice of law is a noble profession and a public calling, not a commercial trade or moneymaking venture. Lawyers are prohibited from using intermediaries, runners, or commercial advertisements to recruit clients. Promising monetary loans or financial assistance to prospective clients to capture their cases constitutes unethical champerty and ambulance-chasing.</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Nicomedes Tolentino was SUSPENDED from the practice of law for one (1) year.</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Propriety (Sec. 17 &amp; 18)</w:t>
            </w:r>
          </w:p>
        </w:tc>
        <w:tc>
          <w:tcPr>
            <w:tcW w:type="dxa" w:w="6192"/>
            <w:shd w:fill="FFFFFF"/>
            <w:tcMar>
              <w:top w:w="70" w:type="dxa"/>
              <w:bottom w:w="70" w:type="dxa"/>
              <w:left w:w="90" w:type="dxa"/>
              <w:right w:w="90" w:type="dxa"/>
            </w:tcMar>
          </w:tcPr>
          <w:p>
            <w:r>
              <w:rPr>
                <w:rFonts w:ascii="Calibri" w:hAnsi="Calibri"/>
                <w:color w:val="212529"/>
                <w:sz w:val="17"/>
              </w:rPr>
              <w:t>Strict prohibition against commercial solicitation, ambulance-chasing, and fee-sharing with non-lawyers.</w:t>
            </w:r>
          </w:p>
        </w:tc>
      </w:tr>
      <w:tr>
        <w:tc>
          <w:tcPr>
            <w:tcW w:type="dxa" w:w="3168"/>
            <w:shd w:fill="F7F9FA"/>
            <w:tcMar>
              <w:top w:w="70" w:type="dxa"/>
              <w:bottom w:w="70" w:type="dxa"/>
              <w:left w:w="80" w:type="dxa"/>
              <w:right w:w="80" w:type="dxa"/>
            </w:tcMar>
          </w:tcPr>
          <w:p>
            <w:r>
              <w:rPr>
                <w:rFonts w:ascii="Calibri" w:hAnsi="Calibri"/>
                <w:b/>
                <w:color w:val="0F4C81"/>
                <w:sz w:val="17"/>
              </w:rPr>
              <w:t>CPRA Canon I: Independence</w:t>
            </w:r>
          </w:p>
        </w:tc>
        <w:tc>
          <w:tcPr>
            <w:tcW w:type="dxa" w:w="6192"/>
            <w:shd w:fill="F7F9FA"/>
            <w:tcMar>
              <w:top w:w="70" w:type="dxa"/>
              <w:bottom w:w="70" w:type="dxa"/>
              <w:left w:w="90" w:type="dxa"/>
              <w:right w:w="90" w:type="dxa"/>
            </w:tcMar>
          </w:tcPr>
          <w:p>
            <w:r>
              <w:rPr>
                <w:rFonts w:ascii="Calibri" w:hAnsi="Calibri"/>
                <w:color w:val="212529"/>
                <w:sz w:val="17"/>
              </w:rPr>
              <w:t>Maintaining professional independence from commercial recruitment rings.</w:t>
            </w:r>
          </w:p>
        </w:tc>
      </w:tr>
    </w:tbl>
    <w:p>
      <w:pPr>
        <w:spacing w:after="160"/>
      </w:pPr>
    </w:p>
    <w:p>
      <w:pPr>
        <w:keepNext/>
        <w:spacing w:before="320" w:after="40"/>
      </w:pPr>
      <w:r>
        <w:rPr>
          <w:rFonts w:ascii="Calibri" w:hAnsi="Calibri"/>
          <w:b/>
          <w:color w:val="A30000"/>
          <w:sz w:val="26"/>
        </w:rPr>
        <w:t xml:space="preserve">CASE 18: </w:t>
      </w:r>
      <w:r>
        <w:rPr>
          <w:rFonts w:ascii="Calibri" w:hAnsi="Calibri"/>
          <w:b/>
          <w:color w:val="182B49"/>
          <w:sz w:val="26"/>
        </w:rPr>
        <w:t>Philippine Lawyers Association v. Agrava</w:t>
      </w:r>
    </w:p>
    <w:p>
      <w:pPr>
        <w:keepNext/>
        <w:spacing w:before="0" w:after="120"/>
      </w:pPr>
      <w:r>
        <w:rPr>
          <w:rFonts w:ascii="Calibri" w:hAnsi="Calibri"/>
          <w:b/>
          <w:i/>
          <w:color w:val="0F4C81"/>
          <w:sz w:val="20"/>
        </w:rPr>
        <w:t>G.R. No. L-12426, February 16, 1959 | 105 Phil. 173</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The Director of the Philippine Patent Office issued a circular requiring all lawyers who wish to practice before the Patent Office to pass a special examination administered by that agency. The Philippine Lawyers Association filed a petition for prohibition contending that the Patent Director had no authority to regulate or examine members of the Bar.</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an administrative agency may require licensed lawyers to pass a special qualifying examination before practicing law before it.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NO. The Supreme Court possesses the exclusive constitutional power to admit, regulate, and discipline members of the Bar.</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1987 Constitution Art. VIII, Sec. 5(5); Rule 138, Rules of Court; CPRA Canon I (Independence).</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practice before the Patent Office involves the interpretation of laws, drafting of legal specifications, and determination of rights, which constitutes the practice of law. Under the Constitution, the Supreme Court has the exclusive and plenary power over admission to the practice of law. No executive or administrative agency can add examinations, licenses, or hurdles for lawyers to practice within their jurisdiction.</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declared the Patent Office examination requirement UNCONSTITUTIONAL and VOID.</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 Independence</w:t>
            </w:r>
          </w:p>
        </w:tc>
        <w:tc>
          <w:tcPr>
            <w:tcW w:type="dxa" w:w="6192"/>
            <w:shd w:fill="FFFFFF"/>
            <w:tcMar>
              <w:top w:w="70" w:type="dxa"/>
              <w:bottom w:w="70" w:type="dxa"/>
              <w:left w:w="90" w:type="dxa"/>
              <w:right w:w="90" w:type="dxa"/>
            </w:tcMar>
          </w:tcPr>
          <w:p>
            <w:r>
              <w:rPr>
                <w:rFonts w:ascii="Calibri" w:hAnsi="Calibri"/>
                <w:color w:val="212529"/>
                <w:sz w:val="17"/>
              </w:rPr>
              <w:t>Exclusive prerogative of the Supreme Court over admission and regulation of the legal profession.</w:t>
            </w:r>
          </w:p>
        </w:tc>
      </w:tr>
      <w:tr>
        <w:tc>
          <w:tcPr>
            <w:tcW w:type="dxa" w:w="3168"/>
            <w:shd w:fill="F7F9FA"/>
            <w:tcMar>
              <w:top w:w="70" w:type="dxa"/>
              <w:bottom w:w="70" w:type="dxa"/>
              <w:left w:w="80" w:type="dxa"/>
              <w:right w:w="80" w:type="dxa"/>
            </w:tcMar>
          </w:tcPr>
          <w:p>
            <w:r>
              <w:rPr>
                <w:rFonts w:ascii="Calibri" w:hAnsi="Calibri"/>
                <w:b/>
                <w:color w:val="0F4C81"/>
                <w:sz w:val="17"/>
              </w:rPr>
              <w:t>CPRA Canon II: Propriety &amp; Respect for Courts</w:t>
            </w:r>
          </w:p>
        </w:tc>
        <w:tc>
          <w:tcPr>
            <w:tcW w:type="dxa" w:w="6192"/>
            <w:shd w:fill="F7F9FA"/>
            <w:tcMar>
              <w:top w:w="70" w:type="dxa"/>
              <w:bottom w:w="70" w:type="dxa"/>
              <w:left w:w="90" w:type="dxa"/>
              <w:right w:w="90" w:type="dxa"/>
            </w:tcMar>
          </w:tcPr>
          <w:p>
            <w:r>
              <w:rPr>
                <w:rFonts w:ascii="Calibri" w:hAnsi="Calibri"/>
                <w:color w:val="212529"/>
                <w:sz w:val="17"/>
              </w:rPr>
              <w:t>Administrative agencies must respect constitutional boundaries of judicial administration.</w:t>
            </w:r>
          </w:p>
        </w:tc>
      </w:tr>
    </w:tbl>
    <w:p>
      <w:pPr>
        <w:spacing w:after="160"/>
      </w:pPr>
    </w:p>
    <w:p>
      <w:pPr>
        <w:keepNext/>
        <w:spacing w:before="320" w:after="40"/>
      </w:pPr>
      <w:r>
        <w:rPr>
          <w:rFonts w:ascii="Calibri" w:hAnsi="Calibri"/>
          <w:b/>
          <w:color w:val="A30000"/>
          <w:sz w:val="26"/>
        </w:rPr>
        <w:t xml:space="preserve">CASE 19: </w:t>
      </w:r>
      <w:r>
        <w:rPr>
          <w:rFonts w:ascii="Calibri" w:hAnsi="Calibri"/>
          <w:b/>
          <w:color w:val="182B49"/>
          <w:sz w:val="26"/>
        </w:rPr>
        <w:t>Cayetano v. Monsod</w:t>
      </w:r>
    </w:p>
    <w:p>
      <w:pPr>
        <w:keepNext/>
        <w:spacing w:before="0" w:after="120"/>
      </w:pPr>
      <w:r>
        <w:rPr>
          <w:rFonts w:ascii="Calibri" w:hAnsi="Calibri"/>
          <w:b/>
          <w:i/>
          <w:color w:val="0F4C81"/>
          <w:sz w:val="20"/>
        </w:rPr>
        <w:t>G.R. No. 100113, September 3, 1991 | 201 SCRA 210</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Christian Monsod was nominated by President Aquino as Chairman of the Commission on Elections (COMELEC). Renato Cayetano challenged the nomination on the ground that Monsod did not possess the constitutional qualification of having been engaged in the 'practice of law' for at least ten years, since his past career involved executive management, investment banking, and socio-civic leadership.</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the definition of the 'practice of law' is limited to active courtroom litigation or encompasses modern, multidisciplinary legal work.</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The practice of law is modern, broad, and multifaceted; it includes any activity requiring the application of legal knowledge, training, and experience.</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1987 Constitution Art. IX-C, Sec. 1(1); Rule 138, Rules of Court; CPRA Canon IV (Competence).</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practice of law is not limited to appearing before trial courts. It embraces all advice to clients, preparation of legal instruments, contract negotiations, corporate governance, legislative drafting, and management where legal knowledge is applied. Monsod's past work in the MOPC, corporate legal departments, and civic drafting satisfied the 10-year requirement.</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DISMISSED the petition and CONFIRMED the validity of Monsod's appointment.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IV: Competence &amp; Diligence</w:t>
            </w:r>
          </w:p>
        </w:tc>
        <w:tc>
          <w:tcPr>
            <w:tcW w:type="dxa" w:w="6192"/>
            <w:shd w:fill="FFFFFF"/>
            <w:tcMar>
              <w:top w:w="70" w:type="dxa"/>
              <w:bottom w:w="70" w:type="dxa"/>
              <w:left w:w="90" w:type="dxa"/>
              <w:right w:w="90" w:type="dxa"/>
            </w:tcMar>
          </w:tcPr>
          <w:p>
            <w:r>
              <w:rPr>
                <w:rFonts w:ascii="Calibri" w:hAnsi="Calibri"/>
                <w:color w:val="212529"/>
                <w:sz w:val="17"/>
              </w:rPr>
              <w:t>Expansive definition of the practice of law beyond litigation into corporate and advisory counsel.</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&amp; Service</w:t>
            </w:r>
          </w:p>
        </w:tc>
        <w:tc>
          <w:tcPr>
            <w:tcW w:type="dxa" w:w="6192"/>
            <w:shd w:fill="F7F9FA"/>
            <w:tcMar>
              <w:top w:w="70" w:type="dxa"/>
              <w:bottom w:w="70" w:type="dxa"/>
              <w:left w:w="90" w:type="dxa"/>
              <w:right w:w="90" w:type="dxa"/>
            </w:tcMar>
          </w:tcPr>
          <w:p>
            <w:r>
              <w:rPr>
                <w:rFonts w:ascii="Calibri" w:hAnsi="Calibri"/>
                <w:color w:val="212529"/>
                <w:sz w:val="17"/>
              </w:rPr>
              <w:t>Application of legal training to broad national and institutional public service.</w:t>
            </w:r>
          </w:p>
        </w:tc>
      </w:tr>
    </w:tbl>
    <w:p>
      <w:pPr>
        <w:spacing w:after="160"/>
      </w:pPr>
    </w:p>
    <w:p>
      <w:pPr>
        <w:keepNext/>
        <w:spacing w:before="320" w:after="40"/>
      </w:pPr>
      <w:r>
        <w:rPr>
          <w:rFonts w:ascii="Calibri" w:hAnsi="Calibri"/>
          <w:b/>
          <w:color w:val="A30000"/>
          <w:sz w:val="26"/>
        </w:rPr>
        <w:t xml:space="preserve">CASE 20: </w:t>
      </w:r>
      <w:r>
        <w:rPr>
          <w:rFonts w:ascii="Calibri" w:hAnsi="Calibri"/>
          <w:b/>
          <w:color w:val="182B49"/>
          <w:sz w:val="26"/>
        </w:rPr>
        <w:t>Manalang v. Atty. Cristina Benosa Buendia</w:t>
      </w:r>
    </w:p>
    <w:p>
      <w:pPr>
        <w:keepNext/>
        <w:spacing w:before="0" w:after="120"/>
      </w:pPr>
      <w:r>
        <w:rPr>
          <w:rFonts w:ascii="Calibri" w:hAnsi="Calibri"/>
          <w:b/>
          <w:i/>
          <w:color w:val="0F4C81"/>
          <w:sz w:val="20"/>
        </w:rPr>
        <w:t>A.C. No. 12079, November 10, 2020</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Complainants engaged Atty. Buendia for the declaration of nullity of their marriages and paid professional fees of P270,000. Atty. Buendia presented fabricated court decisions and falsified Certificates of Finality purporting to be from the RTC of Malolos, Bulacan. Upon verification, the court verified that no such cases were ever filed or decided.</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fabricating judicial decisions and misleading clients constitutes gross dishonesty warranting disbarment.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Falsifying judicial records and deceiving clients is a supreme violation of legal ethics.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Sections 1 &amp; 2; Canon III (Fidelity), Sections 1 &amp; 2; Revised Penal Code (Falsification).</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 must never engage in unlawful, dishonest, immoral, or deceitful conduct. Fabricating court decisions and orders is an egregious act of dishonesty that directly undermines the administration of justice. Such despicable conduct demonstrates that the respondent is thoroughly unfit to remain in the Roll of Attorneys.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Cristina Benosa Buendia was DISBARRED from the practice of law and ordered to refund P270,000 to complainants with interest.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Propriety &amp; Honesty</w:t>
            </w:r>
          </w:p>
        </w:tc>
        <w:tc>
          <w:tcPr>
            <w:tcW w:type="dxa" w:w="6192"/>
            <w:shd w:fill="FFFFFF"/>
            <w:tcMar>
              <w:top w:w="70" w:type="dxa"/>
              <w:bottom w:w="70" w:type="dxa"/>
              <w:left w:w="90" w:type="dxa"/>
              <w:right w:w="90" w:type="dxa"/>
            </w:tcMar>
          </w:tcPr>
          <w:p>
            <w:r>
              <w:rPr>
                <w:rFonts w:ascii="Calibri" w:hAnsi="Calibri"/>
                <w:color w:val="212529"/>
                <w:sz w:val="17"/>
              </w:rPr>
              <w:t>Zero tolerance for fraudulent and criminal falsification of public and judicial documents.</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to Courts &amp; Clients</w:t>
            </w:r>
          </w:p>
        </w:tc>
        <w:tc>
          <w:tcPr>
            <w:tcW w:type="dxa" w:w="6192"/>
            <w:shd w:fill="F7F9FA"/>
            <w:tcMar>
              <w:top w:w="70" w:type="dxa"/>
              <w:bottom w:w="70" w:type="dxa"/>
              <w:left w:w="90" w:type="dxa"/>
              <w:right w:w="90" w:type="dxa"/>
            </w:tcMar>
          </w:tcPr>
          <w:p>
            <w:r>
              <w:rPr>
                <w:rFonts w:ascii="Calibri" w:hAnsi="Calibri"/>
                <w:color w:val="212529"/>
                <w:sz w:val="17"/>
              </w:rPr>
              <w:t>Duty not to mislead clients with fictitious judicial remedies.</w:t>
            </w:r>
          </w:p>
        </w:tc>
      </w:tr>
    </w:tbl>
    <w:p>
      <w:pPr>
        <w:spacing w:after="160"/>
      </w:pPr>
    </w:p>
    <w:p>
      <w:pPr>
        <w:keepNext/>
        <w:spacing w:before="320" w:after="40"/>
      </w:pPr>
      <w:r>
        <w:rPr>
          <w:rFonts w:ascii="Calibri" w:hAnsi="Calibri"/>
          <w:b/>
          <w:color w:val="A30000"/>
          <w:sz w:val="26"/>
        </w:rPr>
        <w:t xml:space="preserve">CASE 21: </w:t>
      </w:r>
      <w:r>
        <w:rPr>
          <w:rFonts w:ascii="Calibri" w:hAnsi="Calibri"/>
          <w:b/>
          <w:color w:val="182B49"/>
          <w:sz w:val="26"/>
        </w:rPr>
        <w:t>David v. Atty. Diosdado M. Rongcal, et al.</w:t>
      </w:r>
    </w:p>
    <w:p>
      <w:pPr>
        <w:keepNext/>
        <w:spacing w:before="0" w:after="120"/>
      </w:pPr>
      <w:r>
        <w:rPr>
          <w:rFonts w:ascii="Calibri" w:hAnsi="Calibri"/>
          <w:b/>
          <w:i/>
          <w:color w:val="0F4C81"/>
          <w:sz w:val="20"/>
        </w:rPr>
        <w:t>A.C. No. 12103, June 23, 2020 | 939 SCRA 1</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filed a disbarment complaint against respondents (PAO lawyers) for filing an allegedly groundless criminal case for estafa against her on behalf of an indigent client. Complainant claimed the lawyers harassed her and failed to evaluate the legal merits before filing.</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PAO lawyers commit professional misconduct for filing cases on behalf of clients after preliminary evaluation.</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NO. In the absence of bad faith, malice, or dishonest purpose, lawyers are protected when pursuing their client's legitimate cause of action.</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Sections 1 &amp; 2; Canon IV (Competence &amp; Diligence); CPRA Canon V (Equality &amp; Access to Justice).</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Lawyers have a duty to represent their clients with zeal within the bounds of law. An administrative complaint for disbarment cannot be used as a retaliatory weapon against an opposing counsel simply because they filed a lawsuit for their client. Absent clear evidence of fraud or harassment, representing an indigent complainant before prosecutorial bodies is protected legal advocacy.</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administrative complaint against Atty. Rongcal and fellow PAO lawyers was DISMISSED for lack of merit.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Fidelity &amp; Zealous Advocacy</w:t>
            </w:r>
          </w:p>
        </w:tc>
        <w:tc>
          <w:tcPr>
            <w:tcW w:type="dxa" w:w="6192"/>
            <w:shd w:fill="FFFFFF"/>
            <w:tcMar>
              <w:top w:w="70" w:type="dxa"/>
              <w:bottom w:w="70" w:type="dxa"/>
              <w:left w:w="90" w:type="dxa"/>
              <w:right w:w="90" w:type="dxa"/>
            </w:tcMar>
          </w:tcPr>
          <w:p>
            <w:r>
              <w:rPr>
                <w:rFonts w:ascii="Calibri" w:hAnsi="Calibri"/>
                <w:color w:val="212529"/>
                <w:sz w:val="17"/>
              </w:rPr>
              <w:t>Lawyers are duty-bound to pursue lawful claims for clients without fear of judicial harassment.</w:t>
            </w:r>
          </w:p>
        </w:tc>
      </w:tr>
      <w:tr>
        <w:tc>
          <w:tcPr>
            <w:tcW w:type="dxa" w:w="3168"/>
            <w:shd w:fill="F7F9FA"/>
            <w:tcMar>
              <w:top w:w="70" w:type="dxa"/>
              <w:bottom w:w="70" w:type="dxa"/>
              <w:left w:w="80" w:type="dxa"/>
              <w:right w:w="80" w:type="dxa"/>
            </w:tcMar>
          </w:tcPr>
          <w:p>
            <w:r>
              <w:rPr>
                <w:rFonts w:ascii="Calibri" w:hAnsi="Calibri"/>
                <w:b/>
                <w:color w:val="0F4C81"/>
                <w:sz w:val="17"/>
              </w:rPr>
              <w:t>CPRA Canon V: Equality &amp; Legal Aid</w:t>
            </w:r>
          </w:p>
        </w:tc>
        <w:tc>
          <w:tcPr>
            <w:tcW w:type="dxa" w:w="6192"/>
            <w:shd w:fill="F7F9FA"/>
            <w:tcMar>
              <w:top w:w="70" w:type="dxa"/>
              <w:bottom w:w="70" w:type="dxa"/>
              <w:left w:w="90" w:type="dxa"/>
              <w:right w:w="90" w:type="dxa"/>
            </w:tcMar>
          </w:tcPr>
          <w:p>
            <w:r>
              <w:rPr>
                <w:rFonts w:ascii="Calibri" w:hAnsi="Calibri"/>
                <w:color w:val="212529"/>
                <w:sz w:val="17"/>
              </w:rPr>
              <w:t>Protecting legal aid and public attorneys in the discharge of statutory duties.</w:t>
            </w:r>
          </w:p>
        </w:tc>
      </w:tr>
    </w:tbl>
    <w:p>
      <w:pPr>
        <w:spacing w:after="160"/>
      </w:pPr>
    </w:p>
    <w:p>
      <w:pPr>
        <w:keepNext/>
        <w:spacing w:before="320" w:after="40"/>
      </w:pPr>
      <w:r>
        <w:rPr>
          <w:rFonts w:ascii="Calibri" w:hAnsi="Calibri"/>
          <w:b/>
          <w:color w:val="A30000"/>
          <w:sz w:val="26"/>
        </w:rPr>
        <w:t xml:space="preserve">CASE 22: </w:t>
      </w:r>
      <w:r>
        <w:rPr>
          <w:rFonts w:ascii="Calibri" w:hAnsi="Calibri"/>
          <w:b/>
          <w:color w:val="182B49"/>
          <w:sz w:val="26"/>
        </w:rPr>
        <w:t>Genato v. Atty. Eligio P. Mallari</w:t>
      </w:r>
    </w:p>
    <w:p>
      <w:pPr>
        <w:keepNext/>
        <w:spacing w:before="0" w:after="120"/>
      </w:pPr>
      <w:r>
        <w:rPr>
          <w:rFonts w:ascii="Calibri" w:hAnsi="Calibri"/>
          <w:b/>
          <w:i/>
          <w:color w:val="0F4C81"/>
          <w:sz w:val="20"/>
        </w:rPr>
        <w:t>A.C. No. 12486, October 15, 2019 | 924 SCRA 228</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Mallari was involved in a property dispute with complainant William Genato. When a traffic officer flagged down his vehicle for a violation, Atty. Mallari engaged in abusive conduct, arrogantly flashed his law credentials, and later filed a flurry of baseless suits against the judges and justices handling his cases, accusing them of bias without foundation.</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filing unmeritorious lawsuits and launching unfounded attacks against sitting judges constitutes gross misconduct.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Frivolous suits against judges and public displays of arrogance degrade the administration of justice.</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Sections 1, 2, 4; Canon III (Fidelity), Section 2; Canon VI (Accountability).</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 must observe respect for the courts and judicial officers. While lawyers may seek legitimate redress against erring judges through proper channels, filing multiple vexatious and unfounded criminal and administrative suits against judges who rule against them is a form of harassment that subverts the judicial system.</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Eligio P. Mallari was DISBARRED from the practice of law.</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Respect for Courts &amp; Authorities</w:t>
            </w:r>
          </w:p>
        </w:tc>
        <w:tc>
          <w:tcPr>
            <w:tcW w:type="dxa" w:w="6192"/>
            <w:shd w:fill="FFFFFF"/>
            <w:tcMar>
              <w:top w:w="70" w:type="dxa"/>
              <w:bottom w:w="70" w:type="dxa"/>
              <w:left w:w="90" w:type="dxa"/>
              <w:right w:w="90" w:type="dxa"/>
            </w:tcMar>
          </w:tcPr>
          <w:p>
            <w:r>
              <w:rPr>
                <w:rFonts w:ascii="Calibri" w:hAnsi="Calibri"/>
                <w:color w:val="212529"/>
                <w:sz w:val="17"/>
              </w:rPr>
              <w:t>Prohibition against harassing judicial officers with baseless lawsuits.</w:t>
            </w:r>
          </w:p>
        </w:tc>
      </w:tr>
      <w:tr>
        <w:tc>
          <w:tcPr>
            <w:tcW w:type="dxa" w:w="3168"/>
            <w:shd w:fill="F7F9FA"/>
            <w:tcMar>
              <w:top w:w="70" w:type="dxa"/>
              <w:bottom w:w="70" w:type="dxa"/>
              <w:left w:w="80" w:type="dxa"/>
              <w:right w:w="80" w:type="dxa"/>
            </w:tcMar>
          </w:tcPr>
          <w:p>
            <w:r>
              <w:rPr>
                <w:rFonts w:ascii="Calibri" w:hAnsi="Calibri"/>
                <w:b/>
                <w:color w:val="0F4C81"/>
                <w:sz w:val="17"/>
              </w:rPr>
              <w:t>CPRA Canon VI: Accountability</w:t>
            </w:r>
          </w:p>
        </w:tc>
        <w:tc>
          <w:tcPr>
            <w:tcW w:type="dxa" w:w="6192"/>
            <w:shd w:fill="F7F9FA"/>
            <w:tcMar>
              <w:top w:w="70" w:type="dxa"/>
              <w:bottom w:w="70" w:type="dxa"/>
              <w:left w:w="90" w:type="dxa"/>
              <w:right w:w="90" w:type="dxa"/>
            </w:tcMar>
          </w:tcPr>
          <w:p>
            <w:r>
              <w:rPr>
                <w:rFonts w:ascii="Calibri" w:hAnsi="Calibri"/>
                <w:color w:val="212529"/>
                <w:sz w:val="17"/>
              </w:rPr>
              <w:t>Stringent sanctions for chronic defiance of judicial decorum.</w:t>
            </w:r>
          </w:p>
        </w:tc>
      </w:tr>
    </w:tbl>
    <w:p>
      <w:pPr>
        <w:spacing w:after="160"/>
      </w:pPr>
    </w:p>
    <w:p>
      <w:pPr>
        <w:keepNext/>
        <w:spacing w:before="320" w:after="40"/>
      </w:pPr>
      <w:r>
        <w:rPr>
          <w:rFonts w:ascii="Calibri" w:hAnsi="Calibri"/>
          <w:b/>
          <w:color w:val="A30000"/>
          <w:sz w:val="26"/>
        </w:rPr>
        <w:t xml:space="preserve">CASE 23: </w:t>
      </w:r>
      <w:r>
        <w:rPr>
          <w:rFonts w:ascii="Calibri" w:hAnsi="Calibri"/>
          <w:b/>
          <w:color w:val="182B49"/>
          <w:sz w:val="26"/>
        </w:rPr>
        <w:t>Atty. Honesto Ancheta Cabarroguis v. Atty. Danilo A. Basa</w:t>
      </w:r>
    </w:p>
    <w:p>
      <w:pPr>
        <w:keepNext/>
        <w:spacing w:before="0" w:after="120"/>
      </w:pPr>
      <w:r>
        <w:rPr>
          <w:rFonts w:ascii="Calibri" w:hAnsi="Calibri"/>
          <w:b/>
          <w:i/>
          <w:color w:val="0F4C81"/>
          <w:sz w:val="20"/>
        </w:rPr>
        <w:t>A.C. No. 8789, March 1, 2020</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Atty. Cabarroguis charged respondent Atty. Basa with conflict of interest and unfaithfulness to a former client. Atty. Basa had previously represented the complainant in corporate and financial transactions and subsequently represented the adverse party in a collection lawsuit involving the exact same underlying accounts.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representing an opposing party in a matter closely connected with a former representation constitutes an impermissible conflict of interest.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An attorney is strictly barred from representing conflicting interests without the express written consent of all concerned.</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Sections 13, 14, 15 (Conflict of Interest Rules); CPR Canon 15, Rule 15.03.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rule against conflict of interest is founded on the fiduciary relationship between attorney and client and the duty to preserve client confidences. An attorney may not accept a retainer against a former client if the subject matter involves information obtained during the previous engagement. The prohibition stands even after the professional relation has ceased.</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Danilo A. Basa was found GUILTY of representing conflicting interests and SUSPENDED from the practice of law for six (6) months.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Fidelity &amp; Conflict of Interest (Sec. 13–15)</w:t>
            </w:r>
          </w:p>
        </w:tc>
        <w:tc>
          <w:tcPr>
            <w:tcW w:type="dxa" w:w="6192"/>
            <w:shd w:fill="FFFFFF"/>
            <w:tcMar>
              <w:top w:w="70" w:type="dxa"/>
              <w:bottom w:w="70" w:type="dxa"/>
              <w:left w:w="90" w:type="dxa"/>
              <w:right w:w="90" w:type="dxa"/>
            </w:tcMar>
          </w:tcPr>
          <w:p>
            <w:r>
              <w:rPr>
                <w:rFonts w:ascii="Calibri" w:hAnsi="Calibri"/>
                <w:color w:val="212529"/>
                <w:sz w:val="17"/>
              </w:rPr>
              <w:t>Strict prohibition against adverse representation involving former client transactions.</w:t>
            </w:r>
          </w:p>
        </w:tc>
      </w:tr>
      <w:tr>
        <w:tc>
          <w:tcPr>
            <w:tcW w:type="dxa" w:w="3168"/>
            <w:shd w:fill="F7F9FA"/>
            <w:tcMar>
              <w:top w:w="70" w:type="dxa"/>
              <w:bottom w:w="70" w:type="dxa"/>
              <w:left w:w="80" w:type="dxa"/>
              <w:right w:w="80" w:type="dxa"/>
            </w:tcMar>
          </w:tcPr>
          <w:p>
            <w:r>
              <w:rPr>
                <w:rFonts w:ascii="Calibri" w:hAnsi="Calibri"/>
                <w:b/>
                <w:color w:val="0F4C81"/>
                <w:sz w:val="17"/>
              </w:rPr>
              <w:t>CPRA Canon III: Confidentiality</w:t>
            </w:r>
          </w:p>
        </w:tc>
        <w:tc>
          <w:tcPr>
            <w:tcW w:type="dxa" w:w="6192"/>
            <w:shd w:fill="F7F9FA"/>
            <w:tcMar>
              <w:top w:w="70" w:type="dxa"/>
              <w:bottom w:w="70" w:type="dxa"/>
              <w:left w:w="90" w:type="dxa"/>
              <w:right w:w="90" w:type="dxa"/>
            </w:tcMar>
          </w:tcPr>
          <w:p>
            <w:r>
              <w:rPr>
                <w:rFonts w:ascii="Calibri" w:hAnsi="Calibri"/>
                <w:color w:val="212529"/>
                <w:sz w:val="17"/>
              </w:rPr>
              <w:t>Preserving client confidences indefinitely beyond termination of representation.</w:t>
            </w:r>
          </w:p>
        </w:tc>
      </w:tr>
    </w:tbl>
    <w:p>
      <w:pPr>
        <w:spacing w:after="160"/>
      </w:pPr>
    </w:p>
    <w:p>
      <w:pPr>
        <w:keepNext/>
        <w:spacing w:before="320" w:after="40"/>
      </w:pPr>
      <w:r>
        <w:rPr>
          <w:rFonts w:ascii="Calibri" w:hAnsi="Calibri"/>
          <w:b/>
          <w:color w:val="A30000"/>
          <w:sz w:val="26"/>
        </w:rPr>
        <w:t xml:space="preserve">CASE 24: </w:t>
      </w:r>
      <w:r>
        <w:rPr>
          <w:rFonts w:ascii="Calibri" w:hAnsi="Calibri"/>
          <w:b/>
          <w:color w:val="182B49"/>
          <w:sz w:val="26"/>
        </w:rPr>
        <w:t>Query of Atty. Karen M. Silverio-Buffe</w:t>
      </w:r>
    </w:p>
    <w:p>
      <w:pPr>
        <w:keepNext/>
        <w:spacing w:before="0" w:after="120"/>
      </w:pPr>
      <w:r>
        <w:rPr>
          <w:rFonts w:ascii="Calibri" w:hAnsi="Calibri"/>
          <w:b/>
          <w:i/>
          <w:color w:val="0F4C81"/>
          <w:sz w:val="20"/>
        </w:rPr>
        <w:t>A.M. No. 08-6-352-RTC, August 19, 2009 | 596 SCRA 378</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Silverio-Buffe, a former Clerk of Court of RTC Romblon, resigned from the Judiciary and immediately engaged in private practice within the same territorial jurisdiction. She queried whether Section 7(b)(2) of R.A. 6713 (Code of Conduct and Ethical Standards for Public Officials and Employees) prohibiting former public officials from practicing before their former office for one year applied to lawyers resigned from the court.</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the 1-year statutory ban under R.A. 6713 applies to former court attorneys and clerks of court practicing before their former sala.</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The 1-year post-resignation practice prohibition applies fully to former court attorneys and staff to prevent undue influence and appearance of favoritism.</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R.A. 6713, Section 7(b)(2); CPRA Canon I (Independence), Section 3; Canon II (Propriety), Section 22.</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1-year cooling-off period is a valid statutory policy aimed at maintaining public confidence in the impartiality of courts. A former clerk of court possesses institutional familiarity and relationships with sitting judges and staff that may create an unfair advantage or the perception of impropriety. The Court upheld the ban as an ethical safeguard.</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RULED that Atty. Silverio-Buffe is PROHIBITED from appearing or practicing in the court branch where she previously served for one (1) year from her resignation.</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 Independence &amp; Public Integrity</w:t>
            </w:r>
          </w:p>
        </w:tc>
        <w:tc>
          <w:tcPr>
            <w:tcW w:type="dxa" w:w="6192"/>
            <w:shd w:fill="FFFFFF"/>
            <w:tcMar>
              <w:top w:w="70" w:type="dxa"/>
              <w:bottom w:w="70" w:type="dxa"/>
              <w:left w:w="90" w:type="dxa"/>
              <w:right w:w="90" w:type="dxa"/>
            </w:tcMar>
          </w:tcPr>
          <w:p>
            <w:r>
              <w:rPr>
                <w:rFonts w:ascii="Calibri" w:hAnsi="Calibri"/>
                <w:color w:val="212529"/>
                <w:sz w:val="17"/>
              </w:rPr>
              <w:t>Upholding post-government service restrictions to maintain judicial independence.</w:t>
            </w:r>
          </w:p>
        </w:tc>
      </w:tr>
      <w:tr>
        <w:tc>
          <w:tcPr>
            <w:tcW w:type="dxa" w:w="3168"/>
            <w:shd w:fill="F7F9FA"/>
            <w:tcMar>
              <w:top w:w="70" w:type="dxa"/>
              <w:bottom w:w="70" w:type="dxa"/>
              <w:left w:w="80" w:type="dxa"/>
              <w:right w:w="80" w:type="dxa"/>
            </w:tcMar>
          </w:tcPr>
          <w:p>
            <w:r>
              <w:rPr>
                <w:rFonts w:ascii="Calibri" w:hAnsi="Calibri"/>
                <w:b/>
                <w:color w:val="0F4C81"/>
                <w:sz w:val="17"/>
              </w:rPr>
              <w:t>CPRA Canon II: Propriety in Transition to Private Practice</w:t>
            </w:r>
          </w:p>
        </w:tc>
        <w:tc>
          <w:tcPr>
            <w:tcW w:type="dxa" w:w="6192"/>
            <w:shd w:fill="F7F9FA"/>
            <w:tcMar>
              <w:top w:w="70" w:type="dxa"/>
              <w:bottom w:w="70" w:type="dxa"/>
              <w:left w:w="90" w:type="dxa"/>
              <w:right w:w="90" w:type="dxa"/>
            </w:tcMar>
          </w:tcPr>
          <w:p>
            <w:r>
              <w:rPr>
                <w:rFonts w:ascii="Calibri" w:hAnsi="Calibri"/>
                <w:color w:val="212529"/>
                <w:sz w:val="17"/>
              </w:rPr>
              <w:t>Adherence to cooling-off periods under public ethics statutes.</w:t>
            </w:r>
          </w:p>
        </w:tc>
      </w:tr>
    </w:tbl>
    <w:p>
      <w:pPr>
        <w:spacing w:after="160"/>
      </w:pPr>
    </w:p>
    <w:p>
      <w:pPr>
        <w:keepNext/>
        <w:spacing w:before="320" w:after="40"/>
      </w:pPr>
      <w:r>
        <w:rPr>
          <w:rFonts w:ascii="Calibri" w:hAnsi="Calibri"/>
          <w:b/>
          <w:color w:val="A30000"/>
          <w:sz w:val="26"/>
        </w:rPr>
        <w:t xml:space="preserve">CASE 25: </w:t>
      </w:r>
      <w:r>
        <w:rPr>
          <w:rFonts w:ascii="Calibri" w:hAnsi="Calibri"/>
          <w:b/>
          <w:color w:val="182B49"/>
          <w:sz w:val="26"/>
        </w:rPr>
        <w:t>Gabucan v. Atty. Florencio A. Narido, Jr.</w:t>
      </w:r>
    </w:p>
    <w:p>
      <w:pPr>
        <w:keepNext/>
        <w:spacing w:before="0" w:after="120"/>
      </w:pPr>
      <w:r>
        <w:rPr>
          <w:rFonts w:ascii="Calibri" w:hAnsi="Calibri"/>
          <w:b/>
          <w:i/>
          <w:color w:val="0F4C81"/>
          <w:sz w:val="20"/>
        </w:rPr>
        <w:t>A.C. No. 12019, September 3, 2019 | 917 SCRA 1</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engaged respondent Atty. Narido to represent him in an ejectment case. Complainant entrusted original land titles and legal documents to respondent. During the pendency of the case, respondent initiated business ventures with the opposing party, refused to return complainant's title documents, and filed an adverse claim on the client's property for alleged unpaid fees.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holding client property hostage and transacting with the opposing party violates the fiduciary duty of an attorney.</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A lawyer cannot abuse his position to hold client titles hostage or engage in transactions adverse to the client.</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Sections 1, 6, 7, 23 (Attorney's Retaining Lien Requirements); Canon II (Propriety).</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While an attorney has a retaining lien over client papers for unpaid lawful fees, such lien cannot be exercised abusively or used to extract unconscionable demands. An attorney must never leverage confidential client documents to prejudice the client's property rights or enter into collusive transactions with adverse litigants.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Florencio A. Narido, Jr. was SUSPENDED from the practice of law for two (2) years and ordered to return all original documents immediately.</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Fidelity &amp; Client Trust</w:t>
            </w:r>
          </w:p>
        </w:tc>
        <w:tc>
          <w:tcPr>
            <w:tcW w:type="dxa" w:w="6192"/>
            <w:shd w:fill="FFFFFF"/>
            <w:tcMar>
              <w:top w:w="70" w:type="dxa"/>
              <w:bottom w:w="70" w:type="dxa"/>
              <w:left w:w="90" w:type="dxa"/>
              <w:right w:w="90" w:type="dxa"/>
            </w:tcMar>
          </w:tcPr>
          <w:p>
            <w:r>
              <w:rPr>
                <w:rFonts w:ascii="Calibri" w:hAnsi="Calibri"/>
                <w:color w:val="212529"/>
                <w:sz w:val="17"/>
              </w:rPr>
              <w:t>Fiduciary obligation to protect client documents and avoid self-dealing.</w:t>
            </w:r>
          </w:p>
        </w:tc>
      </w:tr>
      <w:tr>
        <w:tc>
          <w:tcPr>
            <w:tcW w:type="dxa" w:w="3168"/>
            <w:shd w:fill="F7F9FA"/>
            <w:tcMar>
              <w:top w:w="70" w:type="dxa"/>
              <w:bottom w:w="70" w:type="dxa"/>
              <w:left w:w="80" w:type="dxa"/>
              <w:right w:w="80" w:type="dxa"/>
            </w:tcMar>
          </w:tcPr>
          <w:p>
            <w:r>
              <w:rPr>
                <w:rFonts w:ascii="Calibri" w:hAnsi="Calibri"/>
                <w:b/>
                <w:color w:val="0F4C81"/>
                <w:sz w:val="17"/>
              </w:rPr>
              <w:t>CPRA Canon IV: Competence &amp; Fair Dealing</w:t>
            </w:r>
          </w:p>
        </w:tc>
        <w:tc>
          <w:tcPr>
            <w:tcW w:type="dxa" w:w="6192"/>
            <w:shd w:fill="F7F9FA"/>
            <w:tcMar>
              <w:top w:w="70" w:type="dxa"/>
              <w:bottom w:w="70" w:type="dxa"/>
              <w:left w:w="90" w:type="dxa"/>
              <w:right w:w="90" w:type="dxa"/>
            </w:tcMar>
          </w:tcPr>
          <w:p>
            <w:r>
              <w:rPr>
                <w:rFonts w:ascii="Calibri" w:hAnsi="Calibri"/>
                <w:color w:val="212529"/>
                <w:sz w:val="17"/>
              </w:rPr>
              <w:t>Proper limits of lawful attorney's retaining liens.</w:t>
            </w:r>
          </w:p>
        </w:tc>
      </w:tr>
    </w:tbl>
    <w:p>
      <w:pPr>
        <w:spacing w:after="160"/>
      </w:pPr>
    </w:p>
    <w:p>
      <w:pPr>
        <w:keepNext/>
        <w:spacing w:before="320" w:after="40"/>
      </w:pPr>
      <w:r>
        <w:rPr>
          <w:rFonts w:ascii="Calibri" w:hAnsi="Calibri"/>
          <w:b/>
          <w:color w:val="A30000"/>
          <w:sz w:val="26"/>
        </w:rPr>
        <w:t xml:space="preserve">CASE 26: </w:t>
      </w:r>
      <w:r>
        <w:rPr>
          <w:rFonts w:ascii="Calibri" w:hAnsi="Calibri"/>
          <w:b/>
          <w:color w:val="182B49"/>
          <w:sz w:val="26"/>
        </w:rPr>
        <w:t>Sison v. Atty. Lourdes Philina B. Dumlao</w:t>
      </w:r>
    </w:p>
    <w:p>
      <w:pPr>
        <w:keepNext/>
        <w:spacing w:before="0" w:after="120"/>
      </w:pPr>
      <w:r>
        <w:rPr>
          <w:rFonts w:ascii="Calibri" w:hAnsi="Calibri"/>
          <w:b/>
          <w:i/>
          <w:color w:val="0F4C81"/>
          <w:sz w:val="20"/>
        </w:rPr>
        <w:t>A.C. No. 11959, April 28, 2021</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sought preliminary legal advice from respondent Atty. Dumlao via online messaging regarding an intra-family property and estate issue. Although no formal written retainer agreement was signed and no fees were paid, complainant disclosed sensitive family facts. Later, Atty. Dumlao represented an adverse relative in the probate litigation concerning the same estate.</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 lawyer-client relationship is established during preliminary consultations, and whether the duty of confidentiality and conflict of interest attaches even without a formal contract.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A lawyer-client relationship begins the moment legal advice is sought and given; formal payment and contracts are not required.</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Sections 1, 13, 27 (Confidentiality &amp; Inception of Attorney-Client Relationship); CPR Canon 15.</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To establish a lawyer-client relationship, it is not essential that any retainer fee be paid or that a written contract be executed. It is enough that the client consulted the lawyer in professional capacity to obtain legal advice. The duty of absolute confidentiality attaches immediately upon initial consultation, and the lawyer is forever disqualified from taking the opposite side in that dispute.</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Lourdes Philina B. Dumlao was found GUILTY of conflict of interest and REPRIMANDED with a stern warning.</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Inception of Relationship (Sec. 1)</w:t>
            </w:r>
          </w:p>
        </w:tc>
        <w:tc>
          <w:tcPr>
            <w:tcW w:type="dxa" w:w="6192"/>
            <w:shd w:fill="FFFFFF"/>
            <w:tcMar>
              <w:top w:w="70" w:type="dxa"/>
              <w:bottom w:w="70" w:type="dxa"/>
              <w:left w:w="90" w:type="dxa"/>
              <w:right w:w="90" w:type="dxa"/>
            </w:tcMar>
          </w:tcPr>
          <w:p>
            <w:r>
              <w:rPr>
                <w:rFonts w:ascii="Calibri" w:hAnsi="Calibri"/>
                <w:color w:val="212529"/>
                <w:sz w:val="17"/>
              </w:rPr>
              <w:t>Lawyer-client relationship attaches from preliminary consultation regardless of fees.</w:t>
            </w:r>
          </w:p>
        </w:tc>
      </w:tr>
      <w:tr>
        <w:tc>
          <w:tcPr>
            <w:tcW w:type="dxa" w:w="3168"/>
            <w:shd w:fill="F7F9FA"/>
            <w:tcMar>
              <w:top w:w="70" w:type="dxa"/>
              <w:bottom w:w="70" w:type="dxa"/>
              <w:left w:w="80" w:type="dxa"/>
              <w:right w:w="80" w:type="dxa"/>
            </w:tcMar>
          </w:tcPr>
          <w:p>
            <w:r>
              <w:rPr>
                <w:rFonts w:ascii="Calibri" w:hAnsi="Calibri"/>
                <w:b/>
                <w:color w:val="0F4C81"/>
                <w:sz w:val="17"/>
              </w:rPr>
              <w:t>CPRA Canon III: Conflict of Interest &amp; Confidentiality</w:t>
            </w:r>
          </w:p>
        </w:tc>
        <w:tc>
          <w:tcPr>
            <w:tcW w:type="dxa" w:w="6192"/>
            <w:shd w:fill="F7F9FA"/>
            <w:tcMar>
              <w:top w:w="70" w:type="dxa"/>
              <w:bottom w:w="70" w:type="dxa"/>
              <w:left w:w="90" w:type="dxa"/>
              <w:right w:w="90" w:type="dxa"/>
            </w:tcMar>
          </w:tcPr>
          <w:p>
            <w:r>
              <w:rPr>
                <w:rFonts w:ascii="Calibri" w:hAnsi="Calibri"/>
                <w:color w:val="212529"/>
                <w:sz w:val="17"/>
              </w:rPr>
              <w:t>Absolute prohibition against representing opposing interests using preliminary disclosures.</w:t>
            </w:r>
          </w:p>
        </w:tc>
      </w:tr>
    </w:tbl>
    <w:p>
      <w:pPr>
        <w:spacing w:after="160"/>
      </w:pPr>
    </w:p>
    <w:p>
      <w:pPr>
        <w:keepNext/>
        <w:spacing w:before="320" w:after="40"/>
      </w:pPr>
      <w:r>
        <w:rPr>
          <w:rFonts w:ascii="Calibri" w:hAnsi="Calibri"/>
          <w:b/>
          <w:color w:val="A30000"/>
          <w:sz w:val="26"/>
        </w:rPr>
        <w:t xml:space="preserve">CASE 27: </w:t>
      </w:r>
      <w:r>
        <w:rPr>
          <w:rFonts w:ascii="Calibri" w:hAnsi="Calibri"/>
          <w:b/>
          <w:color w:val="182B49"/>
          <w:sz w:val="26"/>
        </w:rPr>
        <w:t>Land Bank of the Philippines v. Pamintuan</w:t>
      </w:r>
    </w:p>
    <w:p>
      <w:pPr>
        <w:keepNext/>
        <w:spacing w:before="0" w:after="120"/>
      </w:pPr>
      <w:r>
        <w:rPr>
          <w:rFonts w:ascii="Calibri" w:hAnsi="Calibri"/>
          <w:b/>
          <w:i/>
          <w:color w:val="0F4C81"/>
          <w:sz w:val="20"/>
        </w:rPr>
        <w:t>G.R. No. 167886, October 25, 2005 | 474 SCRA 344</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In an agrarian reform dispute, private counsel appeared on behalf of Land Bank of the Philippines (LBP) without the necessary statutory authorization from the Office of the Government Corporate Counsel (OGCC) or the statutory deputation from the Office of the Solicitor General (OSG).</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private lawyers may appear on behalf of government-owned and controlled corporations without statutory deputation.</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NO. Private lawyers have no authority to appear on behalf of government instrumentalities without statutory OGCC / OSG deputation.</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Administrative Code of 1987; CPRA Canon I (Independence); Canon II (Propriety), Section 22; Rule 138, Section 21.</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Under the law, the OGCC is the principal law office of all GOCCs, including Land Bank. A private lawyer who enters an appearance on behalf of a government corporation without statutory deputation and written authority acts without legal authority. The Court reiterated that unauthorized appearances violate procedural rules and the integrity of public legal representation.</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NULLIFIED the unauthorized representation and reinforced the exclusive mandate of government counsel.</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 Independence &amp; Authority to Appear</w:t>
            </w:r>
          </w:p>
        </w:tc>
        <w:tc>
          <w:tcPr>
            <w:tcW w:type="dxa" w:w="6192"/>
            <w:shd w:fill="FFFFFF"/>
            <w:tcMar>
              <w:top w:w="70" w:type="dxa"/>
              <w:bottom w:w="70" w:type="dxa"/>
              <w:left w:w="90" w:type="dxa"/>
              <w:right w:w="90" w:type="dxa"/>
            </w:tcMar>
          </w:tcPr>
          <w:p>
            <w:r>
              <w:rPr>
                <w:rFonts w:ascii="Calibri" w:hAnsi="Calibri"/>
                <w:color w:val="212529"/>
                <w:sz w:val="17"/>
              </w:rPr>
              <w:t>Lawyers must possess valid statutory authority before appearing for government entities.</w:t>
            </w:r>
          </w:p>
        </w:tc>
      </w:tr>
      <w:tr>
        <w:tc>
          <w:tcPr>
            <w:tcW w:type="dxa" w:w="3168"/>
            <w:shd w:fill="F7F9FA"/>
            <w:tcMar>
              <w:top w:w="70" w:type="dxa"/>
              <w:bottom w:w="70" w:type="dxa"/>
              <w:left w:w="80" w:type="dxa"/>
              <w:right w:w="80" w:type="dxa"/>
            </w:tcMar>
          </w:tcPr>
          <w:p>
            <w:r>
              <w:rPr>
                <w:rFonts w:ascii="Calibri" w:hAnsi="Calibri"/>
                <w:b/>
                <w:color w:val="0F4C81"/>
                <w:sz w:val="17"/>
              </w:rPr>
              <w:t>CPRA Canon II: Propriety &amp; Compliance with Law</w:t>
            </w:r>
          </w:p>
        </w:tc>
        <w:tc>
          <w:tcPr>
            <w:tcW w:type="dxa" w:w="6192"/>
            <w:shd w:fill="F7F9FA"/>
            <w:tcMar>
              <w:top w:w="70" w:type="dxa"/>
              <w:bottom w:w="70" w:type="dxa"/>
              <w:left w:w="90" w:type="dxa"/>
              <w:right w:w="90" w:type="dxa"/>
            </w:tcMar>
          </w:tcPr>
          <w:p>
            <w:r>
              <w:rPr>
                <w:rFonts w:ascii="Calibri" w:hAnsi="Calibri"/>
                <w:color w:val="212529"/>
                <w:sz w:val="17"/>
              </w:rPr>
              <w:t>Adherence to institutional representation mandates under the Administrative Code.</w:t>
            </w:r>
          </w:p>
        </w:tc>
      </w:tr>
    </w:tbl>
    <w:p>
      <w:pPr>
        <w:spacing w:after="160"/>
      </w:pPr>
    </w:p>
    <w:p>
      <w:pPr>
        <w:keepNext/>
        <w:spacing w:before="320" w:after="40"/>
      </w:pPr>
      <w:r>
        <w:rPr>
          <w:rFonts w:ascii="Calibri" w:hAnsi="Calibri"/>
          <w:b/>
          <w:color w:val="A30000"/>
          <w:sz w:val="26"/>
        </w:rPr>
        <w:t xml:space="preserve">CASE 28: </w:t>
      </w:r>
      <w:r>
        <w:rPr>
          <w:rFonts w:ascii="Calibri" w:hAnsi="Calibri"/>
          <w:b/>
          <w:color w:val="182B49"/>
          <w:sz w:val="26"/>
        </w:rPr>
        <w:t>Mahunot v. Atty. Lord M. Marapao</w:t>
      </w:r>
    </w:p>
    <w:p>
      <w:pPr>
        <w:keepNext/>
        <w:spacing w:before="0" w:after="120"/>
      </w:pPr>
      <w:r>
        <w:rPr>
          <w:rFonts w:ascii="Calibri" w:hAnsi="Calibri"/>
          <w:b/>
          <w:i/>
          <w:color w:val="0F4C81"/>
          <w:sz w:val="20"/>
        </w:rPr>
        <w:t>A.C. No. 10297, March 9, 2022</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Respondent Atty. Marapao drafted and filed multiple groundless and harassing criminal complaints for falsification and perjury against complainant to coerce him into surrendering possession of a disputed parcel of land. The prosecutorial offices repeatedly dismissed the charges for utter lack of probable cause.</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filing groundless, vexatious, and repetitive criminal complaints to harass an opponent constitutes professional misconduct.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Lawyers must not abuse legal processes or file groundless suits to coerce adversaries.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 2 (Duty to Uphold Law and Administration of Justice); Canon II (Propriety), Section 4; CPR Canon 1, Rule 1.03.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legal profession is dedicated to the administration of justice. A lawyer should not file or threaten to file groundless, repetitive suits simply to harass, intimidate, or exhaust an adverse party financially. Utilizing the criminal justice system as a leverage tool for private extortion or harassment warrants administrative sanction.</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Lord M. Marapao was found GUILTY of gross misconduct and SUSPENDED from the practice of law for six (6) months.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Fidelity &amp; Prohibition of Groundless Suits</w:t>
            </w:r>
          </w:p>
        </w:tc>
        <w:tc>
          <w:tcPr>
            <w:tcW w:type="dxa" w:w="6192"/>
            <w:shd w:fill="FFFFFF"/>
            <w:tcMar>
              <w:top w:w="70" w:type="dxa"/>
              <w:bottom w:w="70" w:type="dxa"/>
              <w:left w:w="90" w:type="dxa"/>
              <w:right w:w="90" w:type="dxa"/>
            </w:tcMar>
          </w:tcPr>
          <w:p>
            <w:r>
              <w:rPr>
                <w:rFonts w:ascii="Calibri" w:hAnsi="Calibri"/>
                <w:color w:val="212529"/>
                <w:sz w:val="17"/>
              </w:rPr>
              <w:t>Duty not to abuse judicial procedures to harass opposing parties.</w:t>
            </w:r>
          </w:p>
        </w:tc>
      </w:tr>
      <w:tr>
        <w:tc>
          <w:tcPr>
            <w:tcW w:type="dxa" w:w="3168"/>
            <w:shd w:fill="F7F9FA"/>
            <w:tcMar>
              <w:top w:w="70" w:type="dxa"/>
              <w:bottom w:w="70" w:type="dxa"/>
              <w:left w:w="80" w:type="dxa"/>
              <w:right w:w="80" w:type="dxa"/>
            </w:tcMar>
          </w:tcPr>
          <w:p>
            <w:r>
              <w:rPr>
                <w:rFonts w:ascii="Calibri" w:hAnsi="Calibri"/>
                <w:b/>
                <w:color w:val="0F4C81"/>
                <w:sz w:val="17"/>
              </w:rPr>
              <w:t>CPRA Canon II: Propriety &amp; Respect for Law</w:t>
            </w:r>
          </w:p>
        </w:tc>
        <w:tc>
          <w:tcPr>
            <w:tcW w:type="dxa" w:w="6192"/>
            <w:shd w:fill="F7F9FA"/>
            <w:tcMar>
              <w:top w:w="70" w:type="dxa"/>
              <w:bottom w:w="70" w:type="dxa"/>
              <w:left w:w="90" w:type="dxa"/>
              <w:right w:w="90" w:type="dxa"/>
            </w:tcMar>
          </w:tcPr>
          <w:p>
            <w:r>
              <w:rPr>
                <w:rFonts w:ascii="Calibri" w:hAnsi="Calibri"/>
                <w:color w:val="212529"/>
                <w:sz w:val="17"/>
              </w:rPr>
              <w:t>Maintaining honesty and good faith in initiating court actions.</w:t>
            </w:r>
          </w:p>
        </w:tc>
      </w:tr>
    </w:tbl>
    <w:p>
      <w:pPr>
        <w:spacing w:after="160"/>
      </w:pPr>
    </w:p>
    <w:p>
      <w:pPr>
        <w:keepNext/>
        <w:spacing w:before="320" w:after="40"/>
      </w:pPr>
      <w:r>
        <w:rPr>
          <w:rFonts w:ascii="Calibri" w:hAnsi="Calibri"/>
          <w:b/>
          <w:color w:val="A30000"/>
          <w:sz w:val="26"/>
        </w:rPr>
        <w:t xml:space="preserve">CASE 29: </w:t>
      </w:r>
      <w:r>
        <w:rPr>
          <w:rFonts w:ascii="Calibri" w:hAnsi="Calibri"/>
          <w:b/>
          <w:color w:val="182B49"/>
          <w:sz w:val="26"/>
        </w:rPr>
        <w:t>Tiongson v. Atty. Michael Flores</w:t>
      </w:r>
    </w:p>
    <w:p>
      <w:pPr>
        <w:keepNext/>
        <w:spacing w:before="0" w:after="120"/>
      </w:pPr>
      <w:r>
        <w:rPr>
          <w:rFonts w:ascii="Calibri" w:hAnsi="Calibri"/>
          <w:b/>
          <w:i/>
          <w:color w:val="0F4C81"/>
          <w:sz w:val="20"/>
        </w:rPr>
        <w:t>A.C. No. 12423, September 1, 2020</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Flores notarized a Deed of Absolute Sale where one of the executing parties was already deceased on the date of alleged acknowledgment. Complainant showed that the signature of the decedent was forged and that respondent never verified the personal appearance or competent identity of the signatories.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notarizing a legal instrument in the absence of the signatory constitutes gross negligence and malpractice.</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Notarizing documents without the personal appearance of the executing parties violates the Notarial Rules and CPRA.</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2004 Rules on Notarial Practice (A.M. No. 02-8-13-SC); CPRA Canon II (Propriety), Section 1 &amp; 2; CPRA Canon IV (Competence and Diligence).</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notary public is invested with substantial public trust. Notarization converts a private document into a public instrument, entitled to full faith and credit. When a lawyer notarizes a document without verifying the physical presence and identity of the parties, he compromises the integrity of public documents and commits a grave breach of the lawyer's oath.</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Michael Flores was SUSPENDED from the practice of law for one (1) year, his Notarial Commission REVOKED, and PERPETUALLY DISQUALIFIED from being commissioned as a Notary Public.</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Propriety &amp; Notarial Integrity</w:t>
            </w:r>
          </w:p>
        </w:tc>
        <w:tc>
          <w:tcPr>
            <w:tcW w:type="dxa" w:w="6192"/>
            <w:shd w:fill="FFFFFF"/>
            <w:tcMar>
              <w:top w:w="70" w:type="dxa"/>
              <w:bottom w:w="70" w:type="dxa"/>
              <w:left w:w="90" w:type="dxa"/>
              <w:right w:w="90" w:type="dxa"/>
            </w:tcMar>
          </w:tcPr>
          <w:p>
            <w:r>
              <w:rPr>
                <w:rFonts w:ascii="Calibri" w:hAnsi="Calibri"/>
                <w:color w:val="212529"/>
                <w:sz w:val="17"/>
              </w:rPr>
              <w:t>Strict compliance with Notarial Rules regarding personal appearance and competent evidence of identity.</w:t>
            </w:r>
          </w:p>
        </w:tc>
      </w:tr>
      <w:tr>
        <w:tc>
          <w:tcPr>
            <w:tcW w:type="dxa" w:w="3168"/>
            <w:shd w:fill="F7F9FA"/>
            <w:tcMar>
              <w:top w:w="70" w:type="dxa"/>
              <w:bottom w:w="70" w:type="dxa"/>
              <w:left w:w="80" w:type="dxa"/>
              <w:right w:w="80" w:type="dxa"/>
            </w:tcMar>
          </w:tcPr>
          <w:p>
            <w:r>
              <w:rPr>
                <w:rFonts w:ascii="Calibri" w:hAnsi="Calibri"/>
                <w:b/>
                <w:color w:val="0F4C81"/>
                <w:sz w:val="17"/>
              </w:rPr>
              <w:t>CPRA Canon IV: Competence &amp; Diligence</w:t>
            </w:r>
          </w:p>
        </w:tc>
        <w:tc>
          <w:tcPr>
            <w:tcW w:type="dxa" w:w="6192"/>
            <w:shd w:fill="F7F9FA"/>
            <w:tcMar>
              <w:top w:w="70" w:type="dxa"/>
              <w:bottom w:w="70" w:type="dxa"/>
              <w:left w:w="90" w:type="dxa"/>
              <w:right w:w="90" w:type="dxa"/>
            </w:tcMar>
          </w:tcPr>
          <w:p>
            <w:r>
              <w:rPr>
                <w:rFonts w:ascii="Calibri" w:hAnsi="Calibri"/>
                <w:color w:val="212529"/>
                <w:sz w:val="17"/>
              </w:rPr>
              <w:t>Maintaining highest diligence in official notarial acts.</w:t>
            </w:r>
          </w:p>
        </w:tc>
      </w:tr>
    </w:tbl>
    <w:p>
      <w:pPr>
        <w:spacing w:after="160"/>
      </w:pPr>
    </w:p>
    <w:p>
      <w:pPr>
        <w:keepNext/>
        <w:spacing w:before="320" w:after="40"/>
      </w:pPr>
      <w:r>
        <w:rPr>
          <w:rFonts w:ascii="Calibri" w:hAnsi="Calibri"/>
          <w:b/>
          <w:color w:val="A30000"/>
          <w:sz w:val="26"/>
        </w:rPr>
        <w:t xml:space="preserve">CASE 30: </w:t>
      </w:r>
      <w:r>
        <w:rPr>
          <w:rFonts w:ascii="Calibri" w:hAnsi="Calibri"/>
          <w:b/>
          <w:color w:val="182B49"/>
          <w:sz w:val="26"/>
        </w:rPr>
        <w:t>Palma v. Maduramente</w:t>
      </w:r>
    </w:p>
    <w:p>
      <w:pPr>
        <w:keepNext/>
        <w:spacing w:before="0" w:after="120"/>
      </w:pPr>
      <w:r>
        <w:rPr>
          <w:rFonts w:ascii="Calibri" w:hAnsi="Calibri"/>
          <w:b/>
          <w:i/>
          <w:color w:val="0F4C81"/>
          <w:sz w:val="20"/>
        </w:rPr>
        <w:t>A.C. No. 13995, January 30, 2024</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Maduramente represented a client in a real estate transaction and accepted client funds for the express purpose of paying capital gains taxes and transfer fees to the Bureau of Internal Revenue (BIR). Instead of remitting the funds, he converted them to his personal use, causing the client to incur substantial tax penalties and surcharges.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misappropriation of client funds intended for tax assessments warrants disbarment under the CPRA.</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Misappropriating client money entrusted for official payments constitutes gross dishonesty and warrant disbarment.</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Sections 1, 6, 7; Canon VI (Accountability), Section 33.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Money entrusted to a lawyer for a specific legal purpose is held in trust. The lawyer's failure to apply the funds to the intended purpose or to return them immediately upon demand gives rise to the presumption of misappropriation. Under the CPRA, misappropriation of client funds is classified as a serious offense penalized with suspension or disbarment.</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Maduramente was DISBARRED from the practice of law and ordered to refund all misappropriated sums with legal interest.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Fidelity &amp; Trust Funds (Sec. 6 &amp; 7)</w:t>
            </w:r>
          </w:p>
        </w:tc>
        <w:tc>
          <w:tcPr>
            <w:tcW w:type="dxa" w:w="6192"/>
            <w:shd w:fill="FFFFFF"/>
            <w:tcMar>
              <w:top w:w="70" w:type="dxa"/>
              <w:bottom w:w="70" w:type="dxa"/>
              <w:left w:w="90" w:type="dxa"/>
              <w:right w:w="90" w:type="dxa"/>
            </w:tcMar>
          </w:tcPr>
          <w:p>
            <w:r>
              <w:rPr>
                <w:rFonts w:ascii="Calibri" w:hAnsi="Calibri"/>
                <w:color w:val="212529"/>
                <w:sz w:val="17"/>
              </w:rPr>
              <w:t>Strict fiduciary duty to keep client funds segregated and unencumbered.</w:t>
            </w:r>
          </w:p>
        </w:tc>
      </w:tr>
      <w:tr>
        <w:tc>
          <w:tcPr>
            <w:tcW w:type="dxa" w:w="3168"/>
            <w:shd w:fill="F7F9FA"/>
            <w:tcMar>
              <w:top w:w="70" w:type="dxa"/>
              <w:bottom w:w="70" w:type="dxa"/>
              <w:left w:w="80" w:type="dxa"/>
              <w:right w:w="80" w:type="dxa"/>
            </w:tcMar>
          </w:tcPr>
          <w:p>
            <w:r>
              <w:rPr>
                <w:rFonts w:ascii="Calibri" w:hAnsi="Calibri"/>
                <w:b/>
                <w:color w:val="0F4C81"/>
                <w:sz w:val="17"/>
              </w:rPr>
              <w:t>CPRA Canon VI: Accountability</w:t>
            </w:r>
          </w:p>
        </w:tc>
        <w:tc>
          <w:tcPr>
            <w:tcW w:type="dxa" w:w="6192"/>
            <w:shd w:fill="F7F9FA"/>
            <w:tcMar>
              <w:top w:w="70" w:type="dxa"/>
              <w:bottom w:w="70" w:type="dxa"/>
              <w:left w:w="90" w:type="dxa"/>
              <w:right w:w="90" w:type="dxa"/>
            </w:tcMar>
          </w:tcPr>
          <w:p>
            <w:r>
              <w:rPr>
                <w:rFonts w:ascii="Calibri" w:hAnsi="Calibri"/>
                <w:color w:val="212529"/>
                <w:sz w:val="17"/>
              </w:rPr>
              <w:t>Disbarment for aggravated misappropriation and breach of fiduciary trust.</w:t>
            </w:r>
          </w:p>
        </w:tc>
      </w:tr>
    </w:tbl>
    <w:p>
      <w:pPr>
        <w:spacing w:after="160"/>
      </w:pPr>
    </w:p>
    <w:p>
      <w:pPr>
        <w:keepNext/>
        <w:spacing w:before="320" w:after="40"/>
      </w:pPr>
      <w:r>
        <w:rPr>
          <w:rFonts w:ascii="Calibri" w:hAnsi="Calibri"/>
          <w:b/>
          <w:color w:val="A30000"/>
          <w:sz w:val="26"/>
        </w:rPr>
        <w:t xml:space="preserve">CASE 31: </w:t>
      </w:r>
      <w:r>
        <w:rPr>
          <w:rFonts w:ascii="Calibri" w:hAnsi="Calibri"/>
          <w:b/>
          <w:color w:val="182B49"/>
          <w:sz w:val="26"/>
        </w:rPr>
        <w:t>Buenavista Properties, Inc. v. Deloria</w:t>
      </w:r>
    </w:p>
    <w:p>
      <w:pPr>
        <w:keepNext/>
        <w:spacing w:before="0" w:after="120"/>
      </w:pPr>
      <w:r>
        <w:rPr>
          <w:rFonts w:ascii="Calibri" w:hAnsi="Calibri"/>
          <w:b/>
          <w:i/>
          <w:color w:val="0F4C81"/>
          <w:sz w:val="20"/>
        </w:rPr>
        <w:t>A.C. No. 12160, August 14, 2018 | 877 SCRA 1</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engaged respondent Atty. Deloria to handle land registration proceedings. The respondent collected acceptance and litigation fees but abandoned the case, failed to attend hearings resulting in the dismissal of the petition, and subsequently went into hiding without returning the client's case records.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abandoning a client's case and failing to attend hearings constitutes gross neglect of professional duty.</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Gross negligence and abandonment of client causes warrant severe disciplinary action.</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IV (Competence &amp; Diligence), Sections 1, 2, 3; CPR Canon 18, Rule 18.03 &amp; 18.04.</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 is required to serve his client with competence and diligence. Once a lawyer accepts a case, he is bound to prosecute it with utmost devotion and zeal. Abandoning a client's cause, missing court hearings, and causing dismissal by default constitutes inexcusable professional negligence.</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Deloria was SUSPENDED from the practice of law for two (2) years and ordered to return the client's litigation fees.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IV: Competence &amp; Diligence</w:t>
            </w:r>
          </w:p>
        </w:tc>
        <w:tc>
          <w:tcPr>
            <w:tcW w:type="dxa" w:w="6192"/>
            <w:shd w:fill="FFFFFF"/>
            <w:tcMar>
              <w:top w:w="70" w:type="dxa"/>
              <w:bottom w:w="70" w:type="dxa"/>
              <w:left w:w="90" w:type="dxa"/>
              <w:right w:w="90" w:type="dxa"/>
            </w:tcMar>
          </w:tcPr>
          <w:p>
            <w:r>
              <w:rPr>
                <w:rFonts w:ascii="Calibri" w:hAnsi="Calibri"/>
                <w:color w:val="212529"/>
                <w:sz w:val="17"/>
              </w:rPr>
              <w:t>Lawyers must prosecute client cases with continuous diligence and punctuality.</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w:t>
            </w:r>
          </w:p>
        </w:tc>
        <w:tc>
          <w:tcPr>
            <w:tcW w:type="dxa" w:w="6192"/>
            <w:shd w:fill="F7F9FA"/>
            <w:tcMar>
              <w:top w:w="70" w:type="dxa"/>
              <w:bottom w:w="70" w:type="dxa"/>
              <w:left w:w="90" w:type="dxa"/>
              <w:right w:w="90" w:type="dxa"/>
            </w:tcMar>
          </w:tcPr>
          <w:p>
            <w:r>
              <w:rPr>
                <w:rFonts w:ascii="Calibri" w:hAnsi="Calibri"/>
                <w:color w:val="212529"/>
                <w:sz w:val="17"/>
              </w:rPr>
              <w:t>Duty not to abandon client interests after collecting fees.</w:t>
            </w:r>
          </w:p>
        </w:tc>
      </w:tr>
    </w:tbl>
    <w:p>
      <w:pPr>
        <w:spacing w:after="160"/>
      </w:pPr>
    </w:p>
    <w:p>
      <w:pPr>
        <w:keepNext/>
        <w:spacing w:before="320" w:after="40"/>
      </w:pPr>
      <w:r>
        <w:rPr>
          <w:rFonts w:ascii="Calibri" w:hAnsi="Calibri"/>
          <w:b/>
          <w:color w:val="A30000"/>
          <w:sz w:val="26"/>
        </w:rPr>
        <w:t xml:space="preserve">CASE 32: </w:t>
      </w:r>
      <w:r>
        <w:rPr>
          <w:rFonts w:ascii="Calibri" w:hAnsi="Calibri"/>
          <w:b/>
          <w:color w:val="182B49"/>
          <w:sz w:val="26"/>
        </w:rPr>
        <w:t>Legaspi v. Gonzales</w:t>
      </w:r>
    </w:p>
    <w:p>
      <w:pPr>
        <w:keepNext/>
        <w:spacing w:before="0" w:after="120"/>
      </w:pPr>
      <w:r>
        <w:rPr>
          <w:rFonts w:ascii="Calibri" w:hAnsi="Calibri"/>
          <w:b/>
          <w:i/>
          <w:color w:val="0F4C81"/>
          <w:sz w:val="20"/>
        </w:rPr>
        <w:t>A.C. No. 12076, July 28, 2020</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Gonzales notarized an Extrajudicial Settlement with Deed of Absolute Sale without requiring the personal presence of the co-heirs. The heirs proved that they never signed the deed and that one of the purported signatories was working abroad in the Middle East on the date of execution.</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notarizing a conveyance involving absent signatories constitutes gross misconduct.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Notarizing instruments involving absent parties severely breaches the Notarial Rules.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2004 Rules on Notarial Practice; CPRA Canon II (Propriety), Section 1 &amp; 2; CPRA Canon IV.</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notary public must personally verify that the parties executing a document are indeed the individuals they claim to be and that they signed freely. Falsifying notarial acknowledgments facilitates fraud and destabilizes real estate property rights. Such conduct warrants immediate suspension and revocation of notarial authority.</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Gonzales was SUSPENDED from the practice of law for one (1) year and DISQUALIFIED from notarial practice.</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Propriety &amp; Truthfulness</w:t>
            </w:r>
          </w:p>
        </w:tc>
        <w:tc>
          <w:tcPr>
            <w:tcW w:type="dxa" w:w="6192"/>
            <w:shd w:fill="FFFFFF"/>
            <w:tcMar>
              <w:top w:w="70" w:type="dxa"/>
              <w:bottom w:w="70" w:type="dxa"/>
              <w:left w:w="90" w:type="dxa"/>
              <w:right w:w="90" w:type="dxa"/>
            </w:tcMar>
          </w:tcPr>
          <w:p>
            <w:r>
              <w:rPr>
                <w:rFonts w:ascii="Calibri" w:hAnsi="Calibri"/>
                <w:color w:val="212529"/>
                <w:sz w:val="17"/>
              </w:rPr>
              <w:t>Ensuring complete authenticity and personal appearance in notarial acts.</w:t>
            </w:r>
          </w:p>
        </w:tc>
      </w:tr>
      <w:tr>
        <w:tc>
          <w:tcPr>
            <w:tcW w:type="dxa" w:w="3168"/>
            <w:shd w:fill="F7F9FA"/>
            <w:tcMar>
              <w:top w:w="70" w:type="dxa"/>
              <w:bottom w:w="70" w:type="dxa"/>
              <w:left w:w="80" w:type="dxa"/>
              <w:right w:w="80" w:type="dxa"/>
            </w:tcMar>
          </w:tcPr>
          <w:p>
            <w:r>
              <w:rPr>
                <w:rFonts w:ascii="Calibri" w:hAnsi="Calibri"/>
                <w:b/>
                <w:color w:val="0F4C81"/>
                <w:sz w:val="17"/>
              </w:rPr>
              <w:t>CPRA Canon IV: Competence &amp; Diligence</w:t>
            </w:r>
          </w:p>
        </w:tc>
        <w:tc>
          <w:tcPr>
            <w:tcW w:type="dxa" w:w="6192"/>
            <w:shd w:fill="F7F9FA"/>
            <w:tcMar>
              <w:top w:w="70" w:type="dxa"/>
              <w:bottom w:w="70" w:type="dxa"/>
              <w:left w:w="90" w:type="dxa"/>
              <w:right w:w="90" w:type="dxa"/>
            </w:tcMar>
          </w:tcPr>
          <w:p>
            <w:r>
              <w:rPr>
                <w:rFonts w:ascii="Calibri" w:hAnsi="Calibri"/>
                <w:color w:val="212529"/>
                <w:sz w:val="17"/>
              </w:rPr>
              <w:t>Avoiding reckless notarial certifications.</w:t>
            </w:r>
          </w:p>
        </w:tc>
      </w:tr>
    </w:tbl>
    <w:p>
      <w:pPr>
        <w:spacing w:after="160"/>
      </w:pPr>
    </w:p>
    <w:p>
      <w:pPr>
        <w:keepNext/>
        <w:spacing w:before="320" w:after="40"/>
      </w:pPr>
      <w:r>
        <w:rPr>
          <w:rFonts w:ascii="Calibri" w:hAnsi="Calibri"/>
          <w:b/>
          <w:color w:val="A30000"/>
          <w:sz w:val="26"/>
        </w:rPr>
        <w:t xml:space="preserve">CASE 33: </w:t>
      </w:r>
      <w:r>
        <w:rPr>
          <w:rFonts w:ascii="Calibri" w:hAnsi="Calibri"/>
          <w:b/>
          <w:color w:val="182B49"/>
          <w:sz w:val="26"/>
        </w:rPr>
        <w:t>Atty. Ulep v. Legal Clinic, Inc.</w:t>
      </w:r>
    </w:p>
    <w:p>
      <w:pPr>
        <w:keepNext/>
        <w:spacing w:before="0" w:after="120"/>
      </w:pPr>
      <w:r>
        <w:rPr>
          <w:rFonts w:ascii="Calibri" w:hAnsi="Calibri"/>
          <w:b/>
          <w:i/>
          <w:color w:val="0F4C81"/>
          <w:sz w:val="20"/>
        </w:rPr>
        <w:t>Bar Matter No. 553, June 17, 1993 | 223 SCRA 378</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The Legal Clinic, Inc. published advertisements in major newspapers offering legal services for 'secret marriages,' expedited divorces in Guam, annulments, and corporate set-ups, staffed by non-lawyers and paralegals promising quick, cheap solutions.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commercial advertisement of legal services and operating legal clinics staffed by non-lawyers constitutes illegal practice of law.</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Commercialized advertising of legal services and unauthorized practice by non-lawyers are illegal.</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Rule 138, Section 27; CPRA Canon II (Propriety), Sections 17 &amp; 18; CPR Canons 2 and 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practice of law is a profession, not a commercial enterprise. Commercial advertising of legal services that demeans the profession, promises illicit remedies (such as sham foreign divorces), or facilitates unauthorized practice of law by corporations and non-lawyers is prohibited. Legal advertising must be dignified, modest, and truthful.</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ENJOINED and PROHIBITED The Legal Clinic, Inc. from publishing commercial advertisements and engaging in unauthorized legal practice.</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Propriety in Legal Information (Sec. 17 &amp; 18)</w:t>
            </w:r>
          </w:p>
        </w:tc>
        <w:tc>
          <w:tcPr>
            <w:tcW w:type="dxa" w:w="6192"/>
            <w:shd w:fill="FFFFFF"/>
            <w:tcMar>
              <w:top w:w="70" w:type="dxa"/>
              <w:bottom w:w="70" w:type="dxa"/>
              <w:left w:w="90" w:type="dxa"/>
              <w:right w:w="90" w:type="dxa"/>
            </w:tcMar>
          </w:tcPr>
          <w:p>
            <w:r>
              <w:rPr>
                <w:rFonts w:ascii="Calibri" w:hAnsi="Calibri"/>
                <w:color w:val="212529"/>
                <w:sz w:val="17"/>
              </w:rPr>
              <w:t>Prohibiting vulgar, misleading, or commercialized promotion of legal services.</w:t>
            </w:r>
          </w:p>
        </w:tc>
      </w:tr>
      <w:tr>
        <w:tc>
          <w:tcPr>
            <w:tcW w:type="dxa" w:w="3168"/>
            <w:shd w:fill="F7F9FA"/>
            <w:tcMar>
              <w:top w:w="70" w:type="dxa"/>
              <w:bottom w:w="70" w:type="dxa"/>
              <w:left w:w="80" w:type="dxa"/>
              <w:right w:w="80" w:type="dxa"/>
            </w:tcMar>
          </w:tcPr>
          <w:p>
            <w:r>
              <w:rPr>
                <w:rFonts w:ascii="Calibri" w:hAnsi="Calibri"/>
                <w:b/>
                <w:color w:val="0F4C81"/>
                <w:sz w:val="17"/>
              </w:rPr>
              <w:t>CPRA Canon I: Independence</w:t>
            </w:r>
          </w:p>
        </w:tc>
        <w:tc>
          <w:tcPr>
            <w:tcW w:type="dxa" w:w="6192"/>
            <w:shd w:fill="F7F9FA"/>
            <w:tcMar>
              <w:top w:w="70" w:type="dxa"/>
              <w:bottom w:w="70" w:type="dxa"/>
              <w:left w:w="90" w:type="dxa"/>
              <w:right w:w="90" w:type="dxa"/>
            </w:tcMar>
          </w:tcPr>
          <w:p>
            <w:r>
              <w:rPr>
                <w:rFonts w:ascii="Calibri" w:hAnsi="Calibri"/>
                <w:color w:val="212529"/>
                <w:sz w:val="17"/>
              </w:rPr>
              <w:t>Protecting the practice of law from commercial exploitation.</w:t>
            </w:r>
          </w:p>
        </w:tc>
      </w:tr>
    </w:tbl>
    <w:p>
      <w:pPr>
        <w:spacing w:after="160"/>
      </w:pPr>
    </w:p>
    <w:p>
      <w:pPr>
        <w:keepNext/>
        <w:spacing w:before="320" w:after="40"/>
      </w:pPr>
      <w:r>
        <w:rPr>
          <w:rFonts w:ascii="Calibri" w:hAnsi="Calibri"/>
          <w:b/>
          <w:color w:val="A30000"/>
          <w:sz w:val="26"/>
        </w:rPr>
        <w:t xml:space="preserve">CASE 34: </w:t>
      </w:r>
      <w:r>
        <w:rPr>
          <w:rFonts w:ascii="Calibri" w:hAnsi="Calibri"/>
          <w:b/>
          <w:color w:val="182B49"/>
          <w:sz w:val="26"/>
        </w:rPr>
        <w:t>Khan, Jr. v. Simbillo</w:t>
      </w:r>
    </w:p>
    <w:p>
      <w:pPr>
        <w:keepNext/>
        <w:spacing w:before="0" w:after="120"/>
      </w:pPr>
      <w:r>
        <w:rPr>
          <w:rFonts w:ascii="Calibri" w:hAnsi="Calibri"/>
          <w:b/>
          <w:i/>
          <w:color w:val="0F4C81"/>
          <w:sz w:val="20"/>
        </w:rPr>
        <w:t>A.C. No. 5299, August 19, 2003 | 409 SCRA 299</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Rizalino Simbillo advertised his legal practice in daily newspapers (Philippine Daily Inquirer) as an 'Annulment of Marriage Specialist' promising quick and guaranteed results. When investigated, he defended his ads by arguing that advertising legal services should be treated like any modern commercial service.</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advertising oneself as a 'specialist' and guaranteeing results in marital annulment cases violates legal ethics.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Self-laudatory advertising and promising guaranteed outcomes violate the prohibition on commercial solicitation.</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Sections 17 &amp; 18; CPR Canon 2, Rule 2.03 and Canon 3, Rule 3.01.</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Lawyers cannot advertise like salesmen hawking commodities. Claiming to be a 'specialist' and promising fast annulments cheapens the administration of justice and exploits distressed individuals. Lawyers are permitted to list basic biographical facts, but boastful or commercial solicitation is strictly prohibited.</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Rizalino Simbillo was SUSPENDED from the practice of law for one (1) year.</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Dignified Information &amp; Advertising</w:t>
            </w:r>
          </w:p>
        </w:tc>
        <w:tc>
          <w:tcPr>
            <w:tcW w:type="dxa" w:w="6192"/>
            <w:shd w:fill="FFFFFF"/>
            <w:tcMar>
              <w:top w:w="70" w:type="dxa"/>
              <w:bottom w:w="70" w:type="dxa"/>
              <w:left w:w="90" w:type="dxa"/>
              <w:right w:w="90" w:type="dxa"/>
            </w:tcMar>
          </w:tcPr>
          <w:p>
            <w:r>
              <w:rPr>
                <w:rFonts w:ascii="Calibri" w:hAnsi="Calibri"/>
                <w:color w:val="212529"/>
                <w:sz w:val="17"/>
              </w:rPr>
              <w:t>Prohibition against self-laudatory claims, specialization boasts, and guaranteed legal outcomes.</w:t>
            </w:r>
          </w:p>
        </w:tc>
      </w:tr>
      <w:tr>
        <w:tc>
          <w:tcPr>
            <w:tcW w:type="dxa" w:w="3168"/>
            <w:shd w:fill="F7F9FA"/>
            <w:tcMar>
              <w:top w:w="70" w:type="dxa"/>
              <w:bottom w:w="70" w:type="dxa"/>
              <w:left w:w="80" w:type="dxa"/>
              <w:right w:w="80" w:type="dxa"/>
            </w:tcMar>
          </w:tcPr>
          <w:p>
            <w:r>
              <w:rPr>
                <w:rFonts w:ascii="Calibri" w:hAnsi="Calibri"/>
                <w:b/>
                <w:color w:val="0F4C81"/>
                <w:sz w:val="17"/>
              </w:rPr>
              <w:t>CPRA Canon I: Independence &amp; Nobility of Profession</w:t>
            </w:r>
          </w:p>
        </w:tc>
        <w:tc>
          <w:tcPr>
            <w:tcW w:type="dxa" w:w="6192"/>
            <w:shd w:fill="F7F9FA"/>
            <w:tcMar>
              <w:top w:w="70" w:type="dxa"/>
              <w:bottom w:w="70" w:type="dxa"/>
              <w:left w:w="90" w:type="dxa"/>
              <w:right w:w="90" w:type="dxa"/>
            </w:tcMar>
          </w:tcPr>
          <w:p>
            <w:r>
              <w:rPr>
                <w:rFonts w:ascii="Calibri" w:hAnsi="Calibri"/>
                <w:color w:val="212529"/>
                <w:sz w:val="17"/>
              </w:rPr>
              <w:t>Upholding the non-commercial character of the Bar.</w:t>
            </w:r>
          </w:p>
        </w:tc>
      </w:tr>
    </w:tbl>
    <w:p>
      <w:pPr>
        <w:spacing w:after="160"/>
      </w:pPr>
    </w:p>
    <w:p>
      <w:pPr>
        <w:keepNext/>
        <w:spacing w:before="320" w:after="40"/>
      </w:pPr>
      <w:r>
        <w:rPr>
          <w:rFonts w:ascii="Calibri" w:hAnsi="Calibri"/>
          <w:b/>
          <w:color w:val="A30000"/>
          <w:sz w:val="26"/>
        </w:rPr>
        <w:t xml:space="preserve">CASE 35: </w:t>
      </w:r>
      <w:r>
        <w:rPr>
          <w:rFonts w:ascii="Calibri" w:hAnsi="Calibri"/>
          <w:b/>
          <w:color w:val="182B49"/>
          <w:sz w:val="26"/>
        </w:rPr>
        <w:t>Linsangan v. Atty. Nicomedes Tolentino (Re-Affirmed)</w:t>
      </w:r>
    </w:p>
    <w:p>
      <w:pPr>
        <w:keepNext/>
        <w:spacing w:before="0" w:after="120"/>
      </w:pPr>
      <w:r>
        <w:rPr>
          <w:rFonts w:ascii="Calibri" w:hAnsi="Calibri"/>
          <w:b/>
          <w:i/>
          <w:color w:val="0F4C81"/>
          <w:sz w:val="20"/>
        </w:rPr>
        <w:t>A.C. No. 6672, September 4, 2009</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Re-affirmed landmark doctrine on ambulance-chasing where respondent lawyer employed non-lawyer runners and supplied financial advances to maritime workers to secure exclusive legal retainers.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fee-splitting with non-lawyers and champertous loan agreements violate the core independence of the legal profession.</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Sharing legal fees with non-lawyers and paying finders' fees to case runners is strictly forbidden.</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18; CPRA Canon I (Independence); Rule 138, Section 27.</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 shall not share, divide, or stipulate to divide, directly or indirectly, a legal fee with persons not licensed to practice law. Doing so compromises the attorney's independent judgment and commercializes the justice system into a predatory referral market.</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Tolentino's one-year suspension was REAFFIRMED with strict warnings against repetition.</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Prohibition on Fee-Splitting</w:t>
            </w:r>
          </w:p>
        </w:tc>
        <w:tc>
          <w:tcPr>
            <w:tcW w:type="dxa" w:w="6192"/>
            <w:shd w:fill="FFFFFF"/>
            <w:tcMar>
              <w:top w:w="70" w:type="dxa"/>
              <w:bottom w:w="70" w:type="dxa"/>
              <w:left w:w="90" w:type="dxa"/>
              <w:right w:w="90" w:type="dxa"/>
            </w:tcMar>
          </w:tcPr>
          <w:p>
            <w:r>
              <w:rPr>
                <w:rFonts w:ascii="Calibri" w:hAnsi="Calibri"/>
                <w:color w:val="212529"/>
                <w:sz w:val="17"/>
              </w:rPr>
              <w:t>Complete ban on dividing legal fees with non-lawyer agents or runners.</w:t>
            </w:r>
          </w:p>
        </w:tc>
      </w:tr>
      <w:tr>
        <w:tc>
          <w:tcPr>
            <w:tcW w:type="dxa" w:w="3168"/>
            <w:shd w:fill="F7F9FA"/>
            <w:tcMar>
              <w:top w:w="70" w:type="dxa"/>
              <w:bottom w:w="70" w:type="dxa"/>
              <w:left w:w="80" w:type="dxa"/>
              <w:right w:w="80" w:type="dxa"/>
            </w:tcMar>
          </w:tcPr>
          <w:p>
            <w:r>
              <w:rPr>
                <w:rFonts w:ascii="Calibri" w:hAnsi="Calibri"/>
                <w:b/>
                <w:color w:val="0F4C81"/>
                <w:sz w:val="17"/>
              </w:rPr>
              <w:t>CPRA Canon I: Independence</w:t>
            </w:r>
          </w:p>
        </w:tc>
        <w:tc>
          <w:tcPr>
            <w:tcW w:type="dxa" w:w="6192"/>
            <w:shd w:fill="F7F9FA"/>
            <w:tcMar>
              <w:top w:w="70" w:type="dxa"/>
              <w:bottom w:w="70" w:type="dxa"/>
              <w:left w:w="90" w:type="dxa"/>
              <w:right w:w="90" w:type="dxa"/>
            </w:tcMar>
          </w:tcPr>
          <w:p>
            <w:r>
              <w:rPr>
                <w:rFonts w:ascii="Calibri" w:hAnsi="Calibri"/>
                <w:color w:val="212529"/>
                <w:sz w:val="17"/>
              </w:rPr>
              <w:t>Freedom from third-party commercial control.</w:t>
            </w:r>
          </w:p>
        </w:tc>
      </w:tr>
    </w:tbl>
    <w:p>
      <w:pPr>
        <w:spacing w:after="160"/>
      </w:pPr>
    </w:p>
    <w:p>
      <w:pPr>
        <w:keepNext/>
        <w:spacing w:before="320" w:after="40"/>
      </w:pPr>
      <w:r>
        <w:rPr>
          <w:rFonts w:ascii="Calibri" w:hAnsi="Calibri"/>
          <w:b/>
          <w:color w:val="A30000"/>
          <w:sz w:val="26"/>
        </w:rPr>
        <w:t xml:space="preserve">CASE 36: </w:t>
      </w:r>
      <w:r>
        <w:rPr>
          <w:rFonts w:ascii="Calibri" w:hAnsi="Calibri"/>
          <w:b/>
          <w:color w:val="182B49"/>
          <w:sz w:val="26"/>
        </w:rPr>
        <w:t>Villatuya v. Tabalingcos</w:t>
      </w:r>
    </w:p>
    <w:p>
      <w:pPr>
        <w:keepNext/>
        <w:spacing w:before="0" w:after="120"/>
      </w:pPr>
      <w:r>
        <w:rPr>
          <w:rFonts w:ascii="Calibri" w:hAnsi="Calibri"/>
          <w:b/>
          <w:i/>
          <w:color w:val="0F4C81"/>
          <w:sz w:val="20"/>
        </w:rPr>
        <w:t>A.C. No. 6622, July 10, 2012 | 676 SCRA 37</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charged respondent Atty. Tabalingcos with bigamy and gross immorality. Respondent contracted two simultaneous marriages during the subsistence of his first marriage without securing any judicial declaration of nullity. Additionally, respondent engaged in false statements in his public personal data sheets.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contracting multiple bigamous marriages constitutes grossly immoral conduct warranting disbarment.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Bigamy and contracting multiple marriages show gross moral depravity and utter unfitness to practice law.</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1; CPR Canon 1, Rule 1.01 and Canon 7, Rule 7.03; Article 349, RPC.</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member of the Bar must uphold the Constitution and obey the laws of the land. Contracting multiple marriages while a previous marriage subsists constitutes the felony of bigamy and demonstrates a profound contempt for the legal institution of marriage. Such moral delinquency renders the lawyer unworthy of the continued trust of the Court and the public.</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Tabalingcos was DISBARRED from the practice of law.</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Propriety &amp; Moral Integrity</w:t>
            </w:r>
          </w:p>
        </w:tc>
        <w:tc>
          <w:tcPr>
            <w:tcW w:type="dxa" w:w="6192"/>
            <w:shd w:fill="FFFFFF"/>
            <w:tcMar>
              <w:top w:w="70" w:type="dxa"/>
              <w:bottom w:w="70" w:type="dxa"/>
              <w:left w:w="90" w:type="dxa"/>
              <w:right w:w="90" w:type="dxa"/>
            </w:tcMar>
          </w:tcPr>
          <w:p>
            <w:r>
              <w:rPr>
                <w:rFonts w:ascii="Calibri" w:hAnsi="Calibri"/>
                <w:color w:val="212529"/>
                <w:sz w:val="17"/>
              </w:rPr>
              <w:t>Continuous obligation to uphold high moral standards in private domestic life.</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to Law</w:t>
            </w:r>
          </w:p>
        </w:tc>
        <w:tc>
          <w:tcPr>
            <w:tcW w:type="dxa" w:w="6192"/>
            <w:shd w:fill="F7F9FA"/>
            <w:tcMar>
              <w:top w:w="70" w:type="dxa"/>
              <w:bottom w:w="70" w:type="dxa"/>
              <w:left w:w="90" w:type="dxa"/>
              <w:right w:w="90" w:type="dxa"/>
            </w:tcMar>
          </w:tcPr>
          <w:p>
            <w:r>
              <w:rPr>
                <w:rFonts w:ascii="Calibri" w:hAnsi="Calibri"/>
                <w:color w:val="212529"/>
                <w:sz w:val="17"/>
              </w:rPr>
              <w:t>Zero tolerance for the commission of bigamy and deliberate violations of marital law.</w:t>
            </w:r>
          </w:p>
        </w:tc>
      </w:tr>
    </w:tbl>
    <w:p>
      <w:pPr>
        <w:spacing w:after="160"/>
      </w:pPr>
    </w:p>
    <w:p>
      <w:pPr>
        <w:keepNext/>
        <w:spacing w:before="320" w:after="40"/>
      </w:pPr>
      <w:r>
        <w:rPr>
          <w:rFonts w:ascii="Calibri" w:hAnsi="Calibri"/>
          <w:b/>
          <w:color w:val="A30000"/>
          <w:sz w:val="26"/>
        </w:rPr>
        <w:t xml:space="preserve">CASE 37: </w:t>
      </w:r>
      <w:r>
        <w:rPr>
          <w:rFonts w:ascii="Calibri" w:hAnsi="Calibri"/>
          <w:b/>
          <w:color w:val="182B49"/>
          <w:sz w:val="26"/>
        </w:rPr>
        <w:t>Palencia v. Linsangan, et al.</w:t>
      </w:r>
    </w:p>
    <w:p>
      <w:pPr>
        <w:keepNext/>
        <w:spacing w:before="0" w:after="120"/>
      </w:pPr>
      <w:r>
        <w:rPr>
          <w:rFonts w:ascii="Calibri" w:hAnsi="Calibri"/>
          <w:b/>
          <w:i/>
          <w:color w:val="0F4C81"/>
          <w:sz w:val="20"/>
        </w:rPr>
        <w:t>A.C. No. 10557, July 10, 2018 | 871 SCRA 202</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an injured overseas seaman, retained respondents Attys. Pedro and Gerard Linsangan to pursue disability compensation. The lawyers advanced medical loans and made complainant execute an irrevocable special power of attorney. When the foreign employer settled the claim for US$95,000, respondents withheld the bulk of the proceeds, deducting exorbitant 35% fees and loan interests.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deducting unconscionable fees and executing champertous contracts with vulnerable seafarers violates legal ethics.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Charging unconscionable fees and exploiting indigent/injured workers through champertous contracts violate the CPRA.</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Sections 6, 7, 41 (Reasonable Attorney's Fees); Section 20, Rule 138; Seafarers' Protection Act (R.A. 10706).</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Attorney's fees must always be reasonable and fair. Contracts stipulating unconscionable percentages (exceeding statutory caps under maritime and labor standards, e.g., 10%) combined with high-interest loan deductions are champertous and oppressive. Lawyers must never reduce their fiduciary duty to a ruthless financial exploitation of injured workers.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Attys. Pedro and Gerard Linsangan were SUSPENDED from the practice of law for two (2) years and one (1) year, respectively, and ordered to REFUND the excess deducted fees.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Reasonable Legal Fees (Sec. 41)</w:t>
            </w:r>
          </w:p>
        </w:tc>
        <w:tc>
          <w:tcPr>
            <w:tcW w:type="dxa" w:w="6192"/>
            <w:shd w:fill="FFFFFF"/>
            <w:tcMar>
              <w:top w:w="70" w:type="dxa"/>
              <w:bottom w:w="70" w:type="dxa"/>
              <w:left w:w="90" w:type="dxa"/>
              <w:right w:w="90" w:type="dxa"/>
            </w:tcMar>
          </w:tcPr>
          <w:p>
            <w:r>
              <w:rPr>
                <w:rFonts w:ascii="Calibri" w:hAnsi="Calibri"/>
                <w:color w:val="212529"/>
                <w:sz w:val="17"/>
              </w:rPr>
              <w:t>Strict prohibition against unconscionable attorney's fees and champerty.</w:t>
            </w:r>
          </w:p>
        </w:tc>
      </w:tr>
      <w:tr>
        <w:tc>
          <w:tcPr>
            <w:tcW w:type="dxa" w:w="3168"/>
            <w:shd w:fill="F7F9FA"/>
            <w:tcMar>
              <w:top w:w="70" w:type="dxa"/>
              <w:bottom w:w="70" w:type="dxa"/>
              <w:left w:w="80" w:type="dxa"/>
              <w:right w:w="80" w:type="dxa"/>
            </w:tcMar>
          </w:tcPr>
          <w:p>
            <w:r>
              <w:rPr>
                <w:rFonts w:ascii="Calibri" w:hAnsi="Calibri"/>
                <w:b/>
                <w:color w:val="0F4C81"/>
                <w:sz w:val="17"/>
              </w:rPr>
              <w:t>CPRA Canon V: Equality &amp; Protection of Labor</w:t>
            </w:r>
          </w:p>
        </w:tc>
        <w:tc>
          <w:tcPr>
            <w:tcW w:type="dxa" w:w="6192"/>
            <w:shd w:fill="F7F9FA"/>
            <w:tcMar>
              <w:top w:w="70" w:type="dxa"/>
              <w:bottom w:w="70" w:type="dxa"/>
              <w:left w:w="90" w:type="dxa"/>
              <w:right w:w="90" w:type="dxa"/>
            </w:tcMar>
          </w:tcPr>
          <w:p>
            <w:r>
              <w:rPr>
                <w:rFonts w:ascii="Calibri" w:hAnsi="Calibri"/>
                <w:color w:val="212529"/>
                <w:sz w:val="17"/>
              </w:rPr>
              <w:t>Special fiduciary protection required when representing disadvantaged seafarers.</w:t>
            </w:r>
          </w:p>
        </w:tc>
      </w:tr>
    </w:tbl>
    <w:p>
      <w:pPr>
        <w:spacing w:after="160"/>
      </w:pPr>
    </w:p>
    <w:p>
      <w:pPr>
        <w:keepNext/>
        <w:spacing w:before="320" w:after="40"/>
      </w:pPr>
      <w:r>
        <w:rPr>
          <w:rFonts w:ascii="Calibri" w:hAnsi="Calibri"/>
          <w:b/>
          <w:color w:val="A30000"/>
          <w:sz w:val="26"/>
        </w:rPr>
        <w:t xml:space="preserve">CASE 38: </w:t>
      </w:r>
      <w:r>
        <w:rPr>
          <w:rFonts w:ascii="Calibri" w:hAnsi="Calibri"/>
          <w:b/>
          <w:color w:val="182B49"/>
          <w:sz w:val="26"/>
        </w:rPr>
        <w:t>Zamora v. Gallanosa</w:t>
      </w:r>
    </w:p>
    <w:p>
      <w:pPr>
        <w:keepNext/>
        <w:spacing w:before="0" w:after="120"/>
      </w:pPr>
      <w:r>
        <w:rPr>
          <w:rFonts w:ascii="Calibri" w:hAnsi="Calibri"/>
          <w:b/>
          <w:i/>
          <w:color w:val="0F4C81"/>
          <w:sz w:val="20"/>
        </w:rPr>
        <w:t>A.C. No. 10738, September 14, 2020</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engaged Atty. Gallanosa to handle an appeal before the Court of Appeals and paid the full filing fees and professional fees. Atty. Gallanosa failed to file the required Appellant's Brief within the reglementary period despite multiple extensions, resulting in the final dismissal of the appeal and the loss of complainant's property.</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failure to file an Appellant's Brief resulting in the loss of a client's appeal constitutes gross inexcusable negligence.</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Missing appellate deadlines and causing the final dismissal of a client's case constitutes gross negligence.</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IV (Competence &amp; Diligence), Sections 1, 2, 3; CPR Canon 18, Rule 18.03.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failure to file an appellant's brief after receiving fees and obtaining extensions of time is inexcusable neglect. An attorney owes complete devotion to the interest of his client, warm zeal in the maintenance of his rights, and the exertion of his utmost learning and ability. Allowing an appeal to lapse through sheer inaction irreparably damages the client's constitutional right to due process.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Gallanosa was SUSPENDED from the practice of law for two (2) years and ordered to refund all received fees.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IV: Competence &amp; Diligence (Sec. 1–3)</w:t>
            </w:r>
          </w:p>
        </w:tc>
        <w:tc>
          <w:tcPr>
            <w:tcW w:type="dxa" w:w="6192"/>
            <w:shd w:fill="FFFFFF"/>
            <w:tcMar>
              <w:top w:w="70" w:type="dxa"/>
              <w:bottom w:w="70" w:type="dxa"/>
              <w:left w:w="90" w:type="dxa"/>
              <w:right w:w="90" w:type="dxa"/>
            </w:tcMar>
          </w:tcPr>
          <w:p>
            <w:r>
              <w:rPr>
                <w:rFonts w:ascii="Calibri" w:hAnsi="Calibri"/>
                <w:color w:val="212529"/>
                <w:sz w:val="17"/>
              </w:rPr>
              <w:t>Punctual observance of judicial deadlines and vigorous prosecution of appeals.</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w:t>
            </w:r>
          </w:p>
        </w:tc>
        <w:tc>
          <w:tcPr>
            <w:tcW w:type="dxa" w:w="6192"/>
            <w:shd w:fill="F7F9FA"/>
            <w:tcMar>
              <w:top w:w="70" w:type="dxa"/>
              <w:bottom w:w="70" w:type="dxa"/>
              <w:left w:w="90" w:type="dxa"/>
              <w:right w:w="90" w:type="dxa"/>
            </w:tcMar>
          </w:tcPr>
          <w:p>
            <w:r>
              <w:rPr>
                <w:rFonts w:ascii="Calibri" w:hAnsi="Calibri"/>
                <w:color w:val="212529"/>
                <w:sz w:val="17"/>
              </w:rPr>
              <w:t>Accountability for causing fatal prejudice to client rights through inaction.</w:t>
            </w:r>
          </w:p>
        </w:tc>
      </w:tr>
    </w:tbl>
    <w:p>
      <w:pPr>
        <w:spacing w:after="160"/>
      </w:pPr>
    </w:p>
    <w:p>
      <w:pPr>
        <w:keepNext/>
        <w:spacing w:before="320" w:after="40"/>
      </w:pPr>
      <w:r>
        <w:rPr>
          <w:rFonts w:ascii="Calibri" w:hAnsi="Calibri"/>
          <w:b/>
          <w:color w:val="A30000"/>
          <w:sz w:val="26"/>
        </w:rPr>
        <w:t xml:space="preserve">CASE 39: </w:t>
      </w:r>
      <w:r>
        <w:rPr>
          <w:rFonts w:ascii="Calibri" w:hAnsi="Calibri"/>
          <w:b/>
          <w:color w:val="182B49"/>
          <w:sz w:val="26"/>
        </w:rPr>
        <w:t>Rebarter v. Villa</w:t>
      </w:r>
    </w:p>
    <w:p>
      <w:pPr>
        <w:keepNext/>
        <w:spacing w:before="0" w:after="120"/>
      </w:pPr>
      <w:r>
        <w:rPr>
          <w:rFonts w:ascii="Calibri" w:hAnsi="Calibri"/>
          <w:b/>
          <w:i/>
          <w:color w:val="0F4C81"/>
          <w:sz w:val="20"/>
        </w:rPr>
        <w:t>A.C. No. 12516, August 4, 2025</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Villa engaged in improper forum shopping and concealed the existence of a prior pending petition before the Court of Appeals when filing a subsequent injunction before the Regional Trial Court on the same cause of action and involving the same parties.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deliberate forum shopping and submitting false certifications of non-forum shopping constitute professional misconduct.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Forum shopping constitutes a direct contempt of court and a grave violation of the lawyer's oath.</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2; Canon III (Fidelity), Section 2; Section 5, Rule 7, Rules of Court.</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Forum shopping subverts the administration of justice by creating the hazard of conflicting decisions by different tribunals on the same issue. When a lawyer signs a false certification of non-forum shopping, he commits deliberate falsehood against the court and degrades the integrity of judicial proceedings.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Villa was SUSPENDED from the practice of law for one (1) year with a stern warning.</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Respect for Courts &amp; Procedure</w:t>
            </w:r>
          </w:p>
        </w:tc>
        <w:tc>
          <w:tcPr>
            <w:tcW w:type="dxa" w:w="6192"/>
            <w:shd w:fill="FFFFFF"/>
            <w:tcMar>
              <w:top w:w="70" w:type="dxa"/>
              <w:bottom w:w="70" w:type="dxa"/>
              <w:left w:w="90" w:type="dxa"/>
              <w:right w:w="90" w:type="dxa"/>
            </w:tcMar>
          </w:tcPr>
          <w:p>
            <w:r>
              <w:rPr>
                <w:rFonts w:ascii="Calibri" w:hAnsi="Calibri"/>
                <w:color w:val="212529"/>
                <w:sz w:val="17"/>
              </w:rPr>
              <w:t>Absolute duty of candor and prohibition against deceptive forum shopping.</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to Administration of Justice</w:t>
            </w:r>
          </w:p>
        </w:tc>
        <w:tc>
          <w:tcPr>
            <w:tcW w:type="dxa" w:w="6192"/>
            <w:shd w:fill="F7F9FA"/>
            <w:tcMar>
              <w:top w:w="70" w:type="dxa"/>
              <w:bottom w:w="70" w:type="dxa"/>
              <w:left w:w="90" w:type="dxa"/>
              <w:right w:w="90" w:type="dxa"/>
            </w:tcMar>
          </w:tcPr>
          <w:p>
            <w:r>
              <w:rPr>
                <w:rFonts w:ascii="Calibri" w:hAnsi="Calibri"/>
                <w:color w:val="212529"/>
                <w:sz w:val="17"/>
              </w:rPr>
              <w:t>Integrity in executing verifications and non-forum shopping certifications.</w:t>
            </w:r>
          </w:p>
        </w:tc>
      </w:tr>
    </w:tbl>
    <w:p>
      <w:pPr>
        <w:spacing w:after="160"/>
      </w:pPr>
    </w:p>
    <w:p>
      <w:pPr>
        <w:keepNext/>
        <w:spacing w:before="320" w:after="40"/>
      </w:pPr>
      <w:r>
        <w:rPr>
          <w:rFonts w:ascii="Calibri" w:hAnsi="Calibri"/>
          <w:b/>
          <w:color w:val="A30000"/>
          <w:sz w:val="26"/>
        </w:rPr>
        <w:t xml:space="preserve">CASE 40: </w:t>
      </w:r>
      <w:r>
        <w:rPr>
          <w:rFonts w:ascii="Calibri" w:hAnsi="Calibri"/>
          <w:b/>
          <w:color w:val="182B49"/>
          <w:sz w:val="26"/>
        </w:rPr>
        <w:t>Office of the Court Administrator v. Judge Ruiz</w:t>
      </w:r>
    </w:p>
    <w:p>
      <w:pPr>
        <w:keepNext/>
        <w:spacing w:before="0" w:after="120"/>
      </w:pPr>
      <w:r>
        <w:rPr>
          <w:rFonts w:ascii="Calibri" w:hAnsi="Calibri"/>
          <w:b/>
          <w:i/>
          <w:color w:val="0F4C81"/>
          <w:sz w:val="20"/>
        </w:rPr>
        <w:t>A.M. No. RTJ-13-2361, February 2, 2016 | 782 SCRA 630</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 judicial audit conducted by the OCA revealed that respondent RTC Judge Ruiz incurred monumental delays in deciding more than one hundred cases submitted for decision beyond the constitutional 90-day period, failed to submit quarterly case reports, and falsified his monthly Certificates of Service to collect salaries.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chronic failure to decide cases within the constitutional period and falsifying certificates of service warrant severe administrative sanctions.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Undue delay in deciding cases and falsifying certificates of service constitute gross inefficiency and dishonesty.</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1987 Constitution Art. VIII, Sec. 15; New Code of Judicial Conduct, Canons 2 (Integrity) and 6 (Competence and Diligence); CPRA Canon IV.</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Judges have a constitutional and ethical duty to decide cases promptly. The speedy disposition of cases is a cornerstone of public faith in the judiciary. Falsifying official certificates of service to falsely claim that no cases remained pending beyond the 90-day deadline constitutes gross dishonesty and serious misconduct.</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Judge Ruiz was found GUILTY of gross inefficiency and dishonesty and imposed a substantial FINE with forfeiture of retirement benefits.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NCJC Canon 6: Competence and Diligence</w:t>
            </w:r>
          </w:p>
        </w:tc>
        <w:tc>
          <w:tcPr>
            <w:tcW w:type="dxa" w:w="6192"/>
            <w:shd w:fill="FFFFFF"/>
            <w:tcMar>
              <w:top w:w="70" w:type="dxa"/>
              <w:bottom w:w="70" w:type="dxa"/>
              <w:left w:w="90" w:type="dxa"/>
              <w:right w:w="90" w:type="dxa"/>
            </w:tcMar>
          </w:tcPr>
          <w:p>
            <w:r>
              <w:rPr>
                <w:rFonts w:ascii="Calibri" w:hAnsi="Calibri"/>
                <w:color w:val="212529"/>
                <w:sz w:val="17"/>
              </w:rPr>
              <w:t>Strict observance of constitutional deadlines for rendering judicial decisions.</w:t>
            </w:r>
          </w:p>
        </w:tc>
      </w:tr>
      <w:tr>
        <w:tc>
          <w:tcPr>
            <w:tcW w:type="dxa" w:w="3168"/>
            <w:shd w:fill="F7F9FA"/>
            <w:tcMar>
              <w:top w:w="70" w:type="dxa"/>
              <w:bottom w:w="70" w:type="dxa"/>
              <w:left w:w="80" w:type="dxa"/>
              <w:right w:w="80" w:type="dxa"/>
            </w:tcMar>
          </w:tcPr>
          <w:p>
            <w:r>
              <w:rPr>
                <w:rFonts w:ascii="Calibri" w:hAnsi="Calibri"/>
                <w:b/>
                <w:color w:val="0F4C81"/>
                <w:sz w:val="17"/>
              </w:rPr>
              <w:t>NCJC Canon 2: Integrity</w:t>
            </w:r>
          </w:p>
        </w:tc>
        <w:tc>
          <w:tcPr>
            <w:tcW w:type="dxa" w:w="6192"/>
            <w:shd w:fill="F7F9FA"/>
            <w:tcMar>
              <w:top w:w="70" w:type="dxa"/>
              <w:bottom w:w="70" w:type="dxa"/>
              <w:left w:w="90" w:type="dxa"/>
              <w:right w:w="90" w:type="dxa"/>
            </w:tcMar>
          </w:tcPr>
          <w:p>
            <w:r>
              <w:rPr>
                <w:rFonts w:ascii="Calibri" w:hAnsi="Calibri"/>
                <w:color w:val="212529"/>
                <w:sz w:val="17"/>
              </w:rPr>
              <w:t>Zero tolerance for fraudulent certifications of service to draw salaries.</w:t>
            </w:r>
          </w:p>
        </w:tc>
      </w:tr>
    </w:tbl>
    <w:p>
      <w:pPr>
        <w:spacing w:after="160"/>
      </w:pPr>
    </w:p>
    <w:p>
      <w:pPr>
        <w:keepNext/>
        <w:spacing w:before="320" w:after="40"/>
      </w:pPr>
      <w:r>
        <w:rPr>
          <w:rFonts w:ascii="Calibri" w:hAnsi="Calibri"/>
          <w:b/>
          <w:color w:val="A30000"/>
          <w:sz w:val="26"/>
        </w:rPr>
        <w:t xml:space="preserve">CASE 41: </w:t>
      </w:r>
      <w:r>
        <w:rPr>
          <w:rFonts w:ascii="Calibri" w:hAnsi="Calibri"/>
          <w:b/>
          <w:color w:val="182B49"/>
          <w:sz w:val="26"/>
        </w:rPr>
        <w:t>So v. Lee</w:t>
      </w:r>
    </w:p>
    <w:p>
      <w:pPr>
        <w:keepNext/>
        <w:spacing w:before="0" w:after="120"/>
      </w:pPr>
      <w:r>
        <w:rPr>
          <w:rFonts w:ascii="Calibri" w:hAnsi="Calibri"/>
          <w:b/>
          <w:i/>
          <w:color w:val="0F4C81"/>
          <w:sz w:val="20"/>
        </w:rPr>
        <w:t>B.M. No. 3288, April 10, 2019 | 900 SCRA 320</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charged respondent lawyer with filing deceptive pleadings, misquoting statutory provisions, and altering the official transcripts of stenographic notes to mislead the trial court regarding the testimony of an opposing witness.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misquoting records and altering evidence before a court violates the duty of candor and honesty.</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A lawyer shall not mislead or allow the court to be misled by any artifice or deceptive misstatement.</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2; Canon III (Fidelity), Section 2; CPR Canon 10, Rule 10.02.</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Candor toward the court is a cardinal duty of all legal practitioners. A lawyer who intentionally misquotes testimonies, alters transcripts, or cites repealed statutes commits deliberate falsehood. The administration of justice relies upon the accuracy and truthfulness of lawyers' representations.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Respondent was SUSPENDED from the practice of law for six (6) months.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Candor, Fairness &amp; Honesty (Sec. 2)</w:t>
            </w:r>
          </w:p>
        </w:tc>
        <w:tc>
          <w:tcPr>
            <w:tcW w:type="dxa" w:w="6192"/>
            <w:shd w:fill="FFFFFF"/>
            <w:tcMar>
              <w:top w:w="70" w:type="dxa"/>
              <w:bottom w:w="70" w:type="dxa"/>
              <w:left w:w="90" w:type="dxa"/>
              <w:right w:w="90" w:type="dxa"/>
            </w:tcMar>
          </w:tcPr>
          <w:p>
            <w:r>
              <w:rPr>
                <w:rFonts w:ascii="Calibri" w:hAnsi="Calibri"/>
                <w:color w:val="212529"/>
                <w:sz w:val="17"/>
              </w:rPr>
              <w:t>Prohibition against misquoting records, altering facts, or misleading the court.</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to Courts</w:t>
            </w:r>
          </w:p>
        </w:tc>
        <w:tc>
          <w:tcPr>
            <w:tcW w:type="dxa" w:w="6192"/>
            <w:shd w:fill="F7F9FA"/>
            <w:tcMar>
              <w:top w:w="70" w:type="dxa"/>
              <w:bottom w:w="70" w:type="dxa"/>
              <w:left w:w="90" w:type="dxa"/>
              <w:right w:w="90" w:type="dxa"/>
            </w:tcMar>
          </w:tcPr>
          <w:p>
            <w:r>
              <w:rPr>
                <w:rFonts w:ascii="Calibri" w:hAnsi="Calibri"/>
                <w:color w:val="212529"/>
                <w:sz w:val="17"/>
              </w:rPr>
              <w:t>Preserving the integrity of trial records and evidence.</w:t>
            </w:r>
          </w:p>
        </w:tc>
      </w:tr>
    </w:tbl>
    <w:p>
      <w:pPr>
        <w:spacing w:after="160"/>
      </w:pPr>
    </w:p>
    <w:p>
      <w:pPr>
        <w:keepNext/>
        <w:spacing w:before="320" w:after="40"/>
      </w:pPr>
      <w:r>
        <w:rPr>
          <w:rFonts w:ascii="Calibri" w:hAnsi="Calibri"/>
          <w:b/>
          <w:color w:val="A30000"/>
          <w:sz w:val="26"/>
        </w:rPr>
        <w:t xml:space="preserve">CASE 42: </w:t>
      </w:r>
      <w:r>
        <w:rPr>
          <w:rFonts w:ascii="Calibri" w:hAnsi="Calibri"/>
          <w:b/>
          <w:color w:val="182B49"/>
          <w:sz w:val="26"/>
        </w:rPr>
        <w:t>Roque v. Intermediate Appellate Court</w:t>
      </w:r>
    </w:p>
    <w:p>
      <w:pPr>
        <w:keepNext/>
        <w:spacing w:before="0" w:after="120"/>
      </w:pPr>
      <w:r>
        <w:rPr>
          <w:rFonts w:ascii="Calibri" w:hAnsi="Calibri"/>
          <w:b/>
          <w:i/>
          <w:color w:val="0F4C81"/>
          <w:sz w:val="20"/>
        </w:rPr>
        <w:t>G.R. No. L-66935, November 11, 1985 | 139 SCRA 596</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Counsel for petitioner repeatedly filed repetitive motions for reconsideration that reiterated identical arguments already thoroughly evaluated and denied by the appellate court, deliberately stalling the execution of a final and executory judgment.</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filing repetitive and frivolous motions to obstruct execution of judgment violates ethical duties to the court.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Frivolous and dilatory tactics designed to defeat final judgments violate procedural integrity and legal ethics.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4; CPR Canon 12, Rule 12.04; Rule 138, Section 20(g).</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 has a duty to assist in the speedy and efficient administration of justice. Once a judgment becomes final, it is the duty of counsel not to obstruct its execution through dilatory motions. Utilizing the judicial machinery to harass an opponent and thwart finality degrades public trust in judicial decrees.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ADMONISHED counsel with a stern warning that repetition of dilatory maneuvers will be met with severe disciplinary penalties.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Efficient Administration of Justice (Sec. 4)</w:t>
            </w:r>
          </w:p>
        </w:tc>
        <w:tc>
          <w:tcPr>
            <w:tcW w:type="dxa" w:w="6192"/>
            <w:shd w:fill="FFFFFF"/>
            <w:tcMar>
              <w:top w:w="70" w:type="dxa"/>
              <w:bottom w:w="70" w:type="dxa"/>
              <w:left w:w="90" w:type="dxa"/>
              <w:right w:w="90" w:type="dxa"/>
            </w:tcMar>
          </w:tcPr>
          <w:p>
            <w:r>
              <w:rPr>
                <w:rFonts w:ascii="Calibri" w:hAnsi="Calibri"/>
                <w:color w:val="212529"/>
                <w:sz w:val="17"/>
              </w:rPr>
              <w:t>Duty not to delay cases or file dilatory and repetitive motions.</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to Rule of Law</w:t>
            </w:r>
          </w:p>
        </w:tc>
        <w:tc>
          <w:tcPr>
            <w:tcW w:type="dxa" w:w="6192"/>
            <w:shd w:fill="F7F9FA"/>
            <w:tcMar>
              <w:top w:w="70" w:type="dxa"/>
              <w:bottom w:w="70" w:type="dxa"/>
              <w:left w:w="90" w:type="dxa"/>
              <w:right w:w="90" w:type="dxa"/>
            </w:tcMar>
          </w:tcPr>
          <w:p>
            <w:r>
              <w:rPr>
                <w:rFonts w:ascii="Calibri" w:hAnsi="Calibri"/>
                <w:color w:val="212529"/>
                <w:sz w:val="17"/>
              </w:rPr>
              <w:t>Respecting the finality and execution of judicial judgments.</w:t>
            </w:r>
          </w:p>
        </w:tc>
      </w:tr>
    </w:tbl>
    <w:p>
      <w:pPr>
        <w:spacing w:after="160"/>
      </w:pPr>
    </w:p>
    <w:p>
      <w:pPr>
        <w:keepNext/>
        <w:spacing w:before="320" w:after="40"/>
      </w:pPr>
      <w:r>
        <w:rPr>
          <w:rFonts w:ascii="Calibri" w:hAnsi="Calibri"/>
          <w:b/>
          <w:color w:val="A30000"/>
          <w:sz w:val="26"/>
        </w:rPr>
        <w:t xml:space="preserve">CASE 43: </w:t>
      </w:r>
      <w:r>
        <w:rPr>
          <w:rFonts w:ascii="Calibri" w:hAnsi="Calibri"/>
          <w:b/>
          <w:color w:val="182B49"/>
          <w:sz w:val="26"/>
        </w:rPr>
        <w:t>Atty. Pedro Aguirre v. Atty. Crispin Reyes</w:t>
      </w:r>
    </w:p>
    <w:p>
      <w:pPr>
        <w:keepNext/>
        <w:spacing w:before="0" w:after="120"/>
      </w:pPr>
      <w:r>
        <w:rPr>
          <w:rFonts w:ascii="Calibri" w:hAnsi="Calibri"/>
          <w:b/>
          <w:i/>
          <w:color w:val="0F4C81"/>
          <w:sz w:val="20"/>
        </w:rPr>
        <w:t>A.C. No. 4355, January 8, 2020</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Atty. Aguirre charged respondent Atty. Reyes with gross misconduct and malicious prosecution for repeatedly filing false administrative and criminal complaints against him across different tribunals to damage his professional reputation after losing a corporate dispute.</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weaponizing disciplinary and criminal processes against a fellow attorney constitutes professional misconduct.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Engaging in harassment and vindictive litigation against a professional colleague violates the CPRA.</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1 &amp; 4; CPR Canon 8, Rule 8.01 (Professional Courtesy and Respect).</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Lawyers owe mutual respect, courtesy, and fairness to their peers in the Bar. Initiating baseless criminal and disbarment suits against a brother lawyer out of pure spite or retaliatory malice destroys the collegiality of the profession and constitutes an abuse of the court's disciplinary jurisdiction.</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Crispin Reyes was REPRIMANDED with a stern warning.</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Courtesy &amp; Fairness to Fellow Lawyers</w:t>
            </w:r>
          </w:p>
        </w:tc>
        <w:tc>
          <w:tcPr>
            <w:tcW w:type="dxa" w:w="6192"/>
            <w:shd w:fill="FFFFFF"/>
            <w:tcMar>
              <w:top w:w="70" w:type="dxa"/>
              <w:bottom w:w="70" w:type="dxa"/>
              <w:left w:w="90" w:type="dxa"/>
              <w:right w:w="90" w:type="dxa"/>
            </w:tcMar>
          </w:tcPr>
          <w:p>
            <w:r>
              <w:rPr>
                <w:rFonts w:ascii="Calibri" w:hAnsi="Calibri"/>
                <w:color w:val="212529"/>
                <w:sz w:val="17"/>
              </w:rPr>
              <w:t>Prohibition against abusive, malicious, and retaliatory litigation against peers.</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w:t>
            </w:r>
          </w:p>
        </w:tc>
        <w:tc>
          <w:tcPr>
            <w:tcW w:type="dxa" w:w="6192"/>
            <w:shd w:fill="F7F9FA"/>
            <w:tcMar>
              <w:top w:w="70" w:type="dxa"/>
              <w:bottom w:w="70" w:type="dxa"/>
              <w:left w:w="90" w:type="dxa"/>
              <w:right w:w="90" w:type="dxa"/>
            </w:tcMar>
          </w:tcPr>
          <w:p>
            <w:r>
              <w:rPr>
                <w:rFonts w:ascii="Calibri" w:hAnsi="Calibri"/>
                <w:color w:val="212529"/>
                <w:sz w:val="17"/>
              </w:rPr>
              <w:t>Maintaining integrity in administrative filings.</w:t>
            </w:r>
          </w:p>
        </w:tc>
      </w:tr>
    </w:tbl>
    <w:p>
      <w:pPr>
        <w:spacing w:after="160"/>
      </w:pPr>
    </w:p>
    <w:p>
      <w:pPr>
        <w:keepNext/>
        <w:spacing w:before="320" w:after="40"/>
      </w:pPr>
      <w:r>
        <w:rPr>
          <w:rFonts w:ascii="Calibri" w:hAnsi="Calibri"/>
          <w:b/>
          <w:color w:val="A30000"/>
          <w:sz w:val="26"/>
        </w:rPr>
        <w:t xml:space="preserve">CASE 44: </w:t>
      </w:r>
      <w:r>
        <w:rPr>
          <w:rFonts w:ascii="Calibri" w:hAnsi="Calibri"/>
          <w:b/>
          <w:color w:val="182B49"/>
          <w:sz w:val="26"/>
        </w:rPr>
        <w:t>Mabini v. Raga</w:t>
      </w:r>
    </w:p>
    <w:p>
      <w:pPr>
        <w:keepNext/>
        <w:spacing w:before="0" w:after="120"/>
      </w:pPr>
      <w:r>
        <w:rPr>
          <w:rFonts w:ascii="Calibri" w:hAnsi="Calibri"/>
          <w:b/>
          <w:i/>
          <w:color w:val="0F4C81"/>
          <w:sz w:val="20"/>
        </w:rPr>
        <w:t>A.M. No. P-06-2150, June 21, 2006 | 491 SCRA 525</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 court sheriff (Raga) collected sheriff's execution expenses directly from a party litigant without submitting the required liquidation estimate, without securing court approval, and without issuing an official court receipt.</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direct solicitation and receipt of sheriff execution expenses without judicial approval constitutes gross misconduct.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Court personnel are strictly prohibited from demanding or receiving money from litigants outside the authorized legal process.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Section 10, Rule 141, Rules of Court; Code of Conduct for Court Personnel (A.M. No. 03-06-13-SC); CPRA Canon II.</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Sheriffs are not authorized to unilaterally determine and collect expenses for the service or execution of court writs. Under Rule 141, the sheriff must prepare an estimate, submit it to the court for approval, and have the litigant deposit the sum with the Clerk of Court. Direct collection creates the impression of extortion and shatters public confidence in court processes.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respondent sheriff was found GUILTY of gross misconduct and SUSPENDED for six (6) months.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Code of Conduct for Court Personnel: Integrity &amp; Propriety</w:t>
            </w:r>
          </w:p>
        </w:tc>
        <w:tc>
          <w:tcPr>
            <w:tcW w:type="dxa" w:w="6192"/>
            <w:shd w:fill="FFFFFF"/>
            <w:tcMar>
              <w:top w:w="70" w:type="dxa"/>
              <w:bottom w:w="70" w:type="dxa"/>
              <w:left w:w="90" w:type="dxa"/>
              <w:right w:w="90" w:type="dxa"/>
            </w:tcMar>
          </w:tcPr>
          <w:p>
            <w:r>
              <w:rPr>
                <w:rFonts w:ascii="Calibri" w:hAnsi="Calibri"/>
                <w:color w:val="212529"/>
                <w:sz w:val="17"/>
              </w:rPr>
              <w:t>Zero tolerance for unauthorized financial extractions from party litigants.</w:t>
            </w:r>
          </w:p>
        </w:tc>
      </w:tr>
      <w:tr>
        <w:tc>
          <w:tcPr>
            <w:tcW w:type="dxa" w:w="3168"/>
            <w:shd w:fill="F7F9FA"/>
            <w:tcMar>
              <w:top w:w="70" w:type="dxa"/>
              <w:bottom w:w="70" w:type="dxa"/>
              <w:left w:w="80" w:type="dxa"/>
              <w:right w:w="80" w:type="dxa"/>
            </w:tcMar>
          </w:tcPr>
          <w:p>
            <w:r>
              <w:rPr>
                <w:rFonts w:ascii="Calibri" w:hAnsi="Calibri"/>
                <w:b/>
                <w:color w:val="0F4C81"/>
                <w:sz w:val="17"/>
              </w:rPr>
              <w:t>CPRA Canon I: Independence of Judicial Officers</w:t>
            </w:r>
          </w:p>
        </w:tc>
        <w:tc>
          <w:tcPr>
            <w:tcW w:type="dxa" w:w="6192"/>
            <w:shd w:fill="F7F9FA"/>
            <w:tcMar>
              <w:top w:w="70" w:type="dxa"/>
              <w:bottom w:w="70" w:type="dxa"/>
              <w:left w:w="90" w:type="dxa"/>
              <w:right w:w="90" w:type="dxa"/>
            </w:tcMar>
          </w:tcPr>
          <w:p>
            <w:r>
              <w:rPr>
                <w:rFonts w:ascii="Calibri" w:hAnsi="Calibri"/>
                <w:color w:val="212529"/>
                <w:sz w:val="17"/>
              </w:rPr>
              <w:t>Preserving strict institutional safeguards in writ execution.</w:t>
            </w:r>
          </w:p>
        </w:tc>
      </w:tr>
    </w:tbl>
    <w:p>
      <w:pPr>
        <w:spacing w:after="160"/>
      </w:pPr>
    </w:p>
    <w:p>
      <w:pPr>
        <w:keepNext/>
        <w:spacing w:before="320" w:after="40"/>
      </w:pPr>
      <w:r>
        <w:rPr>
          <w:rFonts w:ascii="Calibri" w:hAnsi="Calibri"/>
          <w:b/>
          <w:color w:val="A30000"/>
          <w:sz w:val="26"/>
        </w:rPr>
        <w:t xml:space="preserve">CASE 45: </w:t>
      </w:r>
      <w:r>
        <w:rPr>
          <w:rFonts w:ascii="Calibri" w:hAnsi="Calibri"/>
          <w:b/>
          <w:color w:val="182B49"/>
          <w:sz w:val="26"/>
        </w:rPr>
        <w:t>Re: Show Cause Order in Calida v. Sereno (Quo Warranto Ethics Case)</w:t>
      </w:r>
    </w:p>
    <w:p>
      <w:pPr>
        <w:keepNext/>
        <w:spacing w:before="0" w:after="120"/>
      </w:pPr>
      <w:r>
        <w:rPr>
          <w:rFonts w:ascii="Calibri" w:hAnsi="Calibri"/>
          <w:b/>
          <w:i/>
          <w:color w:val="0F4C81"/>
          <w:sz w:val="20"/>
        </w:rPr>
        <w:t>A.M. No. 18-06-01-SC, July 17, 2018 | 871 SCRA 442</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During the pendency of the quo warranto proceedings against then Chief Justice Maria Lourdes Sereno, several lawyers, including the respondent herself and external counsel, held press conferences, public speeches, and media interviews denouncing the sitting Supreme Court justices as 'biased,' 'incompetent,' and 'violators of the Constitution.'</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public sub judice statements attacking sitting justices during a pending case violate the rules of legal ethics.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Public media tirades criticizing pending cases and attacking judicial integrity violate the sub judice rule and the CPRA.</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Sections 13, 14, 19 (Sub Judice Rule &amp; Media Statements); CPR Canon 11, Rule 11.05 and Canon 13, Rule 13.02.</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While the public has a right to know, lawyers are officers of the court and are strictly forbidden from litigating their cases in the media or stirring public outrage against courts while a matter is sub judice. Publicly maligning sitting magistrates with inflammatory statements impairs judicial independence and degrades the public standing of the Judiciary.</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REPRIMANDED respondent Sereno and external counsel for violating the sub judice rule and rules of professional propriety.</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Sub Judice Rule (Sec. 19)</w:t>
            </w:r>
          </w:p>
        </w:tc>
        <w:tc>
          <w:tcPr>
            <w:tcW w:type="dxa" w:w="6192"/>
            <w:shd w:fill="FFFFFF"/>
            <w:tcMar>
              <w:top w:w="70" w:type="dxa"/>
              <w:bottom w:w="70" w:type="dxa"/>
              <w:left w:w="90" w:type="dxa"/>
              <w:right w:w="90" w:type="dxa"/>
            </w:tcMar>
          </w:tcPr>
          <w:p>
            <w:r>
              <w:rPr>
                <w:rFonts w:ascii="Calibri" w:hAnsi="Calibri"/>
                <w:color w:val="212529"/>
                <w:sz w:val="17"/>
              </w:rPr>
              <w:t>Strict prohibition against media statements tending to impede or influence pending proceedings.</w:t>
            </w:r>
          </w:p>
        </w:tc>
      </w:tr>
      <w:tr>
        <w:tc>
          <w:tcPr>
            <w:tcW w:type="dxa" w:w="3168"/>
            <w:shd w:fill="F7F9FA"/>
            <w:tcMar>
              <w:top w:w="70" w:type="dxa"/>
              <w:bottom w:w="70" w:type="dxa"/>
              <w:left w:w="80" w:type="dxa"/>
              <w:right w:w="80" w:type="dxa"/>
            </w:tcMar>
          </w:tcPr>
          <w:p>
            <w:r>
              <w:rPr>
                <w:rFonts w:ascii="Calibri" w:hAnsi="Calibri"/>
                <w:b/>
                <w:color w:val="0F4C81"/>
                <w:sz w:val="17"/>
              </w:rPr>
              <w:t>CPRA Canon II: Respect for Courts &amp; Magistrates (Sec. 2)</w:t>
            </w:r>
          </w:p>
        </w:tc>
        <w:tc>
          <w:tcPr>
            <w:tcW w:type="dxa" w:w="6192"/>
            <w:shd w:fill="F7F9FA"/>
            <w:tcMar>
              <w:top w:w="70" w:type="dxa"/>
              <w:bottom w:w="70" w:type="dxa"/>
              <w:left w:w="90" w:type="dxa"/>
              <w:right w:w="90" w:type="dxa"/>
            </w:tcMar>
          </w:tcPr>
          <w:p>
            <w:r>
              <w:rPr>
                <w:rFonts w:ascii="Calibri" w:hAnsi="Calibri"/>
                <w:color w:val="212529"/>
                <w:sz w:val="17"/>
              </w:rPr>
              <w:t>Maintaining respectful language toward the Judiciary even in heated controversies.</w:t>
            </w:r>
          </w:p>
        </w:tc>
      </w:tr>
    </w:tbl>
    <w:p>
      <w:pPr>
        <w:spacing w:after="160"/>
      </w:pPr>
    </w:p>
    <w:p>
      <w:pPr>
        <w:keepNext/>
        <w:spacing w:before="320" w:after="40"/>
      </w:pPr>
      <w:r>
        <w:rPr>
          <w:rFonts w:ascii="Calibri" w:hAnsi="Calibri"/>
          <w:b/>
          <w:color w:val="A30000"/>
          <w:sz w:val="26"/>
        </w:rPr>
        <w:t xml:space="preserve">CASE 46: </w:t>
      </w:r>
      <w:r>
        <w:rPr>
          <w:rFonts w:ascii="Calibri" w:hAnsi="Calibri"/>
          <w:b/>
          <w:color w:val="182B49"/>
          <w:sz w:val="26"/>
        </w:rPr>
        <w:t>ABS-CBN Corporation, et al. v. Andal Ampatuan, Jr.</w:t>
      </w:r>
    </w:p>
    <w:p>
      <w:pPr>
        <w:keepNext/>
        <w:spacing w:before="0" w:after="120"/>
      </w:pPr>
      <w:r>
        <w:rPr>
          <w:rFonts w:ascii="Calibri" w:hAnsi="Calibri"/>
          <w:b/>
          <w:i/>
          <w:color w:val="0F4C81"/>
          <w:sz w:val="20"/>
        </w:rPr>
        <w:t>G.R. No. 227004, April 25, 2023</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Petitioner media companies challenged the trial court's order prohibiting media coverage and discussions of the Maguindanao Massacre trial based on the sub judice rule, asserting freedom of speech and of the press.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the sub judice rule unconstitutionally curtails freedom of speech and the press when applied to legal commentary.</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NO. The sub judice rule is a valid constitutional restriction to preserve the right of the accused to an impartial trial free from trial by publicity.</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1987 Constitution Art. III, Sec. 14(2); CPRA Canon II (Propriety), Section 19; Rule 71, Rules of Court.</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sub judice rule restricts statements made outside of court by lawyers and participants that have a clear and present danger of influencing the judge, creating bias, or obstructing the fair administration of justice. Courts must balance freedom of expression against the paramount right of every accused to an impartial, fair trial untouched by media sensationalism.</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UPHELD the validity of the sub judice rule while providing balanced guidelines for fair and objective public reporting.</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Sub Judice Rule &amp; Trial by Publicity</w:t>
            </w:r>
          </w:p>
        </w:tc>
        <w:tc>
          <w:tcPr>
            <w:tcW w:type="dxa" w:w="6192"/>
            <w:shd w:fill="FFFFFF"/>
            <w:tcMar>
              <w:top w:w="70" w:type="dxa"/>
              <w:bottom w:w="70" w:type="dxa"/>
              <w:left w:w="90" w:type="dxa"/>
              <w:right w:w="90" w:type="dxa"/>
            </w:tcMar>
          </w:tcPr>
          <w:p>
            <w:r>
              <w:rPr>
                <w:rFonts w:ascii="Calibri" w:hAnsi="Calibri"/>
                <w:color w:val="212529"/>
                <w:sz w:val="17"/>
              </w:rPr>
              <w:t>Lawyers must avoid extrajudicial commentary that creates prejudice in active trials.</w:t>
            </w:r>
          </w:p>
        </w:tc>
      </w:tr>
      <w:tr>
        <w:tc>
          <w:tcPr>
            <w:tcW w:type="dxa" w:w="3168"/>
            <w:shd w:fill="F7F9FA"/>
            <w:tcMar>
              <w:top w:w="70" w:type="dxa"/>
              <w:bottom w:w="70" w:type="dxa"/>
              <w:left w:w="80" w:type="dxa"/>
              <w:right w:w="80" w:type="dxa"/>
            </w:tcMar>
          </w:tcPr>
          <w:p>
            <w:r>
              <w:rPr>
                <w:rFonts w:ascii="Calibri" w:hAnsi="Calibri"/>
                <w:b/>
                <w:color w:val="0F4C81"/>
                <w:sz w:val="17"/>
              </w:rPr>
              <w:t>CPRA Canon I: Judicial Independence &amp; Fair Trial</w:t>
            </w:r>
          </w:p>
        </w:tc>
        <w:tc>
          <w:tcPr>
            <w:tcW w:type="dxa" w:w="6192"/>
            <w:shd w:fill="F7F9FA"/>
            <w:tcMar>
              <w:top w:w="70" w:type="dxa"/>
              <w:bottom w:w="70" w:type="dxa"/>
              <w:left w:w="90" w:type="dxa"/>
              <w:right w:w="90" w:type="dxa"/>
            </w:tcMar>
          </w:tcPr>
          <w:p>
            <w:r>
              <w:rPr>
                <w:rFonts w:ascii="Calibri" w:hAnsi="Calibri"/>
                <w:color w:val="212529"/>
                <w:sz w:val="17"/>
              </w:rPr>
              <w:t>Insulating judicial decision-making from external media pressure.</w:t>
            </w:r>
          </w:p>
        </w:tc>
      </w:tr>
    </w:tbl>
    <w:p>
      <w:pPr>
        <w:spacing w:after="160"/>
      </w:pPr>
    </w:p>
    <w:p>
      <w:pPr>
        <w:keepNext/>
        <w:spacing w:before="320" w:after="40"/>
      </w:pPr>
      <w:r>
        <w:rPr>
          <w:rFonts w:ascii="Calibri" w:hAnsi="Calibri"/>
          <w:b/>
          <w:color w:val="A30000"/>
          <w:sz w:val="26"/>
        </w:rPr>
        <w:t xml:space="preserve">CASE 47: </w:t>
      </w:r>
      <w:r>
        <w:rPr>
          <w:rFonts w:ascii="Calibri" w:hAnsi="Calibri"/>
          <w:b/>
          <w:color w:val="182B49"/>
          <w:sz w:val="26"/>
        </w:rPr>
        <w:t>Bruselas, Jr. v. Mallari</w:t>
      </w:r>
    </w:p>
    <w:p>
      <w:pPr>
        <w:keepNext/>
        <w:spacing w:before="0" w:after="120"/>
      </w:pPr>
      <w:r>
        <w:rPr>
          <w:rFonts w:ascii="Calibri" w:hAnsi="Calibri"/>
          <w:b/>
          <w:i/>
          <w:color w:val="0F4C81"/>
          <w:sz w:val="20"/>
        </w:rPr>
        <w:t>A.C. No. 9683, April 18, 2023</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Eligio Mallari filed multiple administrative and criminal complaints against Court of Appeals Associate Justice Bruselas, Jr. and his division colleagues after they rendered an adverse decision against his client. In his pleadings, Atty. Mallari accused the justices of accepting bribes and being 'ignorant of the law' without presenting any shred of proof.</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reckless, unsubstantiated allegations of corruption against appellate magistrates warrant disbarment.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Scurrilous and malicious attacks on the integrity of appellate justices warrant the ultimate penalty of disbarment.</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Sections 1, 2, 4; Canon VI (Accountability), Section 33.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lawyer's right to criticize the acts of courts and judges is not absolute. Criticism must be respectful, bona fide, and supported by credible facts. Making reckless, scandalous, and defamatory charges of bribery and ignorance against judges simply because an adverse ruling was issued is an intolerable attack on the Judiciary.</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Eligio P. Mallari was DISBARRED from the practice of law.</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Respect for Judicial Hierarchy</w:t>
            </w:r>
          </w:p>
        </w:tc>
        <w:tc>
          <w:tcPr>
            <w:tcW w:type="dxa" w:w="6192"/>
            <w:shd w:fill="FFFFFF"/>
            <w:tcMar>
              <w:top w:w="70" w:type="dxa"/>
              <w:bottom w:w="70" w:type="dxa"/>
              <w:left w:w="90" w:type="dxa"/>
              <w:right w:w="90" w:type="dxa"/>
            </w:tcMar>
          </w:tcPr>
          <w:p>
            <w:r>
              <w:rPr>
                <w:rFonts w:ascii="Calibri" w:hAnsi="Calibri"/>
                <w:color w:val="212529"/>
                <w:sz w:val="17"/>
              </w:rPr>
              <w:t>Prohibition against unfounded and scurrilous attacks against sitting magistrates.</w:t>
            </w:r>
          </w:p>
        </w:tc>
      </w:tr>
      <w:tr>
        <w:tc>
          <w:tcPr>
            <w:tcW w:type="dxa" w:w="3168"/>
            <w:shd w:fill="F7F9FA"/>
            <w:tcMar>
              <w:top w:w="70" w:type="dxa"/>
              <w:bottom w:w="70" w:type="dxa"/>
              <w:left w:w="80" w:type="dxa"/>
              <w:right w:w="80" w:type="dxa"/>
            </w:tcMar>
          </w:tcPr>
          <w:p>
            <w:r>
              <w:rPr>
                <w:rFonts w:ascii="Calibri" w:hAnsi="Calibri"/>
                <w:b/>
                <w:color w:val="0F4C81"/>
                <w:sz w:val="17"/>
              </w:rPr>
              <w:t>CPRA Canon VI: Accountability</w:t>
            </w:r>
          </w:p>
        </w:tc>
        <w:tc>
          <w:tcPr>
            <w:tcW w:type="dxa" w:w="6192"/>
            <w:shd w:fill="F7F9FA"/>
            <w:tcMar>
              <w:top w:w="70" w:type="dxa"/>
              <w:bottom w:w="70" w:type="dxa"/>
              <w:left w:w="90" w:type="dxa"/>
              <w:right w:w="90" w:type="dxa"/>
            </w:tcMar>
          </w:tcPr>
          <w:p>
            <w:r>
              <w:rPr>
                <w:rFonts w:ascii="Calibri" w:hAnsi="Calibri"/>
                <w:color w:val="212529"/>
                <w:sz w:val="17"/>
              </w:rPr>
              <w:t>Disbarment for habitual and unsubstantiated defamation of judges.</w:t>
            </w:r>
          </w:p>
        </w:tc>
      </w:tr>
    </w:tbl>
    <w:p>
      <w:pPr>
        <w:spacing w:after="160"/>
      </w:pPr>
    </w:p>
    <w:p>
      <w:pPr>
        <w:keepNext/>
        <w:spacing w:before="320" w:after="40"/>
      </w:pPr>
      <w:r>
        <w:rPr>
          <w:rFonts w:ascii="Calibri" w:hAnsi="Calibri"/>
          <w:b/>
          <w:color w:val="A30000"/>
          <w:sz w:val="26"/>
        </w:rPr>
        <w:t xml:space="preserve">CASE 48: </w:t>
      </w:r>
      <w:r>
        <w:rPr>
          <w:rFonts w:ascii="Calibri" w:hAnsi="Calibri"/>
          <w:b/>
          <w:color w:val="182B49"/>
          <w:sz w:val="26"/>
        </w:rPr>
        <w:t>Domingo, et al. v. Badoy-Partosa</w:t>
      </w:r>
    </w:p>
    <w:p>
      <w:pPr>
        <w:keepNext/>
        <w:spacing w:before="0" w:after="120"/>
      </w:pPr>
      <w:r>
        <w:rPr>
          <w:rFonts w:ascii="Calibri" w:hAnsi="Calibri"/>
          <w:b/>
          <w:i/>
          <w:color w:val="0F4C81"/>
          <w:sz w:val="20"/>
        </w:rPr>
        <w:t>A.M. No. 22-09-16-SC, August 2023</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Administrative complaint filed against a public official/lawyer for making derogatory, malicious, and red-tagging public statements on social media and broadcast programs against human rights lawyers, judicial officers, and court orders.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red-tagging and using social media to threaten and demean legal practitioners and judges violate the CPRA.</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Red-tagging, inciting violence, and demeaning the legal profession online violate the CPRA social media and propriety canons.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Sections 1, 2, 13, 14; Canon VI (Accountability).</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CPRA explicitly establishes binding standards for social media use by lawyers. Members of the Bar, especially those holding public office, must not use digital platforms to incite violence, spread malicious labels (such as red-tagging), or harass lawyers and judicial officers. Such behavior endangers lives and compromises the rule of law.</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found the respondent GUILTY of gross misconduct and imposed severe administrative sanctions.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Responsible Social Media Use (Sec. 13 &amp; 14)</w:t>
            </w:r>
          </w:p>
        </w:tc>
        <w:tc>
          <w:tcPr>
            <w:tcW w:type="dxa" w:w="6192"/>
            <w:shd w:fill="FFFFFF"/>
            <w:tcMar>
              <w:top w:w="70" w:type="dxa"/>
              <w:bottom w:w="70" w:type="dxa"/>
              <w:left w:w="90" w:type="dxa"/>
              <w:right w:w="90" w:type="dxa"/>
            </w:tcMar>
          </w:tcPr>
          <w:p>
            <w:r>
              <w:rPr>
                <w:rFonts w:ascii="Calibri" w:hAnsi="Calibri"/>
                <w:color w:val="212529"/>
                <w:sz w:val="17"/>
              </w:rPr>
              <w:t>Strict prohibition against online harassment, red-tagging, and inciting hostility.</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to Human Rights &amp; Rule of Law</w:t>
            </w:r>
          </w:p>
        </w:tc>
        <w:tc>
          <w:tcPr>
            <w:tcW w:type="dxa" w:w="6192"/>
            <w:shd w:fill="F7F9FA"/>
            <w:tcMar>
              <w:top w:w="70" w:type="dxa"/>
              <w:bottom w:w="70" w:type="dxa"/>
              <w:left w:w="90" w:type="dxa"/>
              <w:right w:w="90" w:type="dxa"/>
            </w:tcMar>
          </w:tcPr>
          <w:p>
            <w:r>
              <w:rPr>
                <w:rFonts w:ascii="Calibri" w:hAnsi="Calibri"/>
                <w:color w:val="212529"/>
                <w:sz w:val="17"/>
              </w:rPr>
              <w:t>Protecting lawyers and advocates from unlawful harassment.</w:t>
            </w:r>
          </w:p>
        </w:tc>
      </w:tr>
    </w:tbl>
    <w:p>
      <w:pPr>
        <w:spacing w:after="160"/>
      </w:pPr>
    </w:p>
    <w:p>
      <w:pPr>
        <w:keepNext/>
        <w:spacing w:before="320" w:after="40"/>
      </w:pPr>
      <w:r>
        <w:rPr>
          <w:rFonts w:ascii="Calibri" w:hAnsi="Calibri"/>
          <w:b/>
          <w:color w:val="A30000"/>
          <w:sz w:val="26"/>
        </w:rPr>
        <w:t xml:space="preserve">CASE 49: </w:t>
      </w:r>
      <w:r>
        <w:rPr>
          <w:rFonts w:ascii="Calibri" w:hAnsi="Calibri"/>
          <w:b/>
          <w:color w:val="182B49"/>
          <w:sz w:val="26"/>
        </w:rPr>
        <w:t>Ariel "Aga" Muhlach v. Executive Judge Ma. Angela Acompanado-Arroyo</w:t>
      </w:r>
    </w:p>
    <w:p>
      <w:pPr>
        <w:keepNext/>
        <w:spacing w:before="0" w:after="120"/>
      </w:pPr>
      <w:r>
        <w:rPr>
          <w:rFonts w:ascii="Calibri" w:hAnsi="Calibri"/>
          <w:b/>
          <w:i/>
          <w:color w:val="0F4C81"/>
          <w:sz w:val="20"/>
        </w:rPr>
        <w:t>A.M. No. RTJ-15-2439, August 26, 2015 | 768 SCRA 155</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Actor/politician Aga Muhlach filed an administrative complaint against an RTC Executive Judge for alleged bias, gross ignorance of the law, and undue delay in resolving an election registration appeal involving his voter disqualification case in Camarines Sur.</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an error in judgment or procedural ruling by a judge constitutes gross ignorance of the law in the absence of fraud or malice.</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NO. In the absence of bad faith, corrupt motive, or gross incompetence, judicial rulings are not subject to administrative discipline.</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New Code of Judicial Conduct, Canon 3 (Impartiality) and Canon 6 (Competence); CPRA Canon II.</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As a matter of public policy, not every erroneous order or decision rendered by a judge makes them administratively liable. The proper remedy for an aggrieved litigant is judicial review (appeal or certiorari), not the immediate filing of an administrative case against the judge. Only when the error is tainted with malice, fraud, or gross ignorance will administrative liability attach.</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administrative complaint against Judge Acompanado-Arroyo was DISMISSED for lack of merit.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NCJC Canon 1: Judicial Independence</w:t>
            </w:r>
          </w:p>
        </w:tc>
        <w:tc>
          <w:tcPr>
            <w:tcW w:type="dxa" w:w="6192"/>
            <w:shd w:fill="FFFFFF"/>
            <w:tcMar>
              <w:top w:w="70" w:type="dxa"/>
              <w:bottom w:w="70" w:type="dxa"/>
              <w:left w:w="90" w:type="dxa"/>
              <w:right w:w="90" w:type="dxa"/>
            </w:tcMar>
          </w:tcPr>
          <w:p>
            <w:r>
              <w:rPr>
                <w:rFonts w:ascii="Calibri" w:hAnsi="Calibri"/>
                <w:color w:val="212529"/>
                <w:sz w:val="17"/>
              </w:rPr>
              <w:t>Shielding judges from harassment complaints over good-faith judicial decisions.</w:t>
            </w:r>
          </w:p>
        </w:tc>
      </w:tr>
      <w:tr>
        <w:tc>
          <w:tcPr>
            <w:tcW w:type="dxa" w:w="3168"/>
            <w:shd w:fill="F7F9FA"/>
            <w:tcMar>
              <w:top w:w="70" w:type="dxa"/>
              <w:bottom w:w="70" w:type="dxa"/>
              <w:left w:w="80" w:type="dxa"/>
              <w:right w:w="80" w:type="dxa"/>
            </w:tcMar>
          </w:tcPr>
          <w:p>
            <w:r>
              <w:rPr>
                <w:rFonts w:ascii="Calibri" w:hAnsi="Calibri"/>
                <w:b/>
                <w:color w:val="0F4C81"/>
                <w:sz w:val="17"/>
              </w:rPr>
              <w:t>CPRA Canon II: Respect for Courts</w:t>
            </w:r>
          </w:p>
        </w:tc>
        <w:tc>
          <w:tcPr>
            <w:tcW w:type="dxa" w:w="6192"/>
            <w:shd w:fill="F7F9FA"/>
            <w:tcMar>
              <w:top w:w="70" w:type="dxa"/>
              <w:bottom w:w="70" w:type="dxa"/>
              <w:left w:w="90" w:type="dxa"/>
              <w:right w:w="90" w:type="dxa"/>
            </w:tcMar>
          </w:tcPr>
          <w:p>
            <w:r>
              <w:rPr>
                <w:rFonts w:ascii="Calibri" w:hAnsi="Calibri"/>
                <w:color w:val="212529"/>
                <w:sz w:val="17"/>
              </w:rPr>
              <w:t>Exhaustion of regular judicial remedies before resorting to administrative actions.</w:t>
            </w:r>
          </w:p>
        </w:tc>
      </w:tr>
    </w:tbl>
    <w:p>
      <w:pPr>
        <w:spacing w:after="160"/>
      </w:pPr>
    </w:p>
    <w:p>
      <w:pPr>
        <w:keepNext/>
        <w:spacing w:before="320" w:after="40"/>
      </w:pPr>
      <w:r>
        <w:rPr>
          <w:rFonts w:ascii="Calibri" w:hAnsi="Calibri"/>
          <w:b/>
          <w:color w:val="A30000"/>
          <w:sz w:val="26"/>
        </w:rPr>
        <w:t xml:space="preserve">CASE 50: </w:t>
      </w:r>
      <w:r>
        <w:rPr>
          <w:rFonts w:ascii="Calibri" w:hAnsi="Calibri"/>
          <w:b/>
          <w:color w:val="182B49"/>
          <w:sz w:val="26"/>
        </w:rPr>
        <w:t>Bellosillo v. The Board of Governors of the IBP</w:t>
      </w:r>
    </w:p>
    <w:p>
      <w:pPr>
        <w:keepNext/>
        <w:spacing w:before="0" w:after="120"/>
      </w:pPr>
      <w:r>
        <w:rPr>
          <w:rFonts w:ascii="Calibri" w:hAnsi="Calibri"/>
          <w:b/>
          <w:i/>
          <w:color w:val="0F4C81"/>
          <w:sz w:val="20"/>
        </w:rPr>
        <w:t>G.R. No. 126980, March 31, 2006 | 486 SCRA 152</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Petitioners challenged elections in the Integrated Bar of the Philippines (IBP) where factions and fraternity alliances allegedly engaged in partisan campaigning, vote-buying, and political maneuvering to secure national IBP officer positions.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fraternity alliances, partisan politicking, and vote-buying within the IBP violate the fundamental objectives of the Integrated Bar.</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Partisan politics, fraternity factionalism, and vote-buying within the IBP violate the strictly non-partisan character of the Bar.</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IBP By-Laws; 1987 Constitution Art. VIII, Sec. 5(5); CPRA Canon I (Independence) &amp; Canon II (Propriety).</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Integrated Bar of the Philippines is non-partisan and dedicated to the promotion of justice and the elevated standards of legal ethics. Utilizing fraternity patronage, lavish campaign expenses, and factional horse-trading to gain IBP office degrades the integrity of the Bar. The Supreme Court maintains supervisory power over the IBP to nullify tainted elections.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NULLIFIED the tainted IBP election results and ORDERED strict non-partisan compliance with IBP election guidelines.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 Independence of the Bar</w:t>
            </w:r>
          </w:p>
        </w:tc>
        <w:tc>
          <w:tcPr>
            <w:tcW w:type="dxa" w:w="6192"/>
            <w:shd w:fill="FFFFFF"/>
            <w:tcMar>
              <w:top w:w="70" w:type="dxa"/>
              <w:bottom w:w="70" w:type="dxa"/>
              <w:left w:w="90" w:type="dxa"/>
              <w:right w:w="90" w:type="dxa"/>
            </w:tcMar>
          </w:tcPr>
          <w:p>
            <w:r>
              <w:rPr>
                <w:rFonts w:ascii="Calibri" w:hAnsi="Calibri"/>
                <w:color w:val="212529"/>
                <w:sz w:val="17"/>
              </w:rPr>
              <w:t>Preserving the non-partisan, independent character of the Integrated Bar.</w:t>
            </w:r>
          </w:p>
        </w:tc>
      </w:tr>
      <w:tr>
        <w:tc>
          <w:tcPr>
            <w:tcW w:type="dxa" w:w="3168"/>
            <w:shd w:fill="F7F9FA"/>
            <w:tcMar>
              <w:top w:w="70" w:type="dxa"/>
              <w:bottom w:w="70" w:type="dxa"/>
              <w:left w:w="80" w:type="dxa"/>
              <w:right w:w="80" w:type="dxa"/>
            </w:tcMar>
          </w:tcPr>
          <w:p>
            <w:r>
              <w:rPr>
                <w:rFonts w:ascii="Calibri" w:hAnsi="Calibri"/>
                <w:b/>
                <w:color w:val="0F4C81"/>
                <w:sz w:val="17"/>
              </w:rPr>
              <w:t>CPRA Canon II: Propriety in Bar Leadership</w:t>
            </w:r>
          </w:p>
        </w:tc>
        <w:tc>
          <w:tcPr>
            <w:tcW w:type="dxa" w:w="6192"/>
            <w:shd w:fill="F7F9FA"/>
            <w:tcMar>
              <w:top w:w="70" w:type="dxa"/>
              <w:bottom w:w="70" w:type="dxa"/>
              <w:left w:w="90" w:type="dxa"/>
              <w:right w:w="90" w:type="dxa"/>
            </w:tcMar>
          </w:tcPr>
          <w:p>
            <w:r>
              <w:rPr>
                <w:rFonts w:ascii="Calibri" w:hAnsi="Calibri"/>
                <w:color w:val="212529"/>
                <w:sz w:val="17"/>
              </w:rPr>
              <w:t>Prohibiting corrupt campaign practices and fraternity patronage in professional bodies.</w:t>
            </w:r>
          </w:p>
        </w:tc>
      </w:tr>
    </w:tbl>
    <w:p>
      <w:pPr>
        <w:spacing w:after="160"/>
      </w:pPr>
    </w:p>
    <w:p>
      <w:pPr>
        <w:keepNext/>
        <w:spacing w:before="320" w:after="40"/>
      </w:pPr>
      <w:r>
        <w:rPr>
          <w:rFonts w:ascii="Calibri" w:hAnsi="Calibri"/>
          <w:b/>
          <w:color w:val="A30000"/>
          <w:sz w:val="26"/>
        </w:rPr>
        <w:t xml:space="preserve">CASE 51: </w:t>
      </w:r>
      <w:r>
        <w:rPr>
          <w:rFonts w:ascii="Calibri" w:hAnsi="Calibri"/>
          <w:b/>
          <w:color w:val="182B49"/>
          <w:sz w:val="26"/>
        </w:rPr>
        <w:t>Heirs of Sotto v. Palicte</w:t>
      </w:r>
    </w:p>
    <w:p>
      <w:pPr>
        <w:keepNext/>
        <w:spacing w:before="0" w:after="120"/>
      </w:pPr>
      <w:r>
        <w:rPr>
          <w:rFonts w:ascii="Calibri" w:hAnsi="Calibri"/>
          <w:b/>
          <w:i/>
          <w:color w:val="0F4C81"/>
          <w:sz w:val="20"/>
        </w:rPr>
        <w:t>G.R. No. 159691, February 17, 2014 | 716 SCRA 175</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Counsel for the petitioners filed a succession of multiple petitions before different courts and the Supreme Court involving the exact same parcel of land, despite five prior final judgments confirming title in favor of respondent Palicte. Counsel disguised each petition with minor rewording to re-litigate the decades-old dispute.</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filing repetitive suits to re-litigate issues settled by final judgments constitutes willful forum shopping and abuse of court processes.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Willful forum shopping and repeatedly resurrecting settled cases warrant severe disciplinary sanctions against counsel.</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2; Canon III (Fidelity), Section 2; Section 5, Rule 7, Rules of Court; Rule 138, Section 20(g).</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principle of res judicata is a rule of public peace. When a judgment becomes final, litigation must end. A lawyer who assists a client in filing endless, repetitive suits to reopen settled matters commits forum shopping, wastes judicial time, and abuses the court's processes.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assessed TREBLE COSTS against petitioners' counsel and referred the lawyer to the Bar Confidant for disciplinary investigation.</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Respect for Judicial Finality</w:t>
            </w:r>
          </w:p>
        </w:tc>
        <w:tc>
          <w:tcPr>
            <w:tcW w:type="dxa" w:w="6192"/>
            <w:shd w:fill="FFFFFF"/>
            <w:tcMar>
              <w:top w:w="70" w:type="dxa"/>
              <w:bottom w:w="70" w:type="dxa"/>
              <w:left w:w="90" w:type="dxa"/>
              <w:right w:w="90" w:type="dxa"/>
            </w:tcMar>
          </w:tcPr>
          <w:p>
            <w:r>
              <w:rPr>
                <w:rFonts w:ascii="Calibri" w:hAnsi="Calibri"/>
                <w:color w:val="212529"/>
                <w:sz w:val="17"/>
              </w:rPr>
              <w:t>Duty to respect final judgments and refrain from filing vexatious, repetitive lawsuits.</w:t>
            </w:r>
          </w:p>
        </w:tc>
      </w:tr>
      <w:tr>
        <w:tc>
          <w:tcPr>
            <w:tcW w:type="dxa" w:w="3168"/>
            <w:shd w:fill="F7F9FA"/>
            <w:tcMar>
              <w:top w:w="70" w:type="dxa"/>
              <w:bottom w:w="70" w:type="dxa"/>
              <w:left w:w="80" w:type="dxa"/>
              <w:right w:w="80" w:type="dxa"/>
            </w:tcMar>
          </w:tcPr>
          <w:p>
            <w:r>
              <w:rPr>
                <w:rFonts w:ascii="Calibri" w:hAnsi="Calibri"/>
                <w:b/>
                <w:color w:val="0F4C81"/>
                <w:sz w:val="17"/>
              </w:rPr>
              <w:t>CPRA Canon III: Candor &amp; Good Faith</w:t>
            </w:r>
          </w:p>
        </w:tc>
        <w:tc>
          <w:tcPr>
            <w:tcW w:type="dxa" w:w="6192"/>
            <w:shd w:fill="F7F9FA"/>
            <w:tcMar>
              <w:top w:w="70" w:type="dxa"/>
              <w:bottom w:w="70" w:type="dxa"/>
              <w:left w:w="90" w:type="dxa"/>
              <w:right w:w="90" w:type="dxa"/>
            </w:tcMar>
          </w:tcPr>
          <w:p>
            <w:r>
              <w:rPr>
                <w:rFonts w:ascii="Calibri" w:hAnsi="Calibri"/>
                <w:color w:val="212529"/>
                <w:sz w:val="17"/>
              </w:rPr>
              <w:t>Strict prohibition against disguised forum shopping.</w:t>
            </w:r>
          </w:p>
        </w:tc>
      </w:tr>
    </w:tbl>
    <w:p>
      <w:pPr>
        <w:spacing w:after="160"/>
      </w:pPr>
    </w:p>
    <w:p>
      <w:pPr>
        <w:keepNext/>
        <w:spacing w:before="320" w:after="40"/>
      </w:pPr>
      <w:r>
        <w:rPr>
          <w:rFonts w:ascii="Calibri" w:hAnsi="Calibri"/>
          <w:b/>
          <w:color w:val="A30000"/>
          <w:sz w:val="26"/>
        </w:rPr>
        <w:t xml:space="preserve">CASE 52: </w:t>
      </w:r>
      <w:r>
        <w:rPr>
          <w:rFonts w:ascii="Calibri" w:hAnsi="Calibri"/>
          <w:b/>
          <w:color w:val="182B49"/>
          <w:sz w:val="26"/>
        </w:rPr>
        <w:t>Crisostomo, et al. v. Nazareno</w:t>
      </w:r>
    </w:p>
    <w:p>
      <w:pPr>
        <w:keepNext/>
        <w:spacing w:before="0" w:after="120"/>
      </w:pPr>
      <w:r>
        <w:rPr>
          <w:rFonts w:ascii="Calibri" w:hAnsi="Calibri"/>
          <w:b/>
          <w:i/>
          <w:color w:val="0F4C81"/>
          <w:sz w:val="20"/>
        </w:rPr>
        <w:t>A.C. No. 6677, June 10, 2014 | 725 SCRA 439</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Nazareno notarized false declarations in voter registration affidavits and petitions for exclusion of voters. He was established to have signed as notary public without the affiants personally appearing before him and while knowing that the factual statements were fabricated for partisan political purposes.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 notary public who signs false voter documents without personal appearance commits gross professional misconduct.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Notarizing false political affidavits without personal appearance is a severe breach of notarial and ethical duties.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2004 Rules on Notarial Practice; CPRA Canon II (Propriety), Sections 1 &amp; 2; CPR Canon 10, Rule 10.01.</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notary public must not affix his official signature and seal to documents that contain falsehoods or where the parties did not personally appear. Participating in fraudulent election maneuvers by authenticating sham voter documents compromises the integrity of democratic processes and degrades the legal profession.</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Nazareno was SUSPENDED from the practice of law for one (1) year, his Notarial Commission REVOKED, and DISQUALIFIED from notarial appointment.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Truthfulness &amp; Notarial Duty</w:t>
            </w:r>
          </w:p>
        </w:tc>
        <w:tc>
          <w:tcPr>
            <w:tcW w:type="dxa" w:w="6192"/>
            <w:shd w:fill="FFFFFF"/>
            <w:tcMar>
              <w:top w:w="70" w:type="dxa"/>
              <w:bottom w:w="70" w:type="dxa"/>
              <w:left w:w="90" w:type="dxa"/>
              <w:right w:w="90" w:type="dxa"/>
            </w:tcMar>
          </w:tcPr>
          <w:p>
            <w:r>
              <w:rPr>
                <w:rFonts w:ascii="Calibri" w:hAnsi="Calibri"/>
                <w:color w:val="212529"/>
                <w:sz w:val="17"/>
              </w:rPr>
              <w:t>Absolute requirement of personal appearance and truth in notarial acknowledgments.</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to Democracy &amp; Rule of Law</w:t>
            </w:r>
          </w:p>
        </w:tc>
        <w:tc>
          <w:tcPr>
            <w:tcW w:type="dxa" w:w="6192"/>
            <w:shd w:fill="F7F9FA"/>
            <w:tcMar>
              <w:top w:w="70" w:type="dxa"/>
              <w:bottom w:w="70" w:type="dxa"/>
              <w:left w:w="90" w:type="dxa"/>
              <w:right w:w="90" w:type="dxa"/>
            </w:tcMar>
          </w:tcPr>
          <w:p>
            <w:r>
              <w:rPr>
                <w:rFonts w:ascii="Calibri" w:hAnsi="Calibri"/>
                <w:color w:val="212529"/>
                <w:sz w:val="17"/>
              </w:rPr>
              <w:t>Prohibition against facilitating fraudulent election schemes.</w:t>
            </w:r>
          </w:p>
        </w:tc>
      </w:tr>
    </w:tbl>
    <w:p>
      <w:pPr>
        <w:spacing w:after="160"/>
      </w:pPr>
    </w:p>
    <w:p>
      <w:pPr>
        <w:keepNext/>
        <w:spacing w:before="320" w:after="40"/>
      </w:pPr>
      <w:r>
        <w:rPr>
          <w:rFonts w:ascii="Calibri" w:hAnsi="Calibri"/>
          <w:b/>
          <w:color w:val="A30000"/>
          <w:sz w:val="26"/>
        </w:rPr>
        <w:t xml:space="preserve">CASE 53: </w:t>
      </w:r>
      <w:r>
        <w:rPr>
          <w:rFonts w:ascii="Calibri" w:hAnsi="Calibri"/>
          <w:b/>
          <w:color w:val="182B49"/>
          <w:sz w:val="26"/>
        </w:rPr>
        <w:t>Kimteng, et al. v. Atty. Young, et al.</w:t>
      </w:r>
    </w:p>
    <w:p>
      <w:pPr>
        <w:keepNext/>
        <w:spacing w:before="0" w:after="120"/>
      </w:pPr>
      <w:r>
        <w:rPr>
          <w:rFonts w:ascii="Calibri" w:hAnsi="Calibri"/>
          <w:b/>
          <w:i/>
          <w:color w:val="0F4C81"/>
          <w:sz w:val="20"/>
        </w:rPr>
        <w:t>G.R. No. 210554, August 5, 2015 | 765 SCRA 555</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Petitioners charged respondents Attys. Young and associates with perjury and unethical practice for submitting an alleged false affidavit in a pending SEC intra-corporate dispute. The lawyers were executing their duties based on client instructions and available corporate records.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lawyers may be held liable for perjury or disciplinary breach for presenting affidavits prepared in good faith based on client records.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NO. In the absence of proof of deliberate fabrication, presenting pleadings and affidavits based on client disclosures is protected advocacy.</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Sections 1 &amp; 2; Rule 138, Section 20.</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 is not an insurer of the absolute factual accuracy of every client disclosure, provided the lawyer acts in good faith, conducts reasonable inquiry, and does not knowingly present perjured testimony. Zealous advocacy allows counsel to present client claims without personal criminal liability unless fraudulent conspiracy is established.</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DISMISSED the complaint against the respondents for lack of merit.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Zealous Representation within Law</w:t>
            </w:r>
          </w:p>
        </w:tc>
        <w:tc>
          <w:tcPr>
            <w:tcW w:type="dxa" w:w="6192"/>
            <w:shd w:fill="FFFFFF"/>
            <w:tcMar>
              <w:top w:w="70" w:type="dxa"/>
              <w:bottom w:w="70" w:type="dxa"/>
              <w:left w:w="90" w:type="dxa"/>
              <w:right w:w="90" w:type="dxa"/>
            </w:tcMar>
          </w:tcPr>
          <w:p>
            <w:r>
              <w:rPr>
                <w:rFonts w:ascii="Calibri" w:hAnsi="Calibri"/>
                <w:color w:val="212529"/>
                <w:sz w:val="17"/>
              </w:rPr>
              <w:t>Protecting counsel who act in good faith on client instructions and records.</w:t>
            </w:r>
          </w:p>
        </w:tc>
      </w:tr>
      <w:tr>
        <w:tc>
          <w:tcPr>
            <w:tcW w:type="dxa" w:w="3168"/>
            <w:shd w:fill="F7F9FA"/>
            <w:tcMar>
              <w:top w:w="70" w:type="dxa"/>
              <w:bottom w:w="70" w:type="dxa"/>
              <w:left w:w="80" w:type="dxa"/>
              <w:right w:w="80" w:type="dxa"/>
            </w:tcMar>
          </w:tcPr>
          <w:p>
            <w:r>
              <w:rPr>
                <w:rFonts w:ascii="Calibri" w:hAnsi="Calibri"/>
                <w:b/>
                <w:color w:val="0F4C81"/>
                <w:sz w:val="17"/>
              </w:rPr>
              <w:t>CPRA Canon IV: Competence &amp; Diligence</w:t>
            </w:r>
          </w:p>
        </w:tc>
        <w:tc>
          <w:tcPr>
            <w:tcW w:type="dxa" w:w="6192"/>
            <w:shd w:fill="F7F9FA"/>
            <w:tcMar>
              <w:top w:w="70" w:type="dxa"/>
              <w:bottom w:w="70" w:type="dxa"/>
              <w:left w:w="90" w:type="dxa"/>
              <w:right w:w="90" w:type="dxa"/>
            </w:tcMar>
          </w:tcPr>
          <w:p>
            <w:r>
              <w:rPr>
                <w:rFonts w:ascii="Calibri" w:hAnsi="Calibri"/>
                <w:color w:val="212529"/>
                <w:sz w:val="17"/>
              </w:rPr>
              <w:t>Conducting reasonable factual inquiry before filing pleadings.</w:t>
            </w:r>
          </w:p>
        </w:tc>
      </w:tr>
    </w:tbl>
    <w:p>
      <w:pPr>
        <w:spacing w:after="160"/>
      </w:pPr>
    </w:p>
    <w:p>
      <w:pPr>
        <w:keepNext/>
        <w:spacing w:before="320" w:after="40"/>
      </w:pPr>
      <w:r>
        <w:rPr>
          <w:rFonts w:ascii="Calibri" w:hAnsi="Calibri"/>
          <w:b/>
          <w:color w:val="A30000"/>
          <w:sz w:val="26"/>
        </w:rPr>
        <w:t xml:space="preserve">CASE 54: </w:t>
      </w:r>
      <w:r>
        <w:rPr>
          <w:rFonts w:ascii="Calibri" w:hAnsi="Calibri"/>
          <w:b/>
          <w:color w:val="182B49"/>
          <w:sz w:val="26"/>
        </w:rPr>
        <w:t>Dural v. Atty. Carlo "Bong" Carag</w:t>
      </w:r>
    </w:p>
    <w:p>
      <w:pPr>
        <w:keepNext/>
        <w:spacing w:before="0" w:after="120"/>
      </w:pPr>
      <w:r>
        <w:rPr>
          <w:rFonts w:ascii="Calibri" w:hAnsi="Calibri"/>
          <w:b/>
          <w:i/>
          <w:color w:val="0F4C81"/>
          <w:sz w:val="20"/>
        </w:rPr>
        <w:t>A.C. No. 13612, January 16, 2023</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Carag served as corporate counsel and director in a mining company. He drafted agreements that facilitated corporate transactions while simultaneously representing adverse minority shareholders in an intra-corporate dispute involving the exact same corporate assets.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serving as corporate director/counsel while concurrently representing conflicting shareholder factions violates conflict-of-interest rules.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Corporate counsel owes primary allegiance to the corporate entity and cannot represent adverse factions in intra-corporate litigation.</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Sections 13, 14, 15; CPR Canon 15, Rule 15.03.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 who represents a corporation represents the entity itself, acting through its duly authorized board. He cannot take sides in an internal shareholder struggle or represent individual factions against the corporate interest. Doing so represents an incurable conflict of interest and violates the duty of undivided fidelity.</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Carag was found GUILTY of representing conflicting interests and SUSPENDED from the practice of law for six (6) months.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Entity as Client &amp; Conflict of Interest</w:t>
            </w:r>
          </w:p>
        </w:tc>
        <w:tc>
          <w:tcPr>
            <w:tcW w:type="dxa" w:w="6192"/>
            <w:shd w:fill="FFFFFF"/>
            <w:tcMar>
              <w:top w:w="70" w:type="dxa"/>
              <w:bottom w:w="70" w:type="dxa"/>
              <w:left w:w="90" w:type="dxa"/>
              <w:right w:w="90" w:type="dxa"/>
            </w:tcMar>
          </w:tcPr>
          <w:p>
            <w:r>
              <w:rPr>
                <w:rFonts w:ascii="Calibri" w:hAnsi="Calibri"/>
                <w:color w:val="212529"/>
                <w:sz w:val="17"/>
              </w:rPr>
              <w:t>Corporate counsel's primary duty is to the entity, not individual directors or factions.</w:t>
            </w:r>
          </w:p>
        </w:tc>
      </w:tr>
      <w:tr>
        <w:tc>
          <w:tcPr>
            <w:tcW w:type="dxa" w:w="3168"/>
            <w:shd w:fill="F7F9FA"/>
            <w:tcMar>
              <w:top w:w="70" w:type="dxa"/>
              <w:bottom w:w="70" w:type="dxa"/>
              <w:left w:w="80" w:type="dxa"/>
              <w:right w:w="80" w:type="dxa"/>
            </w:tcMar>
          </w:tcPr>
          <w:p>
            <w:r>
              <w:rPr>
                <w:rFonts w:ascii="Calibri" w:hAnsi="Calibri"/>
                <w:b/>
                <w:color w:val="0F4C81"/>
                <w:sz w:val="17"/>
              </w:rPr>
              <w:t>CPRA Canon I: Independence</w:t>
            </w:r>
          </w:p>
        </w:tc>
        <w:tc>
          <w:tcPr>
            <w:tcW w:type="dxa" w:w="6192"/>
            <w:shd w:fill="F7F9FA"/>
            <w:tcMar>
              <w:top w:w="70" w:type="dxa"/>
              <w:bottom w:w="70" w:type="dxa"/>
              <w:left w:w="90" w:type="dxa"/>
              <w:right w:w="90" w:type="dxa"/>
            </w:tcMar>
          </w:tcPr>
          <w:p>
            <w:r>
              <w:rPr>
                <w:rFonts w:ascii="Calibri" w:hAnsi="Calibri"/>
                <w:color w:val="212529"/>
                <w:sz w:val="17"/>
              </w:rPr>
              <w:t>Maintaining absolute professional independence from factional corporate disputes.</w:t>
            </w:r>
          </w:p>
        </w:tc>
      </w:tr>
    </w:tbl>
    <w:p>
      <w:pPr>
        <w:spacing w:after="160"/>
      </w:pPr>
    </w:p>
    <w:p>
      <w:pPr>
        <w:keepNext/>
        <w:spacing w:before="320" w:after="40"/>
      </w:pPr>
      <w:r>
        <w:rPr>
          <w:rFonts w:ascii="Calibri" w:hAnsi="Calibri"/>
          <w:b/>
          <w:color w:val="A30000"/>
          <w:sz w:val="26"/>
        </w:rPr>
        <w:t xml:space="preserve">CASE 55: </w:t>
      </w:r>
      <w:r>
        <w:rPr>
          <w:rFonts w:ascii="Calibri" w:hAnsi="Calibri"/>
          <w:b/>
          <w:color w:val="182B49"/>
          <w:sz w:val="26"/>
        </w:rPr>
        <w:t>Ziga v. Judge Ramon Areola</w:t>
      </w:r>
    </w:p>
    <w:p>
      <w:pPr>
        <w:keepNext/>
        <w:spacing w:before="0" w:after="120"/>
      </w:pPr>
      <w:r>
        <w:rPr>
          <w:rFonts w:ascii="Calibri" w:hAnsi="Calibri"/>
          <w:b/>
          <w:i/>
          <w:color w:val="0F4C81"/>
          <w:sz w:val="20"/>
        </w:rPr>
        <w:t>A.M. No. MTJ-99-1203, June 10, 2003 | 403 SCRA 241</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charged an MTC Judge with gross ignorance of the law and bias for issuing a search warrant in a civil property boundary dispute where no criminal offense was alleged or established.</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issuing a criminal search warrant in a purely civil boundary dispute constitutes gross ignorance of the law.</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Issuing search warrants without a criminal offense constitutes gross ignorance of basic legal and constitutional rules.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1987 Constitution Art. III, Sec. 2; Rule 126, Rules of Criminal Procedure; New Code of Judicial Conduct, Canon 6.</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Under the Constitution and the Rules of Court, a search warrant may only be issued upon probable cause in connection with one specific criminal offense. To issue a search warrant in a civil boundary dispute is an elementary error displaying gross ignorance of the law and an abuse of judicial power that violates constitutional privacy rights.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Judge Areola was found GUILTY of gross ignorance of the law and imposed a FINE with a severe reprimand.</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NCJC Canon 6: Competence and Diligence</w:t>
            </w:r>
          </w:p>
        </w:tc>
        <w:tc>
          <w:tcPr>
            <w:tcW w:type="dxa" w:w="6192"/>
            <w:shd w:fill="FFFFFF"/>
            <w:tcMar>
              <w:top w:w="70" w:type="dxa"/>
              <w:bottom w:w="70" w:type="dxa"/>
              <w:left w:w="90" w:type="dxa"/>
              <w:right w:w="90" w:type="dxa"/>
            </w:tcMar>
          </w:tcPr>
          <w:p>
            <w:r>
              <w:rPr>
                <w:rFonts w:ascii="Calibri" w:hAnsi="Calibri"/>
                <w:color w:val="212529"/>
                <w:sz w:val="17"/>
              </w:rPr>
              <w:t>Judges must be conversant with fundamental constitutional prerequisites for search warrants.</w:t>
            </w:r>
          </w:p>
        </w:tc>
      </w:tr>
      <w:tr>
        <w:tc>
          <w:tcPr>
            <w:tcW w:type="dxa" w:w="3168"/>
            <w:shd w:fill="F7F9FA"/>
            <w:tcMar>
              <w:top w:w="70" w:type="dxa"/>
              <w:bottom w:w="70" w:type="dxa"/>
              <w:left w:w="80" w:type="dxa"/>
              <w:right w:w="80" w:type="dxa"/>
            </w:tcMar>
          </w:tcPr>
          <w:p>
            <w:r>
              <w:rPr>
                <w:rFonts w:ascii="Calibri" w:hAnsi="Calibri"/>
                <w:b/>
                <w:color w:val="0F4C81"/>
                <w:sz w:val="17"/>
              </w:rPr>
              <w:t>NCJC Canon 2: Integrity</w:t>
            </w:r>
          </w:p>
        </w:tc>
        <w:tc>
          <w:tcPr>
            <w:tcW w:type="dxa" w:w="6192"/>
            <w:shd w:fill="F7F9FA"/>
            <w:tcMar>
              <w:top w:w="70" w:type="dxa"/>
              <w:bottom w:w="70" w:type="dxa"/>
              <w:left w:w="90" w:type="dxa"/>
              <w:right w:w="90" w:type="dxa"/>
            </w:tcMar>
          </w:tcPr>
          <w:p>
            <w:r>
              <w:rPr>
                <w:rFonts w:ascii="Calibri" w:hAnsi="Calibri"/>
                <w:color w:val="212529"/>
                <w:sz w:val="17"/>
              </w:rPr>
              <w:t>Protecting citizens from arbitrary and unlawful judicial intrusions.</w:t>
            </w:r>
          </w:p>
        </w:tc>
      </w:tr>
    </w:tbl>
    <w:p>
      <w:pPr>
        <w:spacing w:after="160"/>
      </w:pPr>
    </w:p>
    <w:p>
      <w:pPr>
        <w:keepNext/>
        <w:spacing w:before="320" w:after="40"/>
      </w:pPr>
      <w:r>
        <w:rPr>
          <w:rFonts w:ascii="Calibri" w:hAnsi="Calibri"/>
          <w:b/>
          <w:color w:val="A30000"/>
          <w:sz w:val="26"/>
        </w:rPr>
        <w:t xml:space="preserve">CASE 56: </w:t>
      </w:r>
      <w:r>
        <w:rPr>
          <w:rFonts w:ascii="Calibri" w:hAnsi="Calibri"/>
          <w:b/>
          <w:color w:val="182B49"/>
          <w:sz w:val="26"/>
        </w:rPr>
        <w:t>Rosca v. Delmendo</w:t>
      </w:r>
    </w:p>
    <w:p>
      <w:pPr>
        <w:keepNext/>
        <w:spacing w:before="0" w:after="120"/>
      </w:pPr>
      <w:r>
        <w:rPr>
          <w:rFonts w:ascii="Calibri" w:hAnsi="Calibri"/>
          <w:b/>
          <w:i/>
          <w:color w:val="0F4C81"/>
          <w:sz w:val="20"/>
        </w:rPr>
        <w:t>A.C. No. 11795, November 21, 2023</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engaged Atty. Delmendo to handle an administrative land appeal before the Department of Agrarian Reform (DAR). The respondent received P150,000 as acceptance and filing fees but failed to file the appeal, failed to update the client, and went completely unreachable for two years.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accepting fees and completely abandoning a client's administrative appeal warrants suspension under the CPRA.</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Inaction, failure to communicate, and retaining unearned fees constitute gross neglect of duty.</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IV (Competence &amp; Diligence), Sections 1, 2, 3; Canon III (Fidelity), Sections 6, 7; Canon VI (Accountability).</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CPRA imposes a strict obligation on lawyers to keep their clients regularly informed of the status of their cases and to respond promptly to client inquiries. Collecting money and disappearing without performing the contracted legal work constitutes deceit and gross negligence that irreparably compromises the client's legal rights.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Delmendo was SUSPENDED from the practice of law for two (2) years and ordered to RESTITUTE the P150,000 with legal interest.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IV: Diligence &amp; Regular Communication</w:t>
            </w:r>
          </w:p>
        </w:tc>
        <w:tc>
          <w:tcPr>
            <w:tcW w:type="dxa" w:w="6192"/>
            <w:shd w:fill="FFFFFF"/>
            <w:tcMar>
              <w:top w:w="70" w:type="dxa"/>
              <w:bottom w:w="70" w:type="dxa"/>
              <w:left w:w="90" w:type="dxa"/>
              <w:right w:w="90" w:type="dxa"/>
            </w:tcMar>
          </w:tcPr>
          <w:p>
            <w:r>
              <w:rPr>
                <w:rFonts w:ascii="Calibri" w:hAnsi="Calibri"/>
                <w:color w:val="212529"/>
                <w:sz w:val="17"/>
              </w:rPr>
              <w:t>Duty to keep clients continuously informed and prosecute administrative appeals promptly.</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&amp; Accountability for Fees</w:t>
            </w:r>
          </w:p>
        </w:tc>
        <w:tc>
          <w:tcPr>
            <w:tcW w:type="dxa" w:w="6192"/>
            <w:shd w:fill="F7F9FA"/>
            <w:tcMar>
              <w:top w:w="70" w:type="dxa"/>
              <w:bottom w:w="70" w:type="dxa"/>
              <w:left w:w="90" w:type="dxa"/>
              <w:right w:w="90" w:type="dxa"/>
            </w:tcMar>
          </w:tcPr>
          <w:p>
            <w:r>
              <w:rPr>
                <w:rFonts w:ascii="Calibri" w:hAnsi="Calibri"/>
                <w:color w:val="212529"/>
                <w:sz w:val="17"/>
              </w:rPr>
              <w:t>Prompt restitution of unearned professional fees.</w:t>
            </w:r>
          </w:p>
        </w:tc>
      </w:tr>
    </w:tbl>
    <w:p>
      <w:pPr>
        <w:spacing w:after="160"/>
      </w:pPr>
    </w:p>
    <w:p>
      <w:pPr>
        <w:keepNext/>
        <w:spacing w:before="320" w:after="40"/>
      </w:pPr>
      <w:r>
        <w:rPr>
          <w:rFonts w:ascii="Calibri" w:hAnsi="Calibri"/>
          <w:b/>
          <w:color w:val="A30000"/>
          <w:sz w:val="26"/>
        </w:rPr>
        <w:t xml:space="preserve">CASE 57: </w:t>
      </w:r>
      <w:r>
        <w:rPr>
          <w:rFonts w:ascii="Calibri" w:hAnsi="Calibri"/>
          <w:b/>
          <w:color w:val="182B49"/>
          <w:sz w:val="26"/>
        </w:rPr>
        <w:t>Maderada v. Judge Mediodea</w:t>
      </w:r>
    </w:p>
    <w:p>
      <w:pPr>
        <w:keepNext/>
        <w:spacing w:before="0" w:after="120"/>
      </w:pPr>
      <w:r>
        <w:rPr>
          <w:rFonts w:ascii="Calibri" w:hAnsi="Calibri"/>
          <w:b/>
          <w:i/>
          <w:color w:val="0F4C81"/>
          <w:sz w:val="20"/>
        </w:rPr>
        <w:t>A.M. No. MTJ-02-1459, October 14, 2003 | 413 SCRA 313</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 Clerk of Court (Maderada) was charged by the Presiding Judge with unauthorized practice of law for appearing as counsel for her family members in a civil lawsuit without securing written authority from the Supreme Court.</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 full-time court employee may represent family members in court without official authorization from the Supreme Court.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NO. Full-time court employees are strictly prohibited from engaging in the private practice of law without prior written authority from the Supreme Court.</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Code of Conduct for Court Personnel; Section 7(b)(2), R.A. 6713; CPRA Canon I (Independence); CPRA Canon II (Propriety).</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Public officers and employees in the Judiciary must devote their entire working time and energies to government service. Even representing family members or close relatives in isolated cases constitutes the private practice of law. Court personnel must secure prior written permission from the Supreme Court through the OCA before entering any court appearance.</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Respondent Maderada was found GUILTY of violating the rules on private practice and REPRIMANDED with a stern warning.</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Code of Conduct for Court Personnel: Prohibition on Private Practice</w:t>
            </w:r>
          </w:p>
        </w:tc>
        <w:tc>
          <w:tcPr>
            <w:tcW w:type="dxa" w:w="6192"/>
            <w:shd w:fill="FFFFFF"/>
            <w:tcMar>
              <w:top w:w="70" w:type="dxa"/>
              <w:bottom w:w="70" w:type="dxa"/>
              <w:left w:w="90" w:type="dxa"/>
              <w:right w:w="90" w:type="dxa"/>
            </w:tcMar>
          </w:tcPr>
          <w:p>
            <w:r>
              <w:rPr>
                <w:rFonts w:ascii="Calibri" w:hAnsi="Calibri"/>
                <w:color w:val="212529"/>
                <w:sz w:val="17"/>
              </w:rPr>
              <w:t>Full-time court employees must obtain prior Supreme Court authorization to appear in cases.</w:t>
            </w:r>
          </w:p>
        </w:tc>
      </w:tr>
      <w:tr>
        <w:tc>
          <w:tcPr>
            <w:tcW w:type="dxa" w:w="3168"/>
            <w:shd w:fill="F7F9FA"/>
            <w:tcMar>
              <w:top w:w="70" w:type="dxa"/>
              <w:bottom w:w="70" w:type="dxa"/>
              <w:left w:w="80" w:type="dxa"/>
              <w:right w:w="80" w:type="dxa"/>
            </w:tcMar>
          </w:tcPr>
          <w:p>
            <w:r>
              <w:rPr>
                <w:rFonts w:ascii="Calibri" w:hAnsi="Calibri"/>
                <w:b/>
                <w:color w:val="0F4C81"/>
                <w:sz w:val="17"/>
              </w:rPr>
              <w:t>CPRA Canon I: Institutional Independence</w:t>
            </w:r>
          </w:p>
        </w:tc>
        <w:tc>
          <w:tcPr>
            <w:tcW w:type="dxa" w:w="6192"/>
            <w:shd w:fill="F7F9FA"/>
            <w:tcMar>
              <w:top w:w="70" w:type="dxa"/>
              <w:bottom w:w="70" w:type="dxa"/>
              <w:left w:w="90" w:type="dxa"/>
              <w:right w:w="90" w:type="dxa"/>
            </w:tcMar>
          </w:tcPr>
          <w:p>
            <w:r>
              <w:rPr>
                <w:rFonts w:ascii="Calibri" w:hAnsi="Calibri"/>
                <w:color w:val="212529"/>
                <w:sz w:val="17"/>
              </w:rPr>
              <w:t>Preventing conflicts of interest between judicial employment and private litigation.</w:t>
            </w:r>
          </w:p>
        </w:tc>
      </w:tr>
    </w:tbl>
    <w:p>
      <w:pPr>
        <w:spacing w:after="160"/>
      </w:pPr>
    </w:p>
    <w:p>
      <w:pPr>
        <w:keepNext/>
        <w:spacing w:before="320" w:after="40"/>
      </w:pPr>
      <w:r>
        <w:rPr>
          <w:rFonts w:ascii="Calibri" w:hAnsi="Calibri"/>
          <w:b/>
          <w:color w:val="A30000"/>
          <w:sz w:val="26"/>
        </w:rPr>
        <w:t xml:space="preserve">CASE 58: </w:t>
      </w:r>
      <w:r>
        <w:rPr>
          <w:rFonts w:ascii="Calibri" w:hAnsi="Calibri"/>
          <w:b/>
          <w:color w:val="182B49"/>
          <w:sz w:val="26"/>
        </w:rPr>
        <w:t>Catu v. Atty. Rellosa</w:t>
      </w:r>
    </w:p>
    <w:p>
      <w:pPr>
        <w:keepNext/>
        <w:spacing w:before="0" w:after="120"/>
      </w:pPr>
      <w:r>
        <w:rPr>
          <w:rFonts w:ascii="Calibri" w:hAnsi="Calibri"/>
          <w:b/>
          <w:i/>
          <w:color w:val="0F4C81"/>
          <w:sz w:val="20"/>
        </w:rPr>
        <w:t>A.C. No. 5738, February 19, 2008 | 546 SCRA 209</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Rellosa, an elected Barangay Captain (Punong Barangay), entered his appearance as counsel for respondents in an ejectment case filed before his own barangay conciliation body (Lupong Tagapamayapa) and later before the Metropolitan Trial Court.</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an elective local official (Punong Barangay) who is a lawyer may represent private parties in cases originating from his own barangay.</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NO. An elective local official cannot represent parties in cases involving his own local government unit or conciliation body.</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R.A. 7160 (Local Government Code), Section 90; CPRA Canon I (Independence); Canon II (Propriety), Section 22; R.A. 6713.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Section 90 of the Local Government Code prohibits sanggunian members and local chief executives from appearing as counsel in any civil case where the local government unit or any office thereof is an adverse party, or in any matter arising from their official jurisdiction. As Punong Barangay, respondent oversees the Lupong Tagapamayapa; acting as counsel for a disputant in a matter originating from his barangay creates a gross conflict of interest.</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Rellosa was found GUILTY of professional misconduct and SUSPENDED from the practice of law for six (6) months.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 Independence of Public Servants</w:t>
            </w:r>
          </w:p>
        </w:tc>
        <w:tc>
          <w:tcPr>
            <w:tcW w:type="dxa" w:w="6192"/>
            <w:shd w:fill="FFFFFF"/>
            <w:tcMar>
              <w:top w:w="70" w:type="dxa"/>
              <w:bottom w:w="70" w:type="dxa"/>
              <w:left w:w="90" w:type="dxa"/>
              <w:right w:w="90" w:type="dxa"/>
            </w:tcMar>
          </w:tcPr>
          <w:p>
            <w:r>
              <w:rPr>
                <w:rFonts w:ascii="Calibri" w:hAnsi="Calibri"/>
                <w:color w:val="212529"/>
                <w:sz w:val="17"/>
              </w:rPr>
              <w:t>Strict adherence to statutory limitations on private practice by elective local officials.</w:t>
            </w:r>
          </w:p>
        </w:tc>
      </w:tr>
      <w:tr>
        <w:tc>
          <w:tcPr>
            <w:tcW w:type="dxa" w:w="3168"/>
            <w:shd w:fill="F7F9FA"/>
            <w:tcMar>
              <w:top w:w="70" w:type="dxa"/>
              <w:bottom w:w="70" w:type="dxa"/>
              <w:left w:w="80" w:type="dxa"/>
              <w:right w:w="80" w:type="dxa"/>
            </w:tcMar>
          </w:tcPr>
          <w:p>
            <w:r>
              <w:rPr>
                <w:rFonts w:ascii="Calibri" w:hAnsi="Calibri"/>
                <w:b/>
                <w:color w:val="0F4C81"/>
                <w:sz w:val="17"/>
              </w:rPr>
              <w:t>CPRA Canon II: Propriety &amp; Conflict of Interest</w:t>
            </w:r>
          </w:p>
        </w:tc>
        <w:tc>
          <w:tcPr>
            <w:tcW w:type="dxa" w:w="6192"/>
            <w:shd w:fill="F7F9FA"/>
            <w:tcMar>
              <w:top w:w="70" w:type="dxa"/>
              <w:bottom w:w="70" w:type="dxa"/>
              <w:left w:w="90" w:type="dxa"/>
              <w:right w:w="90" w:type="dxa"/>
            </w:tcMar>
          </w:tcPr>
          <w:p>
            <w:r>
              <w:rPr>
                <w:rFonts w:ascii="Calibri" w:hAnsi="Calibri"/>
                <w:color w:val="212529"/>
                <w:sz w:val="17"/>
              </w:rPr>
              <w:t>Prohibiting appearances in cases involving the lawyer's official local jurisdiction.</w:t>
            </w:r>
          </w:p>
        </w:tc>
      </w:tr>
    </w:tbl>
    <w:p>
      <w:pPr>
        <w:spacing w:after="160"/>
      </w:pPr>
    </w:p>
    <w:p>
      <w:pPr>
        <w:keepNext/>
        <w:spacing w:before="320" w:after="40"/>
      </w:pPr>
      <w:r>
        <w:rPr>
          <w:rFonts w:ascii="Calibri" w:hAnsi="Calibri"/>
          <w:b/>
          <w:color w:val="A30000"/>
          <w:sz w:val="26"/>
        </w:rPr>
        <w:t xml:space="preserve">CASE 59: </w:t>
      </w:r>
      <w:r>
        <w:rPr>
          <w:rFonts w:ascii="Calibri" w:hAnsi="Calibri"/>
          <w:b/>
          <w:color w:val="182B49"/>
          <w:sz w:val="26"/>
        </w:rPr>
        <w:t>Judge Suzanne D. Cobarrubias-Nabaza v. Atty. Lavandero</w:t>
      </w:r>
    </w:p>
    <w:p>
      <w:pPr>
        <w:keepNext/>
        <w:spacing w:before="0" w:after="120"/>
      </w:pPr>
      <w:r>
        <w:rPr>
          <w:rFonts w:ascii="Calibri" w:hAnsi="Calibri"/>
          <w:b/>
          <w:i/>
          <w:color w:val="0F4C81"/>
          <w:sz w:val="20"/>
        </w:rPr>
        <w:t>A.C. No. 12323, March 14, 2022</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 presiding judge filed an administrative complaint against Atty. Lavandero for disrespectful conduct and making insolent, contemptuous, and defamatory remarks against the judge during open court hearings and in filed pleadings.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using insolent, abrasive, and insulting language against a presiding judge in open court constitutes professional misconduct.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Lawyers must observe respectful language and dignified demeanor toward presiding judges at all times.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2; Canon III (Fidelity), Section 2; CPR Canon 11, Rule 11.03.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While an attorney has the right to vigorously defend his client's cause and object to adverse rulings, he must do so with courtesy, respect, and professional decorum. Insolence, sarcastic remarks, and personal insults aimed at a presiding judge degrade the majesty of the court and subvert the orderly administration of justice.</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Lavandero was found GUILTY of indirect contempt and professional misconduct and SUSPENDED from the practice of law for six (6) months.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Respect for Courts (Sec. 2)</w:t>
            </w:r>
          </w:p>
        </w:tc>
        <w:tc>
          <w:tcPr>
            <w:tcW w:type="dxa" w:w="6192"/>
            <w:shd w:fill="FFFFFF"/>
            <w:tcMar>
              <w:top w:w="70" w:type="dxa"/>
              <w:bottom w:w="70" w:type="dxa"/>
              <w:left w:w="90" w:type="dxa"/>
              <w:right w:w="90" w:type="dxa"/>
            </w:tcMar>
          </w:tcPr>
          <w:p>
            <w:r>
              <w:rPr>
                <w:rFonts w:ascii="Calibri" w:hAnsi="Calibri"/>
                <w:color w:val="212529"/>
                <w:sz w:val="17"/>
              </w:rPr>
              <w:t>Duty to use temperate, dignified, and respectful language in pleadings and oral argument.</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to Administration of Justice</w:t>
            </w:r>
          </w:p>
        </w:tc>
        <w:tc>
          <w:tcPr>
            <w:tcW w:type="dxa" w:w="6192"/>
            <w:shd w:fill="F7F9FA"/>
            <w:tcMar>
              <w:top w:w="70" w:type="dxa"/>
              <w:bottom w:w="70" w:type="dxa"/>
              <w:left w:w="90" w:type="dxa"/>
              <w:right w:w="90" w:type="dxa"/>
            </w:tcMar>
          </w:tcPr>
          <w:p>
            <w:r>
              <w:rPr>
                <w:rFonts w:ascii="Calibri" w:hAnsi="Calibri"/>
                <w:color w:val="212529"/>
                <w:sz w:val="17"/>
              </w:rPr>
              <w:t>Maintaining decorum and order inside courtroom proceedings.</w:t>
            </w:r>
          </w:p>
        </w:tc>
      </w:tr>
    </w:tbl>
    <w:p>
      <w:pPr>
        <w:spacing w:after="160"/>
      </w:pPr>
    </w:p>
    <w:p>
      <w:pPr>
        <w:keepNext/>
        <w:spacing w:before="320" w:after="40"/>
      </w:pPr>
      <w:r>
        <w:rPr>
          <w:rFonts w:ascii="Calibri" w:hAnsi="Calibri"/>
          <w:b/>
          <w:color w:val="A30000"/>
          <w:sz w:val="26"/>
        </w:rPr>
        <w:t xml:space="preserve">CASE 60: </w:t>
      </w:r>
      <w:r>
        <w:rPr>
          <w:rFonts w:ascii="Calibri" w:hAnsi="Calibri"/>
          <w:b/>
          <w:color w:val="182B49"/>
          <w:sz w:val="26"/>
        </w:rPr>
        <w:t>Trovela v. Robles</w:t>
      </w:r>
    </w:p>
    <w:p>
      <w:pPr>
        <w:keepNext/>
        <w:spacing w:before="0" w:after="120"/>
      </w:pPr>
      <w:r>
        <w:rPr>
          <w:rFonts w:ascii="Calibri" w:hAnsi="Calibri"/>
          <w:b/>
          <w:i/>
          <w:color w:val="0F4C81"/>
          <w:sz w:val="20"/>
        </w:rPr>
        <w:t>A.C. No. 11550, June 4, 2018 | 864 SCRA 1</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Atty. Robles represented an insurance company and entered into a settlement agreement with an unrepresented indigent claimant without advising the claimant to seek independent legal counsel, leading the claimant to sign a release for a grossly inadequate compensation amount.</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 lawyer may take advantage of an unrepresented opposing party to execute an unconscionable compromise agreement.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A lawyer shall not take unfair advantage of the ignorance or lack of legal counsel of an unrepresented opposing party.</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1 &amp; 2; CPRA Canon V (Equality &amp; Access to Justice); CPR Canon 9.</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Lawyers must adhere to high standards of fair play and honesty. In dealing with an unrepresented party, a lawyer shall not state or imply that he is disinterested, and when he knows that the party does not understand the legal consequences, he must advise them to secure independent legal representation. Exploiting an unrepresented party's lack of knowledge violates professional integrity.</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Robles was found GUILTY of improper conduct and REPRIMANDED with a stern warning.</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V: Equality &amp; Fair Dealing (Sec. 1)</w:t>
            </w:r>
          </w:p>
        </w:tc>
        <w:tc>
          <w:tcPr>
            <w:tcW w:type="dxa" w:w="6192"/>
            <w:shd w:fill="FFFFFF"/>
            <w:tcMar>
              <w:top w:w="70" w:type="dxa"/>
              <w:bottom w:w="70" w:type="dxa"/>
              <w:left w:w="90" w:type="dxa"/>
              <w:right w:w="90" w:type="dxa"/>
            </w:tcMar>
          </w:tcPr>
          <w:p>
            <w:r>
              <w:rPr>
                <w:rFonts w:ascii="Calibri" w:hAnsi="Calibri"/>
                <w:color w:val="212529"/>
                <w:sz w:val="17"/>
              </w:rPr>
              <w:t>Duty of fairness and non-exploitation when dealing with unrepresented adversaries.</w:t>
            </w:r>
          </w:p>
        </w:tc>
      </w:tr>
      <w:tr>
        <w:tc>
          <w:tcPr>
            <w:tcW w:type="dxa" w:w="3168"/>
            <w:shd w:fill="F7F9FA"/>
            <w:tcMar>
              <w:top w:w="70" w:type="dxa"/>
              <w:bottom w:w="70" w:type="dxa"/>
              <w:left w:w="80" w:type="dxa"/>
              <w:right w:w="80" w:type="dxa"/>
            </w:tcMar>
          </w:tcPr>
          <w:p>
            <w:r>
              <w:rPr>
                <w:rFonts w:ascii="Calibri" w:hAnsi="Calibri"/>
                <w:b/>
                <w:color w:val="0F4C81"/>
                <w:sz w:val="17"/>
              </w:rPr>
              <w:t>CPRA Canon II: Propriety &amp; Honesty</w:t>
            </w:r>
          </w:p>
        </w:tc>
        <w:tc>
          <w:tcPr>
            <w:tcW w:type="dxa" w:w="6192"/>
            <w:shd w:fill="F7F9FA"/>
            <w:tcMar>
              <w:top w:w="70" w:type="dxa"/>
              <w:bottom w:w="70" w:type="dxa"/>
              <w:left w:w="90" w:type="dxa"/>
              <w:right w:w="90" w:type="dxa"/>
            </w:tcMar>
          </w:tcPr>
          <w:p>
            <w:r>
              <w:rPr>
                <w:rFonts w:ascii="Calibri" w:hAnsi="Calibri"/>
                <w:color w:val="212529"/>
                <w:sz w:val="17"/>
              </w:rPr>
              <w:t>Ensuring transparent and equitable compromise negotiations.</w:t>
            </w:r>
          </w:p>
        </w:tc>
      </w:tr>
    </w:tbl>
    <w:p>
      <w:pPr>
        <w:spacing w:after="160"/>
      </w:pPr>
    </w:p>
    <w:p>
      <w:pPr>
        <w:keepNext/>
        <w:spacing w:before="320" w:after="40"/>
      </w:pPr>
      <w:r>
        <w:rPr>
          <w:rFonts w:ascii="Calibri" w:hAnsi="Calibri"/>
          <w:b/>
          <w:color w:val="A30000"/>
          <w:sz w:val="26"/>
        </w:rPr>
        <w:t xml:space="preserve">CASE 61: </w:t>
      </w:r>
      <w:r>
        <w:rPr>
          <w:rFonts w:ascii="Calibri" w:hAnsi="Calibri"/>
          <w:b/>
          <w:color w:val="182B49"/>
          <w:sz w:val="26"/>
        </w:rPr>
        <w:t>Query of Atty. Karen M. Silverio-Buffe (En Banc Resolution)</w:t>
      </w:r>
    </w:p>
    <w:p>
      <w:pPr>
        <w:keepNext/>
        <w:spacing w:before="0" w:after="120"/>
      </w:pPr>
      <w:r>
        <w:rPr>
          <w:rFonts w:ascii="Calibri" w:hAnsi="Calibri"/>
          <w:b/>
          <w:i/>
          <w:color w:val="0F4C81"/>
          <w:sz w:val="20"/>
        </w:rPr>
        <w:t>A.M. No. 08-6-352-RTC, August 19, 2009</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En Banc clarification regarding the scope of Section 7(b)(2) of R.A. 6713 and Section 1, Canon 3 of the Code of Conduct for Court Personnel, confirming the absolute prohibition against former court lawyers handling any matter before the court branch where they served within one year.</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the 1-year prohibition admits of any exception for private humanitarian representation or family cases.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NO. The statutory 1-year ban is mandatory, unconditional, and admits of no exception for appearances before the former branch.</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R.A. 6713, Section 7(b)(2); CPRA Canon I (Independence); Canon II (Propriety), Section 22.</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Supreme Court underscored that the integrity of the Judiciary rests upon the absolute elimination of suspicion of undue influence or favoritism. The one-year cooling-off rule is a bright-line statutory bar designed to maintain public trust in the neutrality of court decisions.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REAFFIRMED the strict, non-waivable application of the 1-year practice prohibition.</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 Independence &amp; Public Confidence</w:t>
            </w:r>
          </w:p>
        </w:tc>
        <w:tc>
          <w:tcPr>
            <w:tcW w:type="dxa" w:w="6192"/>
            <w:shd w:fill="FFFFFF"/>
            <w:tcMar>
              <w:top w:w="70" w:type="dxa"/>
              <w:bottom w:w="70" w:type="dxa"/>
              <w:left w:w="90" w:type="dxa"/>
              <w:right w:w="90" w:type="dxa"/>
            </w:tcMar>
          </w:tcPr>
          <w:p>
            <w:r>
              <w:rPr>
                <w:rFonts w:ascii="Calibri" w:hAnsi="Calibri"/>
                <w:color w:val="212529"/>
                <w:sz w:val="17"/>
              </w:rPr>
              <w:t>Strict observance of post-judicial employment cooling-off periods.</w:t>
            </w:r>
          </w:p>
        </w:tc>
      </w:tr>
      <w:tr>
        <w:tc>
          <w:tcPr>
            <w:tcW w:type="dxa" w:w="3168"/>
            <w:shd w:fill="F7F9FA"/>
            <w:tcMar>
              <w:top w:w="70" w:type="dxa"/>
              <w:bottom w:w="70" w:type="dxa"/>
              <w:left w:w="80" w:type="dxa"/>
              <w:right w:w="80" w:type="dxa"/>
            </w:tcMar>
          </w:tcPr>
          <w:p>
            <w:r>
              <w:rPr>
                <w:rFonts w:ascii="Calibri" w:hAnsi="Calibri"/>
                <w:b/>
                <w:color w:val="0F4C81"/>
                <w:sz w:val="17"/>
              </w:rPr>
              <w:t>CPRA Canon II: Propriety</w:t>
            </w:r>
          </w:p>
        </w:tc>
        <w:tc>
          <w:tcPr>
            <w:tcW w:type="dxa" w:w="6192"/>
            <w:shd w:fill="F7F9FA"/>
            <w:tcMar>
              <w:top w:w="70" w:type="dxa"/>
              <w:bottom w:w="70" w:type="dxa"/>
              <w:left w:w="90" w:type="dxa"/>
              <w:right w:w="90" w:type="dxa"/>
            </w:tcMar>
          </w:tcPr>
          <w:p>
            <w:r>
              <w:rPr>
                <w:rFonts w:ascii="Calibri" w:hAnsi="Calibri"/>
                <w:color w:val="212529"/>
                <w:sz w:val="17"/>
              </w:rPr>
              <w:t>Avoiding all circumstances that generate appearances of judicial favoritism.</w:t>
            </w:r>
          </w:p>
        </w:tc>
      </w:tr>
    </w:tbl>
    <w:p>
      <w:pPr>
        <w:spacing w:after="160"/>
      </w:pPr>
    </w:p>
    <w:p>
      <w:pPr>
        <w:keepNext/>
        <w:spacing w:before="320" w:after="40"/>
      </w:pPr>
      <w:r>
        <w:rPr>
          <w:rFonts w:ascii="Calibri" w:hAnsi="Calibri"/>
          <w:b/>
          <w:color w:val="A30000"/>
          <w:sz w:val="26"/>
        </w:rPr>
        <w:t xml:space="preserve">CASE 62: </w:t>
      </w:r>
      <w:r>
        <w:rPr>
          <w:rFonts w:ascii="Calibri" w:hAnsi="Calibri"/>
          <w:b/>
          <w:color w:val="182B49"/>
          <w:sz w:val="26"/>
        </w:rPr>
        <w:t>Penalties Under R.A. No. 3019 and R.A. 6713, Section 32</w:t>
      </w:r>
    </w:p>
    <w:p>
      <w:pPr>
        <w:keepNext/>
        <w:spacing w:before="0" w:after="120"/>
      </w:pPr>
      <w:r>
        <w:rPr>
          <w:rFonts w:ascii="Calibri" w:hAnsi="Calibri"/>
          <w:b/>
          <w:i/>
          <w:color w:val="0F4C81"/>
          <w:sz w:val="20"/>
        </w:rPr>
        <w:t>Statutory &amp; Administrative Synthesis (En Banc)</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Review of the interaction between criminal convictions under the Anti-Graft and Corrupt Practices Act (R.A. 3019), administrative sanctions under the Code of Conduct for Public Officials (R.A. 6713), and automatic disciplinary disbarment of lawyer-public officials.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conviction of a crime involving graft, corruption, and moral turpitude warrants automatic disbarment of a lawyer.</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Conviction of a crime involving moral turpitude or graft and corruption under R.A. 3019 warrants summary disbarment.</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Rule 138, Section 27, Rules of Court; CPRA Canon VI (Accountability), Section 33; R.A. 3019, Section 9; R.A. 6713, Section 11.</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When a lawyer holding public office is convicted by final judgment of a crime involving graft, corrupt practices, or moral turpitude, such conviction constitutes an explicit statutory ground for disbarment under Section 27, Rule 138. The Supreme Court does not re-try the criminal facts; the certified judgment of conviction serves as conclusive proof of moral unfitness to remain in the Roll of Attorneys.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Lawyer-public officials convicted under R.A. 3019 are automatically subject to DISBARMENT upon finality of judgment.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VI: Accountability &amp; Moral Turpitude (Sec. 33)</w:t>
            </w:r>
          </w:p>
        </w:tc>
        <w:tc>
          <w:tcPr>
            <w:tcW w:type="dxa" w:w="6192"/>
            <w:shd w:fill="FFFFFF"/>
            <w:tcMar>
              <w:top w:w="70" w:type="dxa"/>
              <w:bottom w:w="70" w:type="dxa"/>
              <w:left w:w="90" w:type="dxa"/>
              <w:right w:w="90" w:type="dxa"/>
            </w:tcMar>
          </w:tcPr>
          <w:p>
            <w:r>
              <w:rPr>
                <w:rFonts w:ascii="Calibri" w:hAnsi="Calibri"/>
                <w:color w:val="212529"/>
                <w:sz w:val="17"/>
              </w:rPr>
              <w:t>Automatic disbarment upon final conviction for crimes involving graft and moral turpitude.</w:t>
            </w:r>
          </w:p>
        </w:tc>
      </w:tr>
      <w:tr>
        <w:tc>
          <w:tcPr>
            <w:tcW w:type="dxa" w:w="3168"/>
            <w:shd w:fill="F7F9FA"/>
            <w:tcMar>
              <w:top w:w="70" w:type="dxa"/>
              <w:bottom w:w="70" w:type="dxa"/>
              <w:left w:w="80" w:type="dxa"/>
              <w:right w:w="80" w:type="dxa"/>
            </w:tcMar>
          </w:tcPr>
          <w:p>
            <w:r>
              <w:rPr>
                <w:rFonts w:ascii="Calibri" w:hAnsi="Calibri"/>
                <w:b/>
                <w:color w:val="0F4C81"/>
                <w:sz w:val="17"/>
              </w:rPr>
              <w:t>CPRA Canon I: Independence &amp; Public Trust</w:t>
            </w:r>
          </w:p>
        </w:tc>
        <w:tc>
          <w:tcPr>
            <w:tcW w:type="dxa" w:w="6192"/>
            <w:shd w:fill="F7F9FA"/>
            <w:tcMar>
              <w:top w:w="70" w:type="dxa"/>
              <w:bottom w:w="70" w:type="dxa"/>
              <w:left w:w="90" w:type="dxa"/>
              <w:right w:w="90" w:type="dxa"/>
            </w:tcMar>
          </w:tcPr>
          <w:p>
            <w:r>
              <w:rPr>
                <w:rFonts w:ascii="Calibri" w:hAnsi="Calibri"/>
                <w:color w:val="212529"/>
                <w:sz w:val="17"/>
              </w:rPr>
              <w:t>Maintaining the highest ethical integrity in public office.</w:t>
            </w:r>
          </w:p>
        </w:tc>
      </w:tr>
    </w:tbl>
    <w:p>
      <w:pPr>
        <w:spacing w:after="160"/>
      </w:pPr>
    </w:p>
    <w:p>
      <w:pPr>
        <w:keepNext/>
        <w:spacing w:before="320" w:after="40"/>
      </w:pPr>
      <w:r>
        <w:rPr>
          <w:rFonts w:ascii="Calibri" w:hAnsi="Calibri"/>
          <w:b/>
          <w:color w:val="A30000"/>
          <w:sz w:val="26"/>
        </w:rPr>
        <w:t xml:space="preserve">CASE 63: </w:t>
      </w:r>
      <w:r>
        <w:rPr>
          <w:rFonts w:ascii="Calibri" w:hAnsi="Calibri"/>
          <w:b/>
          <w:color w:val="182B49"/>
          <w:sz w:val="26"/>
        </w:rPr>
        <w:t>Pimentel v. Legal Education Board</w:t>
      </w:r>
    </w:p>
    <w:p>
      <w:pPr>
        <w:keepNext/>
        <w:spacing w:before="0" w:after="120"/>
      </w:pPr>
      <w:r>
        <w:rPr>
          <w:rFonts w:ascii="Calibri" w:hAnsi="Calibri"/>
          <w:b/>
          <w:i/>
          <w:color w:val="0F4C81"/>
          <w:sz w:val="20"/>
        </w:rPr>
        <w:t>G.R. No. 230642, September 10, 2019 | En Banc</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Petitioners challenged the constitutionality of R.A. 7662 (Legal Education Reform Act) and LEB issuances, specifically the mandatory PhiLSAT exam as an absolute exclusionary cutoff for admission to law school, the mandatory LL.M. requirement for all law faculty, and LEB regulations on MCLE and pre-bar internships.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LEB regulations encroached on the Supreme Court's exclusive authority over the Bar and violated institutional academic freedom.</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in part. While the creation of LEB is constitutional under State police power, LEB cannot usurp Supreme Court authority over Bar admission and MCLE, nor dictate absolute admission cutoffs.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1987 Constitution Art. VIII, Sec. 5(5); Art. XIV, Sec. 4(1) &amp; 5(2); CPRA Canons I, II, III, IV.</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Supreme Court holds exclusive constitutional jurisdiction over Bar admission and the practice of law (including MCLE under BM 850). While the State may set baseline higher education standards, mandating the PhiLSAT as an absolute exclusionary barrier infringed on law schools' academic freedom to select students, and mandating LL.M. degrees arbitrarily disqualified seasoned trial judges and veteran advocates.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R.A. 7662 was UPHELD as constitutional, but LEBMO No. 7-2016 (mandatory PhiLSAT cutoff), pre-bar internship, and MCLE supervisory rules were declared UNCONSTITUTIONAL and VOID.</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 Independence of the Judiciary (Sec. 1–3)</w:t>
            </w:r>
          </w:p>
        </w:tc>
        <w:tc>
          <w:tcPr>
            <w:tcW w:type="dxa" w:w="6192"/>
            <w:shd w:fill="FFFFFF"/>
            <w:tcMar>
              <w:top w:w="70" w:type="dxa"/>
              <w:bottom w:w="70" w:type="dxa"/>
              <w:left w:w="90" w:type="dxa"/>
              <w:right w:w="90" w:type="dxa"/>
            </w:tcMar>
          </w:tcPr>
          <w:p>
            <w:r>
              <w:rPr>
                <w:rFonts w:ascii="Calibri" w:hAnsi="Calibri"/>
                <w:color w:val="212529"/>
                <w:sz w:val="17"/>
              </w:rPr>
              <w:t>Exclusive constitutional authority of the Supreme Court over the Bar and legal profession.</w:t>
            </w:r>
          </w:p>
        </w:tc>
      </w:tr>
      <w:tr>
        <w:tc>
          <w:tcPr>
            <w:tcW w:type="dxa" w:w="3168"/>
            <w:shd w:fill="F7F9FA"/>
            <w:tcMar>
              <w:top w:w="70" w:type="dxa"/>
              <w:bottom w:w="70" w:type="dxa"/>
              <w:left w:w="80" w:type="dxa"/>
              <w:right w:w="80" w:type="dxa"/>
            </w:tcMar>
          </w:tcPr>
          <w:p>
            <w:r>
              <w:rPr>
                <w:rFonts w:ascii="Calibri" w:hAnsi="Calibri"/>
                <w:b/>
                <w:color w:val="0F4C81"/>
                <w:sz w:val="17"/>
              </w:rPr>
              <w:t>CPRA Canon II: Propriety &amp; Respect for Judicial Hierarchy</w:t>
            </w:r>
          </w:p>
        </w:tc>
        <w:tc>
          <w:tcPr>
            <w:tcW w:type="dxa" w:w="6192"/>
            <w:shd w:fill="F7F9FA"/>
            <w:tcMar>
              <w:top w:w="70" w:type="dxa"/>
              <w:bottom w:w="70" w:type="dxa"/>
              <w:left w:w="90" w:type="dxa"/>
              <w:right w:w="90" w:type="dxa"/>
            </w:tcMar>
          </w:tcPr>
          <w:p>
            <w:r>
              <w:rPr>
                <w:rFonts w:ascii="Calibri" w:hAnsi="Calibri"/>
                <w:color w:val="212529"/>
                <w:sz w:val="17"/>
              </w:rPr>
              <w:t>Administrative agencies must respect constitutional separation of powers.</w:t>
            </w:r>
          </w:p>
        </w:tc>
      </w:tr>
      <w:tr>
        <w:tc>
          <w:tcPr>
            <w:tcW w:type="dxa" w:w="3168"/>
            <w:shd w:fill="FFFFFF"/>
            <w:tcMar>
              <w:top w:w="70" w:type="dxa"/>
              <w:bottom w:w="70" w:type="dxa"/>
              <w:left w:w="80" w:type="dxa"/>
              <w:right w:w="80" w:type="dxa"/>
            </w:tcMar>
          </w:tcPr>
          <w:p>
            <w:r>
              <w:rPr>
                <w:rFonts w:ascii="Calibri" w:hAnsi="Calibri"/>
                <w:b/>
                <w:color w:val="0F4C81"/>
                <w:sz w:val="17"/>
              </w:rPr>
              <w:t>CPRA Canon III: Fidelity to Constitution</w:t>
            </w:r>
          </w:p>
        </w:tc>
        <w:tc>
          <w:tcPr>
            <w:tcW w:type="dxa" w:w="6192"/>
            <w:shd w:fill="FFFFFF"/>
            <w:tcMar>
              <w:top w:w="70" w:type="dxa"/>
              <w:bottom w:w="70" w:type="dxa"/>
              <w:left w:w="90" w:type="dxa"/>
              <w:right w:w="90" w:type="dxa"/>
            </w:tcMar>
          </w:tcPr>
          <w:p>
            <w:r>
              <w:rPr>
                <w:rFonts w:ascii="Calibri" w:hAnsi="Calibri"/>
                <w:color w:val="212529"/>
                <w:sz w:val="17"/>
              </w:rPr>
              <w:t>Upholding Institutional Academic Freedom (Art. XIV, Sec. 5[2]).</w:t>
            </w:r>
          </w:p>
        </w:tc>
      </w:tr>
      <w:tr>
        <w:tc>
          <w:tcPr>
            <w:tcW w:type="dxa" w:w="3168"/>
            <w:shd w:fill="F7F9FA"/>
            <w:tcMar>
              <w:top w:w="70" w:type="dxa"/>
              <w:bottom w:w="70" w:type="dxa"/>
              <w:left w:w="80" w:type="dxa"/>
              <w:right w:w="80" w:type="dxa"/>
            </w:tcMar>
          </w:tcPr>
          <w:p>
            <w:r>
              <w:rPr>
                <w:rFonts w:ascii="Calibri" w:hAnsi="Calibri"/>
                <w:b/>
                <w:color w:val="0F4C81"/>
                <w:sz w:val="17"/>
              </w:rPr>
              <w:t>CPRA Canon IV: Competence &amp; Diligence</w:t>
            </w:r>
          </w:p>
        </w:tc>
        <w:tc>
          <w:tcPr>
            <w:tcW w:type="dxa" w:w="6192"/>
            <w:shd w:fill="F7F9FA"/>
            <w:tcMar>
              <w:top w:w="70" w:type="dxa"/>
              <w:bottom w:w="70" w:type="dxa"/>
              <w:left w:w="90" w:type="dxa"/>
              <w:right w:w="90" w:type="dxa"/>
            </w:tcMar>
          </w:tcPr>
          <w:p>
            <w:r>
              <w:rPr>
                <w:rFonts w:ascii="Calibri" w:hAnsi="Calibri"/>
                <w:color w:val="212529"/>
                <w:sz w:val="17"/>
              </w:rPr>
              <w:t>Recognizing practical legal and judicial competence beyond rigid postgraduate degree mandates.</w:t>
            </w:r>
          </w:p>
        </w:tc>
      </w:tr>
    </w:tbl>
    <w:p>
      <w:pPr>
        <w:spacing w:after="160"/>
      </w:pPr>
    </w:p>
    <w:p>
      <w:pPr>
        <w:keepNext/>
        <w:spacing w:before="320" w:after="40"/>
      </w:pPr>
      <w:r>
        <w:rPr>
          <w:rFonts w:ascii="Calibri" w:hAnsi="Calibri"/>
          <w:b/>
          <w:color w:val="A30000"/>
          <w:sz w:val="26"/>
        </w:rPr>
        <w:t xml:space="preserve">CASE 64: </w:t>
      </w:r>
      <w:r>
        <w:rPr>
          <w:rFonts w:ascii="Calibri" w:hAnsi="Calibri"/>
          <w:b/>
          <w:color w:val="182B49"/>
          <w:sz w:val="26"/>
        </w:rPr>
        <w:t>Re: Anonymous Complaint Against Atty. Cresencio P. Co Untian, Jr.</w:t>
      </w:r>
    </w:p>
    <w:p>
      <w:pPr>
        <w:keepNext/>
        <w:spacing w:before="0" w:after="120"/>
      </w:pPr>
      <w:r>
        <w:rPr>
          <w:rFonts w:ascii="Calibri" w:hAnsi="Calibri"/>
          <w:b/>
          <w:i/>
          <w:color w:val="0F4C81"/>
          <w:sz w:val="20"/>
        </w:rPr>
        <w:t>A.C. No. 5900, April 10, 2019 | 900 SCRA 1</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An anonymous administrative complaint was filed against Atty. Co Untian, a law professor, for engaging in sexual harassment against female law students, sending sexually suggestive messages, making inappropriate physical advances, and demanding sexual favors in exchange for passing grades.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 law professor who sexually harasses law students violates the ethical standards of the legal profession.</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Sexual harassment by a law professor constitutes gross misconduct and moral depravity warranting disbarment.</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Sections 1, 2, 6; Safe Spaces Act (R.A. 11313); Anti-Sexual Harassment Act (R.A. 7877); CPR Canon 7, Rule 7.03.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Law professors occupy positions of trust, authority, and moral mentorship. Exploiting the professor-student dynamic to demand sexual favors or create a hostile, abusive learning environment subverts the core values of the legal profession. Such reprehensible conduct demonstrates a severe lack of good moral character.</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Cresencio P. Co Untian, Jr. was DISBARRED from the practice of law.</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Propriety &amp; Safe Spaces (Sec. 6)</w:t>
            </w:r>
          </w:p>
        </w:tc>
        <w:tc>
          <w:tcPr>
            <w:tcW w:type="dxa" w:w="6192"/>
            <w:shd w:fill="FFFFFF"/>
            <w:tcMar>
              <w:top w:w="70" w:type="dxa"/>
              <w:bottom w:w="70" w:type="dxa"/>
              <w:left w:w="90" w:type="dxa"/>
              <w:right w:w="90" w:type="dxa"/>
            </w:tcMar>
          </w:tcPr>
          <w:p>
            <w:r>
              <w:rPr>
                <w:rFonts w:ascii="Calibri" w:hAnsi="Calibri"/>
                <w:color w:val="212529"/>
                <w:sz w:val="17"/>
              </w:rPr>
              <w:t>Strict prohibition against sexual harassment, abuse of authority, and gender-based misconduct.</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&amp; Moral Leadership</w:t>
            </w:r>
          </w:p>
        </w:tc>
        <w:tc>
          <w:tcPr>
            <w:tcW w:type="dxa" w:w="6192"/>
            <w:shd w:fill="F7F9FA"/>
            <w:tcMar>
              <w:top w:w="70" w:type="dxa"/>
              <w:bottom w:w="70" w:type="dxa"/>
              <w:left w:w="90" w:type="dxa"/>
              <w:right w:w="90" w:type="dxa"/>
            </w:tcMar>
          </w:tcPr>
          <w:p>
            <w:r>
              <w:rPr>
                <w:rFonts w:ascii="Calibri" w:hAnsi="Calibri"/>
                <w:color w:val="212529"/>
                <w:sz w:val="17"/>
              </w:rPr>
              <w:t>Duty of law educators to model exemplary ethical behavior for future lawyers.</w:t>
            </w:r>
          </w:p>
        </w:tc>
      </w:tr>
    </w:tbl>
    <w:p>
      <w:pPr>
        <w:spacing w:after="160"/>
      </w:pPr>
    </w:p>
    <w:p>
      <w:pPr>
        <w:keepNext/>
        <w:spacing w:before="320" w:after="40"/>
      </w:pPr>
      <w:r>
        <w:rPr>
          <w:rFonts w:ascii="Calibri" w:hAnsi="Calibri"/>
          <w:b/>
          <w:color w:val="A30000"/>
          <w:sz w:val="26"/>
        </w:rPr>
        <w:t xml:space="preserve">CASE 65: </w:t>
      </w:r>
      <w:r>
        <w:rPr>
          <w:rFonts w:ascii="Calibri" w:hAnsi="Calibri"/>
          <w:b/>
          <w:color w:val="182B49"/>
          <w:sz w:val="26"/>
        </w:rPr>
        <w:t>Re: Statement of the UP Law Faculty on Allegations of Plagiarism (Vinuya Decision)</w:t>
      </w:r>
    </w:p>
    <w:p>
      <w:pPr>
        <w:keepNext/>
        <w:spacing w:before="0" w:after="120"/>
      </w:pPr>
      <w:r>
        <w:rPr>
          <w:rFonts w:ascii="Calibri" w:hAnsi="Calibri"/>
          <w:b/>
          <w:i/>
          <w:color w:val="0F4C81"/>
          <w:sz w:val="20"/>
        </w:rPr>
        <w:t>A.M. No. 10-10-4-SC, March 8, 2011 | 644 SCRA 543</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Thirty-seven (37) members of the University of the Philippines College of Law faculty issued and published a public institutional statement demanding the resignation of Supreme Court Associate Justice Mariano Del Castillo over alleged judicial plagiarism in the Vinuya comfort women decision, characterizing the Court's ruling as a 'reprehensible act of dishonesty' and a 'grave national disgrace.'</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law professors may publish intemperate, inflammatory institutional statements demanding the resignation of a sitting justice in a pending motion.</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NO. While academic freedom protects scholarly critique, issuing inflammatory public statements demanding resignation violates professional decorum.</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Sections 2, 4, 19 (Sub Judice Rule &amp; Respect for Courts); CPR Canon 11, Rule 11.05.</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Academic freedom in legal education does not confer an unrestricted license for law professors to abandon their obligations as officers of the court. When law professors criticize decisions, they must do so in scholarly, respectful, and temperate language. Launching an ad hominem public campaign demanding a magistrate's resignation while a matter remains sub judice degrades public trust in the Judiciary.</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ADMONISHED and REMINDED the UP Law Faculty to exercise institutional restraint and maintain respectful decorum.</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Respect for Courts &amp; Temperate Criticism (Sec. 2 &amp; 19)</w:t>
            </w:r>
          </w:p>
        </w:tc>
        <w:tc>
          <w:tcPr>
            <w:tcW w:type="dxa" w:w="6192"/>
            <w:shd w:fill="FFFFFF"/>
            <w:tcMar>
              <w:top w:w="70" w:type="dxa"/>
              <w:bottom w:w="70" w:type="dxa"/>
              <w:left w:w="90" w:type="dxa"/>
              <w:right w:w="90" w:type="dxa"/>
            </w:tcMar>
          </w:tcPr>
          <w:p>
            <w:r>
              <w:rPr>
                <w:rFonts w:ascii="Calibri" w:hAnsi="Calibri"/>
                <w:color w:val="212529"/>
                <w:sz w:val="17"/>
              </w:rPr>
              <w:t>Duty to frame academic critiques of judicial rulings in constructive, scholarly language.</w:t>
            </w:r>
          </w:p>
        </w:tc>
      </w:tr>
      <w:tr>
        <w:tc>
          <w:tcPr>
            <w:tcW w:type="dxa" w:w="3168"/>
            <w:shd w:fill="F7F9FA"/>
            <w:tcMar>
              <w:top w:w="70" w:type="dxa"/>
              <w:bottom w:w="70" w:type="dxa"/>
              <w:left w:w="80" w:type="dxa"/>
              <w:right w:w="80" w:type="dxa"/>
            </w:tcMar>
          </w:tcPr>
          <w:p>
            <w:r>
              <w:rPr>
                <w:rFonts w:ascii="Calibri" w:hAnsi="Calibri"/>
                <w:b/>
                <w:color w:val="0F4C81"/>
                <w:sz w:val="17"/>
              </w:rPr>
              <w:t>CPRA Canon I: Judicial Independence</w:t>
            </w:r>
          </w:p>
        </w:tc>
        <w:tc>
          <w:tcPr>
            <w:tcW w:type="dxa" w:w="6192"/>
            <w:shd w:fill="F7F9FA"/>
            <w:tcMar>
              <w:top w:w="70" w:type="dxa"/>
              <w:bottom w:w="70" w:type="dxa"/>
              <w:left w:w="90" w:type="dxa"/>
              <w:right w:w="90" w:type="dxa"/>
            </w:tcMar>
          </w:tcPr>
          <w:p>
            <w:r>
              <w:rPr>
                <w:rFonts w:ascii="Calibri" w:hAnsi="Calibri"/>
                <w:color w:val="212529"/>
                <w:sz w:val="17"/>
              </w:rPr>
              <w:t>Protecting the integrity of the Court against public pressure campaigns.</w:t>
            </w:r>
          </w:p>
        </w:tc>
      </w:tr>
    </w:tbl>
    <w:p>
      <w:pPr>
        <w:spacing w:after="160"/>
      </w:pPr>
    </w:p>
    <w:p>
      <w:pPr>
        <w:keepNext/>
        <w:spacing w:before="320" w:after="40"/>
      </w:pPr>
      <w:r>
        <w:rPr>
          <w:rFonts w:ascii="Calibri" w:hAnsi="Calibri"/>
          <w:b/>
          <w:color w:val="A30000"/>
          <w:sz w:val="26"/>
        </w:rPr>
        <w:t xml:space="preserve">CASE 66: </w:t>
      </w:r>
      <w:r>
        <w:rPr>
          <w:rFonts w:ascii="Calibri" w:hAnsi="Calibri"/>
          <w:b/>
          <w:color w:val="182B49"/>
          <w:sz w:val="26"/>
        </w:rPr>
        <w:t>Sevilla v. Atty. Marcelo C. Millo</w:t>
      </w:r>
    </w:p>
    <w:p>
      <w:pPr>
        <w:keepNext/>
        <w:spacing w:before="0" w:after="120"/>
      </w:pPr>
      <w:r>
        <w:rPr>
          <w:rFonts w:ascii="Calibri" w:hAnsi="Calibri"/>
          <w:b/>
          <w:i/>
          <w:color w:val="0F4C81"/>
          <w:sz w:val="20"/>
        </w:rPr>
        <w:t>A.C. No. 10697, March 25, 2019</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engaged Atty. Millo to represent him in an appealed property case before the DARAB. The respondent collected professional fees but failed to file the required memorandum, failed to inform the client of the dismissal of the appeal, and refused to communicate when the adverse party executed the judgment.</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failure to file a required memorandum resulting in dismissal of an appeal constitutes gross neglect of professional duty.</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Total inaction and failure to file necessary pleadings constitute gross professional negligence.</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IV (Competence &amp; Diligence), Sections 1, 2, 3; CPR Canon 18, Rule 18.03.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 is bound to serve his client with undivided fidelity and diligence. When a lawyer accepts a case and receives payment, he assumes the obligation to take all necessary procedural steps to protect the client's rights. Failing to file the required memorandum and concealing the adverse outcome constitute a serious breach of professional duty.</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Marcelo C. Millo was SUSPENDED from the practice of law for one (1) year and ordered to return all collected fees.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IV: Competence &amp; Diligence</w:t>
            </w:r>
          </w:p>
        </w:tc>
        <w:tc>
          <w:tcPr>
            <w:tcW w:type="dxa" w:w="6192"/>
            <w:shd w:fill="FFFFFF"/>
            <w:tcMar>
              <w:top w:w="70" w:type="dxa"/>
              <w:bottom w:w="70" w:type="dxa"/>
              <w:left w:w="90" w:type="dxa"/>
              <w:right w:w="90" w:type="dxa"/>
            </w:tcMar>
          </w:tcPr>
          <w:p>
            <w:r>
              <w:rPr>
                <w:rFonts w:ascii="Calibri" w:hAnsi="Calibri"/>
                <w:color w:val="212529"/>
                <w:sz w:val="17"/>
              </w:rPr>
              <w:t>Continuous, punctual prosecution of client cases before administrative and judicial bodies.</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&amp; Transparency</w:t>
            </w:r>
          </w:p>
        </w:tc>
        <w:tc>
          <w:tcPr>
            <w:tcW w:type="dxa" w:w="6192"/>
            <w:shd w:fill="F7F9FA"/>
            <w:tcMar>
              <w:top w:w="70" w:type="dxa"/>
              <w:bottom w:w="70" w:type="dxa"/>
              <w:left w:w="90" w:type="dxa"/>
              <w:right w:w="90" w:type="dxa"/>
            </w:tcMar>
          </w:tcPr>
          <w:p>
            <w:r>
              <w:rPr>
                <w:rFonts w:ascii="Calibri" w:hAnsi="Calibri"/>
                <w:color w:val="212529"/>
                <w:sz w:val="17"/>
              </w:rPr>
              <w:t>Duty to promptly notify clients of all adverse developments and rulings.</w:t>
            </w:r>
          </w:p>
        </w:tc>
      </w:tr>
    </w:tbl>
    <w:p>
      <w:pPr>
        <w:spacing w:after="160"/>
      </w:pPr>
    </w:p>
    <w:p>
      <w:pPr>
        <w:keepNext/>
        <w:spacing w:before="320" w:after="40"/>
      </w:pPr>
      <w:r>
        <w:rPr>
          <w:rFonts w:ascii="Calibri" w:hAnsi="Calibri"/>
          <w:b/>
          <w:color w:val="A30000"/>
          <w:sz w:val="26"/>
        </w:rPr>
        <w:t xml:space="preserve">CASE 67: </w:t>
      </w:r>
      <w:r>
        <w:rPr>
          <w:rFonts w:ascii="Calibri" w:hAnsi="Calibri"/>
          <w:b/>
          <w:color w:val="182B49"/>
          <w:sz w:val="26"/>
        </w:rPr>
        <w:t>Viesca v. Gilinsky</w:t>
      </w:r>
    </w:p>
    <w:p>
      <w:pPr>
        <w:keepNext/>
        <w:spacing w:before="0" w:after="120"/>
      </w:pPr>
      <w:r>
        <w:rPr>
          <w:rFonts w:ascii="Calibri" w:hAnsi="Calibri"/>
          <w:b/>
          <w:i/>
          <w:color w:val="0F4C81"/>
          <w:sz w:val="20"/>
        </w:rPr>
        <w:t>G.R. No. 171698, July 4, 2007 | 526 SCRA 533</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In an international child custody and family law dispute, counsel for respondent engaged in deceptive procedural tactics, suppressing material foreign court orders and misrepresenting marital status to secure conflicting ex parte local custody decrees.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concealing foreign court orders and misrepresenting material facts to obtain conflicting local decrees violates ethical duties of candor.</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Deceitful concealment of material proceedings violates the duty of candor and good faith owed to the courts.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2; Canon III (Fidelity), Section 2; Rule 138, Section 20(d).</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 must employ only such means as are consistent with truth and honor. Concealing material facts, suppressing relevant foreign court decrees, and attempting to obtain conflicting custody orders through misrepresentation subverts the administration of justice and abuses judicial processes.</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CONDEMNED counsel's deceptive tactics and set aside the fraudulently obtained local custody orders.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Candor &amp; Honesty in Pleadings</w:t>
            </w:r>
          </w:p>
        </w:tc>
        <w:tc>
          <w:tcPr>
            <w:tcW w:type="dxa" w:w="6192"/>
            <w:shd w:fill="FFFFFF"/>
            <w:tcMar>
              <w:top w:w="70" w:type="dxa"/>
              <w:bottom w:w="70" w:type="dxa"/>
              <w:left w:w="90" w:type="dxa"/>
              <w:right w:w="90" w:type="dxa"/>
            </w:tcMar>
          </w:tcPr>
          <w:p>
            <w:r>
              <w:rPr>
                <w:rFonts w:ascii="Calibri" w:hAnsi="Calibri"/>
                <w:color w:val="212529"/>
                <w:sz w:val="17"/>
              </w:rPr>
              <w:t>Duty of absolute disclosure of all relevant facts and concurrent proceedings.</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to Justice</w:t>
            </w:r>
          </w:p>
        </w:tc>
        <w:tc>
          <w:tcPr>
            <w:tcW w:type="dxa" w:w="6192"/>
            <w:shd w:fill="F7F9FA"/>
            <w:tcMar>
              <w:top w:w="70" w:type="dxa"/>
              <w:bottom w:w="70" w:type="dxa"/>
              <w:left w:w="90" w:type="dxa"/>
              <w:right w:w="90" w:type="dxa"/>
            </w:tcMar>
          </w:tcPr>
          <w:p>
            <w:r>
              <w:rPr>
                <w:rFonts w:ascii="Calibri" w:hAnsi="Calibri"/>
                <w:color w:val="212529"/>
                <w:sz w:val="17"/>
              </w:rPr>
              <w:t>Protecting family and child custody proceedings from deceptive maneuvers.</w:t>
            </w:r>
          </w:p>
        </w:tc>
      </w:tr>
    </w:tbl>
    <w:p>
      <w:pPr>
        <w:spacing w:after="160"/>
      </w:pPr>
    </w:p>
    <w:p>
      <w:pPr>
        <w:keepNext/>
        <w:spacing w:before="320" w:after="40"/>
      </w:pPr>
      <w:r>
        <w:rPr>
          <w:rFonts w:ascii="Calibri" w:hAnsi="Calibri"/>
          <w:b/>
          <w:color w:val="A30000"/>
          <w:sz w:val="26"/>
        </w:rPr>
        <w:t xml:space="preserve">CASE 68: </w:t>
      </w:r>
      <w:r>
        <w:rPr>
          <w:rFonts w:ascii="Calibri" w:hAnsi="Calibri"/>
          <w:b/>
          <w:color w:val="182B49"/>
          <w:sz w:val="26"/>
        </w:rPr>
        <w:t>Re: Disturbing Social Media Posts of Lawyers / Law Professors</w:t>
      </w:r>
    </w:p>
    <w:p>
      <w:pPr>
        <w:keepNext/>
        <w:spacing w:before="0" w:after="120"/>
      </w:pPr>
      <w:r>
        <w:rPr>
          <w:rFonts w:ascii="Calibri" w:hAnsi="Calibri"/>
          <w:b/>
          <w:i/>
          <w:color w:val="0F4C81"/>
          <w:sz w:val="20"/>
        </w:rPr>
        <w:t>A.M. No. 21-06-20-SC, April 11, 2023 | En Banc</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The Supreme Court motu proprio took cognizance of several viral social media posts, blog entries, and online videos by lawyers and law professors containing foul language, homophobic slurs, derogatory memes against LGBTQ+ individuals, and misogynistic commentary under the guise of private social media banter.</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lawyers and law professors may be disciplined for vulgar, discriminatory, and derogatory posts on private personal social media accounts.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A lawyer's online conduct, whether on personal or public social media accounts, is subject to the ethical standards of the CPRA.</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Sections 13, 14, 15, 16 (Responsible Social Media Use); CPRA Canon V (Equality).</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Supreme Court established landmark rules on digital ethics in the CPRA. The digital persona of a lawyer cannot be divorced from their professional identity as an officer of the court. Online speech that is discriminatory, homophobic, misogynistic, or profane degrades the dignity of the profession and creates a hostile public perception of the administration of justice.</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ADMONISHED and FINED the respondent lawyers and promulgated the comprehensive Social Media Canons under the CPRA.</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Social Media Conduct (Sec. 13–16)</w:t>
            </w:r>
          </w:p>
        </w:tc>
        <w:tc>
          <w:tcPr>
            <w:tcW w:type="dxa" w:w="6192"/>
            <w:shd w:fill="FFFFFF"/>
            <w:tcMar>
              <w:top w:w="70" w:type="dxa"/>
              <w:bottom w:w="70" w:type="dxa"/>
              <w:left w:w="90" w:type="dxa"/>
              <w:right w:w="90" w:type="dxa"/>
            </w:tcMar>
          </w:tcPr>
          <w:p>
            <w:r>
              <w:rPr>
                <w:rFonts w:ascii="Calibri" w:hAnsi="Calibri"/>
                <w:color w:val="212529"/>
                <w:sz w:val="17"/>
              </w:rPr>
              <w:t>Strict obligation to maintain dignity, avoid vulgarity, and prevent discrimination on all online platforms.</w:t>
            </w:r>
          </w:p>
        </w:tc>
      </w:tr>
      <w:tr>
        <w:tc>
          <w:tcPr>
            <w:tcW w:type="dxa" w:w="3168"/>
            <w:shd w:fill="F7F9FA"/>
            <w:tcMar>
              <w:top w:w="70" w:type="dxa"/>
              <w:bottom w:w="70" w:type="dxa"/>
              <w:left w:w="80" w:type="dxa"/>
              <w:right w:w="80" w:type="dxa"/>
            </w:tcMar>
          </w:tcPr>
          <w:p>
            <w:r>
              <w:rPr>
                <w:rFonts w:ascii="Calibri" w:hAnsi="Calibri"/>
                <w:b/>
                <w:color w:val="0F4C81"/>
                <w:sz w:val="17"/>
              </w:rPr>
              <w:t>CPRA Canon V: Equality &amp; Non-Discrimination</w:t>
            </w:r>
          </w:p>
        </w:tc>
        <w:tc>
          <w:tcPr>
            <w:tcW w:type="dxa" w:w="6192"/>
            <w:shd w:fill="F7F9FA"/>
            <w:tcMar>
              <w:top w:w="70" w:type="dxa"/>
              <w:bottom w:w="70" w:type="dxa"/>
              <w:left w:w="90" w:type="dxa"/>
              <w:right w:w="90" w:type="dxa"/>
            </w:tcMar>
          </w:tcPr>
          <w:p>
            <w:r>
              <w:rPr>
                <w:rFonts w:ascii="Calibri" w:hAnsi="Calibri"/>
                <w:color w:val="212529"/>
                <w:sz w:val="17"/>
              </w:rPr>
              <w:t>Zero tolerance for homophobic, sexist, or discriminatory rhetoric by members of the Bar.</w:t>
            </w:r>
          </w:p>
        </w:tc>
      </w:tr>
    </w:tbl>
    <w:p>
      <w:pPr>
        <w:spacing w:after="160"/>
      </w:pPr>
    </w:p>
    <w:p>
      <w:pPr>
        <w:keepNext/>
        <w:spacing w:before="320" w:after="40"/>
      </w:pPr>
      <w:r>
        <w:rPr>
          <w:rFonts w:ascii="Calibri" w:hAnsi="Calibri"/>
          <w:b/>
          <w:color w:val="A30000"/>
          <w:sz w:val="26"/>
        </w:rPr>
        <w:t xml:space="preserve">CASE 69: </w:t>
      </w:r>
      <w:r>
        <w:rPr>
          <w:rFonts w:ascii="Calibri" w:hAnsi="Calibri"/>
          <w:b/>
          <w:color w:val="182B49"/>
          <w:sz w:val="26"/>
        </w:rPr>
        <w:t>In Re: Atty. Lorenzo G. Gadon's Viral Video Against Raissa Robles</w:t>
      </w:r>
    </w:p>
    <w:p>
      <w:pPr>
        <w:keepNext/>
        <w:spacing w:before="0" w:after="120"/>
      </w:pPr>
      <w:r>
        <w:rPr>
          <w:rFonts w:ascii="Calibri" w:hAnsi="Calibri"/>
          <w:b/>
          <w:i/>
          <w:color w:val="0F4C81"/>
          <w:sz w:val="20"/>
        </w:rPr>
        <w:t>A.C. No. 13521, June 27, 2023 | En Banc Resolution</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Detailed disciplinary resolution evaluating Atty. Gadon's defenses that his viral video was an exercise of political free speech and personal private expression on social media outside of active courtroom litigation.</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the constitutional guarantee of free speech shields a lawyer from disbarment for publishing profane, misogynistic video tirades.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NO. Freedom of speech does not protect abusive, scandalous, and misogynistic tirades by members of the Bar.</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Sections 1, 2, 13, 14; 1987 Constitution Art. III, Sec. 4; CPRA Canon VI.</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right to free expression is not a license for a lawyer to hurl scurrilous and misogynistic insults in the digital public square. The lawyer's oath demands that attorneys act with dignity, propriety, and respect. When speech descends into unmitigated obscenity and gender-based degradation, it forfeits constitutional protection and constitutes gross professional misconduct.</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UNANIMOUSLY ORDERED the DISBARMENT of Atty. Lorenzo Gadon.</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Free Speech vs. Professional Decorum</w:t>
            </w:r>
          </w:p>
        </w:tc>
        <w:tc>
          <w:tcPr>
            <w:tcW w:type="dxa" w:w="6192"/>
            <w:shd w:fill="FFFFFF"/>
            <w:tcMar>
              <w:top w:w="70" w:type="dxa"/>
              <w:bottom w:w="70" w:type="dxa"/>
              <w:left w:w="90" w:type="dxa"/>
              <w:right w:w="90" w:type="dxa"/>
            </w:tcMar>
          </w:tcPr>
          <w:p>
            <w:r>
              <w:rPr>
                <w:rFonts w:ascii="Calibri" w:hAnsi="Calibri"/>
                <w:color w:val="212529"/>
                <w:sz w:val="17"/>
              </w:rPr>
              <w:t>Lawyers' speech is bounded by the affirmative duties of propriety, dignity, and gender equality.</w:t>
            </w:r>
          </w:p>
        </w:tc>
      </w:tr>
      <w:tr>
        <w:tc>
          <w:tcPr>
            <w:tcW w:type="dxa" w:w="3168"/>
            <w:shd w:fill="F7F9FA"/>
            <w:tcMar>
              <w:top w:w="70" w:type="dxa"/>
              <w:bottom w:w="70" w:type="dxa"/>
              <w:left w:w="80" w:type="dxa"/>
              <w:right w:w="80" w:type="dxa"/>
            </w:tcMar>
          </w:tcPr>
          <w:p>
            <w:r>
              <w:rPr>
                <w:rFonts w:ascii="Calibri" w:hAnsi="Calibri"/>
                <w:b/>
                <w:color w:val="0F4C81"/>
                <w:sz w:val="17"/>
              </w:rPr>
              <w:t>CPRA Canon VI: Accountability</w:t>
            </w:r>
          </w:p>
        </w:tc>
        <w:tc>
          <w:tcPr>
            <w:tcW w:type="dxa" w:w="6192"/>
            <w:shd w:fill="F7F9FA"/>
            <w:tcMar>
              <w:top w:w="70" w:type="dxa"/>
              <w:bottom w:w="70" w:type="dxa"/>
              <w:left w:w="90" w:type="dxa"/>
              <w:right w:w="90" w:type="dxa"/>
            </w:tcMar>
          </w:tcPr>
          <w:p>
            <w:r>
              <w:rPr>
                <w:rFonts w:ascii="Calibri" w:hAnsi="Calibri"/>
                <w:color w:val="212529"/>
                <w:sz w:val="17"/>
              </w:rPr>
              <w:t>Summary disbarment for unrepentant and repeated ethical violations.</w:t>
            </w:r>
          </w:p>
        </w:tc>
      </w:tr>
    </w:tbl>
    <w:p>
      <w:pPr>
        <w:spacing w:after="160"/>
      </w:pPr>
    </w:p>
    <w:p>
      <w:pPr>
        <w:keepNext/>
        <w:spacing w:before="320" w:after="40"/>
      </w:pPr>
      <w:r>
        <w:rPr>
          <w:rFonts w:ascii="Calibri" w:hAnsi="Calibri"/>
          <w:b/>
          <w:color w:val="A30000"/>
          <w:sz w:val="26"/>
        </w:rPr>
        <w:t xml:space="preserve">CASE 70: </w:t>
      </w:r>
      <w:r>
        <w:rPr>
          <w:rFonts w:ascii="Calibri" w:hAnsi="Calibri"/>
          <w:b/>
          <w:color w:val="182B49"/>
          <w:sz w:val="26"/>
        </w:rPr>
        <w:t>ABS-CBN Corporation, et al. v. Andal Ampatuan, Jr. (Re-Affirmed)</w:t>
      </w:r>
    </w:p>
    <w:p>
      <w:pPr>
        <w:keepNext/>
        <w:spacing w:before="0" w:after="120"/>
      </w:pPr>
      <w:r>
        <w:rPr>
          <w:rFonts w:ascii="Calibri" w:hAnsi="Calibri"/>
          <w:b/>
          <w:i/>
          <w:color w:val="0F4C81"/>
          <w:sz w:val="20"/>
        </w:rPr>
        <w:t>G.R. No. 227004, April 25, 2023 | 948 SCRA 1</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Re-affirmed comprehensive guidelines on the sub judice rule in high-profile criminal litigation, balancing freedom of public information with the imperative to prevent trial by publicity and judicial intimidation.</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trial counsel and participants are strictly restricted from issuing extrajudicial commentary tending to prejudge the guilt or innocence of an accused.</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Trial counsel and participants are subject to strict sub judice limits against prejudicial public statements.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19; Rule 71, Rules of Court.</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Court emphasized that the sub judice rule is indispensable to protect the independence of the judge and the constitutional right of every accused to an unbiased trial. Lawyers must litigate in the courtroom, not in the press or on television.</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REAFFIRMED the sub judice doctrine and ordered strict compliance by all litigation counsel.</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Sub Judice Rule (Sec. 19)</w:t>
            </w:r>
          </w:p>
        </w:tc>
        <w:tc>
          <w:tcPr>
            <w:tcW w:type="dxa" w:w="6192"/>
            <w:shd w:fill="FFFFFF"/>
            <w:tcMar>
              <w:top w:w="70" w:type="dxa"/>
              <w:bottom w:w="70" w:type="dxa"/>
              <w:left w:w="90" w:type="dxa"/>
              <w:right w:w="90" w:type="dxa"/>
            </w:tcMar>
          </w:tcPr>
          <w:p>
            <w:r>
              <w:rPr>
                <w:rFonts w:ascii="Calibri" w:hAnsi="Calibri"/>
                <w:color w:val="212529"/>
                <w:sz w:val="17"/>
              </w:rPr>
              <w:t>Absolute prohibition against litigating cases through public media and press conferences.</w:t>
            </w:r>
          </w:p>
        </w:tc>
      </w:tr>
      <w:tr>
        <w:tc>
          <w:tcPr>
            <w:tcW w:type="dxa" w:w="3168"/>
            <w:shd w:fill="F7F9FA"/>
            <w:tcMar>
              <w:top w:w="70" w:type="dxa"/>
              <w:bottom w:w="70" w:type="dxa"/>
              <w:left w:w="80" w:type="dxa"/>
              <w:right w:w="80" w:type="dxa"/>
            </w:tcMar>
          </w:tcPr>
          <w:p>
            <w:r>
              <w:rPr>
                <w:rFonts w:ascii="Calibri" w:hAnsi="Calibri"/>
                <w:b/>
                <w:color w:val="0F4C81"/>
                <w:sz w:val="17"/>
              </w:rPr>
              <w:t>CPRA Canon I: Judicial Independence</w:t>
            </w:r>
          </w:p>
        </w:tc>
        <w:tc>
          <w:tcPr>
            <w:tcW w:type="dxa" w:w="6192"/>
            <w:shd w:fill="F7F9FA"/>
            <w:tcMar>
              <w:top w:w="70" w:type="dxa"/>
              <w:bottom w:w="70" w:type="dxa"/>
              <w:left w:w="90" w:type="dxa"/>
              <w:right w:w="90" w:type="dxa"/>
            </w:tcMar>
          </w:tcPr>
          <w:p>
            <w:r>
              <w:rPr>
                <w:rFonts w:ascii="Calibri" w:hAnsi="Calibri"/>
                <w:color w:val="212529"/>
                <w:sz w:val="17"/>
              </w:rPr>
              <w:t>Preventing external media interference in ongoing criminal trials.</w:t>
            </w:r>
          </w:p>
        </w:tc>
      </w:tr>
    </w:tbl>
    <w:p>
      <w:pPr>
        <w:spacing w:after="160"/>
      </w:pPr>
    </w:p>
    <w:p>
      <w:pPr>
        <w:keepNext/>
        <w:spacing w:before="320" w:after="40"/>
      </w:pPr>
      <w:r>
        <w:rPr>
          <w:rFonts w:ascii="Calibri" w:hAnsi="Calibri"/>
          <w:b/>
          <w:color w:val="A30000"/>
          <w:sz w:val="26"/>
        </w:rPr>
        <w:t xml:space="preserve">CASE 71: </w:t>
      </w:r>
      <w:r>
        <w:rPr>
          <w:rFonts w:ascii="Calibri" w:hAnsi="Calibri"/>
          <w:b/>
          <w:color w:val="182B49"/>
          <w:sz w:val="26"/>
        </w:rPr>
        <w:t>Serrano v. Cruz-Angeles, et al.</w:t>
      </w:r>
    </w:p>
    <w:p>
      <w:pPr>
        <w:keepNext/>
        <w:spacing w:before="0" w:after="120"/>
      </w:pPr>
      <w:r>
        <w:rPr>
          <w:rFonts w:ascii="Calibri" w:hAnsi="Calibri"/>
          <w:b/>
          <w:i/>
          <w:color w:val="0F4C81"/>
          <w:sz w:val="20"/>
        </w:rPr>
        <w:t>A.C. No. 10985, February 20, 2024</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engaged respondent Attys. Cruz-Angeles and partner for the titling and clearing of real estate property. Complainant paid P350,000 as professional and mobilization fees. Respondents failed to render any substantial legal service, failed to account for the funds, and made misleading representations regarding the status of the land registration proceedings.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collecting professional fees without rendering service and failing to account for client funds constitutes gross dishonesty and neglect.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Receiving fees, failing to perform the contracted legal services, and refusing to account warrant disciplinary suspension.</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Sections 1, 6, 7; Canon IV (Competence and Diligence), Sections 1, 2, 3; Canon VI.</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When a lawyer receives money from a client for professional fees and expenses, the lawyer is duty-bound to perform the agreed legal services with utmost diligence. If the services are not performed, the lawyer must immediately refund the money to the client upon demand. Retaining unearned fees constitutes misappropriation and bad faith.</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respondent lawyers were SUSPENDED from the practice of law for one (1) year and ordered to RESTITUTE the full P350,000 to complainant.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Fidelity &amp; Restitution of Unearned Fees</w:t>
            </w:r>
          </w:p>
        </w:tc>
        <w:tc>
          <w:tcPr>
            <w:tcW w:type="dxa" w:w="6192"/>
            <w:shd w:fill="FFFFFF"/>
            <w:tcMar>
              <w:top w:w="70" w:type="dxa"/>
              <w:bottom w:w="70" w:type="dxa"/>
              <w:left w:w="90" w:type="dxa"/>
              <w:right w:w="90" w:type="dxa"/>
            </w:tcMar>
          </w:tcPr>
          <w:p>
            <w:r>
              <w:rPr>
                <w:rFonts w:ascii="Calibri" w:hAnsi="Calibri"/>
                <w:color w:val="212529"/>
                <w:sz w:val="17"/>
              </w:rPr>
              <w:t>Strict duty to refund unearned fees and account for client funds promptly.</w:t>
            </w:r>
          </w:p>
        </w:tc>
      </w:tr>
      <w:tr>
        <w:tc>
          <w:tcPr>
            <w:tcW w:type="dxa" w:w="3168"/>
            <w:shd w:fill="F7F9FA"/>
            <w:tcMar>
              <w:top w:w="70" w:type="dxa"/>
              <w:bottom w:w="70" w:type="dxa"/>
              <w:left w:w="80" w:type="dxa"/>
              <w:right w:w="80" w:type="dxa"/>
            </w:tcMar>
          </w:tcPr>
          <w:p>
            <w:r>
              <w:rPr>
                <w:rFonts w:ascii="Calibri" w:hAnsi="Calibri"/>
                <w:b/>
                <w:color w:val="0F4C81"/>
                <w:sz w:val="17"/>
              </w:rPr>
              <w:t>CPRA Canon IV: Competence and Diligence</w:t>
            </w:r>
          </w:p>
        </w:tc>
        <w:tc>
          <w:tcPr>
            <w:tcW w:type="dxa" w:w="6192"/>
            <w:shd w:fill="F7F9FA"/>
            <w:tcMar>
              <w:top w:w="70" w:type="dxa"/>
              <w:bottom w:w="70" w:type="dxa"/>
              <w:left w:w="90" w:type="dxa"/>
              <w:right w:w="90" w:type="dxa"/>
            </w:tcMar>
          </w:tcPr>
          <w:p>
            <w:r>
              <w:rPr>
                <w:rFonts w:ascii="Calibri" w:hAnsi="Calibri"/>
                <w:color w:val="212529"/>
                <w:sz w:val="17"/>
              </w:rPr>
              <w:t>Accountability for failing to prosecute contracted real estate titling services.</w:t>
            </w:r>
          </w:p>
        </w:tc>
      </w:tr>
    </w:tbl>
    <w:p>
      <w:pPr>
        <w:spacing w:after="160"/>
      </w:pPr>
    </w:p>
    <w:p>
      <w:pPr>
        <w:keepNext/>
        <w:spacing w:before="320" w:after="40"/>
      </w:pPr>
      <w:r>
        <w:rPr>
          <w:rFonts w:ascii="Calibri" w:hAnsi="Calibri"/>
          <w:b/>
          <w:color w:val="A30000"/>
          <w:sz w:val="26"/>
        </w:rPr>
        <w:t xml:space="preserve">CASE 72: </w:t>
      </w:r>
      <w:r>
        <w:rPr>
          <w:rFonts w:ascii="Calibri" w:hAnsi="Calibri"/>
          <w:b/>
          <w:color w:val="182B49"/>
          <w:sz w:val="26"/>
        </w:rPr>
        <w:t>Request of the Public Attorney's Office to Delete Section 22, Canon III of the CPRA</w:t>
      </w:r>
    </w:p>
    <w:p>
      <w:pPr>
        <w:keepNext/>
        <w:spacing w:before="0" w:after="120"/>
      </w:pPr>
      <w:r>
        <w:rPr>
          <w:rFonts w:ascii="Calibri" w:hAnsi="Calibri"/>
          <w:b/>
          <w:i/>
          <w:color w:val="0F4C81"/>
          <w:sz w:val="20"/>
        </w:rPr>
        <w:t>A.M. No. 23-05-05-SC, July 11, 2023 | En Banc</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The Public Attorney's Office (PAO), through its Chief Public Attorney, filed a formal request seeking the deletion of Section 22, Canon III of the newly promulgated CPRA. Section 22 limits conflict-of-interest disqualifications in public legal aid offices to the specific lawyer handling the case, thereby allowing different PAO lawyers within the same district office to represent opposing co-accused or opposing parties in separate cases. PAO claimed this compromised their institutional integrity and violated the RPC on betrayal of trust.</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Section 22, Canon III of the CPRA is valid, and whether the Supreme Court has the exclusive constitutional authority to promulgate ethical conflict-of-interest rules binding on PAO lawyers.</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The Supreme Court has the exclusive constitutional authority to promulgate rules of professional conduct, and Section 22, Canon III is fully constitutional and binding on all PAO lawyers.</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1987 Constitution Art. VIII, Sec. 5(5); CPRA Canon III (Fidelity), Section 22 (Conflict of Interest for Public Legal Aid Offices); CPRA Canon V (Equality &amp; Access to Justice).</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Supreme Court's constitutional power to regulate the practice of law is exclusive and plenary. Section 22, Canon III was enacted precisely to guarantee access to justice for indigent litigants who would otherwise be deprived of legal counsel whenever an opposing party first retained another PAO lawyer in the same office. The rule establishes strict institutional 'ethical screens' (Chinese walls) between public defenders within the same office, ensuring that indigent Filipinos receive competent, conflict-free representation without systemic denial of legal aid.</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DENIED the PAO's request with finality and ORDERED all PAO lawyers to strictly adhere to and implement Section 22, Canon III of the CPRA.</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Conflict of Interest in Legal Aid (Sec. 22)</w:t>
            </w:r>
          </w:p>
        </w:tc>
        <w:tc>
          <w:tcPr>
            <w:tcW w:type="dxa" w:w="6192"/>
            <w:shd w:fill="FFFFFF"/>
            <w:tcMar>
              <w:top w:w="70" w:type="dxa"/>
              <w:bottom w:w="70" w:type="dxa"/>
              <w:left w:w="90" w:type="dxa"/>
              <w:right w:w="90" w:type="dxa"/>
            </w:tcMar>
          </w:tcPr>
          <w:p>
            <w:r>
              <w:rPr>
                <w:rFonts w:ascii="Calibri" w:hAnsi="Calibri"/>
                <w:color w:val="212529"/>
                <w:sz w:val="17"/>
              </w:rPr>
              <w:t>Ethical screen doctrine allowing different public defenders to represent opposing indigent litigants.</w:t>
            </w:r>
          </w:p>
        </w:tc>
      </w:tr>
      <w:tr>
        <w:tc>
          <w:tcPr>
            <w:tcW w:type="dxa" w:w="3168"/>
            <w:shd w:fill="F7F9FA"/>
            <w:tcMar>
              <w:top w:w="70" w:type="dxa"/>
              <w:bottom w:w="70" w:type="dxa"/>
              <w:left w:w="80" w:type="dxa"/>
              <w:right w:w="80" w:type="dxa"/>
            </w:tcMar>
          </w:tcPr>
          <w:p>
            <w:r>
              <w:rPr>
                <w:rFonts w:ascii="Calibri" w:hAnsi="Calibri"/>
                <w:b/>
                <w:color w:val="0F4C81"/>
                <w:sz w:val="17"/>
              </w:rPr>
              <w:t>CPRA Canon V: Equality &amp; Access to Justice</w:t>
            </w:r>
          </w:p>
        </w:tc>
        <w:tc>
          <w:tcPr>
            <w:tcW w:type="dxa" w:w="6192"/>
            <w:shd w:fill="F7F9FA"/>
            <w:tcMar>
              <w:top w:w="70" w:type="dxa"/>
              <w:bottom w:w="70" w:type="dxa"/>
              <w:left w:w="90" w:type="dxa"/>
              <w:right w:w="90" w:type="dxa"/>
            </w:tcMar>
          </w:tcPr>
          <w:p>
            <w:r>
              <w:rPr>
                <w:rFonts w:ascii="Calibri" w:hAnsi="Calibri"/>
                <w:color w:val="212529"/>
                <w:sz w:val="17"/>
              </w:rPr>
              <w:t>Guaranteeing indigent Filipinos effective and immediate access to free legal representation.</w:t>
            </w:r>
          </w:p>
        </w:tc>
      </w:tr>
      <w:tr>
        <w:tc>
          <w:tcPr>
            <w:tcW w:type="dxa" w:w="3168"/>
            <w:shd w:fill="FFFFFF"/>
            <w:tcMar>
              <w:top w:w="70" w:type="dxa"/>
              <w:bottom w:w="70" w:type="dxa"/>
              <w:left w:w="80" w:type="dxa"/>
              <w:right w:w="80" w:type="dxa"/>
            </w:tcMar>
          </w:tcPr>
          <w:p>
            <w:r>
              <w:rPr>
                <w:rFonts w:ascii="Calibri" w:hAnsi="Calibri"/>
                <w:b/>
                <w:color w:val="0F4C81"/>
                <w:sz w:val="17"/>
              </w:rPr>
              <w:t>CPRA Canon I: Exclusive Judicial Rule-Making Authority</w:t>
            </w:r>
          </w:p>
        </w:tc>
        <w:tc>
          <w:tcPr>
            <w:tcW w:type="dxa" w:w="6192"/>
            <w:shd w:fill="FFFFFF"/>
            <w:tcMar>
              <w:top w:w="70" w:type="dxa"/>
              <w:bottom w:w="70" w:type="dxa"/>
              <w:left w:w="90" w:type="dxa"/>
              <w:right w:w="90" w:type="dxa"/>
            </w:tcMar>
          </w:tcPr>
          <w:p>
            <w:r>
              <w:rPr>
                <w:rFonts w:ascii="Calibri" w:hAnsi="Calibri"/>
                <w:color w:val="212529"/>
                <w:sz w:val="17"/>
              </w:rPr>
              <w:t>Supreme Court's constitutional supremacy over all rules of legal practice and ethics.</w:t>
            </w:r>
          </w:p>
        </w:tc>
      </w:tr>
    </w:tbl>
    <w:p>
      <w:pPr>
        <w:spacing w:after="160"/>
      </w:pPr>
    </w:p>
    <w:p>
      <w:pPr>
        <w:keepNext/>
        <w:spacing w:before="320" w:after="40"/>
      </w:pPr>
      <w:r>
        <w:rPr>
          <w:rFonts w:ascii="Calibri" w:hAnsi="Calibri"/>
          <w:b/>
          <w:color w:val="A30000"/>
          <w:sz w:val="26"/>
        </w:rPr>
        <w:t xml:space="preserve">CASE 73: </w:t>
      </w:r>
      <w:r>
        <w:rPr>
          <w:rFonts w:ascii="Calibri" w:hAnsi="Calibri"/>
          <w:b/>
          <w:color w:val="182B49"/>
          <w:sz w:val="26"/>
        </w:rPr>
        <w:t>Inocente v. St. Vincent Foundation for Children and Aging, Inc.</w:t>
      </w:r>
    </w:p>
    <w:p>
      <w:pPr>
        <w:keepNext/>
        <w:spacing w:before="0" w:after="120"/>
      </w:pPr>
      <w:r>
        <w:rPr>
          <w:rFonts w:ascii="Calibri" w:hAnsi="Calibri"/>
          <w:b/>
          <w:i/>
          <w:color w:val="0F4C81"/>
          <w:sz w:val="20"/>
        </w:rPr>
        <w:t>G.R. No. 202621, June 22, 2016 | 794 SCRA 250</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In a labor dispute, a former corporate counsel for a charitable foundation later accepted a retainer to represent dismissed foundation employees in a labor lawsuit against the exact same foundation, utilizing insider corporate knowledge acquired during previous corporate representation.</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a former corporate counsel may represent dismissed employees against the corporate entity in subsequent litigation.</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NO. Representing adverse parties against a former corporate client involving knowledge acquired during representation is an impermissible conflict of interest.</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Sections 13, 14, 15; CPR Canon 15, Rule 15.03.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The obligation of fidelity and the duty to preserve client confidences survive the termination of the professional relationship. A lawyer cannot accept employment against a former client where there is a reasonable possibility that confidential information gained in the former representation may be used against the former client. The prohibition is designed to prevent bad faith and ensure absolute trust between counsel and client.</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The Supreme Court DISQUALIFIED counsel from representing the adverse parties and REAFFIRMED the strict conflict-of-interest doctrine.</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Permanent Duty of Confidentiality</w:t>
            </w:r>
          </w:p>
        </w:tc>
        <w:tc>
          <w:tcPr>
            <w:tcW w:type="dxa" w:w="6192"/>
            <w:shd w:fill="FFFFFF"/>
            <w:tcMar>
              <w:top w:w="70" w:type="dxa"/>
              <w:bottom w:w="70" w:type="dxa"/>
              <w:left w:w="90" w:type="dxa"/>
              <w:right w:w="90" w:type="dxa"/>
            </w:tcMar>
          </w:tcPr>
          <w:p>
            <w:r>
              <w:rPr>
                <w:rFonts w:ascii="Calibri" w:hAnsi="Calibri"/>
                <w:color w:val="212529"/>
                <w:sz w:val="17"/>
              </w:rPr>
              <w:t>Preservation of client confidences and trade secrets indefinitely.</w:t>
            </w:r>
          </w:p>
        </w:tc>
      </w:tr>
      <w:tr>
        <w:tc>
          <w:tcPr>
            <w:tcW w:type="dxa" w:w="3168"/>
            <w:shd w:fill="F7F9FA"/>
            <w:tcMar>
              <w:top w:w="70" w:type="dxa"/>
              <w:bottom w:w="70" w:type="dxa"/>
              <w:left w:w="80" w:type="dxa"/>
              <w:right w:w="80" w:type="dxa"/>
            </w:tcMar>
          </w:tcPr>
          <w:p>
            <w:r>
              <w:rPr>
                <w:rFonts w:ascii="Calibri" w:hAnsi="Calibri"/>
                <w:b/>
                <w:color w:val="0F4C81"/>
                <w:sz w:val="17"/>
              </w:rPr>
              <w:t>CPRA Canon III: Conflict of Interest Against Former Clients</w:t>
            </w:r>
          </w:p>
        </w:tc>
        <w:tc>
          <w:tcPr>
            <w:tcW w:type="dxa" w:w="6192"/>
            <w:shd w:fill="F7F9FA"/>
            <w:tcMar>
              <w:top w:w="70" w:type="dxa"/>
              <w:bottom w:w="70" w:type="dxa"/>
              <w:left w:w="90" w:type="dxa"/>
              <w:right w:w="90" w:type="dxa"/>
            </w:tcMar>
          </w:tcPr>
          <w:p>
            <w:r>
              <w:rPr>
                <w:rFonts w:ascii="Calibri" w:hAnsi="Calibri"/>
                <w:color w:val="212529"/>
                <w:sz w:val="17"/>
              </w:rPr>
              <w:t>Strict prohibition on adverse retainers using former corporate intelligence.</w:t>
            </w:r>
          </w:p>
        </w:tc>
      </w:tr>
    </w:tbl>
    <w:p>
      <w:pPr>
        <w:spacing w:after="160"/>
      </w:pPr>
    </w:p>
    <w:p>
      <w:pPr>
        <w:keepNext/>
        <w:spacing w:before="320" w:after="40"/>
      </w:pPr>
      <w:r>
        <w:rPr>
          <w:rFonts w:ascii="Calibri" w:hAnsi="Calibri"/>
          <w:b/>
          <w:color w:val="A30000"/>
          <w:sz w:val="26"/>
        </w:rPr>
        <w:t xml:space="preserve">CASE 74: </w:t>
      </w:r>
      <w:r>
        <w:rPr>
          <w:rFonts w:ascii="Calibri" w:hAnsi="Calibri"/>
          <w:b/>
          <w:color w:val="182B49"/>
          <w:sz w:val="26"/>
        </w:rPr>
        <w:t>Floreswinda V. Juni v. Atty. Mario T. Juni</w:t>
      </w:r>
    </w:p>
    <w:p>
      <w:pPr>
        <w:keepNext/>
        <w:spacing w:before="0" w:after="120"/>
      </w:pPr>
      <w:r>
        <w:rPr>
          <w:rFonts w:ascii="Calibri" w:hAnsi="Calibri"/>
          <w:b/>
          <w:i/>
          <w:color w:val="0F4C81"/>
          <w:sz w:val="20"/>
        </w:rPr>
        <w:t>A.C. No. 11599, September 15, 2021</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charged her husband, Atty. Juni, with gross immorality and abandonment for abandoning his lawful family, refusing to provide child support, and cohabiting openly with another woman in another province.</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family abandonment, refusal of statutory child support, and open concubinage warrant administrative suspension or disbarment.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Abandoning one's lawful family and engaging in open concubinage constitute grossly immoral conduct.</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 (Propriety), Section 1; CPR Canon 1, Rule 1.01 and Canon 7, Rule 7.03; Family Code provisions on support.</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 is expected to be a model of law-abiding citizenship. Willful refusal to support one's minor children and abandoning a spouse to live in open concubinage with another woman displays a blatant disregard for family law and moral decency. Such misconduct directly affects the standing and integrity of the legal profession.</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Mario T. Juni was found GUILTY of grossly immoral conduct and SUSPENDED from the practice of law for five (5) years.</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Propriety in Personal Life (Sec. 1)</w:t>
            </w:r>
          </w:p>
        </w:tc>
        <w:tc>
          <w:tcPr>
            <w:tcW w:type="dxa" w:w="6192"/>
            <w:shd w:fill="FFFFFF"/>
            <w:tcMar>
              <w:top w:w="70" w:type="dxa"/>
              <w:bottom w:w="70" w:type="dxa"/>
              <w:left w:w="90" w:type="dxa"/>
              <w:right w:w="90" w:type="dxa"/>
            </w:tcMar>
          </w:tcPr>
          <w:p>
            <w:r>
              <w:rPr>
                <w:rFonts w:ascii="Calibri" w:hAnsi="Calibri"/>
                <w:color w:val="212529"/>
                <w:sz w:val="17"/>
              </w:rPr>
              <w:t>Duty to maintain moral uprightness and fulfill legal family obligations.</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to Law &amp; Family Institutions</w:t>
            </w:r>
          </w:p>
        </w:tc>
        <w:tc>
          <w:tcPr>
            <w:tcW w:type="dxa" w:w="6192"/>
            <w:shd w:fill="F7F9FA"/>
            <w:tcMar>
              <w:top w:w="70" w:type="dxa"/>
              <w:bottom w:w="70" w:type="dxa"/>
              <w:left w:w="90" w:type="dxa"/>
              <w:right w:w="90" w:type="dxa"/>
            </w:tcMar>
          </w:tcPr>
          <w:p>
            <w:r>
              <w:rPr>
                <w:rFonts w:ascii="Calibri" w:hAnsi="Calibri"/>
                <w:color w:val="212529"/>
                <w:sz w:val="17"/>
              </w:rPr>
              <w:t>Zero tolerance for unlawful family abandonment and concubinage.</w:t>
            </w:r>
          </w:p>
        </w:tc>
      </w:tr>
    </w:tbl>
    <w:p>
      <w:pPr>
        <w:spacing w:after="160"/>
      </w:pPr>
    </w:p>
    <w:p>
      <w:pPr>
        <w:keepNext/>
        <w:spacing w:before="320" w:after="40"/>
      </w:pPr>
      <w:r>
        <w:rPr>
          <w:rFonts w:ascii="Calibri" w:hAnsi="Calibri"/>
          <w:b/>
          <w:color w:val="A30000"/>
          <w:sz w:val="26"/>
        </w:rPr>
        <w:t xml:space="preserve">CASE 75: </w:t>
      </w:r>
      <w:r>
        <w:rPr>
          <w:rFonts w:ascii="Calibri" w:hAnsi="Calibri"/>
          <w:b/>
          <w:color w:val="182B49"/>
          <w:sz w:val="26"/>
        </w:rPr>
        <w:t>Hosoya v. Contado</w:t>
      </w:r>
    </w:p>
    <w:p>
      <w:pPr>
        <w:keepNext/>
        <w:spacing w:before="0" w:after="120"/>
      </w:pPr>
      <w:r>
        <w:rPr>
          <w:rFonts w:ascii="Calibri" w:hAnsi="Calibri"/>
          <w:b/>
          <w:i/>
          <w:color w:val="0F4C81"/>
          <w:sz w:val="20"/>
        </w:rPr>
        <w:t>A.C. No. 10731, October 5, 2021</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a foreign national, engaged respondent Atty. Contado to purchase real property in the Philippines and transfer the title. The respondent collected P2,500,000 but failed to purchase the property, presented forged receipts, and converted the money for personal investments.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swindling a foreign client and misappropriating substantial real estate funds warrant disbarment.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Falsifying receipts and misappropriating millions in client funds constitute gross dishonesty and fraud warranting disbarment.</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CPRA Canon III (Fidelity), Sections 1, 6, 7; Canon II (Propriety); Canon VI (Accountability), Section 33.</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When a lawyer receives funds from a client for property acquisitions, he holds such funds in trust. Deceiving a foreign client by presenting fabricated receipts and pocketing millions of pesos demonstrates extreme moral bankruptcy and criminality. Such a lawyer has no place in the legal profession.</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Contado was DISBARRED from the practice of law and ordered to RESTITUTE the P2,500,000 with legal interest.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III: Fidelity &amp; Fiduciary Trust</w:t>
            </w:r>
          </w:p>
        </w:tc>
        <w:tc>
          <w:tcPr>
            <w:tcW w:type="dxa" w:w="6192"/>
            <w:shd w:fill="FFFFFF"/>
            <w:tcMar>
              <w:top w:w="70" w:type="dxa"/>
              <w:bottom w:w="70" w:type="dxa"/>
              <w:left w:w="90" w:type="dxa"/>
              <w:right w:w="90" w:type="dxa"/>
            </w:tcMar>
          </w:tcPr>
          <w:p>
            <w:r>
              <w:rPr>
                <w:rFonts w:ascii="Calibri" w:hAnsi="Calibri"/>
                <w:color w:val="212529"/>
                <w:sz w:val="17"/>
              </w:rPr>
              <w:t>Absolute accountability for trust funds and prohibition on embezzlement.</w:t>
            </w:r>
          </w:p>
        </w:tc>
      </w:tr>
      <w:tr>
        <w:tc>
          <w:tcPr>
            <w:tcW w:type="dxa" w:w="3168"/>
            <w:shd w:fill="F7F9FA"/>
            <w:tcMar>
              <w:top w:w="70" w:type="dxa"/>
              <w:bottom w:w="70" w:type="dxa"/>
              <w:left w:w="80" w:type="dxa"/>
              <w:right w:w="80" w:type="dxa"/>
            </w:tcMar>
          </w:tcPr>
          <w:p>
            <w:r>
              <w:rPr>
                <w:rFonts w:ascii="Calibri" w:hAnsi="Calibri"/>
                <w:b/>
                <w:color w:val="0F4C81"/>
                <w:sz w:val="17"/>
              </w:rPr>
              <w:t>CPRA Canon VI: Disbarment for Fraud &amp; Corruption</w:t>
            </w:r>
          </w:p>
        </w:tc>
        <w:tc>
          <w:tcPr>
            <w:tcW w:type="dxa" w:w="6192"/>
            <w:shd w:fill="F7F9FA"/>
            <w:tcMar>
              <w:top w:w="70" w:type="dxa"/>
              <w:bottom w:w="70" w:type="dxa"/>
              <w:left w:w="90" w:type="dxa"/>
              <w:right w:w="90" w:type="dxa"/>
            </w:tcMar>
          </w:tcPr>
          <w:p>
            <w:r>
              <w:rPr>
                <w:rFonts w:ascii="Calibri" w:hAnsi="Calibri"/>
                <w:color w:val="212529"/>
                <w:sz w:val="17"/>
              </w:rPr>
              <w:t>Imposition of disbarment for large-scale financial deceit against clients.</w:t>
            </w:r>
          </w:p>
        </w:tc>
      </w:tr>
    </w:tbl>
    <w:p>
      <w:pPr>
        <w:spacing w:after="160"/>
      </w:pPr>
    </w:p>
    <w:p>
      <w:pPr>
        <w:keepNext/>
        <w:spacing w:before="320" w:after="40"/>
      </w:pPr>
      <w:r>
        <w:rPr>
          <w:rFonts w:ascii="Calibri" w:hAnsi="Calibri"/>
          <w:b/>
          <w:color w:val="A30000"/>
          <w:sz w:val="26"/>
        </w:rPr>
        <w:t xml:space="preserve">CASE 76: </w:t>
      </w:r>
      <w:r>
        <w:rPr>
          <w:rFonts w:ascii="Calibri" w:hAnsi="Calibri"/>
          <w:b/>
          <w:color w:val="182B49"/>
          <w:sz w:val="26"/>
        </w:rPr>
        <w:t>Venzon v. Peleo III</w:t>
      </w:r>
    </w:p>
    <w:p>
      <w:pPr>
        <w:keepNext/>
        <w:spacing w:before="0" w:after="120"/>
      </w:pPr>
      <w:r>
        <w:rPr>
          <w:rFonts w:ascii="Calibri" w:hAnsi="Calibri"/>
          <w:b/>
          <w:i/>
          <w:color w:val="0F4C81"/>
          <w:sz w:val="20"/>
        </w:rPr>
        <w:t>A.C. No. 9354, August 20, 2019 | 914 SCRA 1</w:t>
      </w:r>
    </w:p>
    <w:p>
      <w:pPr>
        <w:keepNext/>
        <w:spacing w:before="120" w:after="40"/>
      </w:pPr>
      <w:r>
        <w:rPr>
          <w:rFonts w:ascii="Calibri" w:hAnsi="Calibri"/>
          <w:b/>
          <w:color w:val="0F4C81"/>
          <w:sz w:val="21"/>
        </w:rPr>
        <w:t>The Fact of this Case:</w:t>
      </w:r>
    </w:p>
    <w:p>
      <w:pPr>
        <w:spacing w:before="0" w:after="80" w:line="276" w:lineRule="auto"/>
      </w:pPr>
      <w:r>
        <w:rPr>
          <w:rFonts w:ascii="Calibri" w:hAnsi="Calibri"/>
          <w:i w:val="0"/>
          <w:color w:val="212529"/>
          <w:sz w:val="20"/>
        </w:rPr>
        <w:t>Complainant filed a disbarment complaint against respondent Atty. Peleo III for chronic refusal to pay lawful just debts, issuing bouncing checks (BP 22), and evading court summonses across multiple civil collection suits.</w:t>
      </w:r>
    </w:p>
    <w:p>
      <w:pPr>
        <w:keepNext/>
        <w:spacing w:before="120" w:after="40"/>
      </w:pPr>
      <w:r>
        <w:rPr>
          <w:rFonts w:ascii="Calibri" w:hAnsi="Calibri"/>
          <w:b/>
          <w:color w:val="0F4C81"/>
          <w:sz w:val="21"/>
        </w:rPr>
        <w:t>Issue of this Case:</w:t>
      </w:r>
    </w:p>
    <w:p>
      <w:pPr>
        <w:spacing w:before="0" w:after="80" w:line="276" w:lineRule="auto"/>
      </w:pPr>
      <w:r>
        <w:rPr>
          <w:rFonts w:ascii="Calibri" w:hAnsi="Calibri"/>
          <w:i w:val="0"/>
          <w:color w:val="212529"/>
          <w:sz w:val="20"/>
        </w:rPr>
        <w:t>Whether persistent non-payment of just debts and issuing bouncing checks constitute professional misconduct warranting suspension or disbarment.</w:t>
      </w:r>
    </w:p>
    <w:p>
      <w:pPr>
        <w:keepNext/>
        <w:spacing w:before="120" w:after="40"/>
      </w:pPr>
      <w:r>
        <w:rPr>
          <w:rFonts w:ascii="Calibri" w:hAnsi="Calibri"/>
          <w:b/>
          <w:color w:val="0F4C81"/>
          <w:sz w:val="21"/>
        </w:rPr>
        <w:t>Answer:</w:t>
      </w:r>
    </w:p>
    <w:p>
      <w:pPr>
        <w:spacing w:before="0" w:after="80" w:line="276" w:lineRule="auto"/>
      </w:pPr>
      <w:r>
        <w:rPr>
          <w:rFonts w:ascii="Calibri" w:hAnsi="Calibri"/>
          <w:b/>
          <w:color w:val="212529"/>
          <w:sz w:val="20"/>
        </w:rPr>
        <w:t xml:space="preserve">ANSWER: </w:t>
      </w:r>
      <w:r>
        <w:rPr>
          <w:rFonts w:ascii="Calibri" w:hAnsi="Calibri"/>
          <w:i w:val="0"/>
          <w:color w:val="212529"/>
          <w:sz w:val="20"/>
        </w:rPr>
        <w:t>YES. Issuing bouncing checks and willfully defying lawful debt obligations demonstrate gross dishonesty and moral delinquency.</w:t>
      </w:r>
    </w:p>
    <w:p>
      <w:pPr>
        <w:keepNext/>
        <w:spacing w:before="120" w:after="40"/>
      </w:pPr>
      <w:r>
        <w:rPr>
          <w:rFonts w:ascii="Calibri" w:hAnsi="Calibri"/>
          <w:b/>
          <w:color w:val="0F4C81"/>
          <w:sz w:val="21"/>
        </w:rPr>
        <w:t>Legal Basis and Ruling:</w:t>
      </w:r>
    </w:p>
    <w:p>
      <w:pPr>
        <w:spacing w:before="0" w:after="80" w:line="276" w:lineRule="auto"/>
      </w:pPr>
      <w:r>
        <w:rPr>
          <w:rFonts w:ascii="Calibri" w:hAnsi="Calibri"/>
          <w:i w:val="0"/>
          <w:color w:val="212529"/>
          <w:sz w:val="20"/>
        </w:rPr>
        <w:t>Batas Pambansa Blg. 22; CPRA Canon II (Propriety), Section 1 &amp; 2; CPR Canon 1, Rule 1.01; Section 27, Rule 138.</w:t>
      </w:r>
    </w:p>
    <w:p>
      <w:pPr>
        <w:keepNext/>
        <w:spacing w:before="120" w:after="40"/>
      </w:pPr>
      <w:r>
        <w:rPr>
          <w:rFonts w:ascii="Calibri" w:hAnsi="Calibri"/>
          <w:b/>
          <w:color w:val="0F4C81"/>
          <w:sz w:val="21"/>
        </w:rPr>
        <w:t>ANALYSIS:</w:t>
      </w:r>
    </w:p>
    <w:p>
      <w:pPr>
        <w:spacing w:before="0" w:after="80" w:line="276" w:lineRule="auto"/>
      </w:pPr>
      <w:r>
        <w:rPr>
          <w:rFonts w:ascii="Calibri" w:hAnsi="Calibri"/>
          <w:i w:val="0"/>
          <w:color w:val="212529"/>
          <w:sz w:val="20"/>
        </w:rPr>
        <w:t>A lawyer must not engage in unlawful or deceitful conduct. The issuance of bouncing checks is a crime involving deceit and moral turpitude; it causes injury to public order and commercial trust. A member of the Bar who repeatedly issues unfunded checks and refuses to settle just debts degrades the honor of the legal profession.</w:t>
      </w:r>
    </w:p>
    <w:p>
      <w:pPr>
        <w:keepNext/>
        <w:spacing w:before="120" w:after="40"/>
      </w:pPr>
      <w:r>
        <w:rPr>
          <w:rFonts w:ascii="Calibri" w:hAnsi="Calibri"/>
          <w:b/>
          <w:color w:val="0F4C81"/>
          <w:sz w:val="21"/>
        </w:rPr>
        <w:t>CONCLUSION:</w:t>
      </w:r>
    </w:p>
    <w:p>
      <w:pPr>
        <w:spacing w:before="0" w:after="80" w:line="276" w:lineRule="auto"/>
      </w:pPr>
      <w:r>
        <w:rPr>
          <w:rFonts w:ascii="Calibri" w:hAnsi="Calibri"/>
          <w:b/>
          <w:color w:val="212529"/>
          <w:sz w:val="20"/>
        </w:rPr>
        <w:t xml:space="preserve">DISPOSITIVE RULING: </w:t>
      </w:r>
      <w:r>
        <w:rPr>
          <w:rFonts w:ascii="Calibri" w:hAnsi="Calibri"/>
          <w:i w:val="0"/>
          <w:color w:val="212529"/>
          <w:sz w:val="20"/>
        </w:rPr>
        <w:t>Atty. Peleo III was SUSPENDED from the practice of law for two (2) years with a final warning that repetition will result in disbarment.</w:t>
      </w:r>
    </w:p>
    <w:p>
      <w:pPr>
        <w:keepNext/>
        <w:spacing w:before="120" w:after="40"/>
      </w:pPr>
      <w:r>
        <w:rPr>
          <w:rFonts w:ascii="Calibri" w:hAnsi="Calibri"/>
          <w:b/>
          <w:color w:val="0F4C81"/>
          <w:sz w:val="21"/>
        </w:rPr>
        <w:t>Applicable CPRA Canons &amp; Ethical Principles: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182B49"/>
            <w:tcMar>
              <w:top w:w="80" w:type="dxa"/>
              <w:bottom w:w="80" w:type="dxa"/>
              <w:left w:w="90" w:type="dxa"/>
              <w:right w:w="90" w:type="dxa"/>
            </w:tcMar>
          </w:tcPr>
          <w:p>
            <w:r>
              <w:rPr>
                <w:rFonts w:ascii="Calibri" w:hAnsi="Calibri"/>
                <w:b/>
                <w:color w:val="FFFFFF"/>
                <w:sz w:val="18"/>
              </w:rPr>
              <w:t>Canon Involved / Applied</w:t>
            </w:r>
          </w:p>
        </w:tc>
        <w:tc>
          <w:tcPr>
            <w:tcW w:type="dxa" w:w="6192"/>
            <w:shd w:fill="182B49"/>
            <w:tcMar>
              <w:top w:w="80" w:type="dxa"/>
              <w:bottom w:w="80" w:type="dxa"/>
              <w:left w:w="90" w:type="dxa"/>
              <w:right w:w="90" w:type="dxa"/>
            </w:tcMar>
          </w:tcPr>
          <w:p>
            <w:r>
              <w:rPr>
                <w:rFonts w:ascii="Calibri" w:hAnsi="Calibri"/>
                <w:b/>
                <w:color w:val="FFFFFF"/>
                <w:sz w:val="18"/>
              </w:rPr>
              <w:t>Ethical Doctrine &amp; Case Application</w:t>
            </w:r>
          </w:p>
        </w:tc>
      </w:tr>
      <w:tr>
        <w:tc>
          <w:tcPr>
            <w:tcW w:type="dxa" w:w="3168"/>
            <w:shd w:fill="FFFFFF"/>
            <w:tcMar>
              <w:top w:w="70" w:type="dxa"/>
              <w:bottom w:w="70" w:type="dxa"/>
              <w:left w:w="80" w:type="dxa"/>
              <w:right w:w="80" w:type="dxa"/>
            </w:tcMar>
          </w:tcPr>
          <w:p>
            <w:r>
              <w:rPr>
                <w:rFonts w:ascii="Calibri" w:hAnsi="Calibri"/>
                <w:b/>
                <w:color w:val="0F4C81"/>
                <w:sz w:val="17"/>
              </w:rPr>
              <w:t>CPRA Canon II: Propriety &amp; Financial Integrity</w:t>
            </w:r>
          </w:p>
        </w:tc>
        <w:tc>
          <w:tcPr>
            <w:tcW w:type="dxa" w:w="6192"/>
            <w:shd w:fill="FFFFFF"/>
            <w:tcMar>
              <w:top w:w="70" w:type="dxa"/>
              <w:bottom w:w="70" w:type="dxa"/>
              <w:left w:w="90" w:type="dxa"/>
              <w:right w:w="90" w:type="dxa"/>
            </w:tcMar>
          </w:tcPr>
          <w:p>
            <w:r>
              <w:rPr>
                <w:rFonts w:ascii="Calibri" w:hAnsi="Calibri"/>
                <w:color w:val="212529"/>
                <w:sz w:val="17"/>
              </w:rPr>
              <w:t>Duty to maintain absolute financial honesty and satisfy just obligations.</w:t>
            </w:r>
          </w:p>
        </w:tc>
      </w:tr>
      <w:tr>
        <w:tc>
          <w:tcPr>
            <w:tcW w:type="dxa" w:w="3168"/>
            <w:shd w:fill="F7F9FA"/>
            <w:tcMar>
              <w:top w:w="70" w:type="dxa"/>
              <w:bottom w:w="70" w:type="dxa"/>
              <w:left w:w="80" w:type="dxa"/>
              <w:right w:w="80" w:type="dxa"/>
            </w:tcMar>
          </w:tcPr>
          <w:p>
            <w:r>
              <w:rPr>
                <w:rFonts w:ascii="Calibri" w:hAnsi="Calibri"/>
                <w:b/>
                <w:color w:val="0F4C81"/>
                <w:sz w:val="17"/>
              </w:rPr>
              <w:t>CPRA Canon III: Fidelity to Law</w:t>
            </w:r>
          </w:p>
        </w:tc>
        <w:tc>
          <w:tcPr>
            <w:tcW w:type="dxa" w:w="6192"/>
            <w:shd w:fill="F7F9FA"/>
            <w:tcMar>
              <w:top w:w="70" w:type="dxa"/>
              <w:bottom w:w="70" w:type="dxa"/>
              <w:left w:w="90" w:type="dxa"/>
              <w:right w:w="90" w:type="dxa"/>
            </w:tcMar>
          </w:tcPr>
          <w:p>
            <w:r>
              <w:rPr>
                <w:rFonts w:ascii="Calibri" w:hAnsi="Calibri"/>
                <w:color w:val="212529"/>
                <w:sz w:val="17"/>
              </w:rPr>
              <w:t>Prohibition on violating BP 22 and engaging in commercial dishonesty.</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MANILA LAW COLLEGE • Basic Legal and Judicial Ethics (BLJE)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BLJE • Complete Applied Case Digest Compendium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