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182B49"/>
          <w:sz w:val="44"/>
        </w:rPr>
        <w:t>STATUTORY CONSTRUCTION (STATCON)</w:t>
      </w:r>
    </w:p>
    <w:p>
      <w:pPr>
        <w:spacing w:before="0" w:after="40"/>
        <w:jc w:val="center"/>
      </w:pPr>
      <w:r>
        <w:rPr>
          <w:rFonts w:ascii="Calibri" w:hAnsi="Calibri"/>
          <w:i/>
          <w:color w:val="0F4C81"/>
          <w:sz w:val="22"/>
        </w:rPr>
        <w:t>Applied Case Digest Compendium Formatted under Official Law School Case Analysis Guidelines</w:t>
      </w:r>
    </w:p>
    <w:p>
      <w:pPr>
        <w:spacing w:before="0" w:after="240"/>
        <w:jc w:val="center"/>
      </w:pPr>
      <w:r>
        <w:rPr>
          <w:rFonts w:ascii="Calibri" w:hAnsi="Calibri"/>
          <w:b/>
          <w:color w:val="6C757D"/>
          <w:sz w:val="20"/>
        </w:rPr>
        <w:t>Manila Law College • First Semester, AY 2026-2027</w:t>
        <w:br/>
        <w:t>Rigorous Law School Case Digest Compendium on Statutory Interpretation</w:t>
      </w:r>
    </w:p>
    <w:tbl>
      <w:tblPr>
        <w:tblW w:type="auto" w:w="0"/>
        <w:jc w:val="center"/>
        <w:tblLook w:firstColumn="1" w:firstRow="1" w:lastColumn="0" w:lastRow="0" w:noHBand="0" w:noVBand="1" w:val="04A0"/>
      </w:tblPr>
      <w:tblGrid>
        <w:gridCol w:w="9360"/>
      </w:tblGrid>
      <w:tr>
        <w:tc>
          <w:tcPr>
            <w:tcW w:type="dxa" w:w="9360"/>
            <w:shd w:fill="182B49"/>
          </w:tcPr>
          <w:p>
            <w:pPr>
              <w:spacing w:before="40" w:after="40"/>
            </w:pPr>
            <w:r>
              <w:rPr>
                <w:sz w:val="4"/>
              </w:rPr>
            </w:r>
          </w:p>
        </w:tc>
      </w:tr>
    </w:tbl>
    <w:p>
      <w:pPr>
        <w:spacing w:after="120"/>
      </w:pPr>
    </w:p>
    <w:p>
      <w:pPr>
        <w:keepNext/>
        <w:spacing w:before="320" w:after="40"/>
      </w:pPr>
      <w:r>
        <w:rPr>
          <w:rFonts w:ascii="Calibri" w:hAnsi="Calibri"/>
          <w:b/>
          <w:color w:val="A30000"/>
          <w:sz w:val="26"/>
        </w:rPr>
        <w:t xml:space="preserve">CASE 1: </w:t>
      </w:r>
      <w:r>
        <w:rPr>
          <w:rFonts w:ascii="Calibri" w:hAnsi="Calibri"/>
          <w:b/>
          <w:color w:val="182B49"/>
          <w:sz w:val="26"/>
        </w:rPr>
        <w:t>Caltex (Philippines), Inc. v. Enrico Palomar (Postmaster General)</w:t>
      </w:r>
    </w:p>
    <w:p>
      <w:pPr>
        <w:keepNext/>
        <w:spacing w:before="0" w:after="80"/>
      </w:pPr>
      <w:r>
        <w:rPr>
          <w:rFonts w:ascii="Calibri" w:hAnsi="Calibri"/>
          <w:b/>
          <w:i/>
          <w:color w:val="0F4C81"/>
          <w:sz w:val="19"/>
        </w:rPr>
        <w:t>G.R. No. L-19650, September 29, 1966 | 18 SCRA 247 | Ponente: Castro,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t>I. Background of the Study — Nature and Concept of Statutory Construction</w:t>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t>Section 1954(a) of the Revised Administrative Code (Postal Non-Mailable Matter - Lotteries and Gift Enterprises)</w:t>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In 1960, Caltex Philippines conceived the 'Caltex Hooded Pump Contest,' a nationwide sales promotional scheme where participants could win motor vehicles and prizes by obtaining free entry forms at Caltex stations. No purchase of oil or gasoline was required. Caltex sought postal clearance from Postmaster General Enrico Palomar to use the Philippine mail service. The Postmaster General denied the request, ruling that the promotional scheme constituted an illegal 'lottery or gift enterprise' prohibited from the mails under Section 1954(a) of the Revised Administrative Code. Caltex filed a petition for declaratory relief before the CFI of Manila to construe the statute.</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the Caltex promotional contest constitutes a 'lottery' or 'gift enterprise' within the prohibitory purview of Section 1954(a) of the Revised Administrative Code.</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NO. The promotional contest is neither a lottery nor a gift enterprise because the indispensable element of consideration is completely absent.</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AFFIRMED the trial court ruling, declaring that Caltex's contest was mailable and did not violate the postal statute.</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The statutory terms 'lottery' and 'gift enterprise' were not explicitly defined in the Postal Law, creating ambiguity regarding whether promotional contests without purchase requirements fall within the statutory ban.</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ascertain the true legislative intent and avoid an unjust expansion of penal/administrative prohibitions to innocent sales promotions.</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Noscitur a Sociis &amp; Ejusdem Generis: Under the principle of associated words, 'gift enterprise' must take its meaning from its companion term 'lottery', thereby requiring the three essential elements of lottery: (1) prize, (2) chance, and (3) consideration.</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Common-law definitions, Bouvier's Law Dictionary, and contemporaneous American postal jurisprudence from which the Philippine postal law was derived.</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Situs &amp; Purpose of Construction: </w:t>
      </w:r>
      <w:r>
        <w:rPr>
          <w:rFonts w:ascii="Calibri" w:hAnsi="Calibri"/>
          <w:color w:val="212529"/>
          <w:sz w:val="19"/>
        </w:rPr>
        <w:t>Construction is the judicial function of discovering legislative intent where the words are obscure or ambiguous.</w:t>
      </w:r>
    </w:p>
    <w:p>
      <w:pPr>
        <w:pStyle w:val="ListBullet"/>
        <w:spacing w:before="0" w:after="40" w:line="276" w:lineRule="auto"/>
        <w:ind w:left="360"/>
      </w:pPr>
      <w:r>
        <w:rPr>
          <w:rFonts w:ascii="Calibri" w:hAnsi="Calibri"/>
          <w:b/>
          <w:color w:val="212529"/>
          <w:sz w:val="19"/>
        </w:rPr>
        <w:t xml:space="preserve">• Noscitur a Sociis: </w:t>
      </w:r>
      <w:r>
        <w:rPr>
          <w:rFonts w:ascii="Calibri" w:hAnsi="Calibri"/>
          <w:color w:val="212529"/>
          <w:sz w:val="19"/>
        </w:rPr>
        <w:t>The term 'gift enterprise' is associated with 'lottery' and must partake of the same core element of consideration.</w:t>
      </w:r>
    </w:p>
    <w:p>
      <w:pPr>
        <w:pStyle w:val="ListBullet"/>
        <w:spacing w:before="0" w:after="40" w:line="276" w:lineRule="auto"/>
        <w:ind w:left="360"/>
      </w:pPr>
      <w:r>
        <w:rPr>
          <w:rFonts w:ascii="Calibri" w:hAnsi="Calibri"/>
          <w:b/>
          <w:color w:val="212529"/>
          <w:sz w:val="19"/>
        </w:rPr>
        <w:t xml:space="preserve">• Strict Construction of Prohibitory / Penal Laws: </w:t>
      </w:r>
      <w:r>
        <w:rPr>
          <w:rFonts w:ascii="Calibri" w:hAnsi="Calibri"/>
          <w:color w:val="212529"/>
          <w:sz w:val="19"/>
        </w:rPr>
        <w:t>Statutes restricting trade and postal communications must not be extended by implication beyond their clear legislative terms.</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Section 1954(a) of the Revised Administrative Code to exclude gratuitous promotional contests because a 'lottery' or 'gift enterprise' strictly requires the payment of valuable consideration as a condition precedent for participation.</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properly exercised statutory construction. By adhering to the legal definition of lottery and applying Noscitur a Sociis, the Court gave effect to the true intent of the Legislature without adding new rules to the statute.</w:t>
      </w:r>
    </w:p>
    <w:p>
      <w:pPr>
        <w:spacing w:after="120"/>
      </w:pPr>
    </w:p>
    <w:p>
      <w:pPr>
        <w:keepNext/>
        <w:spacing w:before="320" w:after="40"/>
      </w:pPr>
      <w:r>
        <w:rPr>
          <w:rFonts w:ascii="Calibri" w:hAnsi="Calibri"/>
          <w:b/>
          <w:color w:val="A30000"/>
          <w:sz w:val="26"/>
        </w:rPr>
        <w:t xml:space="preserve">CASE 2: </w:t>
      </w:r>
      <w:r>
        <w:rPr>
          <w:rFonts w:ascii="Calibri" w:hAnsi="Calibri"/>
          <w:b/>
          <w:color w:val="182B49"/>
          <w:sz w:val="26"/>
        </w:rPr>
        <w:t>Tañada v. Tuvera</w:t>
      </w:r>
    </w:p>
    <w:p>
      <w:pPr>
        <w:keepNext/>
        <w:spacing w:before="0" w:after="80"/>
      </w:pPr>
      <w:r>
        <w:rPr>
          <w:rFonts w:ascii="Calibri" w:hAnsi="Calibri"/>
          <w:b/>
          <w:i/>
          <w:color w:val="0F4C81"/>
          <w:sz w:val="19"/>
        </w:rPr>
        <w:t>G.R. No. L-63915, April 24, 1985 (136 SCRA 27) &amp; Resolution, December 29, 1986 (146 SCRA 446) | Ponente: Cruz,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Petitioners Lorenzo M. Tañada and other civic advocates sought a writ of mandamus to compel Executive Secretary Juan C. Tuvera to publish in the Official Gazette numerous Presidential Decrees, Letters of Instructions, General Orders, and Executive Orders issued by President Ferdinand E. Marcos during the martial law regime. The respondents argued that publication was not mandatory because Article 2 of the Civil Code provides that 'Laws shall take effect after fifteen days following the completion of their publication in the Official Gazette, unless it is otherwise provided,' and the decrees themselves contained explicit clauses stating they were effective 'immediately upon approval.'</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the clause 'unless it is otherwise provided' in Article 2 of the Civil Code dispenses with the mandatory requirement of publication of presidential decrees and statutes.</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NO. Publication is indispensable and mandatory for all statutes and presidential issuances of general application before they can acquire binding legal force.</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ORDERED the immediate publication of all unpublished presidential decrees and executive orders, declaring that unpublished laws have no binding legal effect.</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The phrase 'unless it is otherwise provided' created an apparent ambiguity as to whether it exempted statutes from publication entirely or merely permitted a different period of effectivity after publication.</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harmonize Article 2 of the Civil Code with the constitutional guarantee of Due Process (Article III, Section 1, 1987 Constitution), ensuring the public has notice of the laws by which they are governed.</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Harmonization with Constitutional Due Process &amp; Purposive Construction: The clause 'unless it is otherwise provided' refers strictly to the date of effectivity (e.g., shorter or longer than 15 days), but NEVER dispenses with the publication requirement itself.</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Constitutional Due Process clause, principles of fundamental justice, and the maxim 'Ignorantia legis neminem excusat' (ignorance of the law excuses no one).</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Harmonization with Constitution: </w:t>
      </w:r>
      <w:r>
        <w:rPr>
          <w:rFonts w:ascii="Calibri" w:hAnsi="Calibri"/>
          <w:color w:val="212529"/>
          <w:sz w:val="19"/>
        </w:rPr>
        <w:t>Every statute must be interpreted to conform with the constitutional mandate of due process and notice.</w:t>
      </w:r>
    </w:p>
    <w:p>
      <w:pPr>
        <w:pStyle w:val="ListBullet"/>
        <w:spacing w:before="0" w:after="40" w:line="276" w:lineRule="auto"/>
        <w:ind w:left="360"/>
      </w:pPr>
      <w:r>
        <w:rPr>
          <w:rFonts w:ascii="Calibri" w:hAnsi="Calibri"/>
          <w:b/>
          <w:color w:val="212529"/>
          <w:sz w:val="19"/>
        </w:rPr>
        <w:t xml:space="preserve">• Verba Legis &amp; Legislative Purpose: </w:t>
      </w:r>
      <w:r>
        <w:rPr>
          <w:rFonts w:ascii="Calibri" w:hAnsi="Calibri"/>
          <w:color w:val="212529"/>
          <w:sz w:val="19"/>
        </w:rPr>
        <w:t>Construing 'unless otherwise provided' to apply only to the 15-day period, not the publication requirement.</w:t>
      </w:r>
    </w:p>
    <w:p>
      <w:pPr>
        <w:pStyle w:val="ListBullet"/>
        <w:spacing w:before="0" w:after="40" w:line="276" w:lineRule="auto"/>
        <w:ind w:left="360"/>
      </w:pPr>
      <w:r>
        <w:rPr>
          <w:rFonts w:ascii="Calibri" w:hAnsi="Calibri"/>
          <w:b/>
          <w:color w:val="212529"/>
          <w:sz w:val="19"/>
        </w:rPr>
        <w:t xml:space="preserve">• Legis Interpretatio Legis Vim Obtinet: </w:t>
      </w:r>
      <w:r>
        <w:rPr>
          <w:rFonts w:ascii="Calibri" w:hAnsi="Calibri"/>
          <w:color w:val="212529"/>
          <w:sz w:val="19"/>
        </w:rPr>
        <w:t>The ruling serves as an authoritative doctrine on the effectivity of all public laws.</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Article 2 of the Civil Code to mean that publication in the Official Gazette (or a newspaper of general circulation) is an absolute, non-waivable requirement of due process for all laws of general applicability.</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properly construed the law. It upheld the constitutional supremacy of Due Process, preventing secret decrees from governing the citizenry.</w:t>
      </w:r>
    </w:p>
    <w:p>
      <w:pPr>
        <w:spacing w:after="120"/>
      </w:pPr>
    </w:p>
    <w:p>
      <w:pPr>
        <w:keepNext/>
        <w:spacing w:before="320" w:after="40"/>
      </w:pPr>
      <w:r>
        <w:rPr>
          <w:rFonts w:ascii="Calibri" w:hAnsi="Calibri"/>
          <w:b/>
          <w:color w:val="A30000"/>
          <w:sz w:val="26"/>
        </w:rPr>
        <w:t xml:space="preserve">CASE 3: </w:t>
      </w:r>
      <w:r>
        <w:rPr>
          <w:rFonts w:ascii="Calibri" w:hAnsi="Calibri"/>
          <w:b/>
          <w:color w:val="182B49"/>
          <w:sz w:val="26"/>
        </w:rPr>
        <w:t>Bolos v. Bolos</w:t>
      </w:r>
    </w:p>
    <w:p>
      <w:pPr>
        <w:keepNext/>
        <w:spacing w:before="0" w:after="80"/>
      </w:pPr>
      <w:r>
        <w:rPr>
          <w:rFonts w:ascii="Calibri" w:hAnsi="Calibri"/>
          <w:b/>
          <w:i/>
          <w:color w:val="0F4C81"/>
          <w:sz w:val="19"/>
        </w:rPr>
        <w:t>G.R. No. 186400, October 20, 2010 | 634 SCRA 429 | Ponente: Mendoza,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Petitioner Danilo Bolos filed a petition for declaration of absolute nullity of his marriage to respondent Cynthia Bolos under Article 36 of the Family Code (psychological incapacity). Cynthia filed a motion to dismiss, asserting that petitioner failed to comply with Section 2(a) of the Rule on Declaration of Absolute Nullity of Void Marriages (A.M. No. 02-11-10-SC), which requires the filing of a motion for reconsideration before an appeal can be perfected. Petitioner argued that the procedural requirement applies only to marriages celebrated under the Family Code.</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the procedural rules requiring a motion for reconsideration prior to appeal apply to marriages solemnized prior to the effectivity of the Family Code.</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YES. The procedural rule is clear and applies to all petitions for declaration of absolute nullity of void marriages regardless of the date of marriage.</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DENIED the petition, upholding the dismissal of the appeal for failure to file the mandatory motion for reconsideration.</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Petitioner sought to introduce an exception where none was provided in the text of A.M. No. 02-11-10-SC.</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enforce the cardinal rule of statutory construction that clear legal rules must be applied as written without unwarranted judicial exceptions.</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Verba Legis Non Est Recedendum (Plain Meaning Rule): Where the law is clear, plain, and free from ambiguity, there is no room for construction or interpretation, only application.</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Textual provisions of A.M. No. 02-11-10-SC and general principles of statutory and procedural construction.</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Verba Legis: </w:t>
      </w:r>
      <w:r>
        <w:rPr>
          <w:rFonts w:ascii="Calibri" w:hAnsi="Calibri"/>
          <w:color w:val="212529"/>
          <w:sz w:val="19"/>
        </w:rPr>
        <w:t>If the text is clear, courts must apply its plain, ordinary meaning.</w:t>
      </w:r>
    </w:p>
    <w:p>
      <w:pPr>
        <w:pStyle w:val="ListBullet"/>
        <w:spacing w:before="0" w:after="40" w:line="276" w:lineRule="auto"/>
        <w:ind w:left="360"/>
      </w:pPr>
      <w:r>
        <w:rPr>
          <w:rFonts w:ascii="Calibri" w:hAnsi="Calibri"/>
          <w:b/>
          <w:color w:val="212529"/>
          <w:sz w:val="19"/>
        </w:rPr>
        <w:t xml:space="preserve">• Absoluta Sententia Expositore Non Indiget: </w:t>
      </w:r>
      <w:r>
        <w:rPr>
          <w:rFonts w:ascii="Calibri" w:hAnsi="Calibri"/>
          <w:color w:val="212529"/>
          <w:sz w:val="19"/>
        </w:rPr>
        <w:t>When language is plain, no explanation or judicial interpretation is needed.</w:t>
      </w:r>
    </w:p>
    <w:p>
      <w:pPr>
        <w:pStyle w:val="ListBullet"/>
        <w:spacing w:before="0" w:after="40" w:line="276" w:lineRule="auto"/>
        <w:ind w:left="360"/>
      </w:pPr>
      <w:r>
        <w:rPr>
          <w:rFonts w:ascii="Calibri" w:hAnsi="Calibri"/>
          <w:b/>
          <w:color w:val="212529"/>
          <w:sz w:val="19"/>
        </w:rPr>
        <w:t xml:space="preserve">• Limits of Power to Construe: </w:t>
      </w:r>
      <w:r>
        <w:rPr>
          <w:rFonts w:ascii="Calibri" w:hAnsi="Calibri"/>
          <w:color w:val="212529"/>
          <w:sz w:val="19"/>
        </w:rPr>
        <w:t>Courts cannot insert exceptions into procedural rules when the text is all-encompassing.</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the procedural rule on annulment to apply universally to all actions for nullity of marriage without distinction as to the date of celebration.</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properly applied the law and avoided judicial legislation by refusing to carve out unwritten exceptions.</w:t>
      </w:r>
    </w:p>
    <w:p>
      <w:pPr>
        <w:spacing w:after="120"/>
      </w:pPr>
    </w:p>
    <w:p>
      <w:pPr>
        <w:keepNext/>
        <w:spacing w:before="320" w:after="40"/>
      </w:pPr>
      <w:r>
        <w:rPr>
          <w:rFonts w:ascii="Calibri" w:hAnsi="Calibri"/>
          <w:b/>
          <w:color w:val="A30000"/>
          <w:sz w:val="26"/>
        </w:rPr>
        <w:t xml:space="preserve">CASE 4: </w:t>
      </w:r>
      <w:r>
        <w:rPr>
          <w:rFonts w:ascii="Calibri" w:hAnsi="Calibri"/>
          <w:b/>
          <w:color w:val="182B49"/>
          <w:sz w:val="26"/>
        </w:rPr>
        <w:t>People v. Patricio Amigo</w:t>
      </w:r>
    </w:p>
    <w:p>
      <w:pPr>
        <w:keepNext/>
        <w:spacing w:before="0" w:after="80"/>
      </w:pPr>
      <w:r>
        <w:rPr>
          <w:rFonts w:ascii="Calibri" w:hAnsi="Calibri"/>
          <w:b/>
          <w:i/>
          <w:color w:val="0F4C81"/>
          <w:sz w:val="19"/>
        </w:rPr>
        <w:t>G.R. No. 116719, January 18, 1996 | 252 SCRA 43 | Ponente: Melo,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Accused-appellant Patricio Amigo was convicted of Murder for the merciless stabbing of Benito Sanchez following a minor traffic altercation in Davao City. The trial court imposed the penalty of Reclusion Perpetua under the Revised Penal Code. On appeal, appellant pleaded for a reduction of his sentence, arguing that Reclusion Perpetua was too harsh, cruel, and disproportionate under the 1987 Constitution, and that the Court should apply equity and compassion.</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the Supreme Court may reduce a legally mandated statutory penalty based on reasons of equity and compassion.</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NO. Courts cannot temper or alter statutory penalties on grounds of equity when the penal law is clear and mandatory.</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AFFIRMED the conviction and penalty of Reclusion Perpetua.</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Appellant sought judicial alteration of the statutory penalty prescribed by Article 248 of the Revised Penal Code.</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uphold the principle of Separation of Powers and Dura Lex Sed Lex.</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Dura Lex Sed Lex (The law may be harsh, but it is the law): Duty of courts is to apply the law as enacted by Congress; equity cannot supersede explicit statutory mandates.</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Article 248, RPC; Article 5, RPC (duty of court to report to Executive if penalty is deemed excessive).</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Dura Lex Sed Lex: </w:t>
      </w:r>
      <w:r>
        <w:rPr>
          <w:rFonts w:ascii="Calibri" w:hAnsi="Calibri"/>
          <w:color w:val="212529"/>
          <w:sz w:val="19"/>
        </w:rPr>
        <w:t>Statutory penalties fixed by Congress must be enforced by courts regardless of perceived severity.</w:t>
      </w:r>
    </w:p>
    <w:p>
      <w:pPr>
        <w:pStyle w:val="ListBullet"/>
        <w:spacing w:before="0" w:after="40" w:line="276" w:lineRule="auto"/>
        <w:ind w:left="360"/>
      </w:pPr>
      <w:r>
        <w:rPr>
          <w:rFonts w:ascii="Calibri" w:hAnsi="Calibri"/>
          <w:b/>
          <w:color w:val="212529"/>
          <w:sz w:val="19"/>
        </w:rPr>
        <w:t xml:space="preserve">• Statutory Construction vs. Judicial Legislation: </w:t>
      </w:r>
      <w:r>
        <w:rPr>
          <w:rFonts w:ascii="Calibri" w:hAnsi="Calibri"/>
          <w:color w:val="212529"/>
          <w:sz w:val="19"/>
        </w:rPr>
        <w:t>Altering statutory penalties under the guise of equity constitutes unconstitutional judicial legislation.</w:t>
      </w:r>
    </w:p>
    <w:p>
      <w:pPr>
        <w:pStyle w:val="ListBullet"/>
        <w:spacing w:before="0" w:after="40" w:line="276" w:lineRule="auto"/>
        <w:ind w:left="360"/>
      </w:pPr>
      <w:r>
        <w:rPr>
          <w:rFonts w:ascii="Calibri" w:hAnsi="Calibri"/>
          <w:b/>
          <w:color w:val="212529"/>
          <w:sz w:val="19"/>
        </w:rPr>
        <w:t xml:space="preserve">• Article 5 RPC Mechanism: </w:t>
      </w:r>
      <w:r>
        <w:rPr>
          <w:rFonts w:ascii="Calibri" w:hAnsi="Calibri"/>
          <w:color w:val="212529"/>
          <w:sz w:val="19"/>
        </w:rPr>
        <w:t>The sole remedy for excessive penalties is an executive recommendation for clemency, not judicial modification.</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Article 248 of the RPC as mandatory, ruling that courts possess no equitable power to mitigate statutory penalties below the minimum degree fixed by Congress.</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strictly adhered to judicial restraint, respecting legislative sovereignty over crime and punishment.</w:t>
      </w:r>
    </w:p>
    <w:p>
      <w:pPr>
        <w:spacing w:after="120"/>
      </w:pPr>
    </w:p>
    <w:p>
      <w:pPr>
        <w:keepNext/>
        <w:spacing w:before="320" w:after="40"/>
      </w:pPr>
      <w:r>
        <w:rPr>
          <w:rFonts w:ascii="Calibri" w:hAnsi="Calibri"/>
          <w:b/>
          <w:color w:val="A30000"/>
          <w:sz w:val="26"/>
        </w:rPr>
        <w:t xml:space="preserve">CASE 5: </w:t>
      </w:r>
      <w:r>
        <w:rPr>
          <w:rFonts w:ascii="Calibri" w:hAnsi="Calibri"/>
          <w:b/>
          <w:color w:val="182B49"/>
          <w:sz w:val="26"/>
        </w:rPr>
        <w:t>People v. Purisima</w:t>
      </w:r>
    </w:p>
    <w:p>
      <w:pPr>
        <w:keepNext/>
        <w:spacing w:before="0" w:after="80"/>
      </w:pPr>
      <w:r>
        <w:rPr>
          <w:rFonts w:ascii="Calibri" w:hAnsi="Calibri"/>
          <w:b/>
          <w:i/>
          <w:color w:val="0F4C81"/>
          <w:sz w:val="19"/>
        </w:rPr>
        <w:t>G.R. Nos. L-42050-66, November 20, 1978 | 86 SCRA 542 | Ponente: Muñoz Palma,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Twenty-six (26) individuals were charged before the CFI of Manila under Presidential Decree No. 9 for carrying bladed and pointed weapons (knives, bolos, icepicks) outside their residences. Judge Amante Purisima quashed the informations because the prosecution failed to allege that the carrying of the bladed weapon was in furtherance of rebellion, insurrection, subversion, or lawless violence as stated in the Preamble of PD 9.</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an information under PD 9 must allege that the carrying of a bladed weapon was connected with subversion or rebellion.</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YES. The Preamble of PD 9 must be read in pari materia with the enacting clause to determine the true legislative intent and the essential elements of the offense.</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AFFIRMED the dismissal of the informations.</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Preamble as Intrinsic Aid: </w:t>
      </w:r>
      <w:r>
        <w:rPr>
          <w:rFonts w:ascii="Calibri" w:hAnsi="Calibri"/>
          <w:color w:val="212529"/>
          <w:sz w:val="19"/>
        </w:rPr>
        <w:t>The preamble unlocks the mind of the lawmaker and supplies the contextual purpose of penal enactments.</w:t>
      </w:r>
    </w:p>
    <w:p>
      <w:pPr>
        <w:pStyle w:val="ListBullet"/>
        <w:spacing w:before="0" w:after="40" w:line="276" w:lineRule="auto"/>
        <w:ind w:left="360"/>
      </w:pPr>
      <w:r>
        <w:rPr>
          <w:rFonts w:ascii="Calibri" w:hAnsi="Calibri"/>
          <w:b/>
          <w:color w:val="212529"/>
          <w:sz w:val="19"/>
        </w:rPr>
        <w:t xml:space="preserve">• Avoidance of Absurdity: </w:t>
      </w:r>
      <w:r>
        <w:rPr>
          <w:rFonts w:ascii="Calibri" w:hAnsi="Calibri"/>
          <w:color w:val="212529"/>
          <w:sz w:val="19"/>
        </w:rPr>
        <w:t>Statutes must be construed to avoid absurd, oppressive, and unjust consequences.</w:t>
      </w:r>
    </w:p>
    <w:p>
      <w:pPr>
        <w:pStyle w:val="ListBullet"/>
        <w:spacing w:before="0" w:after="40" w:line="276" w:lineRule="auto"/>
        <w:ind w:left="360"/>
      </w:pPr>
      <w:r>
        <w:rPr>
          <w:rFonts w:ascii="Calibri" w:hAnsi="Calibri"/>
          <w:b/>
          <w:color w:val="212529"/>
          <w:sz w:val="19"/>
        </w:rPr>
        <w:t xml:space="preserve">• Strict Construction of Penal Statutes: </w:t>
      </w:r>
      <w:r>
        <w:rPr>
          <w:rFonts w:ascii="Calibri" w:hAnsi="Calibri"/>
          <w:color w:val="212529"/>
          <w:sz w:val="19"/>
        </w:rPr>
        <w:t>Penal laws must be construed strictly against the State and liberally in favor of the accused.</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PD 9 to penalize the carrying of bladed weapons ONLY when committed in furtherance of subversion, rebellion, or organized lawless violence.</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properly construed the enactment, using the Preamble to prevent oppressive overextension of penal liability.</w:t>
      </w:r>
    </w:p>
    <w:p>
      <w:pPr>
        <w:spacing w:after="120"/>
      </w:pPr>
    </w:p>
    <w:p>
      <w:pPr>
        <w:keepNext/>
        <w:spacing w:before="320" w:after="40"/>
      </w:pPr>
      <w:r>
        <w:rPr>
          <w:rFonts w:ascii="Calibri" w:hAnsi="Calibri"/>
          <w:b/>
          <w:color w:val="A30000"/>
          <w:sz w:val="26"/>
        </w:rPr>
        <w:t xml:space="preserve">CASE 6: </w:t>
      </w:r>
      <w:r>
        <w:rPr>
          <w:rFonts w:ascii="Calibri" w:hAnsi="Calibri"/>
          <w:b/>
          <w:color w:val="182B49"/>
          <w:sz w:val="26"/>
        </w:rPr>
        <w:t>People v. Mapa</w:t>
      </w:r>
    </w:p>
    <w:p>
      <w:pPr>
        <w:keepNext/>
        <w:spacing w:before="0" w:after="80"/>
      </w:pPr>
      <w:r>
        <w:rPr>
          <w:rFonts w:ascii="Calibri" w:hAnsi="Calibri"/>
          <w:b/>
          <w:i/>
          <w:color w:val="0F4C81"/>
          <w:sz w:val="19"/>
        </w:rPr>
        <w:t>G.R. No. L-22301, August 30, 1967 | 20 SCRA 1164 | Ponente: Fernando,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Accused Mario Mapa was caught in possession of an unlicensed caliber .22 revolver and ammunition. He claimed exemption from criminal liability for Illegal Possession of Firearms under Section 878 of the Revised Administrative Code on the ground that he was a duly appointed Secret Agent of the Provincial Governor of Batangas and held a mission order to carry firearms.</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a secret agent of a provincial governor is exempt from criminal liability for illegal possession of firearms under Section 878.</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NO. Section 878 of the Revised Administrative Code does not include secret agents among the enumerated exempt officials.</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AFFIRMED the conviction of the accused for Illegal Possession of Firearms.</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Appellant sought to rely on previous conflicting rulings (such as People v. Macarandang) that recognized secret agents as exempt.</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re-establish the supremacy of plain statutory language over unwarranted judicial expansions.</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Expressio Unius Est Exclusio Alterius &amp; Verba Legis: The express statutory enumeration of officials exempt from firearm licensing (army, constabulary, police, municipal mayors) excludes all unmentioned positions.</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Section 878, Revised Administrative Code; legislative text; rejection of Macarandang precedent.</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Expressio Unius Est Exclusio Alterius: </w:t>
      </w:r>
      <w:r>
        <w:rPr>
          <w:rFonts w:ascii="Calibri" w:hAnsi="Calibri"/>
          <w:color w:val="212529"/>
          <w:sz w:val="19"/>
        </w:rPr>
        <w:t>The express mention of specific exempt officials implies the exclusion of secret agents.</w:t>
      </w:r>
    </w:p>
    <w:p>
      <w:pPr>
        <w:pStyle w:val="ListBullet"/>
        <w:spacing w:before="0" w:after="40" w:line="276" w:lineRule="auto"/>
        <w:ind w:left="360"/>
      </w:pPr>
      <w:r>
        <w:rPr>
          <w:rFonts w:ascii="Calibri" w:hAnsi="Calibri"/>
          <w:b/>
          <w:color w:val="212529"/>
          <w:sz w:val="19"/>
        </w:rPr>
        <w:t xml:space="preserve">• Verba Legis: </w:t>
      </w:r>
      <w:r>
        <w:rPr>
          <w:rFonts w:ascii="Calibri" w:hAnsi="Calibri"/>
          <w:color w:val="212529"/>
          <w:sz w:val="19"/>
        </w:rPr>
        <w:t>Where the text of the statute is explicit, courts cannot expand exemptions.</w:t>
      </w:r>
    </w:p>
    <w:p>
      <w:pPr>
        <w:pStyle w:val="ListBullet"/>
        <w:spacing w:before="0" w:after="40" w:line="276" w:lineRule="auto"/>
        <w:ind w:left="360"/>
      </w:pPr>
      <w:r>
        <w:rPr>
          <w:rFonts w:ascii="Calibri" w:hAnsi="Calibri"/>
          <w:b/>
          <w:color w:val="212529"/>
          <w:sz w:val="19"/>
        </w:rPr>
        <w:t xml:space="preserve">• Overruling Erroneous Precedent: </w:t>
      </w:r>
      <w:r>
        <w:rPr>
          <w:rFonts w:ascii="Calibri" w:hAnsi="Calibri"/>
          <w:color w:val="212529"/>
          <w:sz w:val="19"/>
        </w:rPr>
        <w:t>The Court corrected previous judicial doctrine that improperly engaged in judicial legislation.</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Section 878 of the Revised Administrative Code strictly, holding that only the officials expressly enumerated in the text are exempt from firearm licensing.</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rejected judicial legislation, holding that expanding exemptions to secret agents belongs exclusively to Congress.</w:t>
      </w:r>
    </w:p>
    <w:p>
      <w:pPr>
        <w:spacing w:after="120"/>
      </w:pPr>
    </w:p>
    <w:p>
      <w:pPr>
        <w:keepNext/>
        <w:spacing w:before="320" w:after="40"/>
      </w:pPr>
      <w:r>
        <w:rPr>
          <w:rFonts w:ascii="Calibri" w:hAnsi="Calibri"/>
          <w:b/>
          <w:color w:val="A30000"/>
          <w:sz w:val="26"/>
        </w:rPr>
        <w:t xml:space="preserve">CASE 7: </w:t>
      </w:r>
      <w:r>
        <w:rPr>
          <w:rFonts w:ascii="Calibri" w:hAnsi="Calibri"/>
          <w:b/>
          <w:color w:val="182B49"/>
          <w:sz w:val="26"/>
        </w:rPr>
        <w:t>Endencia v. David</w:t>
      </w:r>
    </w:p>
    <w:p>
      <w:pPr>
        <w:keepNext/>
        <w:spacing w:before="0" w:after="80"/>
      </w:pPr>
      <w:r>
        <w:rPr>
          <w:rFonts w:ascii="Calibri" w:hAnsi="Calibri"/>
          <w:b/>
          <w:i/>
          <w:color w:val="0F4C81"/>
          <w:sz w:val="19"/>
        </w:rPr>
        <w:t>G.R. No. L-6355-56, August 31, 1953 | 93 Phil. 696 | Ponente: Montemayor,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Following the ruling in Perfecto v. Meer that the collection of income taxes on judicial salaries violated the constitutional prohibition against diminishing judicial compensation during their continuance in office, Congress enacted Republic Act No. 590, Section 13, which declared that no provision of law shall be construed to exempt judicial officers from paying income taxes. Collector of Internal Revenue Saturnino David collected income taxes from Justice Pastor Endencia of the Court of Appeals.</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Congress may enact a statute defining or interpreting the meaning of a constitutional provision contrary to an established Supreme Court ruling.</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NO. The interpretation and construction of the Constitution and statutes belong exclusively to the Judiciary under the doctrine of Separation of Powers.</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declared Section 13 of Republic Act No. 590 UNCONSTITUTIONAL and VOID.</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Congress attempted to perform a legislative interpretation of the Constitution to overturn a final Supreme Court ruling.</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protect Judicial Independence and the exclusive constitutional power of the Judiciary to interpret the law.</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Situs of Statutory Construction &amp; Constitutional Supremacy: Interpretation of laws is a purely judicial prerogative; the Legislature cannot dictate judicial interpretation through subsequent declaratory statutes.</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1935 Constitution Art. VIII, Sec. 9; Marbury v. Madison; Separation of Powers doctrine.</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Situs of Statutory Construction: </w:t>
      </w:r>
      <w:r>
        <w:rPr>
          <w:rFonts w:ascii="Calibri" w:hAnsi="Calibri"/>
          <w:color w:val="212529"/>
          <w:sz w:val="19"/>
        </w:rPr>
        <w:t>The power to interpret the Constitution and statutes resides exclusively in the Judicial branch.</w:t>
      </w:r>
    </w:p>
    <w:p>
      <w:pPr>
        <w:pStyle w:val="ListBullet"/>
        <w:spacing w:before="0" w:after="40" w:line="276" w:lineRule="auto"/>
        <w:ind w:left="360"/>
      </w:pPr>
      <w:r>
        <w:rPr>
          <w:rFonts w:ascii="Calibri" w:hAnsi="Calibri"/>
          <w:b/>
          <w:color w:val="212529"/>
          <w:sz w:val="19"/>
        </w:rPr>
        <w:t xml:space="preserve">• Legislative Interpretation Void: </w:t>
      </w:r>
      <w:r>
        <w:rPr>
          <w:rFonts w:ascii="Calibri" w:hAnsi="Calibri"/>
          <w:color w:val="212529"/>
          <w:sz w:val="19"/>
        </w:rPr>
        <w:t>Legislative declarations attempting to overrule judicial construction of the Constitution are unconstitutional.</w:t>
      </w:r>
    </w:p>
    <w:p>
      <w:pPr>
        <w:pStyle w:val="ListBullet"/>
        <w:spacing w:before="0" w:after="40" w:line="276" w:lineRule="auto"/>
        <w:ind w:left="360"/>
      </w:pPr>
      <w:r>
        <w:rPr>
          <w:rFonts w:ascii="Calibri" w:hAnsi="Calibri"/>
          <w:b/>
          <w:color w:val="212529"/>
          <w:sz w:val="19"/>
        </w:rPr>
        <w:t xml:space="preserve">• Judicial Independence: </w:t>
      </w:r>
      <w:r>
        <w:rPr>
          <w:rFonts w:ascii="Calibri" w:hAnsi="Calibri"/>
          <w:color w:val="212529"/>
          <w:sz w:val="19"/>
        </w:rPr>
        <w:t>Protecting the constitutional compensation of judicial officers from indirect legislative reduction.</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the constitutional power of interpretation as an exclusive judicial monopoly, invalidating legislative attempts to dictate statutory meaning to courts.</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upheld the constitutional boundary, preventing Congress from usurping the judicial function.</w:t>
      </w:r>
    </w:p>
    <w:p>
      <w:pPr>
        <w:spacing w:after="120"/>
      </w:pPr>
    </w:p>
    <w:p>
      <w:pPr>
        <w:keepNext/>
        <w:spacing w:before="320" w:after="40"/>
      </w:pPr>
      <w:r>
        <w:rPr>
          <w:rFonts w:ascii="Calibri" w:hAnsi="Calibri"/>
          <w:b/>
          <w:color w:val="A30000"/>
          <w:sz w:val="26"/>
        </w:rPr>
        <w:t xml:space="preserve">CASE 8: </w:t>
      </w:r>
      <w:r>
        <w:rPr>
          <w:rFonts w:ascii="Calibri" w:hAnsi="Calibri"/>
          <w:b/>
          <w:color w:val="182B49"/>
          <w:sz w:val="26"/>
        </w:rPr>
        <w:t>Alonzo v. Intermediate Appellate Court</w:t>
      </w:r>
    </w:p>
    <w:p>
      <w:pPr>
        <w:keepNext/>
        <w:spacing w:before="0" w:after="80"/>
      </w:pPr>
      <w:r>
        <w:rPr>
          <w:rFonts w:ascii="Calibri" w:hAnsi="Calibri"/>
          <w:b/>
          <w:i/>
          <w:color w:val="0F4C81"/>
          <w:sz w:val="19"/>
        </w:rPr>
        <w:t>G.R. No. 72873, May 28, 1987 | 150 SCRA 259 | Ponente: Cruz,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Five siblings inherited a parcel of land in equal shares. Two siblings sold their respective undivided shares to spouses Alonzo. More than a decade later, another co-heir attempted to exercise the legal right of redemption under Article 1088 of the Civil Code, which provides that co-heirs must be notified in writing of the sale by the vendor. The co-heirs argued that since no written notice was ever served upon them, the 30-day redemption period had not started to run, even though they lived on the same land and had actual knowledge of the sale for 13 years.</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actual knowledge of a sale for over a decade dispenses with the mandatory requirement of written notice under Article 1088 of the Civil Code.</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YES. The purpose of the written notice requirement was fully satisfied by actual, long-standing knowledge; strict literalism must yield to the spirit and reason of the law.</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REVERSED the appellate court and DISMISSED the complaint for legal redemption.</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A blind literal interpretation of the written notice requirement would produce an unjust and absurd result after 13 years of open possession.</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give effect to the spirit, reason, and purpose of the law (*Ratio Legis Est Anima Legis*) and promote equity and justice.</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Purposive Construction &amp; Ratio Legis: The spirit of the law controls the letter. The law should not be interpreted so strictly as to produce injustice and defeat the manifest purpose of notice.</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Article 1088, Civil Code; principles of equity, justice, and common sense.</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Ratio Legis Est Anima Legis: </w:t>
      </w:r>
      <w:r>
        <w:rPr>
          <w:rFonts w:ascii="Calibri" w:hAnsi="Calibri"/>
          <w:color w:val="212529"/>
          <w:sz w:val="19"/>
        </w:rPr>
        <w:t>The reason for the law is the life of the law; literal words must yield to the legislative purpose.</w:t>
      </w:r>
    </w:p>
    <w:p>
      <w:pPr>
        <w:pStyle w:val="ListBullet"/>
        <w:spacing w:before="0" w:after="40" w:line="276" w:lineRule="auto"/>
        <w:ind w:left="360"/>
      </w:pPr>
      <w:r>
        <w:rPr>
          <w:rFonts w:ascii="Calibri" w:hAnsi="Calibri"/>
          <w:b/>
          <w:color w:val="212529"/>
          <w:sz w:val="19"/>
        </w:rPr>
        <w:t xml:space="preserve">• Cessante Ratione Legis, Cessat Ipsa Lex: </w:t>
      </w:r>
      <w:r>
        <w:rPr>
          <w:rFonts w:ascii="Calibri" w:hAnsi="Calibri"/>
          <w:color w:val="212529"/>
          <w:sz w:val="19"/>
        </w:rPr>
        <w:t>When the reason for the requirement (giving notice) is satisfied by actual knowledge, the literal requirement ceases to apply.</w:t>
      </w:r>
    </w:p>
    <w:p>
      <w:pPr>
        <w:pStyle w:val="ListBullet"/>
        <w:spacing w:before="0" w:after="40" w:line="276" w:lineRule="auto"/>
        <w:ind w:left="360"/>
      </w:pPr>
      <w:r>
        <w:rPr>
          <w:rFonts w:ascii="Calibri" w:hAnsi="Calibri"/>
          <w:b/>
          <w:color w:val="212529"/>
          <w:sz w:val="19"/>
        </w:rPr>
        <w:t xml:space="preserve">• Statute Must Promote Justice: </w:t>
      </w:r>
      <w:r>
        <w:rPr>
          <w:rFonts w:ascii="Calibri" w:hAnsi="Calibri"/>
          <w:color w:val="212529"/>
          <w:sz w:val="19"/>
        </w:rPr>
        <w:t>Courts must not allow technical literalism to become an instrument of extortion or bad faith.</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Article 1088 of the Civil Code to mean that actual, incontrovertible knowledge of the sale satisfies the purpose of the written notice requirement.</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properly applied purposive construction to prevent injustice and absurdity.</w:t>
      </w:r>
    </w:p>
    <w:p>
      <w:pPr>
        <w:spacing w:after="120"/>
      </w:pPr>
    </w:p>
    <w:p>
      <w:pPr>
        <w:keepNext/>
        <w:spacing w:before="320" w:after="40"/>
      </w:pPr>
      <w:r>
        <w:rPr>
          <w:rFonts w:ascii="Calibri" w:hAnsi="Calibri"/>
          <w:b/>
          <w:color w:val="A30000"/>
          <w:sz w:val="26"/>
        </w:rPr>
        <w:t xml:space="preserve">CASE 9: </w:t>
      </w:r>
      <w:r>
        <w:rPr>
          <w:rFonts w:ascii="Calibri" w:hAnsi="Calibri"/>
          <w:b/>
          <w:color w:val="182B49"/>
          <w:sz w:val="26"/>
        </w:rPr>
        <w:t>Chavez v. Judicial and Bar Council</w:t>
      </w:r>
    </w:p>
    <w:p>
      <w:pPr>
        <w:keepNext/>
        <w:spacing w:before="0" w:after="80"/>
      </w:pPr>
      <w:r>
        <w:rPr>
          <w:rFonts w:ascii="Calibri" w:hAnsi="Calibri"/>
          <w:b/>
          <w:i/>
          <w:color w:val="0F4C81"/>
          <w:sz w:val="19"/>
        </w:rPr>
        <w:t>G.R. No. 202242, July 17, 2012 | 676 SCRA 566 | Ponente: Mendoza,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Petitioner Francisco Chavez challenged the composition of the Judicial and Bar Council (JBC), which had two representatives from Congress (one from the Senate and one from the House of Representatives), each casting a full vote (or half vote). Article VIII, Section 8(1) of the 1987 Constitution explicitly provides that the JBC shall be composed of ex officio members including 'a representative of the Congress.' Respondents argued that Congress is bicameral and therefore entitled to one representative from each Chamber.</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the constitutional provision 'a representative of the Congress' permits two representatives from Congress in the JBC.</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NO. The singular phrase 'a representative of the Congress' is clear and unambiguous, mandating only one representative from Congress.</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DECLARED the presence of two representatives from Congress in the JBC UNCONSTITUTIONAL, ruling that Congress is entitled to only ONE representative with ONE vote.</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Respondents sought to justify having two representatives based on the bicameral structure of Congress.</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preserve the numerical balance and constitutional design of the 7-member JBC.</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Verba Legis &amp; Constitutional Deliberations: The word 'a' is a singular indefinite article. The Records of the Constitutional Commission show that the framers intended a 7-member council with a single representative from Congress.</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Records of the 1986 Constitutional Commission; text of Article VIII, Section 8(1); historical context of JBC creation.</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Verba Legis in Constitutional Construction: </w:t>
      </w:r>
      <w:r>
        <w:rPr>
          <w:rFonts w:ascii="Calibri" w:hAnsi="Calibri"/>
          <w:color w:val="212529"/>
          <w:sz w:val="19"/>
        </w:rPr>
        <w:t>Constitutional provisions must be given their plain, grammatical, and ordinary meaning.</w:t>
      </w:r>
    </w:p>
    <w:p>
      <w:pPr>
        <w:pStyle w:val="ListBullet"/>
        <w:spacing w:before="0" w:after="40" w:line="276" w:lineRule="auto"/>
        <w:ind w:left="360"/>
      </w:pPr>
      <w:r>
        <w:rPr>
          <w:rFonts w:ascii="Calibri" w:hAnsi="Calibri"/>
          <w:b/>
          <w:color w:val="212529"/>
          <w:sz w:val="19"/>
        </w:rPr>
        <w:t xml:space="preserve">• Constitutional Debates as Extrinsic Aid: </w:t>
      </w:r>
      <w:r>
        <w:rPr>
          <w:rFonts w:ascii="Calibri" w:hAnsi="Calibri"/>
          <w:color w:val="212529"/>
          <w:sz w:val="19"/>
        </w:rPr>
        <w:t>Deliberations of the framers confirm that a 7-member JBC with one congressional vote was designed.</w:t>
      </w:r>
    </w:p>
    <w:p>
      <w:pPr>
        <w:pStyle w:val="ListBullet"/>
        <w:spacing w:before="0" w:after="40" w:line="276" w:lineRule="auto"/>
        <w:ind w:left="360"/>
      </w:pPr>
      <w:r>
        <w:rPr>
          <w:rFonts w:ascii="Calibri" w:hAnsi="Calibri"/>
          <w:b/>
          <w:color w:val="212529"/>
          <w:sz w:val="19"/>
        </w:rPr>
        <w:t xml:space="preserve">• Numerical Balance of Independent Bodies: </w:t>
      </w:r>
      <w:r>
        <w:rPr>
          <w:rFonts w:ascii="Calibri" w:hAnsi="Calibri"/>
          <w:color w:val="212529"/>
          <w:sz w:val="19"/>
        </w:rPr>
        <w:t>Maintaining the balance of powers intended by the fundamental law.</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Article VIII, Section 8(1) of the 1987 Constitution to limit congressional representation in the JBC strictly to ONE individual possessing ONE vote.</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strictly adhered to constitutional text and intent, rejecting attempts to expand constitutional representation.</w:t>
      </w:r>
    </w:p>
    <w:p>
      <w:pPr>
        <w:spacing w:after="120"/>
      </w:pPr>
    </w:p>
    <w:p>
      <w:pPr>
        <w:keepNext/>
        <w:spacing w:before="320" w:after="40"/>
      </w:pPr>
      <w:r>
        <w:rPr>
          <w:rFonts w:ascii="Calibri" w:hAnsi="Calibri"/>
          <w:b/>
          <w:color w:val="A30000"/>
          <w:sz w:val="26"/>
        </w:rPr>
        <w:t xml:space="preserve">CASE 10: </w:t>
      </w:r>
      <w:r>
        <w:rPr>
          <w:rFonts w:ascii="Calibri" w:hAnsi="Calibri"/>
          <w:b/>
          <w:color w:val="182B49"/>
          <w:sz w:val="26"/>
        </w:rPr>
        <w:t>Centeno v. Villalon-Pornillos</w:t>
      </w:r>
    </w:p>
    <w:p>
      <w:pPr>
        <w:keepNext/>
        <w:spacing w:before="0" w:after="80"/>
      </w:pPr>
      <w:r>
        <w:rPr>
          <w:rFonts w:ascii="Calibri" w:hAnsi="Calibri"/>
          <w:b/>
          <w:i/>
          <w:color w:val="0F4C81"/>
          <w:sz w:val="19"/>
        </w:rPr>
        <w:t>G.R. No. 113092, September 1, 1994 | 236 SCRA 197 | Ponente: Regalado,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Petitioners Martin Centeno and officers of the Samahang Katandaan ng Nayon ng Tikay solicited contributions from residents for the renovation of the local chapel without first securing a permit from the DSWD. They were charged with violating Presidential Decree No. 1564 (Solicitation Permit Law), which penalizes unauthorized solicitations for 'charitable or public welfare purposes.'</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religious solicitations are included within the phrase 'charitable or public welfare purposes' under PD 1564.</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NO. Religious solicitations are separate and distinct from charitable or public welfare purposes, and penal laws must be strictly construed against the State.</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REVERSED the conviction and ACQUITTED the petitioners.</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The statutory text of PD 1564 used the terms 'charitable' and 'public welfare' without expressly including or excluding religious solicitations.</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prevent unauthorized expansion of penal liability and protect freedom of religious exercise.</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Strict Construction of Penal Statutes (In Dubio Pro Reo) &amp; Noscitur a Sociis: Penal laws cannot be extended by construction to include acts not clearly covered by the statutory language.</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Constitutional guarantee of Freedom of Religion (Art. III, Sec. 5); legislative history of predecessor solicitation laws; dictionary definitions.</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Strict Construction of Penal Laws: </w:t>
      </w:r>
      <w:r>
        <w:rPr>
          <w:rFonts w:ascii="Calibri" w:hAnsi="Calibri"/>
          <w:color w:val="212529"/>
          <w:sz w:val="19"/>
        </w:rPr>
        <w:t>Penal laws are strictly construed against the State and liberally in favor of the accused.</w:t>
      </w:r>
    </w:p>
    <w:p>
      <w:pPr>
        <w:pStyle w:val="ListBullet"/>
        <w:spacing w:before="0" w:after="40" w:line="276" w:lineRule="auto"/>
        <w:ind w:left="360"/>
      </w:pPr>
      <w:r>
        <w:rPr>
          <w:rFonts w:ascii="Calibri" w:hAnsi="Calibri"/>
          <w:b/>
          <w:color w:val="212529"/>
          <w:sz w:val="19"/>
        </w:rPr>
        <w:t xml:space="preserve">• Noscitur a Sociis: </w:t>
      </w:r>
      <w:r>
        <w:rPr>
          <w:rFonts w:ascii="Calibri" w:hAnsi="Calibri"/>
          <w:color w:val="212529"/>
          <w:sz w:val="19"/>
        </w:rPr>
        <w:t>The term 'charitable' in PD 1564 is associated with civic welfare, not ecclesiastical or religious activities.</w:t>
      </w:r>
    </w:p>
    <w:p>
      <w:pPr>
        <w:pStyle w:val="ListBullet"/>
        <w:spacing w:before="0" w:after="40" w:line="276" w:lineRule="auto"/>
        <w:ind w:left="360"/>
      </w:pPr>
      <w:r>
        <w:rPr>
          <w:rFonts w:ascii="Calibri" w:hAnsi="Calibri"/>
          <w:b/>
          <w:color w:val="212529"/>
          <w:sz w:val="19"/>
        </w:rPr>
        <w:t xml:space="preserve">• Harmonization with Religious Freedom: </w:t>
      </w:r>
      <w:r>
        <w:rPr>
          <w:rFonts w:ascii="Calibri" w:hAnsi="Calibri"/>
          <w:color w:val="212529"/>
          <w:sz w:val="19"/>
        </w:rPr>
        <w:t>Statutes should not be construed in a manner that creates constitutional doubts regarding religious freedom.</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PD 1564 to apply exclusively to secular charitable and public welfare solicitations, excluding religious solicitations from permit requirements.</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properly applied the rule of strict construction, refusing to create new criminal liability.</w:t>
      </w:r>
    </w:p>
    <w:p>
      <w:pPr>
        <w:spacing w:after="120"/>
      </w:pPr>
    </w:p>
    <w:p>
      <w:pPr>
        <w:keepNext/>
        <w:spacing w:before="320" w:after="40"/>
      </w:pPr>
      <w:r>
        <w:rPr>
          <w:rFonts w:ascii="Calibri" w:hAnsi="Calibri"/>
          <w:b/>
          <w:color w:val="A30000"/>
          <w:sz w:val="26"/>
        </w:rPr>
        <w:t xml:space="preserve">CASE 11: </w:t>
      </w:r>
      <w:r>
        <w:rPr>
          <w:rFonts w:ascii="Calibri" w:hAnsi="Calibri"/>
          <w:b/>
          <w:color w:val="182B49"/>
          <w:sz w:val="26"/>
        </w:rPr>
        <w:t>Ramirez v. Court of Appeals</w:t>
      </w:r>
    </w:p>
    <w:p>
      <w:pPr>
        <w:keepNext/>
        <w:spacing w:before="0" w:after="80"/>
      </w:pPr>
      <w:r>
        <w:rPr>
          <w:rFonts w:ascii="Calibri" w:hAnsi="Calibri"/>
          <w:b/>
          <w:i/>
          <w:color w:val="0F4C81"/>
          <w:sz w:val="19"/>
        </w:rPr>
        <w:t>G.R. No. 93833, September 25, 1995 | 248 SCRA 590 | Ponente: Hermosisima, Jr.,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t>III. Basic Guidelines in Construction — Considerations within the Statute</w:t>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t>Section 1 of Republic Act No. 4200 (Anti-Wiretapping Act)</w:t>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Petitioner Socorro Ramirez secretly recorded a heated confrontation between herself and Ester Garcia inside Garcia's office. Garcia subsequently filed a criminal complaint against Ramirez for violating Section 1 of R.A. 4200. Ramirez moved to quash the information, arguing that R.A. 4200 only penalizes wiretapping or secret recording of conversations made by third parties or eavesdroppers, and does not apply when one of the actual participants in the conversation secretly records it.</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Section 1 of R.A. 4200 penalizes the secret recording of a private conversation when done by one of the parties to the communication.</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YES. The statutory phrase 'any other person' and 'any private communication' in R.A. 4200 are clear and unqualified, encompassing even actual participants who secretly record conversations.</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DENIED the petition and AFFIRMED the denial of the motion to quash.</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Petitioner sought to insert an unwritten qualification that 'any other person' excludes participants in the conversation.</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protect constitutional privacy of communication (Article III, Section 3, 1987 Constitution).</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Ubi Lex Non Distinguit, Nec Nos Distinguere Debemus (Where the law does not distinguish, we should not distinguish) &amp; Verba Legis.</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Senate Congressional Deliberations (statements of Sen. Tañada) confirming intent to penalize all secret tape recordings.</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Ubi Lex Non Distinguit: </w:t>
      </w:r>
      <w:r>
        <w:rPr>
          <w:rFonts w:ascii="Calibri" w:hAnsi="Calibri"/>
          <w:color w:val="212529"/>
          <w:sz w:val="19"/>
        </w:rPr>
        <w:t>Where the statutory text uses universal terms without distinction, courts cannot create distinctions.</w:t>
      </w:r>
    </w:p>
    <w:p>
      <w:pPr>
        <w:pStyle w:val="ListBullet"/>
        <w:spacing w:before="0" w:after="40" w:line="276" w:lineRule="auto"/>
        <w:ind w:left="360"/>
      </w:pPr>
      <w:r>
        <w:rPr>
          <w:rFonts w:ascii="Calibri" w:hAnsi="Calibri"/>
          <w:b/>
          <w:color w:val="212529"/>
          <w:sz w:val="19"/>
        </w:rPr>
        <w:t xml:space="preserve">• Congressional Deliberations as Extrinsic Aid: </w:t>
      </w:r>
      <w:r>
        <w:rPr>
          <w:rFonts w:ascii="Calibri" w:hAnsi="Calibri"/>
          <w:color w:val="212529"/>
          <w:sz w:val="19"/>
        </w:rPr>
        <w:t>Floor debates of the bill's sponsor confirmed the comprehensive coverage of the prohibition.</w:t>
      </w:r>
    </w:p>
    <w:p>
      <w:pPr>
        <w:pStyle w:val="ListBullet"/>
        <w:spacing w:before="0" w:after="40" w:line="276" w:lineRule="auto"/>
        <w:ind w:left="360"/>
      </w:pPr>
      <w:r>
        <w:rPr>
          <w:rFonts w:ascii="Calibri" w:hAnsi="Calibri"/>
          <w:b/>
          <w:color w:val="212529"/>
          <w:sz w:val="19"/>
        </w:rPr>
        <w:t xml:space="preserve">• Constitutional Privacy Protection: </w:t>
      </w:r>
      <w:r>
        <w:rPr>
          <w:rFonts w:ascii="Calibri" w:hAnsi="Calibri"/>
          <w:color w:val="212529"/>
          <w:sz w:val="19"/>
        </w:rPr>
        <w:t>Statute interpreted to afford maximum protection to the right to privacy in private communications.</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Section 1 of R.A. 4200 to prohibit any person, including a participant in a private conversation, from secretly recording such communication without the consent of all parties.</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properly applied the clear text and legislative intent, refusing to create a judicial loophole.</w:t>
      </w:r>
    </w:p>
    <w:p>
      <w:pPr>
        <w:spacing w:after="120"/>
      </w:pPr>
    </w:p>
    <w:p>
      <w:pPr>
        <w:keepNext/>
        <w:spacing w:before="320" w:after="40"/>
      </w:pPr>
      <w:r>
        <w:rPr>
          <w:rFonts w:ascii="Calibri" w:hAnsi="Calibri"/>
          <w:b/>
          <w:color w:val="A30000"/>
          <w:sz w:val="26"/>
        </w:rPr>
        <w:t xml:space="preserve">CASE 12: </w:t>
      </w:r>
      <w:r>
        <w:rPr>
          <w:rFonts w:ascii="Calibri" w:hAnsi="Calibri"/>
          <w:b/>
          <w:color w:val="182B49"/>
          <w:sz w:val="26"/>
        </w:rPr>
        <w:t>Pelizloy Realty Corporation v. The Province of Benguet</w:t>
      </w:r>
    </w:p>
    <w:p>
      <w:pPr>
        <w:keepNext/>
        <w:spacing w:before="0" w:after="80"/>
      </w:pPr>
      <w:r>
        <w:rPr>
          <w:rFonts w:ascii="Calibri" w:hAnsi="Calibri"/>
          <w:b/>
          <w:i/>
          <w:color w:val="0F4C81"/>
          <w:sz w:val="19"/>
        </w:rPr>
        <w:t>G.R. No. 183137, April 10, 2013 | 695 SCRA 491 | Ponente: Bersamin,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t>III. Basic Guidelines in Construction — Considerations within the Statute</w:t>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t>Section 140 in relation to Section 131(b) of Republic Act No. 7160 (Local Government Code of 1991)</w:t>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The Province of Benguet enacted a Provincial Tax Ordinance levying a 10% amusement tax on admission fees of resorts, swimming pools, bath houses, hot springs, and tourist spots. Petitioner Pelizloy Realty, which operated a mountain resort, challenged the ordinance, arguing that under Section 140 of the Local Government Code, the provincial amusement tax can only be levied on 'theaters, cinemas, concert halls, circuses, boxing stadia, and other places of amusement' where stage plays, music, and artistic performances are held.</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resorts and swimming pools fall under the category of 'other places of amusement' subject to provincial amusement tax under Section 140 of the Local Government Code.</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NO. Resorts and swimming pools are not places of amusement within the meaning of Section 140 under the rule of Ejusdem Generis.</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DECLARED the amusement tax on resorts in the Provincial Tax Ordinance UNCONSTITUTIONAL and VOID.</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The statutory phrase 'other places of amusement' is a general term following an enumeration of specific venues.</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adhere to the principle of strict construction of tax-imposing statutes against the taxing authority.</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Ejusdem Generis: Where general words follow an enumeration of specific items, the general words are construed to embrace only objects similar in nature to those specifically enumerated (i.e., performance/show venues).</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Section 140 &amp; Section 131(b) of R.A. 7160; dictionary definitions of amusement places; tax law doctrines.</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Ejusdem Generis: </w:t>
      </w:r>
      <w:r>
        <w:rPr>
          <w:rFonts w:ascii="Calibri" w:hAnsi="Calibri"/>
          <w:color w:val="212529"/>
          <w:sz w:val="19"/>
        </w:rPr>
        <w:t>The general phrase 'other places of amusement' is restricted by the specific class: theaters, cinemas, and concert halls.</w:t>
      </w:r>
    </w:p>
    <w:p>
      <w:pPr>
        <w:pStyle w:val="ListBullet"/>
        <w:spacing w:before="0" w:after="40" w:line="276" w:lineRule="auto"/>
        <w:ind w:left="360"/>
      </w:pPr>
      <w:r>
        <w:rPr>
          <w:rFonts w:ascii="Calibri" w:hAnsi="Calibri"/>
          <w:b/>
          <w:color w:val="212529"/>
          <w:sz w:val="19"/>
        </w:rPr>
        <w:t xml:space="preserve">• Strict Construction of Tax Statutes: </w:t>
      </w:r>
      <w:r>
        <w:rPr>
          <w:rFonts w:ascii="Calibri" w:hAnsi="Calibri"/>
          <w:color w:val="212529"/>
          <w:sz w:val="19"/>
        </w:rPr>
        <w:t>Local government units cannot extend tax coverage beyond the clear, explicit statutory authorization.</w:t>
      </w:r>
    </w:p>
    <w:p>
      <w:pPr>
        <w:pStyle w:val="ListBullet"/>
        <w:spacing w:before="0" w:after="40" w:line="276" w:lineRule="auto"/>
        <w:ind w:left="360"/>
      </w:pPr>
      <w:r>
        <w:rPr>
          <w:rFonts w:ascii="Calibri" w:hAnsi="Calibri"/>
          <w:b/>
          <w:color w:val="212529"/>
          <w:sz w:val="19"/>
        </w:rPr>
        <w:t xml:space="preserve">• Statute Read as a Whole: </w:t>
      </w:r>
      <w:r>
        <w:rPr>
          <w:rFonts w:ascii="Calibri" w:hAnsi="Calibri"/>
          <w:color w:val="212529"/>
          <w:sz w:val="19"/>
        </w:rPr>
        <w:t>Reconciling Section 140 with the general definitions in Section 131 of the Local Government Code.</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Section 140 of R.A. 7160 to limit provincial amusement taxes exclusively to venues featuring theatrical, musical, or athletic spectacles, thereby excluding recreational resorts and swimming pools.</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properly applied the canon of Ejusdem Generis, preventing local governments from exceeding statutory taxing bounds.</w:t>
      </w:r>
    </w:p>
    <w:p>
      <w:pPr>
        <w:spacing w:after="120"/>
      </w:pPr>
    </w:p>
    <w:p>
      <w:pPr>
        <w:keepNext/>
        <w:spacing w:before="320" w:after="40"/>
      </w:pPr>
      <w:r>
        <w:rPr>
          <w:rFonts w:ascii="Calibri" w:hAnsi="Calibri"/>
          <w:b/>
          <w:color w:val="A30000"/>
          <w:sz w:val="26"/>
        </w:rPr>
        <w:t xml:space="preserve">CASE 13: </w:t>
      </w:r>
      <w:r>
        <w:rPr>
          <w:rFonts w:ascii="Calibri" w:hAnsi="Calibri"/>
          <w:b/>
          <w:color w:val="182B49"/>
          <w:sz w:val="26"/>
        </w:rPr>
        <w:t>Eugenio v. Drilon</w:t>
      </w:r>
    </w:p>
    <w:p>
      <w:pPr>
        <w:keepNext/>
        <w:spacing w:before="0" w:after="80"/>
      </w:pPr>
      <w:r>
        <w:rPr>
          <w:rFonts w:ascii="Calibri" w:hAnsi="Calibri"/>
          <w:b/>
          <w:i/>
          <w:color w:val="0F4C81"/>
          <w:sz w:val="19"/>
        </w:rPr>
        <w:t>G.R. No. 109404, January 22, 1996 | 252 SCRA 106 | Ponente: Hermosisima, Jr.,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Petitioner Eugenio purchased subdivision lots on installment in 1972. In 1976, Presidential Decree No. 957 (The Subdivision and Condominium Buyers' Protective Decree) was enacted, providing under Section 24 that non-payment of installments by buyers due to failure of the developer to develop the subdivision shall not cause forfeiture of their payments. Petitioner invoked PD 957 to suspend payments. The developer claimed that PD 957 was enacted after the execution of the 1972 contract and cannot be applied retroactively under Article 4 of the Civil Code.</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Presidential Decree No. 957 can be applied retroactively to subdivision sale contracts executed prior to its enactment.</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YES. PD 957 is a social justice and remedial statute designed to protect vulnerable home buyers and applies retroactively to existing contracts.</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DISMISSED the petition and UPHELD the retroactive application of PD 957.</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The statute did not contain an express clause regarding its retroactive application to prior sales contracts.</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give effect to the remedial and social justice purpose of the law (*Ratio Legis*) in protecting home buyers against fraudulent subdivision developers.</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Liberal Construction of Remedial &amp; Social Legislation &amp; Presumption of Prospective vs. Retroactive Operation: Remedial statutes and laws enacted for the public good apply to existing contracts unless vested property rights are impaired.</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Preamble of PD 957; constitutional social justice provisions; Police Power principles.</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Liberal Construction of Social Legislation: </w:t>
      </w:r>
      <w:r>
        <w:rPr>
          <w:rFonts w:ascii="Calibri" w:hAnsi="Calibri"/>
          <w:color w:val="212529"/>
          <w:sz w:val="19"/>
        </w:rPr>
        <w:t>Consumer protection laws are construed liberally in favor of the class intended to be protected.</w:t>
      </w:r>
    </w:p>
    <w:p>
      <w:pPr>
        <w:pStyle w:val="ListBullet"/>
        <w:spacing w:before="0" w:after="40" w:line="276" w:lineRule="auto"/>
        <w:ind w:left="360"/>
      </w:pPr>
      <w:r>
        <w:rPr>
          <w:rFonts w:ascii="Calibri" w:hAnsi="Calibri"/>
          <w:b/>
          <w:color w:val="212529"/>
          <w:sz w:val="19"/>
        </w:rPr>
        <w:t xml:space="preserve">• Retroactive Operation of Remedial Statutes: </w:t>
      </w:r>
      <w:r>
        <w:rPr>
          <w:rFonts w:ascii="Calibri" w:hAnsi="Calibri"/>
          <w:color w:val="212529"/>
          <w:sz w:val="19"/>
        </w:rPr>
        <w:t>Remedial and curative laws apply to antecedent transactions to remedy an ongoing social mischief.</w:t>
      </w:r>
    </w:p>
    <w:p>
      <w:pPr>
        <w:pStyle w:val="ListBullet"/>
        <w:spacing w:before="0" w:after="40" w:line="276" w:lineRule="auto"/>
        <w:ind w:left="360"/>
      </w:pPr>
      <w:r>
        <w:rPr>
          <w:rFonts w:ascii="Calibri" w:hAnsi="Calibri"/>
          <w:b/>
          <w:color w:val="212529"/>
          <w:sz w:val="19"/>
        </w:rPr>
        <w:t xml:space="preserve">• Preamble as Guide to Intent: </w:t>
      </w:r>
      <w:r>
        <w:rPr>
          <w:rFonts w:ascii="Calibri" w:hAnsi="Calibri"/>
          <w:color w:val="212529"/>
          <w:sz w:val="19"/>
        </w:rPr>
        <w:t>The Preamble revealed the acute housing crisis that PD 957 was specifically designed to cure.</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Section 24 of PD 957 to apply to all contracts for subdivision lot sales, including those executed prior to its enactment, to fulfill its protective social mandate.</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properly implemented the remedial intent of the law without violating constitutional contracts protections.</w:t>
      </w:r>
    </w:p>
    <w:p>
      <w:pPr>
        <w:spacing w:after="120"/>
      </w:pPr>
    </w:p>
    <w:p>
      <w:pPr>
        <w:keepNext/>
        <w:spacing w:before="320" w:after="40"/>
      </w:pPr>
      <w:r>
        <w:rPr>
          <w:rFonts w:ascii="Calibri" w:hAnsi="Calibri"/>
          <w:b/>
          <w:color w:val="A30000"/>
          <w:sz w:val="26"/>
        </w:rPr>
        <w:t xml:space="preserve">CASE 14: </w:t>
      </w:r>
      <w:r>
        <w:rPr>
          <w:rFonts w:ascii="Calibri" w:hAnsi="Calibri"/>
          <w:b/>
          <w:color w:val="182B49"/>
          <w:sz w:val="26"/>
        </w:rPr>
        <w:t>MMDA v. Garin</w:t>
      </w:r>
    </w:p>
    <w:p>
      <w:pPr>
        <w:keepNext/>
        <w:spacing w:before="0" w:after="80"/>
      </w:pPr>
      <w:r>
        <w:rPr>
          <w:rFonts w:ascii="Calibri" w:hAnsi="Calibri"/>
          <w:b/>
          <w:i/>
          <w:color w:val="0F4C81"/>
          <w:sz w:val="19"/>
        </w:rPr>
        <w:t>G.R. No. 130230, April 15, 2005 | 456 SCRA 176 | Ponente: Chico-Nazario,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Respondent Atty. Dante Garin was issued a traffic violation ticket by an MMDA traffic enforcer for illegal parking, and his driver's license was confiscated pursuant to MMDA Memorandum Circular No. 95-003. Garin challenged the circular, arguing that Republic Act No. 7924 (the MMDA Charter) did not grant the MMDA legislative police power or the statutory authority to confiscate driver's licenses or enact penal traffic ordinances.</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Republic Act No. 7924 grants the MMDA police power to confiscate driver's licenses of traffic violators.</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NO. The MMDA is an administrative coordinating body, not a legislative local government unit, and has no statutory power to confiscate licenses.</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AFFIRMED the permanent injunction against the MMDA's confiscation of licenses without explicit local statutory ordinance backing.</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MMDA claimed police power authority based on general phrases in Section 3 of R.A. 7924 regarding 'metro-wide services.'</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prevent administrative overreach and protect the constitutional principle that police power resides primarily in the Legislature.</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Strict Construction of Administrative Powers &amp; Legislative Intent: Administrative agencies possess only such powers as are expressly granted by statute or necessarily implied therefrom.</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R.A. 7924; legislative debates confirming MMDA was intended as an administrative coordinator, not a political governing body.</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Limits of Administrative Power: </w:t>
      </w:r>
      <w:r>
        <w:rPr>
          <w:rFonts w:ascii="Calibri" w:hAnsi="Calibri"/>
          <w:color w:val="212529"/>
          <w:sz w:val="19"/>
        </w:rPr>
        <w:t>Administrative bodies cannot expand their statutory charter by executive interpretation.</w:t>
      </w:r>
    </w:p>
    <w:p>
      <w:pPr>
        <w:pStyle w:val="ListBullet"/>
        <w:spacing w:before="0" w:after="40" w:line="276" w:lineRule="auto"/>
        <w:ind w:left="360"/>
      </w:pPr>
      <w:r>
        <w:rPr>
          <w:rFonts w:ascii="Calibri" w:hAnsi="Calibri"/>
          <w:b/>
          <w:color w:val="212529"/>
          <w:sz w:val="19"/>
        </w:rPr>
        <w:t xml:space="preserve">• Legislative Intent from Debates: </w:t>
      </w:r>
      <w:r>
        <w:rPr>
          <w:rFonts w:ascii="Calibri" w:hAnsi="Calibri"/>
          <w:color w:val="212529"/>
          <w:sz w:val="19"/>
        </w:rPr>
        <w:t>Congressional transcripts established that Congress deliberately withheld legislative police power from MMDA.</w:t>
      </w:r>
    </w:p>
    <w:p>
      <w:pPr>
        <w:pStyle w:val="ListBullet"/>
        <w:spacing w:before="0" w:after="40" w:line="276" w:lineRule="auto"/>
        <w:ind w:left="360"/>
      </w:pPr>
      <w:r>
        <w:rPr>
          <w:rFonts w:ascii="Calibri" w:hAnsi="Calibri"/>
          <w:b/>
          <w:color w:val="212529"/>
          <w:sz w:val="19"/>
        </w:rPr>
        <w:t xml:space="preserve">• Strict Construction of Coercive Powers: </w:t>
      </w:r>
      <w:r>
        <w:rPr>
          <w:rFonts w:ascii="Calibri" w:hAnsi="Calibri"/>
          <w:color w:val="212529"/>
          <w:sz w:val="19"/>
        </w:rPr>
        <w:t>Power to confiscate personal licenses must have clear, explicit statutory authorization.</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R.A. 7924 as creating an administrative agency without legislative police power, holding that license confiscation requires an explicit statutory enactment by Congress or local councils.</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properly enforced statutory boundaries, preventing an administrative agency from arrogating legislative powers.</w:t>
      </w:r>
    </w:p>
    <w:p>
      <w:pPr>
        <w:spacing w:after="120"/>
      </w:pPr>
    </w:p>
    <w:p>
      <w:pPr>
        <w:keepNext/>
        <w:spacing w:before="320" w:after="40"/>
      </w:pPr>
      <w:r>
        <w:rPr>
          <w:rFonts w:ascii="Calibri" w:hAnsi="Calibri"/>
          <w:b/>
          <w:color w:val="A30000"/>
          <w:sz w:val="26"/>
        </w:rPr>
        <w:t xml:space="preserve">CASE 15: </w:t>
      </w:r>
      <w:r>
        <w:rPr>
          <w:rFonts w:ascii="Calibri" w:hAnsi="Calibri"/>
          <w:b/>
          <w:color w:val="182B49"/>
          <w:sz w:val="26"/>
        </w:rPr>
        <w:t>CIR v. SM Prime Holdings, Inc.</w:t>
      </w:r>
    </w:p>
    <w:p>
      <w:pPr>
        <w:keepNext/>
        <w:spacing w:before="0" w:after="80"/>
      </w:pPr>
      <w:r>
        <w:rPr>
          <w:rFonts w:ascii="Calibri" w:hAnsi="Calibri"/>
          <w:b/>
          <w:i/>
          <w:color w:val="0F4C81"/>
          <w:sz w:val="19"/>
        </w:rPr>
        <w:t>G.R. No. 183505, February 26, 2010 | 613 SCRA 774 | Ponente: Corona,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The Bureau of Internal Revenue (BIR) assessed SM Prime Holdings with Value-Added Tax (VAT) deficiency on gross receipts derived from movie ticket admissions in its cinema theaters, invoking Section 108 of the National Internal Revenue Code (NIRC) which imposes VAT on 'sale or exchange of services, including the lease or use of properties.' SM Prime contested the assessment, arguing that cinema ticket sales are subject exclusively to local amusement tax under the Local Government Code and not to national VAT under the NIRC.</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the showing of motion pictures in cinemas is subject to VAT under Section 108 of the National Internal Revenue Code.</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NO. The exhibition of movies in theaters is not subject to VAT because Congress did not intend to impose double taxation on cinema admissions already burdened by local amusement taxes.</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AFFIRMED the cancellation of the VAT assessment against SM Prime Holdings.</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Section 108 of the NIRC provides a broad enumeration of services subject to VAT, creating ambiguity regarding whether cinema admissions fall within its general scope.</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avoid double taxation and uphold the rule that tax laws are strictly construed against the State and in favor of the taxpayer.</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Strict Construction of Tax Laws (In Dubio Contra Fiscum) &amp; Legislative History: Taxes are never presumed; legislative deliberations on the VAT Law showed that cinema theater operations were deliberately omitted from the VAT coverage.</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NIRC Section 108; Local Government Code Section 140; Bicameral Conference Committee deliberations on the VAT reform acts.</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Strict Construction of Taxing Statutes: </w:t>
      </w:r>
      <w:r>
        <w:rPr>
          <w:rFonts w:ascii="Calibri" w:hAnsi="Calibri"/>
          <w:color w:val="212529"/>
          <w:sz w:val="19"/>
        </w:rPr>
        <w:t>A tax cannot be imposed without clear, unequivocal statutory language.</w:t>
      </w:r>
    </w:p>
    <w:p>
      <w:pPr>
        <w:pStyle w:val="ListBullet"/>
        <w:spacing w:before="0" w:after="40" w:line="276" w:lineRule="auto"/>
        <w:ind w:left="360"/>
      </w:pPr>
      <w:r>
        <w:rPr>
          <w:rFonts w:ascii="Calibri" w:hAnsi="Calibri"/>
          <w:b/>
          <w:color w:val="212529"/>
          <w:sz w:val="19"/>
        </w:rPr>
        <w:t xml:space="preserve">• Legislative History as Extrinsic Aid: </w:t>
      </w:r>
      <w:r>
        <w:rPr>
          <w:rFonts w:ascii="Calibri" w:hAnsi="Calibri"/>
          <w:color w:val="212529"/>
          <w:sz w:val="19"/>
        </w:rPr>
        <w:t>Congressional records proved that Congress rejected amendments seeking to include cinema admissions in the VAT base.</w:t>
      </w:r>
    </w:p>
    <w:p>
      <w:pPr>
        <w:pStyle w:val="ListBullet"/>
        <w:spacing w:before="0" w:after="40" w:line="276" w:lineRule="auto"/>
        <w:ind w:left="360"/>
      </w:pPr>
      <w:r>
        <w:rPr>
          <w:rFonts w:ascii="Calibri" w:hAnsi="Calibri"/>
          <w:b/>
          <w:color w:val="212529"/>
          <w:sz w:val="19"/>
        </w:rPr>
        <w:t xml:space="preserve">• Harmonization to Avoid Double Taxation: </w:t>
      </w:r>
      <w:r>
        <w:rPr>
          <w:rFonts w:ascii="Calibri" w:hAnsi="Calibri"/>
          <w:color w:val="212529"/>
          <w:sz w:val="19"/>
        </w:rPr>
        <w:t>Harmonizing national tax statutes with local taxation powers to prevent oppressive overlapping levies.</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Section 108 of the NIRC strictly to exclude movie theater admissions from VAT liability, finding that cinema operators are subject exclusively to the local amusement tax.</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properly applied strict construction, refusing the executive agency's attempt to expand tax liabilities beyond legislative authority.</w:t>
      </w:r>
    </w:p>
    <w:p>
      <w:pPr>
        <w:spacing w:after="120"/>
      </w:pPr>
    </w:p>
    <w:p>
      <w:pPr>
        <w:keepNext/>
        <w:spacing w:before="320" w:after="40"/>
      </w:pPr>
      <w:r>
        <w:rPr>
          <w:rFonts w:ascii="Calibri" w:hAnsi="Calibri"/>
          <w:b/>
          <w:color w:val="A30000"/>
          <w:sz w:val="26"/>
        </w:rPr>
        <w:t xml:space="preserve">CASE 16: </w:t>
      </w:r>
      <w:r>
        <w:rPr>
          <w:rFonts w:ascii="Calibri" w:hAnsi="Calibri"/>
          <w:b/>
          <w:color w:val="182B49"/>
          <w:sz w:val="26"/>
        </w:rPr>
        <w:t>Mustang Lumber, Inc. v. Court of Appeals</w:t>
      </w:r>
    </w:p>
    <w:p>
      <w:pPr>
        <w:keepNext/>
        <w:spacing w:before="0" w:after="80"/>
      </w:pPr>
      <w:r>
        <w:rPr>
          <w:rFonts w:ascii="Calibri" w:hAnsi="Calibri"/>
          <w:b/>
          <w:i/>
          <w:color w:val="0F4C81"/>
          <w:sz w:val="19"/>
        </w:rPr>
        <w:t>G.R. No. 104988, June 18, 1996 | 257 SCRA 430 | Ponente: Davide, Jr.,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DENR officials seized truckloads of almaciga lumber from Mustang Lumber's compound for lack of required transport permits. Mustang Lumber was charged with illegal logging under Section 68 of Presidential Decree No. 705 (Revised Forestry Code), which penalizes possession of 'timber or other forest products' without legal authority. Petitioner moved to quash, arguing that 'lumber' is manufactured wood and is distinct from 'timber,' and since the statute only mentioned 'timber,' the possession of processed lumber was not a criminal offense.</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the statutory term 'timber' in Section 68 of PD 705 includes processed 'lumber.'</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YES. The statutory term 'timber' includes lumber; taking or possessing processed lumber without legal authority constitutes illegal logging.</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DISMISSED the petitions and AFFIRMED the criminal prosecution for violation of the Forestry Code.</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Petitioner attempted to exploit a technical semantic distinction between raw timber logs and processed lumber boards to escape penal liability.</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give full effect to the environmental conservation objective and manifest policy of the Forestry Code (*Ratio Legis*).</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Purposive Construction &amp; Ordinary / Popular Meaning: To exclude lumber from the definition of timber would result in the complete emasculation of the Forestry Code, as illegal loggers could easily evade the law by sawing felled trees into lumber boards.</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Preamble and broad policy of PD 705; forestry industry definitions; Spanish and English forestry precedents.</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Avoidance of Absurdity: </w:t>
      </w:r>
      <w:r>
        <w:rPr>
          <w:rFonts w:ascii="Calibri" w:hAnsi="Calibri"/>
          <w:color w:val="212529"/>
          <w:sz w:val="19"/>
        </w:rPr>
        <w:t>Statutory interpretation that creates an easy loophole for evading environmental penal laws is rejected.</w:t>
      </w:r>
    </w:p>
    <w:p>
      <w:pPr>
        <w:pStyle w:val="ListBullet"/>
        <w:spacing w:before="0" w:after="40" w:line="276" w:lineRule="auto"/>
        <w:ind w:left="360"/>
      </w:pPr>
      <w:r>
        <w:rPr>
          <w:rFonts w:ascii="Calibri" w:hAnsi="Calibri"/>
          <w:b/>
          <w:color w:val="212529"/>
          <w:sz w:val="19"/>
        </w:rPr>
        <w:t xml:space="preserve">• Purposive Construction: </w:t>
      </w:r>
      <w:r>
        <w:rPr>
          <w:rFonts w:ascii="Calibri" w:hAnsi="Calibri"/>
          <w:color w:val="212529"/>
          <w:sz w:val="19"/>
        </w:rPr>
        <w:t>Construing statutory terms to advance the clear legislative objective of preserving forest resources.</w:t>
      </w:r>
    </w:p>
    <w:p>
      <w:pPr>
        <w:pStyle w:val="ListBullet"/>
        <w:spacing w:before="0" w:after="40" w:line="276" w:lineRule="auto"/>
        <w:ind w:left="360"/>
      </w:pPr>
      <w:r>
        <w:rPr>
          <w:rFonts w:ascii="Calibri" w:hAnsi="Calibri"/>
          <w:b/>
          <w:color w:val="212529"/>
          <w:sz w:val="19"/>
        </w:rPr>
        <w:t xml:space="preserve">• Statute Read as a Whole: </w:t>
      </w:r>
      <w:r>
        <w:rPr>
          <w:rFonts w:ascii="Calibri" w:hAnsi="Calibri"/>
          <w:color w:val="212529"/>
          <w:sz w:val="19"/>
        </w:rPr>
        <w:t>Reading Section 68 in conjunction with the comprehensive conservation scheme of the Forestry Code.</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the word 'timber' under Section 68 of PD 705 to encompass both raw logs and sawn/processed lumber, ensuring comprehensive protection against unauthorized logging.</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properly interpreted the term in harmony with the statutory objective, refusing to sanction an absurd semantic evasion.</w:t>
      </w:r>
    </w:p>
    <w:p>
      <w:pPr>
        <w:spacing w:after="120"/>
      </w:pPr>
    </w:p>
    <w:p>
      <w:pPr>
        <w:keepNext/>
        <w:spacing w:before="320" w:after="40"/>
      </w:pPr>
      <w:r>
        <w:rPr>
          <w:rFonts w:ascii="Calibri" w:hAnsi="Calibri"/>
          <w:b/>
          <w:color w:val="A30000"/>
          <w:sz w:val="26"/>
        </w:rPr>
        <w:t xml:space="preserve">CASE 17: </w:t>
      </w:r>
      <w:r>
        <w:rPr>
          <w:rFonts w:ascii="Calibri" w:hAnsi="Calibri"/>
          <w:b/>
          <w:color w:val="182B49"/>
          <w:sz w:val="26"/>
        </w:rPr>
        <w:t>Krivenko v. Register of Deeds</w:t>
      </w:r>
    </w:p>
    <w:p>
      <w:pPr>
        <w:keepNext/>
        <w:spacing w:before="0" w:after="80"/>
      </w:pPr>
      <w:r>
        <w:rPr>
          <w:rFonts w:ascii="Calibri" w:hAnsi="Calibri"/>
          <w:b/>
          <w:i/>
          <w:color w:val="0F4C81"/>
          <w:sz w:val="19"/>
        </w:rPr>
        <w:t>G.R. No. L-630, November 15, 1947 | 79 Phil. 461 | Ponente: Moran, C.J.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Alexander A. Krivenko, an alien (Russian national), purchased a residential lot in Manila in 1941. When he sought to register the deed of sale after the liberation of Manila, the Register of Deeds refused on the ground that the 1935 Constitution (Article XIII, Section 5) prohibited the transfer of agricultural lands to foreigners. Krivenko argued that residential land is urban/residential and not 'agricultural land.'</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the constitutional phrase 'private agricultural land' under the 1935 Constitution includes urban residential and commercial lands.</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YES. The constitutional term 'agricultural land' is used generically to encompass all lands of the public domain that are neither timber/forest nor mineral lands, including residential lots.</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AFFIRMED the refusal to register the sale, holding that aliens cannot acquire private residential lands in the Philippines.</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The word 'agricultural' has both a narrow colloquial meaning (cultivated farm lands) and a comprehensive legal constitutional meaning.</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enforce the supreme constitutional policy of preserving the patrimony and land of the Philippines for the Filipino people.</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Constitutional Construction &amp; In Pari Materia: Under the Public Land Acts and constitutional classifications, lands are divided into only three classes: mineral, timber, and agricultural. Residential lands necessarily fall under the agricultural classification.</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1935 Constitution Art. XIII, Sec. 1 &amp; 5; Public Land Act (Act No. 2874 &amp; C.A. 141); Records of the 1934 Constitutional Convention; Mapa v. Insular Government.</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Constitutional Supremacy &amp; National Patrimony: </w:t>
      </w:r>
      <w:r>
        <w:rPr>
          <w:rFonts w:ascii="Calibri" w:hAnsi="Calibri"/>
          <w:color w:val="212529"/>
          <w:sz w:val="19"/>
        </w:rPr>
        <w:t>Constitutional provisions protecting national patrimony are construed to give full force to the protective policy.</w:t>
      </w:r>
    </w:p>
    <w:p>
      <w:pPr>
        <w:pStyle w:val="ListBullet"/>
        <w:spacing w:before="0" w:after="40" w:line="276" w:lineRule="auto"/>
        <w:ind w:left="360"/>
      </w:pPr>
      <w:r>
        <w:rPr>
          <w:rFonts w:ascii="Calibri" w:hAnsi="Calibri"/>
          <w:b/>
          <w:color w:val="212529"/>
          <w:sz w:val="19"/>
        </w:rPr>
        <w:t xml:space="preserve">• In Pari Materia with Public Land Laws: </w:t>
      </w:r>
      <w:r>
        <w:rPr>
          <w:rFonts w:ascii="Calibri" w:hAnsi="Calibri"/>
          <w:color w:val="212529"/>
          <w:sz w:val="19"/>
        </w:rPr>
        <w:t>Construing constitutional land terms consistently with foundational public land classifications.</w:t>
      </w:r>
    </w:p>
    <w:p>
      <w:pPr>
        <w:pStyle w:val="ListBullet"/>
        <w:spacing w:before="0" w:after="40" w:line="276" w:lineRule="auto"/>
        <w:ind w:left="360"/>
      </w:pPr>
      <w:r>
        <w:rPr>
          <w:rFonts w:ascii="Calibri" w:hAnsi="Calibri"/>
          <w:b/>
          <w:color w:val="212529"/>
          <w:sz w:val="19"/>
        </w:rPr>
        <w:t xml:space="preserve">• Generic vs. Specific Meaning: </w:t>
      </w:r>
      <w:r>
        <w:rPr>
          <w:rFonts w:ascii="Calibri" w:hAnsi="Calibri"/>
          <w:color w:val="212529"/>
          <w:sz w:val="19"/>
        </w:rPr>
        <w:t>Adopting the established generic legal meaning of agricultural lands rather than narrow agricultural usage.</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the term 'agricultural land' in the Constitution to include all lands that are not timber or mineral, thereby barring aliens from acquiring residential and commercial real estate.</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gave authoritative effect to the intent of the framers, safeguarding constitutional sovereignty.</w:t>
      </w:r>
    </w:p>
    <w:p>
      <w:pPr>
        <w:spacing w:after="120"/>
      </w:pPr>
    </w:p>
    <w:p>
      <w:pPr>
        <w:keepNext/>
        <w:spacing w:before="320" w:after="40"/>
      </w:pPr>
      <w:r>
        <w:rPr>
          <w:rFonts w:ascii="Calibri" w:hAnsi="Calibri"/>
          <w:b/>
          <w:color w:val="A30000"/>
          <w:sz w:val="26"/>
        </w:rPr>
        <w:t xml:space="preserve">CASE 18: </w:t>
      </w:r>
      <w:r>
        <w:rPr>
          <w:rFonts w:ascii="Calibri" w:hAnsi="Calibri"/>
          <w:b/>
          <w:color w:val="182B49"/>
          <w:sz w:val="26"/>
        </w:rPr>
        <w:t>Francisco v. House of Representatives</w:t>
      </w:r>
    </w:p>
    <w:p>
      <w:pPr>
        <w:keepNext/>
        <w:spacing w:before="0" w:after="80"/>
      </w:pPr>
      <w:r>
        <w:rPr>
          <w:rFonts w:ascii="Calibri" w:hAnsi="Calibri"/>
          <w:b/>
          <w:i/>
          <w:color w:val="0F4C81"/>
          <w:sz w:val="19"/>
        </w:rPr>
        <w:t>G.R. No. 160261, November 10, 2003 | 415 SCRA 44 | Ponente: Carpio Morales,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A second impeachment complaint was filed against then Chief Justice Hilario G. Davide, Jr. by members of the House of Representatives within five months after an initial impeachment complaint against him had been filed and dismissed. Petitioners challenged the constitutionality of the second complaint, invoking Article XI, Section 3(5) of the 1987 Constitution, which provides: 'No impeachment proceeding shall be initiated against the same official more than once within a period of one year.' Respondents argued that 'initiated' means the filing of the Articles of Impeachment with the Senate, and not the mere filing of a complaint with the House.</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When is an impeachment proceeding deemed 'initiated' within the one-year constitutional bar under Article XI, Section 3(5).</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An impeachment proceeding is 'initiated' upon the filing of the verified complaint with the House of Representatives and its referral to the proper committee; hence, the second complaint was unconstitutional.</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DECLARED the second impeachment complaint against Chief Justice Davide UNCONSTITUTIONAL and VOID.</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The word 'initiate' was susceptible of two competing interpretations: (1) filing and referral of the complaint in the House, or (2) transmittal of Articles of Impeachment to the Senate.</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uphold the constitutional safeguard protecting public officials from repetitive and harassing impeachment proceedings.</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Verba Legis &amp; Constitutional Commission Deliberations: In ordinary and legal parlance, 'to initiate' means to begin, start, or commence. Deliberations of the 1986 Constitutional Commission showed that the framers explicitly meant the filing and taking cognizance of the complaint by the House.</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Records of the 1986 Constitutional Commission (statements of Commissioners Monsod, Maambong, and Regalado); Black's Law Dictionary; Rules of the House of Representatives.</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Verba Legis in Constitutional Law: </w:t>
      </w:r>
      <w:r>
        <w:rPr>
          <w:rFonts w:ascii="Calibri" w:hAnsi="Calibri"/>
          <w:color w:val="212529"/>
          <w:sz w:val="19"/>
        </w:rPr>
        <w:t>Words of the Constitution are interpreted in their natural, ordinary, and commonly accepted meaning.</w:t>
      </w:r>
    </w:p>
    <w:p>
      <w:pPr>
        <w:pStyle w:val="ListBullet"/>
        <w:spacing w:before="0" w:after="40" w:line="276" w:lineRule="auto"/>
        <w:ind w:left="360"/>
      </w:pPr>
      <w:r>
        <w:rPr>
          <w:rFonts w:ascii="Calibri" w:hAnsi="Calibri"/>
          <w:b/>
          <w:color w:val="212529"/>
          <w:sz w:val="19"/>
        </w:rPr>
        <w:t xml:space="preserve">• Constitutional Intent via Deliberations: </w:t>
      </w:r>
      <w:r>
        <w:rPr>
          <w:rFonts w:ascii="Calibri" w:hAnsi="Calibri"/>
          <w:color w:val="212529"/>
          <w:sz w:val="19"/>
        </w:rPr>
        <w:t>Records of the Constitutional Commission provide the conclusive intent of the framers.</w:t>
      </w:r>
    </w:p>
    <w:p>
      <w:pPr>
        <w:pStyle w:val="ListBullet"/>
        <w:spacing w:before="0" w:after="40" w:line="276" w:lineRule="auto"/>
        <w:ind w:left="360"/>
      </w:pPr>
      <w:r>
        <w:rPr>
          <w:rFonts w:ascii="Calibri" w:hAnsi="Calibri"/>
          <w:b/>
          <w:color w:val="212529"/>
          <w:sz w:val="19"/>
        </w:rPr>
        <w:t xml:space="preserve">• Judicial Review of Constitutional Boundaries: </w:t>
      </w:r>
      <w:r>
        <w:rPr>
          <w:rFonts w:ascii="Calibri" w:hAnsi="Calibri"/>
          <w:color w:val="212529"/>
          <w:sz w:val="19"/>
        </w:rPr>
        <w:t>The Court has the duty to enforce constitutional limitations on legislative impeachment powers.</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the term 'initiated' in Article XI, Section 3(5) to mean the filing and referral of an impeachment complaint, thereby activating the one-year bar against subsequent impeachment complaints.</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properly exercised judicial review, enforcing the explicit constitutional boundary enacted by the people.</w:t>
      </w:r>
    </w:p>
    <w:p>
      <w:pPr>
        <w:spacing w:after="120"/>
      </w:pPr>
    </w:p>
    <w:p>
      <w:pPr>
        <w:keepNext/>
        <w:spacing w:before="320" w:after="40"/>
      </w:pPr>
      <w:r>
        <w:rPr>
          <w:rFonts w:ascii="Calibri" w:hAnsi="Calibri"/>
          <w:b/>
          <w:color w:val="A30000"/>
          <w:sz w:val="26"/>
        </w:rPr>
        <w:t xml:space="preserve">CASE 19: </w:t>
      </w:r>
      <w:r>
        <w:rPr>
          <w:rFonts w:ascii="Calibri" w:hAnsi="Calibri"/>
          <w:b/>
          <w:color w:val="182B49"/>
          <w:sz w:val="26"/>
        </w:rPr>
        <w:t>De Castro v. Judicial and Bar Council</w:t>
      </w:r>
    </w:p>
    <w:p>
      <w:pPr>
        <w:keepNext/>
        <w:spacing w:before="0" w:after="80"/>
      </w:pPr>
      <w:r>
        <w:rPr>
          <w:rFonts w:ascii="Calibri" w:hAnsi="Calibri"/>
          <w:b/>
          <w:i/>
          <w:color w:val="0F4C81"/>
          <w:sz w:val="19"/>
        </w:rPr>
        <w:t>G.R. No. 191002, April 20, 2010 | 618 SCRA 639 | Ponente: Bersamin,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With the compulsory retirement of Chief Justice Reynato S. Puno on May 17, 2010 (seven days after the presidential election), petitioners questioned whether President Gloria Macapagal-Arroyo could appoint the next Chief Justice in light of Article VII, Section 15 of the 1987 Constitution, which prohibits the President from making appointments two months immediately before the next presidential elections and up to the end of his term (Midnight Appointments ban).</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the midnight appointments prohibition under Article VII, Section 15 applies to appointments to the Supreme Court governed by Article VIII, Section 4(1).</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NO. The constitutional ban on midnight appointments under Article VII applies exclusively to executive appointments and does not extend to vacancies in the Supreme Court.</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RULED that the President can appoint the successor Chief Justice, holding that the 90-day constitutional mandate to fill Supreme Court vacancies takes precedence.</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An apparent conflict existed between the general midnight appointments prohibition in the Executive Department article (Art. VII, Sec. 15) and the specific 90-day mandatory deadline to fill Supreme Court vacancies in the Judicial Department article (Art. VIII, Sec. 4[1]).</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prevent judicial vacancies and ensure the continuous, uninterrupted functioning of the Supreme Court.</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Generalia Specialibus Non Derogant &amp; Systematic Structural Construction: Specific constitutional provisions governing the Judiciary control over general provisions governing the Executive; the framers placed Section 15 specifically within Article VII.</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Constitutional layout and structure; Records of the 1986 Constitutional Commission; 90-day vacancy mandate under Article VIII, Section 4(1).</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Generalia Specialibus Non Derogant: </w:t>
      </w:r>
      <w:r>
        <w:rPr>
          <w:rFonts w:ascii="Calibri" w:hAnsi="Calibri"/>
          <w:color w:val="212529"/>
          <w:sz w:val="19"/>
        </w:rPr>
        <w:t>The specific 90-day judicial appointment mandate prevails over the general executive appointment restriction.</w:t>
      </w:r>
    </w:p>
    <w:p>
      <w:pPr>
        <w:pStyle w:val="ListBullet"/>
        <w:spacing w:before="0" w:after="40" w:line="276" w:lineRule="auto"/>
        <w:ind w:left="360"/>
      </w:pPr>
      <w:r>
        <w:rPr>
          <w:rFonts w:ascii="Calibri" w:hAnsi="Calibri"/>
          <w:b/>
          <w:color w:val="212529"/>
          <w:sz w:val="19"/>
        </w:rPr>
        <w:t xml:space="preserve">• Structural &amp; Systematic Construction: </w:t>
      </w:r>
      <w:r>
        <w:rPr>
          <w:rFonts w:ascii="Calibri" w:hAnsi="Calibri"/>
          <w:color w:val="212529"/>
          <w:sz w:val="19"/>
        </w:rPr>
        <w:t>The location of a section within a specific Article of the Constitution reveals its intended jurisdictional scope.</w:t>
      </w:r>
    </w:p>
    <w:p>
      <w:pPr>
        <w:pStyle w:val="ListBullet"/>
        <w:spacing w:before="0" w:after="40" w:line="276" w:lineRule="auto"/>
        <w:ind w:left="360"/>
      </w:pPr>
      <w:r>
        <w:rPr>
          <w:rFonts w:ascii="Calibri" w:hAnsi="Calibri"/>
          <w:b/>
          <w:color w:val="212529"/>
          <w:sz w:val="19"/>
        </w:rPr>
        <w:t xml:space="preserve">• Harmonization of Constitutional Provisions: </w:t>
      </w:r>
      <w:r>
        <w:rPr>
          <w:rFonts w:ascii="Calibri" w:hAnsi="Calibri"/>
          <w:color w:val="212529"/>
          <w:sz w:val="19"/>
        </w:rPr>
        <w:t>Reconciling distinct constitutional articles to preserve institutional stability.</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Article VII, Section 15 as an executive limitation that does not apply to the filling of Supreme Court vacancies mandated under Article VIII, Section 4(1).</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harmonized conflicting constitutional provisions based on structural design and legislative intent.</w:t>
      </w:r>
    </w:p>
    <w:p>
      <w:pPr>
        <w:spacing w:after="120"/>
      </w:pPr>
    </w:p>
    <w:p>
      <w:pPr>
        <w:keepNext/>
        <w:spacing w:before="320" w:after="40"/>
      </w:pPr>
      <w:r>
        <w:rPr>
          <w:rFonts w:ascii="Calibri" w:hAnsi="Calibri"/>
          <w:b/>
          <w:color w:val="A30000"/>
          <w:sz w:val="26"/>
        </w:rPr>
        <w:t xml:space="preserve">CASE 20: </w:t>
      </w:r>
      <w:r>
        <w:rPr>
          <w:rFonts w:ascii="Calibri" w:hAnsi="Calibri"/>
          <w:b/>
          <w:color w:val="182B49"/>
          <w:sz w:val="26"/>
        </w:rPr>
        <w:t>Engle v. Commission on Elections</w:t>
      </w:r>
    </w:p>
    <w:p>
      <w:pPr>
        <w:keepNext/>
        <w:spacing w:before="0" w:after="80"/>
      </w:pPr>
      <w:r>
        <w:rPr>
          <w:rFonts w:ascii="Calibri" w:hAnsi="Calibri"/>
          <w:b/>
          <w:i/>
          <w:color w:val="0F4C81"/>
          <w:sz w:val="19"/>
        </w:rPr>
        <w:t>G.R. No. 215995, January 19, 2016 | 779 SCRA 355 | Ponente: Leonen, J.</w:t>
      </w:r>
    </w:p>
    <w:p>
      <w:pPr>
        <w:keepNext/>
        <w:spacing w:before="120" w:after="40"/>
      </w:pPr>
      <w:r>
        <w:rPr>
          <w:rFonts w:ascii="Calibri" w:hAnsi="Calibri"/>
          <w:b/>
          <w:color w:val="0F4C81"/>
          <w:sz w:val="21"/>
        </w:rPr>
        <w:t>I. SUBJECT MATTER &amp; PROVISION SCRUTINIZED</w:t>
      </w:r>
    </w:p>
    <w:p>
      <w:pPr>
        <w:pStyle w:val="ListBullet"/>
        <w:spacing w:before="0" w:after="40" w:line="276" w:lineRule="auto"/>
        <w:ind w:left="360"/>
      </w:pPr>
      <w:r>
        <w:rPr>
          <w:rFonts w:ascii="Calibri" w:hAnsi="Calibri"/>
          <w:b/>
          <w:color w:val="212529"/>
          <w:sz w:val="19"/>
        </w:rPr>
        <w:t xml:space="preserve">• Syllabus Classification: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Statutory Provision Scrutinized: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James Engle filed a Certificate of Candidacy (COC) for Mayor of Babatngon, Leyte. After filing, he died. His wife, Maria Joyce Engle, filed a certificate of candidacy as substitute candidate for her deceased husband under Section 77 of the Omnibus Election Code. The COMELEC disqualified the wife on the ground that the deceased husband's COC had been previously subjected to a denial of due course due to alleged misrepresentation of residence.</w:t>
      </w:r>
    </w:p>
    <w:p>
      <w:pPr>
        <w:keepNext/>
        <w:spacing w:before="120" w:after="40"/>
      </w:pPr>
      <w:r>
        <w:rPr>
          <w:rFonts w:ascii="Calibri" w:hAnsi="Calibri"/>
          <w:b/>
          <w:color w:val="0F4C81"/>
          <w:sz w:val="21"/>
        </w:rPr>
        <w:t>III. ISSUE(S) ON STATUTORY CONSTRUCTION</w:t>
      </w:r>
    </w:p>
    <w:p>
      <w:pPr>
        <w:spacing w:before="0" w:after="60" w:line="276" w:lineRule="auto"/>
      </w:pPr>
      <w:r>
        <w:rPr>
          <w:rFonts w:ascii="Calibri" w:hAnsi="Calibri"/>
          <w:color w:val="212529"/>
          <w:sz w:val="20"/>
        </w:rPr>
        <w:t>Whether a valid substitution of a deceased candidate is permitted under Section 77 of the Omnibus Election Code when the deceased candidate's COC had not been cancelled by final judgment before death.</w:t>
      </w:r>
    </w:p>
    <w:p>
      <w:pPr>
        <w:keepNext/>
        <w:spacing w:before="120" w:after="40"/>
      </w:pPr>
      <w:r>
        <w:rPr>
          <w:rFonts w:ascii="Calibri" w:hAnsi="Calibri"/>
          <w:b/>
          <w:color w:val="0F4C81"/>
          <w:sz w:val="21"/>
        </w:rPr>
        <w:t>IV. COURT'S RULING &amp; DISPOSITION</w:t>
      </w:r>
    </w:p>
    <w:p>
      <w:pPr>
        <w:spacing w:before="0" w:after="60" w:line="276" w:lineRule="auto"/>
      </w:pPr>
      <w:r>
        <w:rPr>
          <w:rFonts w:ascii="Calibri" w:hAnsi="Calibri"/>
          <w:b/>
          <w:color w:val="212529"/>
          <w:sz w:val="20"/>
        </w:rPr>
        <w:t xml:space="preserve">ANSWER / RULING: </w:t>
      </w:r>
      <w:r>
        <w:rPr>
          <w:rFonts w:ascii="Calibri" w:hAnsi="Calibri"/>
          <w:color w:val="212529"/>
          <w:sz w:val="20"/>
        </w:rPr>
        <w:t>YES. Section 77 of the Omnibus Election Code allows candidate substitution upon death; election laws must be liberally construed to protect the sovereign will of the electorate.</w:t>
      </w:r>
    </w:p>
    <w:p>
      <w:pPr>
        <w:spacing w:before="0" w:after="60" w:line="276" w:lineRule="auto"/>
      </w:pPr>
      <w:r>
        <w:rPr>
          <w:rFonts w:ascii="Calibri" w:hAnsi="Calibri"/>
          <w:b/>
          <w:color w:val="212529"/>
          <w:sz w:val="20"/>
        </w:rPr>
        <w:t xml:space="preserve">DISPOSITIVE EFFECT: </w:t>
      </w:r>
      <w:r>
        <w:rPr>
          <w:rFonts w:ascii="Calibri" w:hAnsi="Calibri"/>
          <w:color w:val="212529"/>
          <w:sz w:val="20"/>
        </w:rPr>
        <w:t>The Supreme Court GRANTED the petition and ANNULLED the COMELEC resolutions disqualifying Maria Joyce Engle.</w:t>
      </w:r>
    </w:p>
    <w:p>
      <w:pPr>
        <w:keepNext/>
        <w:spacing w:before="120" w:after="40"/>
      </w:pPr>
      <w:r>
        <w:rPr>
          <w:rFonts w:ascii="Calibri" w:hAnsi="Calibri"/>
          <w:b/>
          <w:color w:val="0F4C81"/>
          <w:sz w:val="21"/>
        </w:rPr>
        <w:t>V. HOW THE COURT CONSTRUED THE LAW</w:t>
      </w:r>
    </w:p>
    <w:p>
      <w:pPr>
        <w:pStyle w:val="ListBullet"/>
        <w:spacing w:before="0" w:after="40" w:line="276" w:lineRule="auto"/>
        <w:ind w:left="360"/>
      </w:pPr>
      <w:r>
        <w:rPr>
          <w:rFonts w:ascii="Calibri" w:hAnsi="Calibri"/>
          <w:b/>
          <w:color w:val="212529"/>
          <w:sz w:val="19"/>
        </w:rPr>
        <w:t xml:space="preserve">1. Why Construction Was Necessary: </w:t>
      </w:r>
      <w:r>
        <w:rPr>
          <w:rFonts w:ascii="Calibri" w:hAnsi="Calibri"/>
          <w:color w:val="212529"/>
          <w:sz w:val="19"/>
        </w:rPr>
        <w:t>COMELEC applied a hyper-technical interpretation equating a pending disqualification petition with an automatic nullity of the COC upon death.</w:t>
      </w:r>
    </w:p>
    <w:p>
      <w:pPr>
        <w:pStyle w:val="ListBullet"/>
        <w:spacing w:before="0" w:after="40" w:line="276" w:lineRule="auto"/>
        <w:ind w:left="360"/>
      </w:pPr>
      <w:r>
        <w:rPr>
          <w:rFonts w:ascii="Calibri" w:hAnsi="Calibri"/>
          <w:b/>
          <w:color w:val="212529"/>
          <w:sz w:val="19"/>
        </w:rPr>
        <w:t xml:space="preserve">2. Purpose of Construction: </w:t>
      </w:r>
      <w:r>
        <w:rPr>
          <w:rFonts w:ascii="Calibri" w:hAnsi="Calibri"/>
          <w:color w:val="212529"/>
          <w:sz w:val="19"/>
        </w:rPr>
        <w:t>To give paramount effect to the democratic franchise and sovereign will of the voters (*Ratio Legis*).</w:t>
      </w:r>
    </w:p>
    <w:p>
      <w:pPr>
        <w:pStyle w:val="ListBullet"/>
        <w:spacing w:before="0" w:after="40" w:line="276" w:lineRule="auto"/>
        <w:ind w:left="360"/>
      </w:pPr>
      <w:r>
        <w:rPr>
          <w:rFonts w:ascii="Calibri" w:hAnsi="Calibri"/>
          <w:b/>
          <w:color w:val="212529"/>
          <w:sz w:val="19"/>
        </w:rPr>
        <w:t xml:space="preserve">3. Canon / Method Applied: </w:t>
      </w:r>
      <w:r>
        <w:rPr>
          <w:rFonts w:ascii="Calibri" w:hAnsi="Calibri"/>
          <w:color w:val="212529"/>
          <w:sz w:val="19"/>
        </w:rPr>
        <w:t>Liberal Construction of Election Laws: Election laws are construed liberally to give the electorate the widest possible opportunity to choose their public leaders, avoiding disenfranchisement through technicalities.</w:t>
      </w:r>
    </w:p>
    <w:p>
      <w:pPr>
        <w:pStyle w:val="ListBullet"/>
        <w:spacing w:before="0" w:after="40" w:line="276" w:lineRule="auto"/>
        <w:ind w:left="360"/>
      </w:pPr>
      <w:r>
        <w:rPr>
          <w:rFonts w:ascii="Calibri" w:hAnsi="Calibri"/>
          <w:b/>
          <w:color w:val="212529"/>
          <w:sz w:val="19"/>
        </w:rPr>
        <w:t xml:space="preserve">4. Extrinsic Aids / Other Sources Used: </w:t>
      </w:r>
      <w:r>
        <w:rPr>
          <w:rFonts w:ascii="Calibri" w:hAnsi="Calibri"/>
          <w:color w:val="212529"/>
          <w:sz w:val="19"/>
        </w:rPr>
        <w:t>Section 77, Omnibus Election Code (B.P. 881); constitutional democracy principles; Tagolino v. HRET.</w:t>
      </w:r>
    </w:p>
    <w:p>
      <w:pPr>
        <w:keepNext/>
        <w:spacing w:before="120" w:after="40"/>
      </w:pPr>
      <w:r>
        <w:rPr>
          <w:rFonts w:ascii="Calibri" w:hAnsi="Calibri"/>
          <w:b/>
          <w:color w:val="0F4C81"/>
          <w:sz w:val="21"/>
        </w:rPr>
        <w:t>VI. RELEVANT STATUTORY-CONSTRUCTION CONCEPTS APPLIED</w:t>
      </w:r>
    </w:p>
    <w:p>
      <w:pPr>
        <w:pStyle w:val="ListBullet"/>
        <w:spacing w:before="0" w:after="40" w:line="276" w:lineRule="auto"/>
        <w:ind w:left="360"/>
      </w:pPr>
      <w:r>
        <w:rPr>
          <w:rFonts w:ascii="Calibri" w:hAnsi="Calibri"/>
          <w:b/>
          <w:color w:val="212529"/>
          <w:sz w:val="19"/>
        </w:rPr>
        <w:t xml:space="preserve">• Liberal Construction of Election Laws: </w:t>
      </w:r>
      <w:r>
        <w:rPr>
          <w:rFonts w:ascii="Calibri" w:hAnsi="Calibri"/>
          <w:color w:val="212529"/>
          <w:sz w:val="19"/>
        </w:rPr>
        <w:t>Election statutes are interpreted liberally to uphold the democratic franchise of the voters.</w:t>
      </w:r>
    </w:p>
    <w:p>
      <w:pPr>
        <w:pStyle w:val="ListBullet"/>
        <w:spacing w:before="0" w:after="40" w:line="276" w:lineRule="auto"/>
        <w:ind w:left="360"/>
      </w:pPr>
      <w:r>
        <w:rPr>
          <w:rFonts w:ascii="Calibri" w:hAnsi="Calibri"/>
          <w:b/>
          <w:color w:val="212529"/>
          <w:sz w:val="19"/>
        </w:rPr>
        <w:t xml:space="preserve">• Presumption in Favor of Eligibility: </w:t>
      </w:r>
      <w:r>
        <w:rPr>
          <w:rFonts w:ascii="Calibri" w:hAnsi="Calibri"/>
          <w:color w:val="212529"/>
          <w:sz w:val="19"/>
        </w:rPr>
        <w:t>In case of doubt, the law favors eligibility and candidate substitution.</w:t>
      </w:r>
    </w:p>
    <w:p>
      <w:pPr>
        <w:pStyle w:val="ListBullet"/>
        <w:spacing w:before="0" w:after="40" w:line="276" w:lineRule="auto"/>
        <w:ind w:left="360"/>
      </w:pPr>
      <w:r>
        <w:rPr>
          <w:rFonts w:ascii="Calibri" w:hAnsi="Calibri"/>
          <w:b/>
          <w:color w:val="212529"/>
          <w:sz w:val="19"/>
        </w:rPr>
        <w:t xml:space="preserve">• Statutory Purpose Prevails over Technicalities: </w:t>
      </w:r>
      <w:r>
        <w:rPr>
          <w:rFonts w:ascii="Calibri" w:hAnsi="Calibri"/>
          <w:color w:val="212529"/>
          <w:sz w:val="19"/>
        </w:rPr>
        <w:t>Technical procedural defects should not defeat the substantive right of the people to vote.</w:t>
      </w:r>
    </w:p>
    <w:p>
      <w:pPr>
        <w:keepNext/>
        <w:spacing w:before="120" w:after="40"/>
      </w:pPr>
      <w:r>
        <w:rPr>
          <w:rFonts w:ascii="Calibri" w:hAnsi="Calibri"/>
          <w:b/>
          <w:color w:val="0F4C81"/>
          <w:sz w:val="21"/>
        </w:rPr>
        <w:t>VII. SUMMARY OF THE STATUTORY CONSTRUCTION MADE</w:t>
      </w:r>
    </w:p>
    <w:p>
      <w:pPr>
        <w:spacing w:before="0" w:after="60" w:line="276" w:lineRule="auto"/>
      </w:pPr>
      <w:r>
        <w:rPr>
          <w:rFonts w:ascii="Calibri" w:hAnsi="Calibri"/>
          <w:color w:val="212529"/>
          <w:sz w:val="20"/>
        </w:rPr>
        <w:t>The Court construed Section 77 of the Omnibus Election Code liberally, ruling that death before any final judgment cancelling a COC allows the timely substitution by the surviving spouse.</w:t>
      </w:r>
    </w:p>
    <w:p>
      <w:pPr>
        <w:keepNext/>
        <w:spacing w:before="120" w:after="40"/>
      </w:pPr>
      <w:r>
        <w:rPr>
          <w:rFonts w:ascii="Calibri" w:hAnsi="Calibri"/>
          <w:b/>
          <w:color w:val="0F4C81"/>
          <w:sz w:val="21"/>
        </w:rPr>
        <w:t>VIII. STATUTORY CONSTRUCTION VS. JUDICIAL LEGISLATION ANALYSIS</w:t>
      </w:r>
    </w:p>
    <w:p>
      <w:pPr>
        <w:spacing w:before="0" w:after="60" w:line="276" w:lineRule="auto"/>
      </w:pPr>
      <w:r>
        <w:rPr>
          <w:rFonts w:ascii="Calibri" w:hAnsi="Calibri"/>
          <w:color w:val="212529"/>
          <w:sz w:val="20"/>
        </w:rPr>
        <w:t>The Court properly applied liberal construction in favor of the constitutional right of suffrage.</w:t>
      </w:r>
    </w:p>
    <w:p>
      <w:pPr>
        <w:spacing w:after="12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08080"/>
        <w:sz w:val="17"/>
      </w:rPr>
      <w:t>MANILA LAW COLLEGE • Statutory Construction (StatCon)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08080"/>
        <w:sz w:val="17"/>
      </w:rPr>
      <w:t>Statutory Construction • Applied Case Digest Compendium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