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6A8E17F" w:rsidR="00012E26" w:rsidRPr="00012E26" w:rsidRDefault="00B55EE9" w:rsidP="00012E26">
      <w:r>
        <w:t xml:space="preserve">Newly added text is highlighted in </w:t>
      </w:r>
      <w:r w:rsidRPr="00B55EE9">
        <w:rPr>
          <w:highlight w:val="green"/>
        </w:rPr>
        <w:t>green</w:t>
      </w:r>
      <w:r>
        <w:t xml:space="preserve"> in the corrected manuscript.</w:t>
      </w:r>
    </w:p>
    <w:p w14:paraId="2036B193" w14:textId="40C5DE0C" w:rsidR="006B009D" w:rsidRDefault="006B009D" w:rsidP="004B3028">
      <w:pPr>
        <w:pStyle w:val="berschrift1"/>
      </w:pPr>
      <w:r>
        <w:t xml:space="preserve">Editor </w:t>
      </w:r>
      <w:r w:rsidR="00661EBB">
        <w:t>c</w:t>
      </w:r>
      <w:r>
        <w:t>omment</w:t>
      </w:r>
      <w:r w:rsidR="00661EBB">
        <w:t>s</w:t>
      </w:r>
      <w:r w:rsidR="006D2DE4">
        <w:t xml:space="preserve"> (XY adapt if necessary)</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240B22C"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We are happy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4E05A487" w:rsidR="00592872" w:rsidRPr="006D2DE4" w:rsidRDefault="0021220F" w:rsidP="006D2DE4">
      <w:pPr>
        <w:rPr>
          <w:color w:val="70AD47" w:themeColor="accent6"/>
        </w:rPr>
      </w:pPr>
      <w:r w:rsidRPr="0021220F">
        <w:rPr>
          <w:color w:val="70AD47" w:themeColor="accent6"/>
        </w:rPr>
        <w:t>Thank you for your remark. We highlighted the differences and advancements of the model used in this study and previously proposed models more clearly in the introduction, cf. lines XY-XY.</w:t>
      </w:r>
    </w:p>
    <w:p w14:paraId="65710151" w14:textId="77777777" w:rsidR="006D2DE4" w:rsidRPr="006D2DE4" w:rsidRDefault="006D2DE4" w:rsidP="0083212D">
      <w:pPr>
        <w:pStyle w:val="Listenabsatz"/>
        <w:numPr>
          <w:ilvl w:val="0"/>
          <w:numId w:val="39"/>
        </w:numPr>
      </w:pPr>
      <w:r w:rsidRPr="006D2DE4">
        <w:t xml:space="preserve">Lines 163-166: </w:t>
      </w:r>
      <w:commentRangeStart w:id="0"/>
      <w:r w:rsidRPr="006D2DE4">
        <w:t xml:space="preserve">Crop straws </w:t>
      </w:r>
      <w:commentRangeEnd w:id="0"/>
      <w:r w:rsidR="00E01EBE">
        <w:rPr>
          <w:rStyle w:val="Kommentarzeichen"/>
        </w:rPr>
        <w:commentReference w:id="0"/>
      </w:r>
      <w:r w:rsidRPr="006D2DE4">
        <w:t xml:space="preserve">are typical agricultural AD substrates and should be considered in this paper.  </w:t>
      </w:r>
      <w:r w:rsidR="00842410" w:rsidRPr="006D2DE4">
        <w:t xml:space="preserve"> </w:t>
      </w:r>
    </w:p>
    <w:p w14:paraId="40F23DE3" w14:textId="233F5138" w:rsidR="00E01EBE" w:rsidRPr="00E01EBE" w:rsidRDefault="001B426E" w:rsidP="00E01EBE">
      <w:pPr>
        <w:rPr>
          <w:color w:val="70AD47" w:themeColor="accent6"/>
        </w:rPr>
      </w:pPr>
      <w:r w:rsidRPr="00E01EBE">
        <w:rPr>
          <w:color w:val="70AD47" w:themeColor="accent6"/>
        </w:rPr>
        <w:t>Thank you for your comment. We recognize that crop straw is an abundant and valuable agricultural residue. Therefore, we considered it as an additional disturbance substrate in case study 1, cf. lines XY-XY</w:t>
      </w:r>
      <w:r w:rsidR="00E01EBE">
        <w:rPr>
          <w:color w:val="70AD47" w:themeColor="accent6"/>
        </w:rPr>
        <w:t xml:space="preserve">, </w:t>
      </w:r>
      <w:r w:rsidRPr="00E01EBE">
        <w:rPr>
          <w:color w:val="70AD47" w:themeColor="accent6"/>
        </w:rPr>
        <w:t>Fig. 4</w:t>
      </w:r>
      <w:r w:rsidR="00E01EBE">
        <w:rPr>
          <w:color w:val="70AD47" w:themeColor="accent6"/>
        </w:rPr>
        <w:t xml:space="preserve"> and Fig. 3</w:t>
      </w:r>
      <w:r w:rsidRPr="00E01EBE">
        <w:rPr>
          <w:color w:val="70AD47" w:themeColor="accent6"/>
        </w:rPr>
        <w:t xml:space="preserve">.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205B432B" w14:textId="42ABEF37" w:rsidR="006D2DE4" w:rsidRPr="000C160F" w:rsidRDefault="000C160F" w:rsidP="006D2DE4">
      <w:pPr>
        <w:rPr>
          <w:color w:val="70AD47" w:themeColor="accent6"/>
        </w:rPr>
      </w:pPr>
      <w:r w:rsidRPr="000C160F">
        <w:rPr>
          <w:color w:val="70AD47" w:themeColor="accent6"/>
        </w:rPr>
        <w:t xml:space="preserve">Thank you for your thoughtful inquiry. In principle, the ADM1-R3 is capable to describe anaerobic digestion of multiple anaerobically degradable substrates, including </w:t>
      </w:r>
      <w:proofErr w:type="spellStart"/>
      <w:r w:rsidRPr="000C160F">
        <w:rPr>
          <w:color w:val="70AD47" w:themeColor="accent6"/>
        </w:rPr>
        <w:t>foodwaste</w:t>
      </w:r>
      <w:proofErr w:type="spellEnd"/>
      <w:r w:rsidRPr="000C160F">
        <w:rPr>
          <w:color w:val="70AD47" w:themeColor="accent6"/>
        </w:rPr>
        <w:t xml:space="preserve">. However, due to the usually high lipid content of food waste, the substrate characterization method used in this study is not ideally suitable for </w:t>
      </w:r>
      <w:proofErr w:type="spellStart"/>
      <w:r w:rsidRPr="000C160F">
        <w:rPr>
          <w:color w:val="70AD47" w:themeColor="accent6"/>
        </w:rPr>
        <w:t>foodwaste</w:t>
      </w:r>
      <w:proofErr w:type="spellEnd"/>
      <w:r w:rsidRPr="000C160F">
        <w:rPr>
          <w:color w:val="70AD47" w:themeColor="accent6"/>
        </w:rPr>
        <w:t xml:space="preserve">. Therefore, we decided against considering </w:t>
      </w:r>
      <w:proofErr w:type="spellStart"/>
      <w:r w:rsidRPr="000C160F">
        <w:rPr>
          <w:color w:val="70AD47" w:themeColor="accent6"/>
        </w:rPr>
        <w:t>foodwaste</w:t>
      </w:r>
      <w:proofErr w:type="spellEnd"/>
      <w:r w:rsidRPr="000C160F">
        <w:rPr>
          <w:color w:val="70AD47" w:themeColor="accent6"/>
        </w:rPr>
        <w:t xml:space="preserve"> as a substrate.</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75F45E24"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4AD9B759" w:rsidR="00A07253" w:rsidRPr="00A07253" w:rsidRDefault="00A07253" w:rsidP="00A07253">
      <w:pPr>
        <w:rPr>
          <w:color w:val="70AD47" w:themeColor="accent6"/>
        </w:rPr>
      </w:pPr>
      <w:r w:rsidRPr="00A07253">
        <w:rPr>
          <w:color w:val="70AD47" w:themeColor="accent6"/>
        </w:rPr>
        <w:t>Not applicable. CH abbreviates carbohydrates, as introduced in line 130</w:t>
      </w:r>
    </w:p>
    <w:p w14:paraId="72A069F0" w14:textId="7D62FFE3" w:rsidR="00AD04CD" w:rsidRDefault="00AD04CD" w:rsidP="00AD04CD">
      <w:pPr>
        <w:pStyle w:val="berschrift1"/>
      </w:pPr>
      <w:r>
        <w:t>Reviewer #</w:t>
      </w:r>
      <w:r w:rsidR="00723CDB">
        <w:t>2</w:t>
      </w:r>
    </w:p>
    <w:p w14:paraId="7010B79C" w14:textId="77777777" w:rsidR="003B5A28" w:rsidRDefault="00723CDB" w:rsidP="003B5A28">
      <w:pPr>
        <w:pStyle w:val="Listenabsatz"/>
        <w:numPr>
          <w:ilvl w:val="0"/>
          <w:numId w:val="49"/>
        </w:numPr>
      </w:pPr>
      <w:r>
        <w:t>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w:t>
      </w:r>
      <w:r>
        <w:t xml:space="preserve">. </w:t>
      </w:r>
    </w:p>
    <w:p w14:paraId="41CBB33E" w14:textId="77777777" w:rsidR="003B5A28" w:rsidRDefault="00723CDB" w:rsidP="003B5A28">
      <w:pPr>
        <w:pStyle w:val="Listenabsatz"/>
        <w:ind w:left="360"/>
      </w:pPr>
      <w:r>
        <w:lastRenderedPageBreak/>
        <w:t>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w:t>
      </w:r>
      <w:r>
        <w:t xml:space="preserve">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3478DE89"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or positively evaluating our research. We are happy 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we </w:t>
      </w:r>
      <w:r w:rsidR="00D97813">
        <w:rPr>
          <w:color w:val="70AD47" w:themeColor="accent6"/>
        </w:rPr>
        <w:t xml:space="preserve">acknowledge that </w:t>
      </w:r>
      <w:r>
        <w:rPr>
          <w:color w:val="70AD47" w:themeColor="accent6"/>
        </w:rPr>
        <w:t>modify</w:t>
      </w:r>
      <w:r w:rsidR="00D97813">
        <w:rPr>
          <w:color w:val="70AD47" w:themeColor="accent6"/>
        </w:rPr>
        <w:t>ing</w:t>
      </w:r>
      <w:r>
        <w:rPr>
          <w:color w:val="70AD47" w:themeColor="accent6"/>
        </w:rPr>
        <w:t xml:space="preserve"> the manuscript according to your comments </w:t>
      </w:r>
      <w:r w:rsidR="00D97813">
        <w:rPr>
          <w:color w:val="70AD47" w:themeColor="accent6"/>
        </w:rPr>
        <w:t xml:space="preserve">improves its </w:t>
      </w:r>
      <w:r>
        <w:rPr>
          <w:color w:val="70AD47" w:themeColor="accent6"/>
        </w:rPr>
        <w:t>quality.</w:t>
      </w:r>
    </w:p>
    <w:p w14:paraId="3B7E5424" w14:textId="77777777" w:rsidR="003B5A28" w:rsidRDefault="003B5A28" w:rsidP="003B5A28">
      <w:pPr>
        <w:pStyle w:val="Listenabsatz"/>
        <w:numPr>
          <w:ilvl w:val="0"/>
          <w:numId w:val="46"/>
        </w:numPr>
      </w:pPr>
      <w:r>
        <w:t xml:space="preserve">Introduction: I believe that some relevant contributions related to the focus of the paper have been overlooked, for </w:t>
      </w:r>
      <w:proofErr w:type="spellStart"/>
      <w:r>
        <w:t>instance:</w:t>
      </w:r>
      <w:proofErr w:type="spellEnd"/>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w:t>
      </w:r>
      <w:r>
        <w:t xml:space="preserve">.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1690BE4C" w14:textId="0AE57B74" w:rsidR="00A47E9E" w:rsidRDefault="00A47E9E" w:rsidP="00A47E9E">
      <w:r w:rsidRPr="00A47E9E">
        <w:rPr>
          <w:color w:val="70AD47" w:themeColor="accent6"/>
        </w:rPr>
        <w:t>Thank you for your constructive suggestions of missing relevant research in the field. We added the paper of Mendiola-Rodriguez et al. (2022) in the introduction for their contribution with a model-free robust MPC with parametric uncertainty.</w:t>
      </w:r>
    </w:p>
    <w:p w14:paraId="2F1E961F" w14:textId="1FFBB663" w:rsidR="003B5A28" w:rsidRDefault="003B5A28" w:rsidP="003B5A28">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xml:space="preserve">) </w:t>
      </w:r>
      <w:r>
        <w:t>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179866ED" w14:textId="77777777" w:rsidR="007A50C9" w:rsidRPr="007A50C9" w:rsidRDefault="007A50C9" w:rsidP="007A50C9">
      <w:pPr>
        <w:rPr>
          <w:color w:val="70AD47" w:themeColor="accent6"/>
        </w:rPr>
      </w:pPr>
      <w:r w:rsidRPr="007A50C9">
        <w:rPr>
          <w:color w:val="70AD47" w:themeColor="accent6"/>
        </w:rPr>
        <w:t xml:space="preserve">Thank you for your valuable remark. We acknowledge that parameters cannot be identified uniquely, and are thus uncertain. Their uncertainty strongly depends on experimental conditions, the quality of the measurement data, and the method of parameter identification. In this study, uncertainty of influent concentrations was rigorously derived from underlying measurement uncertainty. However, appropriately quantifying the parameter uncertainty bounds even based on a sensitivity analysis is subject to various assumptions and difficult to define uniquely. </w:t>
      </w:r>
    </w:p>
    <w:p w14:paraId="6217DB7E" w14:textId="60767E3F" w:rsidR="007A50C9" w:rsidRPr="007A50C9" w:rsidRDefault="007A50C9" w:rsidP="007A50C9">
      <w:pPr>
        <w:rPr>
          <w:color w:val="70AD47" w:themeColor="accent6"/>
        </w:rPr>
      </w:pPr>
      <w:r w:rsidRPr="007A50C9">
        <w:rPr>
          <w:color w:val="70AD47" w:themeColor="accent6"/>
        </w:rPr>
        <w:t>For this reason and given the space limitation of the manuscript</w:t>
      </w:r>
      <w:r w:rsidR="00946710">
        <w:rPr>
          <w:color w:val="70AD47" w:themeColor="accent6"/>
        </w:rPr>
        <w:t>,</w:t>
      </w:r>
      <w:r w:rsidRPr="007A50C9">
        <w:rPr>
          <w:color w:val="70AD47" w:themeColor="accent6"/>
        </w:rPr>
        <w:t xml:space="preserve"> we do not believe that adding further uncertain model parameters adds clarity to the layout of the manuscript. Instead, we aim to address the aspect of parameter uncertainty in a separate publication which also considers results of a currently investigated sensitivity analysis of the ADM1-R3 model parameters.</w:t>
      </w:r>
      <w:r w:rsidRPr="007A50C9">
        <w:rPr>
          <w:color w:val="70AD47" w:themeColor="accent6"/>
        </w:rPr>
        <w:t xml:space="preserve"> </w:t>
      </w:r>
    </w:p>
    <w:p w14:paraId="36901A38" w14:textId="77777777" w:rsidR="007A50C9" w:rsidRDefault="007A50C9" w:rsidP="007A50C9">
      <w:pPr>
        <w:pStyle w:val="Listenabsatz"/>
        <w:ind w:left="360"/>
      </w:pPr>
    </w:p>
    <w:p w14:paraId="07E511B2" w14:textId="4363AE05" w:rsidR="003B5A28" w:rsidRDefault="003B5A28" w:rsidP="007A50C9">
      <w:pPr>
        <w:pStyle w:val="Listenabsatz"/>
        <w:numPr>
          <w:ilvl w:val="1"/>
          <w:numId w:val="46"/>
        </w:numPr>
      </w:pPr>
      <w:r>
        <w:t xml:space="preserve">(ii) In the numerical simulations and evaluation of the MS-NMPC, I believe that both additional uncertain model parameters and the introduction of a state estimator for the used model will lead to significant computational cost and optimization convergence </w:t>
      </w:r>
      <w:r>
        <w:lastRenderedPageBreak/>
        <w:t>problems. These are essential aspects that should be addressed to provide a complete evaluation of the robust NMPC approach.</w:t>
      </w:r>
    </w:p>
    <w:p w14:paraId="38DE5B72" w14:textId="77777777" w:rsidR="00B65B52" w:rsidRPr="00B65B52" w:rsidRDefault="00B65B52" w:rsidP="00B65B52">
      <w:r w:rsidRPr="00B65B52">
        <w:rPr>
          <w:color w:val="70AD47" w:themeColor="accent6"/>
        </w:rPr>
        <w:t>Thank you for your valuable comment. We are aware that adding further uncertain parameters and including a state observer will increase the computational complexity. Therefore, we further stressed these aspects in the results and discussion section, cf. lines XY-XY for the aspect of additional uncertain parameters, and lines XY-XY for a state observer.</w:t>
      </w:r>
    </w:p>
    <w:p w14:paraId="55F57E3E" w14:textId="14987C1F" w:rsidR="003B5A28" w:rsidRDefault="003B5A28" w:rsidP="003B5A28">
      <w:pPr>
        <w:pStyle w:val="Listenabsatz"/>
        <w:numPr>
          <w:ilvl w:val="0"/>
          <w:numId w:val="46"/>
        </w:numPr>
      </w:pPr>
      <w:r w:rsidRPr="003B5A28">
        <w:t xml:space="preserve">Supplementary material: To be reproducible, the numerical simulation results, it is suggested that the authors provide in supplementary material model equations, parameters, and initial </w:t>
      </w:r>
      <w:proofErr w:type="spellStart"/>
      <w:r w:rsidRPr="003B5A28">
        <w:t>conditions.</w:t>
      </w:r>
    </w:p>
    <w:p w14:paraId="5743907C" w14:textId="77F867F9" w:rsidR="00A378D4" w:rsidRPr="00A378D4" w:rsidRDefault="00A378D4" w:rsidP="00A378D4">
      <w:pPr>
        <w:rPr>
          <w:color w:val="70AD47" w:themeColor="accent6"/>
        </w:rPr>
      </w:pPr>
      <w:proofErr w:type="spellEnd"/>
      <w:r w:rsidRPr="00A378D4">
        <w:rPr>
          <w:color w:val="70AD47" w:themeColor="accent6"/>
        </w:rPr>
        <w:t xml:space="preserve">We appreciate your comment. As referenced in line 129, the model equations and parameters of the ADM1-R3 with a single carbohydrate fraction </w:t>
      </w:r>
      <w:r>
        <w:rPr>
          <w:color w:val="70AD47" w:themeColor="accent6"/>
        </w:rPr>
        <w:t xml:space="preserve">are </w:t>
      </w:r>
      <w:bookmarkStart w:id="1" w:name="_GoBack"/>
      <w:bookmarkEnd w:id="1"/>
      <w:r w:rsidRPr="00A378D4">
        <w:rPr>
          <w:color w:val="70AD47" w:themeColor="accent6"/>
        </w:rPr>
        <w:t xml:space="preserve">published in Hellmann et al. (2023). The assumed nominal influent concentrations of considered substrates as well as initial conditions are summarized in the SI, Tab. B.1. The kinetic constants used in this study are further summarized in Tab. 1. </w:t>
      </w:r>
    </w:p>
    <w:p w14:paraId="29D507C7" w14:textId="62BE83C5" w:rsidR="00592872" w:rsidRPr="00592872" w:rsidRDefault="00A378D4" w:rsidP="00A378D4">
      <w:pPr>
        <w:rPr>
          <w:color w:val="70AD47" w:themeColor="accent6"/>
        </w:rPr>
      </w:pPr>
      <w:r w:rsidRPr="00A378D4">
        <w:rPr>
          <w:color w:val="70AD47" w:themeColor="accent6"/>
        </w:rPr>
        <w:t>To further clarify the small modifications compared with Hellmann et al. (2023) which were introduced by the second carbohydrate fraction, the model equations of both carbohydrate states were added to the SI, cf. lines XY-XY. The simulation results should now be reproducible by the readers.</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A62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A6248" w16cid:durableId="2C59AF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E26"/>
    <w:rsid w:val="00015F3E"/>
    <w:rsid w:val="00065FDC"/>
    <w:rsid w:val="00081E61"/>
    <w:rsid w:val="000863D0"/>
    <w:rsid w:val="00091E3C"/>
    <w:rsid w:val="000C0E70"/>
    <w:rsid w:val="000C160F"/>
    <w:rsid w:val="000D0D64"/>
    <w:rsid w:val="001413F8"/>
    <w:rsid w:val="00143333"/>
    <w:rsid w:val="00196C71"/>
    <w:rsid w:val="001B426E"/>
    <w:rsid w:val="001B65D9"/>
    <w:rsid w:val="001C1777"/>
    <w:rsid w:val="001C5DD8"/>
    <w:rsid w:val="001D0636"/>
    <w:rsid w:val="00204EFF"/>
    <w:rsid w:val="0020799D"/>
    <w:rsid w:val="0021220F"/>
    <w:rsid w:val="00230A94"/>
    <w:rsid w:val="0023459A"/>
    <w:rsid w:val="00236747"/>
    <w:rsid w:val="002540BF"/>
    <w:rsid w:val="002822D5"/>
    <w:rsid w:val="00292CF2"/>
    <w:rsid w:val="002C1940"/>
    <w:rsid w:val="002E4A1F"/>
    <w:rsid w:val="002E6C4C"/>
    <w:rsid w:val="002E6D83"/>
    <w:rsid w:val="00305796"/>
    <w:rsid w:val="003664CC"/>
    <w:rsid w:val="00386AA3"/>
    <w:rsid w:val="00391563"/>
    <w:rsid w:val="003A56F2"/>
    <w:rsid w:val="003B5A28"/>
    <w:rsid w:val="003D32D7"/>
    <w:rsid w:val="003F00B0"/>
    <w:rsid w:val="003F729E"/>
    <w:rsid w:val="004234B5"/>
    <w:rsid w:val="00432492"/>
    <w:rsid w:val="00440195"/>
    <w:rsid w:val="004A7D9D"/>
    <w:rsid w:val="004B3028"/>
    <w:rsid w:val="004C3C17"/>
    <w:rsid w:val="004C500A"/>
    <w:rsid w:val="004D4ECB"/>
    <w:rsid w:val="004D6FF7"/>
    <w:rsid w:val="004F1D4C"/>
    <w:rsid w:val="005427B2"/>
    <w:rsid w:val="00562F7E"/>
    <w:rsid w:val="00586152"/>
    <w:rsid w:val="00592872"/>
    <w:rsid w:val="00597EE6"/>
    <w:rsid w:val="005A25C5"/>
    <w:rsid w:val="005A772A"/>
    <w:rsid w:val="005C007B"/>
    <w:rsid w:val="005D47C2"/>
    <w:rsid w:val="005D6031"/>
    <w:rsid w:val="005E602E"/>
    <w:rsid w:val="005F617A"/>
    <w:rsid w:val="0060059F"/>
    <w:rsid w:val="00620FD0"/>
    <w:rsid w:val="00661EBB"/>
    <w:rsid w:val="00681FD9"/>
    <w:rsid w:val="006B009D"/>
    <w:rsid w:val="006C2201"/>
    <w:rsid w:val="006C2346"/>
    <w:rsid w:val="006C3FB0"/>
    <w:rsid w:val="006D2DE4"/>
    <w:rsid w:val="006E2353"/>
    <w:rsid w:val="006E4A10"/>
    <w:rsid w:val="006E53A3"/>
    <w:rsid w:val="00723CDB"/>
    <w:rsid w:val="0073054B"/>
    <w:rsid w:val="007466FF"/>
    <w:rsid w:val="007740EE"/>
    <w:rsid w:val="00797B0E"/>
    <w:rsid w:val="007A50C9"/>
    <w:rsid w:val="007C2E5A"/>
    <w:rsid w:val="007D1331"/>
    <w:rsid w:val="007D7022"/>
    <w:rsid w:val="007E31CE"/>
    <w:rsid w:val="007F55A1"/>
    <w:rsid w:val="00803D0F"/>
    <w:rsid w:val="00813015"/>
    <w:rsid w:val="00842410"/>
    <w:rsid w:val="0085085A"/>
    <w:rsid w:val="00856BCA"/>
    <w:rsid w:val="0086770D"/>
    <w:rsid w:val="00886C83"/>
    <w:rsid w:val="00894DC8"/>
    <w:rsid w:val="008972F1"/>
    <w:rsid w:val="008A3C71"/>
    <w:rsid w:val="008B1A40"/>
    <w:rsid w:val="0090366A"/>
    <w:rsid w:val="009065C1"/>
    <w:rsid w:val="009105C5"/>
    <w:rsid w:val="0091373E"/>
    <w:rsid w:val="00946710"/>
    <w:rsid w:val="00966221"/>
    <w:rsid w:val="00971CAE"/>
    <w:rsid w:val="00973931"/>
    <w:rsid w:val="009832A3"/>
    <w:rsid w:val="00984A1D"/>
    <w:rsid w:val="00985BF3"/>
    <w:rsid w:val="009B0E21"/>
    <w:rsid w:val="009B2A75"/>
    <w:rsid w:val="009D0C1C"/>
    <w:rsid w:val="009D3F3F"/>
    <w:rsid w:val="00A05CA6"/>
    <w:rsid w:val="00A07253"/>
    <w:rsid w:val="00A14DDB"/>
    <w:rsid w:val="00A378D4"/>
    <w:rsid w:val="00A42859"/>
    <w:rsid w:val="00A47E9E"/>
    <w:rsid w:val="00A56506"/>
    <w:rsid w:val="00A6191C"/>
    <w:rsid w:val="00A95B63"/>
    <w:rsid w:val="00AA4DA4"/>
    <w:rsid w:val="00AB78BD"/>
    <w:rsid w:val="00AD04CD"/>
    <w:rsid w:val="00AD2518"/>
    <w:rsid w:val="00AD64F2"/>
    <w:rsid w:val="00AF6399"/>
    <w:rsid w:val="00AF6C07"/>
    <w:rsid w:val="00B01C2D"/>
    <w:rsid w:val="00B037C5"/>
    <w:rsid w:val="00B22EFA"/>
    <w:rsid w:val="00B24D28"/>
    <w:rsid w:val="00B3341A"/>
    <w:rsid w:val="00B3465A"/>
    <w:rsid w:val="00B55EE9"/>
    <w:rsid w:val="00B65B52"/>
    <w:rsid w:val="00B81632"/>
    <w:rsid w:val="00B87783"/>
    <w:rsid w:val="00B940A5"/>
    <w:rsid w:val="00BA43C4"/>
    <w:rsid w:val="00BC0596"/>
    <w:rsid w:val="00BF0521"/>
    <w:rsid w:val="00C05066"/>
    <w:rsid w:val="00C20A76"/>
    <w:rsid w:val="00C21440"/>
    <w:rsid w:val="00C70968"/>
    <w:rsid w:val="00C71E38"/>
    <w:rsid w:val="00C848DE"/>
    <w:rsid w:val="00C95D77"/>
    <w:rsid w:val="00CD3A71"/>
    <w:rsid w:val="00CE7317"/>
    <w:rsid w:val="00CE7DEA"/>
    <w:rsid w:val="00D272A5"/>
    <w:rsid w:val="00D47A0B"/>
    <w:rsid w:val="00D54BE9"/>
    <w:rsid w:val="00D559B0"/>
    <w:rsid w:val="00D5652A"/>
    <w:rsid w:val="00D66D6A"/>
    <w:rsid w:val="00D80A74"/>
    <w:rsid w:val="00D8224C"/>
    <w:rsid w:val="00D944AA"/>
    <w:rsid w:val="00D97813"/>
    <w:rsid w:val="00DA38D0"/>
    <w:rsid w:val="00DA5A4D"/>
    <w:rsid w:val="00DC07AA"/>
    <w:rsid w:val="00DE2950"/>
    <w:rsid w:val="00DE529E"/>
    <w:rsid w:val="00DF1415"/>
    <w:rsid w:val="00E01EBE"/>
    <w:rsid w:val="00E25B01"/>
    <w:rsid w:val="00E3443D"/>
    <w:rsid w:val="00E43D61"/>
    <w:rsid w:val="00E54A22"/>
    <w:rsid w:val="00E73CB1"/>
    <w:rsid w:val="00E833A6"/>
    <w:rsid w:val="00E855F8"/>
    <w:rsid w:val="00EC456D"/>
    <w:rsid w:val="00ED0884"/>
    <w:rsid w:val="00ED6C8F"/>
    <w:rsid w:val="00EE2D7E"/>
    <w:rsid w:val="00F03C58"/>
    <w:rsid w:val="00F05B26"/>
    <w:rsid w:val="00F14E8A"/>
    <w:rsid w:val="00F40B3B"/>
    <w:rsid w:val="00F4475A"/>
    <w:rsid w:val="00F4673B"/>
    <w:rsid w:val="00F52B38"/>
    <w:rsid w:val="00F6020A"/>
    <w:rsid w:val="00F673D0"/>
    <w:rsid w:val="00F67486"/>
    <w:rsid w:val="00F72144"/>
    <w:rsid w:val="00F7643E"/>
    <w:rsid w:val="00F9003B"/>
    <w:rsid w:val="00F92313"/>
    <w:rsid w:val="00F94A82"/>
    <w:rsid w:val="00FD77F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6462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Meola, Alberto</dc:creator>
  <cp:keywords/>
  <dc:description/>
  <cp:lastModifiedBy>Hellmann, Simon</cp:lastModifiedBy>
  <cp:revision>87</cp:revision>
  <dcterms:created xsi:type="dcterms:W3CDTF">2022-12-06T13:27:00Z</dcterms:created>
  <dcterms:modified xsi:type="dcterms:W3CDTF">2025-08-27T14:34:00Z</dcterms:modified>
</cp:coreProperties>
</file>