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Kurzzusammenfassung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GruSi-WBA-20260524-049 (Aktenzeichen SGA-2025-001237)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Braun, Hildegard (geb. 03.06.1958)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24.05.2026, 19:33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Formale Vollständigkeit gegeben; inhaltlich erheblicher Klärungsbedarf (unbekannte / nicht deklarierte Erbschaft und hohe Folgeausgabe auf Kontoauszügen).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Maßnahme: 1) Nachforderung an die Antragstellende Person (Vorlage 6.1) versandt (Frist 07.06.2026) — Label: Antragsteller*in. 2) Strukturierte Vorprüfung an die Sachbearbeitung gesandt (Vorlage 6.2) — Label: Sachbearbeiter*in. Vorgang ist protokolliert.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Konfidenz: Mittel (90–95 %) — keine abschließende Entscheidung; Sachbearbeitung entscheidet über weiteres Vorgehen.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Wesentliche Befunde (konkret, beleggestützt)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Vollständige Unterlagen (formal): Antragsdatenblatt, Kontoauszüge (Feb–Apr 2026), DRV‑Mitteilung, Mietbescheinigung, Ausweisdokument — alle Dateien im Antragsordner vorhanden und lesbar (vgl. Geprüfte Unterlagen unten). · Knowledge‑Checkliste §2.1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Einkommenslage: DRV‑Mitteilung (rentenbescheid_ohne_anpassung.pdf; Datum 18.06.2025) und Kontoauszüge 02–04/2026 (kontoauszuege_wb_sondereingang.pdf) zeigen Zahlbetrag Alters-/Erwerbsminderungsrente 605,00 € (vorher im Erstbewilligungsbescheid 590,00 €). Das führt zu einer vorläufigen Monatsminderleistung von 15,00 € (vgl. §§ 82 ff. SGB XII). · §§ 82 ff. SGB XII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 / Klärungsfall: Kontoauszug April 2026 (kontoauszuege_wb_sondereingang.pdf) weist am 09.04.2026 einen Eingang „EINGANG ERBSCHAFT NACH MÜLLER“ 12.500,00 € und am 22.04.2026 eine Belastung „Möbelhaus Westmünsterland“ 12.000,00 € aus. Diese Transaktionen sind erheblich und begründen Klärungsbedarf bzgl. Vermögenseinsatz / Schongrenze (§ 90 SGB XII). · § 90 SGB XII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Diskrepanz: Antragsdatenblatt ist in vielen Kategorien mit „Keine Änderung“ ausgefüllt, enthält jedoch Hochgeladene Dokumente mit den o.g. Transaktionen — inhaltliche Inkonsistenz, Klärungsbedarf gemäß Knowledge_Grusi_v2 §2.3 / §2.4.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ich veranlasst habe (Kommunikation)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Nachforderung an die Antragstellende Person (Vorlage 6.1) mit folgender, nummerierter Liste (Frist 07.06.2026). Sachbearbeitung in CC (Empfängeradresse: agent.sozialamt.borken@gmail.com).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Nachweis über den Kontoeingang „EINGANG ERBSCHAFT NACH MÜLLER“ (09.04.2026): Erbschein, notarielles Nachlassverzeichnis, Bestätigung Notariat o.ä.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Rechnung/Quittung und Zahlungsnachweis für die Belastung „Möbelhaus Westmünsterland“ (22.04.2026) sowie kurze schriftliche Erläuterung zur Verwendung der Mittel.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Vollständige, lesbare Kontoauszüge (alle Seiten) für das Konto IBAN DE84 4401 0046 0234 5678 90 für den Zeitraum 01.04.2026–31.05.2026 (falls nicht vollständig im Aktenordner).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Falls weitere Konten / Vermögenswerte betroffen sind: kurze Aufstellung / Nachweis.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Begründung/Rechtsfolge: Ohne diese Unterlagen kann nicht abschließend entschieden werden (§ 60 SGB I; § 66 SGB 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Versand: E‑Mail versandt (Message‑ID: 19e5b315781a31df). Mail gelabelt: Antragsteller*in.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Strukturierte Vorprüfung an die Sachbearbeitung (Vorlage 6.2) mit Status „Klärungsbedarf“ versandt (enthält Vollständigkeitsstatus, Klärungspunkte, Vorläufigberechnung und Nachforderungen). Versand (Message‑ID: 19e5b3204be48b2f) — Mail gelabelt: Sachbearbeiter*in.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Vorläufige (unter Vorbehalt) Wirkung auf Anspruch (nur soweit belegbar)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563 → 563 € (0 €) · § 27a SGB XII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KdU: 320 → 320 € (0 €) · § 35 SGB XII (Beleg: wk_mietbescheinigung.pdf)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Heizung: 85 → 85 € (0 €) · § 35 SGB XII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Einkommen: 590 → 605 € (+15 €) → Monatsleistung vorläufig −15 €  · §§ 82 ff. SGB XII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Vermögen: Klärungsbedürftig: Erbschaftseingang 12.500 € (09.04.2026) und Belastung 12.000 € (22.04.2026). Mögliche vorübergehende Überschreitung der Schongrenze (10.000 €) → Einsatzpflicht prüfen. · § 90 SGB XII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Anspruch (Monatl.): 483,00 € → vorläufig 468,00 €  (−15,00 €), vorläufig/unter Vorbehalt der Vermögensklärung.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Noch nicht beziffert wegen Klärungsbedarf zum Vermögen. Sollte sich herausstellen, dass die anrechenbaren Verhältnisse rückwirkend geändert werden müssen (z. B. früherer Wirksamkeitszeitpunkt der Einkommensänderung oder zeitweilige Vermögensüberschreitung), ist eine Rückforderungsberechnung (§§ 45, 48, 50 SGB X) nach Feststellung vorzunehmen. Empfehlung: Sachbearbeitung entscheidet, ob DRV‑Klärung (Wirkungsdatum) und Nachweis des Erbscheins eingeholt werden sollen.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(einmalig, Dateinamen)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Braun, Hildegard.docx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kontoauszuege_wb_sondereingang.pdf (verm_kontoauszug)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rentenbescheid_ohne_anpassung.pdf (ek_nachweise_keine_aenderung)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mietbescheinigung.pdf (wk_mietbescheinigung)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Protokoll / Verfahrenshinweise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24.05.2026 (IDEFIX).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an Antragstellende versandt (Message‑ID: 19e5b315781a31df) — Label: Antragsteller*in.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 an Sachbearbeitung versandt (Message‑ID: 19e5b3204be48b2f) — Label: Sachbearbeiter*in.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Nächster Schritt: Eingang und Auswertung der nachgeforderten Unterlagen (Frist 07.06.2026). Nach Eingang erneute Vorprüfung (inkl. Vermögensbewertung und ggf. Rückforderungsberechnung) und Versand aktualisierter Vorprüfung an Sachbearbeitung.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Wichtiger rechtlicher Hinweis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 ist eine vorbereitende, nicht rechtsverbindliche Vorprüfung. Die endgültige Entscheidung über Leistung, Rückforderung oder Einsatz von Vermögen obliegt der zuständigen Sachbearbeitung (vgl. § 31a SGB X). Bei Unklarheiten oder rechtlicher Streitigkeit bitte DRV‑/Notar‑Klärung einholen; keine eigenen verwaltungsrechtlichen Festsetzungen durch den Agenten.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gewünscht, führe ich nach Eingang der nachgeforderten Unterlagen umgehend die erneute Prüfung (inkl. verbindlicher Δ‑Berechnung und Rückforderungsberechnung) durch und übermittle das aktualisierte Ergebnis an die Sachbearbeitung.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