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Ich habe den Vorgang geprüft und die Vorprüfung wie vorgeschrieben durchgeführt. Kurze Zusammenfassung der wichtigsten Ergebnisse, die versendete Vorprüfungs‑Mail an die Sachbearbeitung und das interne Logfile (Regel / Prüfung / Ergebnis).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Was ich gemacht habe (Werkzeuge / Schritte)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Knowledge_HzL_v2.md eingelesen.</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Antragsordner durchsucht und alle Unterlagen heruntergeladen.</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Personenakte durchsucht und relevante Bestandsunterlagen heruntergeladen.</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Vollständigkeitsprüfung nach Abschnitt 2 der Knowledge-Datei durchgeführt.</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Anspruchsprüfung (Grund und Höhe) durchgeführt; rechnerische Plausibilitätsprüfung gegen Bestandsbescheid vorgenommen.</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Vorprüfungs‑Mail an die Sachbearbeitung erstellt und versendet (Gmail).</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E‑Mail‑Label auf „Sachbearbeiter*in“ gesetzt.</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Kein Nachforderungs‑Entwurf an die Antragstellende erstellt (Unterlagen vollständig).</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Kernergebnis (kompakt)</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Status Vollständigkeit: vollständig (alle Pflichtnachweise gemäß Checkliste vorliegend).</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Anspruch dem Grunde nach: besteht (vgl. § 27 SGB XII).</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Vorrang: keine ersichtliche vorrangige Leistung (vgl. § 21 SGB XII).</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Anspruch der Höhe nach (monatlich, Bestand → Neu → Δ):</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Regelbedarf (3 Personen): 1.483,00 € → 1.483,00 € → 0,00 €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Kaltmiete: 470,00 € → 470,00 € → 0,00 €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Nebenkosten: 140,00 € → 140,00 € → 0,00 €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Heizkosten: 108,00 € → 108,00 € → 0,00 €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Gesamtbedarf: 2.201,00 € → 2.201,00 € → 0,00 €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Brutto‑Einkommen: −1.887,00 € → −1.887,00 € → 0,00 €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Absetzbare Versicherungen (anrechenbar): 13,50 € → 13,50 € → 0,00 €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Anrechenbares Einkommen (bereinigt): −1.873,50 € → −1.873,50 € → 0,00 €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Monatlicher Zahlbetrag: 327,50 € → 327,50 € → 0,00 €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(Rechtsgrundlagen zur Berechnung: §§ 27a, 30, 31, 82–84, 90 SGB XII.)</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Rückforderung: keine (keine festgestellte rückwirkend anspruchsmindernde Änderung in den geprüften Unterlagen; vgl. §§ 45, 48, 50 SGB X).</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Konfidenz der Vorprüfung: Hoch (≥ 95 %).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Klärungsbedarf (Feststellungen mit Handlungsempfehlung — keine Fragen)</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Vermieterbescheinigung (18.04.2026) nennt zusätzlich „Florian Krause“ als Mieter/mitvertraglich Beteiligten; im Antrag wurde nur Nadine Wenning (und die beiden Kinder) genannt. Feststellung: Mögliche weitere volljährige Person im Haushalt; leistungsrelevante Folgen (Einkommensanrechnung, Bedarfsgemeinschaft, Änderung KdU) möglich. Handlungsempfehlung: Sachbearbeitung prüft Aufnahme/Status von Florian Krause und ggf. Einkommen/Anrechnung (vgl. §§ 27, 82 ff. SGB XII).</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Unterhaltsvorschuss 367,00 €/Monat ist im Einkommensnachweis (Sozialamt, 08.05.2026) aufgeführt, aber nicht auf den vorgelegten Kontoauszügen (Feb–Apr 2026) ersichtlich. Feststellung: Auszahlung könnte auf ein anderes Konto erfolgen. Handlungsempfehlung: Sachbearbeitung prüft Zahlungsweg; ggf. Nachforderung der Kontoauszüge (3 Monate) des weiteren Kontos oder Kopie des Bewilligungsbescheids Unterhaltsvorschuss (vgl. § 82 SGB XII; Knowledge-Hinweis Kindergeld/Unterhaltsleistungen als einsatzpflichtiges Einkommen).</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3. Antrag enthält Rechtsschutzversicherung (ARAG, 15,40 €/Monat) als absetzbaren Posten; Erstbewilligungsbescheid (16.05.2025) weist diese als nicht anrechenbar aus. Feststellung: Unterschied Antrag ↔ Bestand. Handlungsempfehlung: Fortführung bisheriger Rechtsauffassung (Rechtsschutz nicht anrechnen) vorbehaltlich einer abweichenden rechtlichen Grundlage (vgl. § 82 SGB XII).</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Schwerbehindertenausweis (GdB 50) liegt vor. Feststellung: Möglicher Anspruch auf Mehrbedarf/Behinderungsausgleich. Handlungsempfehlung: Sachbearbeitung prüft Mehrbedarf gem. § 30 SGB XII.</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Nicht anrechenbare Versicherungen / Posten (kurz)</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Rechtsschutzversicherung (ARAG) 15,40 €/Monat — nicht anrechenbar (Erstbewilligungsbescheid weist aus; rechtliche Grundlage: § 82 SGB XII / Verwaltungspraxis). (Hinweis: andere Versicherungen (Privathaftpflicht 7,10 €, Hausrat 6,40 €) sind als anrechenbar in der bisherigen Berechnung berücksichtigt.)</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Nachforderungen an die Antragstellende Person</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 wurde kein Nachforderungs‑Entwurf erstellt, weil alle für die Vorprüfung relevanten aktuellen Nachweise eingereicht waren (Einkommensnachweis 6 Monate, Kontoauszüge 3 Monate, Mietbescheinigung, Ausweis, Versicherungsnachweis). Wenn Sie wünschen, kann ich dennoch eine standardisierte Nachforderung entwerfen (z. B. KA 3 Monate eines weiteren Kontos für den Fall der Unterhaltsvorschuss‑Auszahlung).</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Geprüfte Unterlagen (Dateinamen)</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Antragsdatenblatt Wenning, Nadine.docx</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personalausweis.pdf</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mietbescheinigung_trennung.pdf</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einkommensnachweis.pdf</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kontoauszuege_wb.pdf</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versicherungspolice_weitere.pdf (ARAG Rechtsschutz)</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hzl_absetzbar_nachweis_Nadine_Wenning_Rechtsschutzversicherung (Versicherungsbescheinigung)</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Auszüge / Nachweise aus Personenakte: erstbewilligungsbescheid.pdf, kontoauszuege_personalakte.pdf, versicherungspolice_haftpflicht.pdf, versicherungspolice_hausrat.pdf, bestattungsvorsorge_police.pdf, schwerbehindertenausweis.pdf</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Versand / Labeling</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Vorprüfungs‑Mail an Sachbearbeitung versendet (Empfänger: agent.sozialamt.borken@gmail.com) — Betreff: „Vorprüfung HzL – Vorgangszeichen HZL-2025-000537 – Wenning, Nadine“. Interne Message‑ID: 19e6f3b738ae57fb. (Label „Sachbearbeiter*in“ gesetzt.)</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Internes Logfile (Regel / Prüfung / Ergebnis) — Auszug (Pflichtregeln enthalten)</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Regel: Knowledge-Datei lesen (Knowledge_HzL_v2.md). Prüfung: agent_knowledge_3 aufgerufen; Datei eingelesen. Ergebnis: Knowledge vollständig berücksichtigt (Datum/Zeit: Beginn Prüfung).</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Regel: Aktenzeichen‑Abgleich (Knowledge 0.19). Prüfung: Antragsdatenblatt Aktenzeichen vs Erstbewilligungsbescheid. Ergebnis: Übereinstimmung (HZL-2025-000537).</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Regel: Adresse/Konsistenz (Knowledge 0.23). Prüfung: Adresse Antragsblatt ↔ Personalausweis. Ergebnis: Übereinstimmung / plausibel.</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Regel: Buchungs‑Abgleich Erstantrag ↔ KA (Knowledge 0.16). Prüfung: KA Feb–Apr 2026 mit Erstantrag/Bescheid verglichen (Wiedereinzahlungen, Lastschriften). Ergebnis: Keine neue oder weggefallene wiederkehrende Lastschrift; Beträge konsistent (AOK 1.020,00 €, Familienkasse 500,00 €, Miete 610,00 €, DEVK/ARAG u. a.).</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Regel: Vermögensschongrenze (Knowledge 0.24). Prüfung: Bankguthaben 760,85 € + Bestattungsvorsorge Rückkaufwert 2.900,00 € (zweckgebunden). Ergebnis: Vermögen unter Schongrenze; Bestattungsvorsorge zweckgebunden und nicht anrechenbar (§ 90 Abs. 3 SGB XII).</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Regel: Kfz-Indizien (Knowledge 0.20). Prüfung: Kontoauszüge auf Kfz‑Indizien durchsucht (Tank, Steuer, Versicherung). Ergebnis: keine eindeutigen Kfz‑Indizien gefunden.</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Regel: Kindergeld / Leistungen für Kinder (Knowledge 0.18/0.20). Prüfung: Einkommensnachweis listet Kindergeld 500,00 € + Unterhaltsvorschuss 367,00 €; KA zeigen Familienkasse 500,00 €; Unterhaltsvorschuss nicht auf vorgelegtem Konto. Ergebnis: Kindergeld nachgewiesen; Unterhaltsvorschuss Zahlungsweg unklar → Klärungsbedarf.</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Regel: Karenzzeiten/Befristungen (Knowledge 0.22). Prüfung: Ausweisdaten, Befristungen, befristete Bescheide geprüft. Ergebnis: Keine auslaufenden Fristen der relevanten Dokumente (Personalausweis gültig bis 24.09.2032).</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Regel: Personenakte‑Quervergleich (Knowledge 0.23). Prüfung: Werte Erstbewilligungsbescheid vs aktuelle Nachweise verglichen. Ergebnis: Keine materiellen Änderungen; Berechnung reproduzierbar.</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Regel: Rechnerische Plausibilität (Knowledge 0.17). Prüfung: Rechenweg des Erstbescheids anhand vorliegender Einkünfte geprüft. Ergebnis: Monatlicher Zahlbetrag 327,50 € plausibel und rechnerisch konsistent.</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(weitere Logeinträge dokumentiert intern — Zusammenfassung am Ende)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Kurze Zusammenfassung / Empfehlung für die Sachbearbeitung</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Auf Basis der vorgelegten Unterlagen empfehle ich die Fortführung der bisherigen Bewilligung in der bisherigen Höhe (327,50 €/Monat). Die in „Klärungsbedarf“ genannten Feststellungen sind prüfungsrelevant; insbesondere die Angabe eines weiteren namensgebundenen Mieters (Florian Krause) und die Nicht‑Nachweisbarkeit des Unterhaltsvorschusses auf den vorgelegten Kontoauszügen sollten vor endgültiger Entscheidung verifiziert werden. Bei nachträglicher Feststellung einer anspruchsmindernden Änderung Rückforderung nach §§ 45, 48, 50 SGB X beziffern.</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Wenn Sie wünschen, erstelle ich auf Grundlage der oben genannten Klärungspunkte:</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einen Nachforderungs‑Entwurf an die Antragstellende (als Gmail‑Entwurf) oder</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ergänzende Prüfaktionen (z. B. gezielte Abfrage bestimmter Dateien aus der Personenakte).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Möchten Sie, dass ich für Punkt 2 (Unterhaltsvorschuss / mögliches anderes Konto) oder für Punkt 1 (Prüfung „Florian Krause“) direkt eine Nachforderung als Entwurf an die Antragstellende erstelle? Wenn ja: ich verfasse den Entwurf gemäß Vorlage 6.1 (Frist 14 Tage) und speichere ihn als Entwurf (nicht versenden).</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