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Erledigt — Kurzbericht (Vorgang GruSi-WBA-20260524-056 — Ernst Becker)</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Kurzfassung</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Alle Unterlagen aus dem Antragsordner geladen und geprüft.</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Vollständigkeitsprüfung (Knowledge_Grusi_v2 §2): unvollständig / klärungsbedürftig (fehlende Kontoauszüge für die neu angegebene Bankverbindung bzw. Kontovollmacht).</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Nachforderung an die antragstellende Person versandt (Vorlage 6.1), Sachbearbeitung in CC. Mail gelabelt als Antragsteller*in.</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Vorgang bis zum Eingang der nachgeforderten Unterlagen protokolliert.</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Wesentliche Befunde (kurz)</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Geladene / geprüfte Dokumente (Auszug)</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Antragsdatenblatt Becker, Ernst.docx  (heruntergeladen; local __fileId: 4f935906-498e-4eb6-abb7-a549076675be) — unterschrieben; in den hochgeladenen Dateien sind u. a. personalausweis.pdf, mietbescheinigung.pdf, rentenbescheid_ohne_anpassung.pdf, kontoauszuege_wb.pdf, pkw_kfz_schein.pdf aufgelistet.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Kontoauszüge Feb–Apr 2026 (kontoauszuege_wb.pdf) (heruntergeladen; local __fileId: b01b61a8-645a-417b-9ef9-7bd953903c63). Auszug (Feb–Apr 2026) zeigt:</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DRV Westfalen - Altersrente an Ernst Becker: 829,00 € (Feb/Mar/Apr 2026)</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Altersrente - Margot Becker: 461,00 € (Feb/Mar/Apr 2026)</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Kontoinhaber der vorgelegten Auszüge: Ernst Becker; IBAN im Auszug: DE96 4265 0150 0067 8901 23.</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(Quellen: kontoauszuege_wb.pdf; Auszugspages Feb–Apr 2026.)</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Vollständigkeitsprüfung (Ergebnis und Begründung)</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Auf dem Antragsbogen wurde eine neue Bankverbindung angegeben (Änderungsstatus: Änderung mitgeteilt) mit Kontoinhaberin: Margot Becker, IBAN DE89 4016 6200 0099 8877 66 (Volksbank Westmünsterland).</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Die vorgelegten Kontoauszüge betreffen jedoch ein anderes Konto (Kontoinhaber: Ernst Becker; IBAN DE96 4265 0150 0067 8901 23).</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Gemäß Checkliste (Knowledge_Grusi_v2 §2.1) sind für die Bearbeitung Kontoauszüge der letzten 3 Monate für alle relevanten Konten erforderlich. Die Kontoauszüge zum neu angegebenen Konto (IBAN DE89...) fehlen; daher ist die Mitwirkungspflicht (vgl. § 60 SGB I) nicht erfüllt — Nachforderung erforderlich.</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Nachforderung (versandt)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Empfänger: Herr Ernst Becker (E-Mail im Antragsblatt); Sachbearbeitung (agent.sozialamt.borken@gmail.com) in CC.</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Message-ID: 19e5b8bf8547cc67</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Inhalt (Kurz): Bitte reichen Sie bis zum 07.06.2026 ein:</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Kontoauszüge der letzten 3 Monate für das neu angegebene Konto (IBAN DE89 4016 6200 0099 8877 66) zur Bestätigung der Kontoinhaberschaft (Margot Becker) und zur Nachvollziehbarkeit von Zahlungsein-/-ausgängen; oder</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alternativ eine unterschriebene Kontovollmacht bzw. schriftliche Einverständniserklärung der Kontoinhaberin, wenn Zahlungen auf dieses Konto erfolgen sollen.</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Rechtsbelehrung: Ohne diese Unterlagen kann über Ihren Antrag nicht abschließend entschieden werden (§ 60 SGB I; § 66 SGB I).</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Label gesetzt: Antragsteller*in.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Vorläufige Rechtsfolgen / Hinweise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 die Nachweise zur neu angegebenen Bankverbindung fehlen, wurde der Vorgang bis zum Eingang der Unterlagen protokolliert und ausgesetzt. Eine endgültige Entscheidung über Zahlung, Leistungsänderung oder Rückforderung ist derzeit nicht möglich.</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Die vorliegenden Kontoauszüge dokumentieren Renteneingänge (DRV Westfalen an Ernst Becker 829,00 €), die für die Anspruchsprüfung relevant sind (vgl. §§ 82 ff. SGB XII). Konkretre Neuberechnung erfolgt nach Eingang der Nachweise zur neuen Bankverbindung und ggf. weiterer Klärungen.</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Protokoll / Dokumentation</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Protokoll-Datei erstellt: Protokoll_GruSi-WBA-20260524-056.txt (enthält Prüfpfad, geprüfte Dateien, Nachforderungstext, Message-ID, Zeitstempel). Die Protokolldatei wurde erzeugt und an Sie übergeben.</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Nächste Schritte (für die Sachbearbeitung)</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Prüfen Sie nach Eingang der Kontoauszüge für die IBAN DE89... oder einer Kontovollmacht, ob Zahlungen auf dieses Konto erfolgen dürfen. Falls die Anpassung wirksam zum Beginn des Bewilligungszeitraums (01.06.2025) zurückwirkt, ist ggf. eine Rückforderungsberechnung vorzunehmen (die KI hat eine vorläufige Kalkulation protokolliert; endgültige Festsetzung liegt bei Ihnen).</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Bei Rückfragen zur Nachforderung oder zur Frist: agent.sozialamt.borken@gmail.com.</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Hinweis zur Rechtswirkung</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Dies ist eine Vorprüfung und keine rechtsverbindliche Entscheidung. Endgültige Entscheidungen über Anspruch, Leistungshöhe und Rückforderungen trifft die zuständige Sachbearbeitung (vgl. §§ 41 ff. SGB XII; § 31a SGB X).</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Möchten Sie, dass ich nach Eingang der geforderten Unterlagen eine aktualisierte Vorprüfung (inkl. möglicher Rückforderungsaufstellung monatlich) vorprotokolliere, formuliere ich das gern und sende die Ergebnisse an Sie.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