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 habe die Weiterbewilligung geprüft und die Vorprüfung an die Sachbearbeitung versandt. Kurzfassung der Ergebnisse und der durchgeführten Arbeitsschritte: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Vorgangszeichen: SGA-2025-001281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Christel Stiens, geb. 15.02.1952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 Antrag: 28.05.2026, 10:52 Uhr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Vorgangsnummer: GruSi-WBA-20260528-145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Sachbearbeiter: agent.sozialamt.borken@gmail.com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Durchgeführte Schritte (Pflicht‑Werkzeuge)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Knowledge_Grusi_v2.md vollständig gelesen.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Antragsordner und Personenakte durchsucht.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relevanten Dateien aus Antragsordner und Personenakte heruntergeladen und inhaltlich geprüft.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die Sachbearbeitung erstellt und versandt (Label: „Sachbearbeiter*in“).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 Nachforderungs‑Entwurf an die Antragstellende erstellt (nicht erforderlich — Vollständigkeit gegeben).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Logfile (Regel / Prüfung / Ergebnis) erstellt (intern).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Vollständigkeitsprüfung (Kurz)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Status: vollständig.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Vorliegende/aktuelle Nachweise vorhanden und lesbar: Personalausweis, Mietbescheinigung (10.04.2026), Rentenbescheid (18.06.2025), Kontoauszüge (Feb–Apr 2026), Versicherungs‑Beitragsrechnungen (Privathaftpflicht, Hausrat), Erstbewilligungsbescheid, Sparbuch‑/Vermögensnachweise, Bauspar‑ und Bestattungsvorsorge‑Unterlagen.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Erstantrag ↔ Kontoauszüge (Pflichtabgleich)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Wiederkehrende Buchungen geprüft (Feb–Apr 2026): Renteneingänge 698,00 € (Frau) + 812,00 € (Herr) bestätigen die im Erstbescheid verwendeten Werte; Mietabbuchung SEPA 560,00 € entspricht Mietbescheinigung (Kaltmiete 420,00 € + Nebenkosten 140,00 €); Versicherungsabbuchungen 7,10 € (Haftpflicht) und 6,40 € (Hausrat) stimmen mit Police‑Angaben überein. Keine neu hinzugekommene absetzbare Versicherung erkannt.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Anspruchsprüfung — Ergebnis (immer durchgeführt)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Berechnung (Bestand → Neu, Δ / Monat)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 (2 Personen): 1.012,00 € → 1.012,00 € → Δ: 0,00 €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Kaltmiete: 420,00 € → 420,00 € → Δ: 0,00 €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Nebenkosten: 140,00 € → 140,00 € → Δ: 0,00 €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Heizkosten: 108,00 € → 108,00 € → Δ: 0,00 €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Brutto‑Einkommen (Renten ges.): −1.510,00 € → −1.510,00 € → Δ: 0,00 €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 Versicherungen (Haftpflicht / Hausrat): 13,50 € → 13,50 € → Δ: 0,00 €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Monatlicher Zahlbetrag (Bestand → Neu)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Bestand: 183,50 €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Neu: 183,50 € → Δ: 0,00 €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Rückforderung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rückwirkend anspruchsmindernde Änderung festgestellt → Rückforderung: 0,00 € (Rechtsgrundlage: §§ 45, 48, 50 SGB X).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Konfidenz / Vorläufigkeit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hoch (≈ 97 %) — da alle zentralen Belege vorliegen und plausibel sind. Empfehlung ist nicht als „vorläufig“ gekennzeichnet.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Klärungsbedarf / Unstimmigkeiten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Klärungsbedarf (problematische Feststellungen): keine.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Unstimmigkeiten ohne Anspruchswirkung: technische Duplikate (gleiche Belege in Antragsordner und Personenakte) — keine Anspruchswirkung; Konsolidierung empfohlen.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 anrechenbare Versicherungen / Posten (Feststellung)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Bestattungsvorsorge (Monuta): monatlicher Beitrag 13,50 € sichtbar, Rückkaufwert/Vertrag als zweckgebundener Posten — nicht als absetzbarer Versicherungsaufwand anerkannt (vgl. § 90 Abs. 3 SGB XII).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Bausparrate (LBS) 30,00 €/Monat: Beitrag ist Sparrate / Vermögensbildung, wird nicht als absetzbarer Versicherungsaufwand angesetzt; Bausparguthaben wird als Vermögen fortgeführt.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Ungewöhnliche Beobachtungen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Vermögen in der Personenakte: Sparbuch 6.500,00 €, Bausparvertrag Guthaben 7.800,00 € (Erstbewilligung) — jeweils unter der Schongrenze 10.000,00 € p. P.; keine anrechnungsrelevante Wirkung. (Rechtsgrundlage: Knowledge 0.23 / §§ 41 ff. SGB XII)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Geprüfte Unterlagen (Dateinamen)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Stiens, Christel.docx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vers_hausrat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vers_haftpflicht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verm_kontoauszug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ek_nachweise_keine_aenderung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wk_mietbescheinigung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ausweisdokument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versicherungspolice_hausrat.pdf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versicherungspolice_haftpflicht.pdf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rentenbescheid_ohne_anpassung.pdf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rentenbescheid_werner_stiens_ohne_anpassung.pdf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sparbuchauszug.pdf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mietbescheinigung.pdf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bausparvertrag_police.pdf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bestattungsvorsorge_police.pdf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Aktionen / Status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Nachforderungsentwurf an Antragstellende: nicht erforderlich → kein Entwurf erstellt.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Sachbearbeitung: erstellt und versandt (Betreff: Vorprüfung Weiterbewilligung SGA-2025-001281 — GruSi-WBA-20260528-145). Label „Sachbearbeiter*in“ gesetzt.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Logfile mit den Pflicht‑Prüfregeln (min. 10 Einträge) angelegt (intern).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Empfohlene nächste Schritte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Sachbearbeitung kann auf Grundlage dieser Vorprüfung den Bewilligungszeitraum formell weiterbewilligen und den Bescheidsprozess abschließen.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Bei Wunsch überprüfe ich nach Eingang weiterer Unterlagen automatisch die Berechnung und erstelle eine Korrekturvorlage.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möchten, kann ich die vollständige interne Logfile‑Darstellung (Regel / Prüfung / Ergebnis — alle Pflichtblöcke) hier anhängen; sonst gilt die interne Logdatei als abgelegt. Soll ich die Logfile‑Einträge ausgeben?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**Finalizing email summary**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going to present a concise summary saying "Vorprüfungsmail sent" and "No Nachforderung," while also mentioning "Konfidenz." It's crucial to avoid revealing Drive IDs in the email, as the developer warned against it, but I can mention filenames to the user. I'll note that I created the Vorprüfungs-Mail and labeled it 'Sachbearbeiter*in.' Additionally, I'll include a non-urgent message about the next steps for Sachbearbeitung.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