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Erledigt — Ich habe den Vorgang SGA-2025-001266 (GruSi‑WBA‑20260527‑129, Helga Wiesmann) geprüft und die Vorprüfung an die Sachbearbeitung gesandt. Kurzbefund und nächste Schritte: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ich gemacht habe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Drive: Antragsordner und Personenakte durchsucht und alle relevanten Unterlagen heruntergeladen und quergelesen.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Vollständigkeitsprüfung nach Knowledge_Grusi_v2.md (Abschnitt 2): Ergebnis = vollständig (aktuelle Nachweise liegen vor).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Erstantrag ↔ Kontoauszüge (Feb–Apr 2026) Buchung‑für‑Buchung abgeglichen (wiederkehrende Posten identifiziert: DRV‑Rente 832,00 €, Monatsmiete 410,00 €, Haftpflicht 6,30 €, Heizkostenvorauszahlung 82,00 €).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Anspruchsprüfung (immer durchgeführt): Berechnung erstellt (siehe unten).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Sachverhalt mit Vermögensbelegen kritisch geprüft (Kritische Plausibilitätsprüfung).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die Sachbearbeitung versandt (eine Mail). Label „Sachbearbeiter*in“ gesetzt. (Message‑ID: 19e6b9ddb6778ca1)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 Nachforderungs‑Entwurf an die Antragstellende erstellt (nicht erforderlich — alle aktuellen Pflichtnachweise liegen vor).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Knapper Befund / Empfehlung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Vollständigkeit: vollständig. Rechtsgrundlage: § 41 SGB XII.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Wesentlicher Befund: Depotauszug (Consorsbank, Stichtag 31.03.2026) weist einen Marktwert von 25.000,00 € aus. Dieses Vermögen übersteigt die Schongrenze von 10.000,00 € p. P. und ist damit entscheidungsrelevant. Rechtsgrundlage: §§ 90, 91 SGB XII (Einsatz von Vermögen).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Empfehlung (Handlungsempfehlung an Sachbearbeitung): Prüfen, ob das Depot anrechenbar ist. Falls anrechenbar → Wegfall des Leistungsanspruchs; bei Bedarf Rückforderungsberechnung gemäß §§ 45, 48, 50 SGB X initiieren. Falls nicht anrechenbar → entsprechenden Nachweis (z. B. Verfügungsbeschränkung, Belastungsnachweis) dokumentieren und Bewilligung fortführen. Konfidenz: Hoch (≈ 96 %) bzgl. Depotbestand / Marktwert; rechtliche Bewertung hängt von möglichen Verfügungsbeschränkungen ab.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Berechnung (Bestand → Neu; Δ / Monat)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 (1 Person): 563,00 € → 563,00 €; Δ 0,00 €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Mehrbedarfe: 0,00 € → 0,00 €; Δ 0,00 €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Kosten der Unterkunft (Kaltmiete): 310,00 € → 310,00 €; Δ 0,00 €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Nebenkosten: 100,00 € → 100,00 €; Δ 0,00 €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Heizkosten: 82,00 € → 82,00 €; Δ 0,00 €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Gesamtbedarf: 1.055,00 € → 1.055,00 €; Δ 0,00 €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Brutto‑Einkommen (Renten): −832,00 € → −832,00 €; Δ 0,00 €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Zzgl. anrechenbare Versicherungen (Haftpflicht): 6,30 € → 6,30 €; Δ 0,00 €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 (bereinigt): −825,70 € → −825,70 €; Δ 0,00 €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Monatlicher Zahlbetrag: 229,30 € → 229,30 €; Δ 0,00 €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Rückforderung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Zurzeit keine Rückforderung berechnet (kein neu entdeckter, rückwirkend anspruchsmindernder Umstand). Hinweis: Sollte die Sachbearbeitung nach Prüfung die Depotanrechnung anordnen, bitte Rückforderungsberechnung (Monate × monatliche Differenz) nach §§ 45, 48, 50 SGB X veranlassen.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Klärungsbedarf (Feststellungen mit Handlungsempfehlung)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Depotauszug (Consorsbank) — Marktwert 25.000,00 € (31.03.2026). Handlungsempfehlung: Anrechenbarkeit prüfen; bei Anrechenbarkeit: Weiterbewilligung ablehnen/aussetzen und Rückforderung prüfen; bei Nicht‑Anrechenbarkeit: entsprechenden Beleg sichern. (Rechtsgrundlage: §§ 90, 91 SGB XII; Rückforderung: §§ 45, 48, 50 SGB X)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Inkonsistenz Erstbewilligungsakte: Depot war bereits im Erstbescheid genannt, trotz dessen wurde Leistung bewilligt. Handlungsempfehlung: prüfen, ob im Erstverfahren Gründe für Nicht‑Anrechnung dokumentiert sind; falls nicht, ggf. Korrektur/Rückforderung erwägen.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 anrechenbare Versicherungen / Posten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Berücksichtigte Versicherungen: Privathaftpflicht (6,30 €/Monat) — anrechenbar und berücksichtigt. Keine weiteren nicht‑anrechenbaren Posten identifiziert.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Ungewöhnliche Beobachtungen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Kumuliertes Vermögen (Depot 25.000,00 € + Kontensaldo ≈ 14.530,85 € Ende April 2026) deutlich über der Schongrenze — unmittelbare Relevanz für Grundsicherungsanspruch.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Geprüfte Unterlagen (Dateinamen)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Wiesmann, Helga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mietbescheinigung.pdf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rentenbescheid_ohne_anpassung.pdf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kontoauszuege_wb_E.pdf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depotauszug.pdf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versicherungspolice_haftpflicht.pdf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Werkzeuge / Aktionen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Drive‑Suche / Download: durchgeführt.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Sachbearbeitung: versandt (Message‑ID: 19e6b9ddb6778ca1). Label „Sachbearbeiter*in“ gesetzt.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Nachforderungs‑Entwurf an Antragstellende: nicht erstellt (nicht erforderlich).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Internes Logfile (Regel/Prüfung/Ergebnis) wurde protokolliert (intern; nicht Bestandteil der Mail).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Benötigen Sie zusätzliche Aktionen?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Soll ich einen Nachforderungs‑Entwurf an die Antragstellende anlegen (z. B. wenn Sie Belege zur Nicht‑Anrechenbarkeit des Depots anfordern möchten)?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Soll ich eine Rückforderungsberechnung durchführen, falls die Sachbearbeitung die Depotanrechnung anordnet (geben Sie bitte den Zeitraum an)?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Soll ich das interne Logfile als PDF/DOC exportieren und liefern?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möchten, führe ich die gewünschte Folgeaktion direkt aus.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