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 HZL-2025-000538 abgeschlossen.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Knowledge_HzL_v2.md vor Bearbeitung herangezogen.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 und Personenakte durchsucht.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gefundenen Unterlagen geladen und geprüft.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Weiterbewilligung mit Bestandsabgleich, Kontoauszugsabgleich, Vermögensprüfung und vorläufiger Anspruchsberechnung durchgeführt.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Nachforderungs-Entwurf an die antragstellende Person erstellt und mit Label „Antragsteller*in“ versehen.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Kombinierte Vorprüfungsmail an die Sachbearbeitung versendet und mit Label „Sachbearbeiter*in“ versehen.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Kurzbefund: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unvollständig; Klärungsbedarf.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Vorläufiger Anspruch ab 01.06.2026: 0,00 € wegen einzusetzenden Vermögens oberhalb des Schonbetrags.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 bezifferte Rückforderung: 151,80 € für April/Mai 2026 wegen Vermögenszuflusses.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Wesentliche Klärungspunkte: widersprüchliche Anschrift, nicht angegebenes Wertpapierdepot, Erbschaftszufluss, fehlende aktuelle Rentenmitteilung, fehlende Mai-Umsätze, fehlende Kfz-Haftpflicht-Beitragsrechnung, KdU-/Heizkostenplausibilität.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