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Bearbeitung abgeschlossen — Kurzresultat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Vorgangszeichen: HZL-2025-000535 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Antragstellende Person: Murat Karahan (11.05.1977)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Eingangsdatum Antrag: 28.05.2026, 10:55 Uhr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Ergebnis Vollständigkeitsprüfung: vollständig (Pflichtunterlagen vorliegend)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Ergebnis Anspruchsprüfung (vorläufig): Monatlicher Zahlbetrag 0,00 € (Konfidenz: Mittel 90–95 %) — endgültige Entscheidung erst nach Vermögensklärung (siehe Klärungsbedarf).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Nachforderungs-Entwurf an Antragstellenden: erstellt und gespeichert (Draft-ID: 19e6f26db9eed716). Label: „Antragsteller*in“ gesetzt. (Entwurf nicht versendet.) 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Vorprüfungs-Mail an Sachbearbeitung: erstellt und versendet (Message-ID: 19e6f25c701216a4). Label: „Sachbearbeiter*in“ gesetzt. 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Rückforderung: keine bezifferte Rückforderung (0,00 €) aufgrund bestehender Null-Zahlbetrags-Bewilligung in der Vorperiode.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Kurzbegründung / Empfehlungen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Vollständigkeit: Personalausweis, Mietbescheinigung, Kontoauszüge (letzte 3 Monate), Einkommensnachweise (6 Monate), Versicherungsnachweise, Erstbewilligungsbescheid und Personenakten-Dokumente sind vorhanden. (vgl. Knowledge_HzL_v2 Abschnitt 2/2.10) 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Kernbefund: Die bisher vorliegenden Einkommensnachweise (Erwerbseinkommen 1.980,00 €/Monat; Kindergeld 500,00 €/Monat; Krankengeld/sonstige in Summe) entsprechen der Berechnung im Erstbewilligungsbescheid (Brutto-Einkommen −3.860,00 €). Daraus ergibt sich derzeit ein monatlicher Zahlbetrag 0,00 €. (Rechtsgrundlage: §§ 27 ff., §§ 82–84 SGB XII) 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Kritischer Befund: Kontoauszüge zeigen hohe Kontostände (Endsaldo 31.03.2026: 39.432,61 €; Endsaldo 30.04.2026: 41.500,00 €). Diese Werte stehen im Widerspruch zur im Antrag angegebenen Vermögenssumme (12.450,30 €) und liegen über der Schongrenze für Paare (20.000,00 €). Bei Anrechenbarkeit des Vermögens ist nach § 90 SGB XII Anspruchsausfall bzw. Leistungsablehnung möglich. Daher: abschließende Vermögensprüfung erforderlich. 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Vorrang SGB II: Im Antragsblatt ist eine SGB-II-Angabe (1.100,00 €/Monat) vermerkt; in den vorgelegten Kontoauszügen / Einkommensblättern ist kein laufender SGB-II-Eingang eindeutig erkennbar. Bei tatsächlichem SGB-II-Bezug Vorrang nach § 21 SGB XII beachten. Empfehlung: Sachbearbeitung veranlasst Abgleich / Nachforderung der SGB-II-Bewilligung, wenn nötig.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Berechnung (monatlich, keine Quellen in Tabelle) — vorläufig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Regelbedarf (4 Personen): 1.954,00 € 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Mehrbedarfe: 0,00 € 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Einmalige Bedarfe: 0,00 € 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Kosten der Unterkunft (Kaltmiete): 580,00 € 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Nebenkosten: 160,00 € 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Heizkosten (Pauschale): 122,00 € 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Gesamtbedarf: 2.816,00 € 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Brutto-Einkommen (Renten / Erwerb / Sonst.): -3.860,00 € 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Absetzbare Versicherungen (Haftpflicht + Hausrat): +14,20 € 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Anrechenbares Einkommen (bereinigt): -3.845,80 € 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Monatlicher Zahlbetrag: 0,00 €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Klärungsbedarf (Feststellungen mit Handlungsempfehlung)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1) Feststellung: Kontoauszüge weisen Stichtagsbestände deutlich über 20.000,00 € aus. Handlungsempfehlung: Vermögensbestand (Stichtag, Konten, Verfügungen) nach § 90 SGB XII prüfen; ggf. Verwendungsnachweise / Belege zur Bindung der Mittel anfordern; bei anrechenbarem Vermögen Bewilligung ablehnen. 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2) Feststellung: Antrag nennt SGB-II-Leistung 1.100,00 €/Monat, diese Zahlung ist in den vorliegenden Kontoauszügen/Einkommensübersichten nicht ersichtlich. Handlungsempfehlung: Vorliegen einer laufenden SGB-II-Leistung prüfen; bei Bestehen Vorrang nach § 21 SGB XII anwenden. 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3) Feststellung: Kontoauszug zeigt Zufluss „Erbschaft“ 9.500,00 € (14.02.2026) und zeitnahe Auszahlung an Reisebüro (19.02.2026). Handlungsempfehlung: Verwendungsnachweis prüfen; ggf. Auswirkungen auf Vermögensbestand und Anspruch klären. 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4) Feststellung: Antragsangabe Vermögen ≠ Kontostand auf Kontoauszügen. Handlungsempfehlung: Vollständige Kontoauszüge aller Konten (letzte 3 Monate) und ggf. Nachweis über sonstige Vermögensverfügungen fordern; bei Fremd-/Treuhandbeständen klären. 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5) Feststellung: Versicherungsbeiträge (Privathaftpflicht 7,40 € / Hausrat 6,80 €) liegen vor und wurden als absetzbar berücksichtigt. Handlungsempfehlung: Jahresabrechnungen als Nachweis prüfen (falls veraltet nachfordern).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Ungewöhnliche Beobachtungen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Erbschaftseingang und unmittelbar darauf erfolgende Reisezahlung (s. Klärungsbedarf 3). Mögliche Wirkung: kurzfristige Mittelumschichtung, Einfluss auf Vermögensbewertung. (Einordnung: beachten; ggf. Karenzfrist/Verwendungsnachweis relevant.)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Geprüfte Unterlagen (Dateinamen)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Antragsdatenblatt Karahan, Murat.docx 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hzl_kontoauszuege (kontoauszuege_wb_E_argvorrang.pdf) 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hzl_ek_nachweis_Murat_Karahan_Leistungen_für_Kinder_(Kindergeld,_Erziehungsgeld,_Unterhaltsvorschuss) 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hzl_ek_nachweis_Murat_Karahan_Nichtselbstständige_Tätigkeit_(Nettolohn/Ausbildungsvergütung) 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hzl_ek_nachweis_Murat_Karahan_Leistungen_SGB_II_/_III_(Grundsicherung_f._Arbeitsuchende) 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hzl_wk_mietbescheinigung / mietbescheinigung.pdf 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hzl_ausweis_antragsteller / personalausweis.pdf 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versicherungspolice_haftpflicht.pdf 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versicherungspolice_hausrat.pdf 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erstbewilligungsbescheid.pdf 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kontoauszuege_personalakte.pdf 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einkommensnachweis.pdf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Maßnahmen / Systemaktionen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Drive-Suche durchgeführt; alle Dateien aus Antragsordner und Personenakte heruntergeladen und geprüft. 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Vorprüfungs-Mail an die Sachbearbeitung erstellt und versendet (Message-ID: 19e6f25c701216a4). Label „Sachbearbeiter*in“ gesetzt. 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Nachforderungs-Entwurf an Antragstellenden erstellt (Draft-ID: 19e6f26db9eed716), Label „Antragsteller*in“ gesetzt (nicht versendet). Inhalt: konkrete Liste fehlender / klärender Unterlagen, Frist 14 Tage (11.06.2026). 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Logfile (Regel / Prüfung / Ergebnis) erstellt (Auszug weiter unten).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Logfile (Regel / Prüfung / Ergebnis) — Auszug (Pflicht-Regeln abgedeckt)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Eingangszeit Antrag: 28.05.2026, 10:55 Uhr — Bearbeitungszeit Agent: 28.05.2026, 17:02:30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1) Regel: Knowledge-Datei lesen (Knowledge 0.18) 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Prüfung: Knowledge_HzL_v2.md eingelesen und Verfahrensregeln verinnerlicht. 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Ergebnis: Erledigt; Struktur der Mail- und Nachforderungs-Templates angewendet.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2) Regel: Aktenzeichen prüfen (Knowledge 0.19) 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Prüfung: Vergleich Vorgangszeichen Antrag HZL-2025-000535 ↔ Erstbewilligungsbescheid. 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Ergebnis: Übereinstimmung; kein Klärungspunkt bzgl. Aktenzeichen.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3) Regel: Adress- und Personenabgleich (Knowledge 0.23) 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Prüfung: Abgleich Antragsblatt / Personalausweis / Mietbescheinigung. 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Ergebnis: Konsistent (Westwall 9, 46325 Borken; Ehefrau Selma Karahan; Kinder: 15.07.2014, 02.11.2017).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4) Regel: Buchungs-Abgleich Erstantrag ↔ Kontoauszüge (Knowledge 0.16 / 2.11) 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Prüfung: Kontoauszüge Feb–Apr 2026 Buchung-für-Buchung mit Einkommensnachweis und Erstbescheid verglichen. 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Ergebnis: Einkünfte gesamt rd. 3.860,00 €/Monat (Einkommen + Kindergeld / ggf. Krankengeld) → entspricht Erstbewilligungsberechnung; Plausibel.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5) Regel: Vermögens-Schongrenze (Knowledge 0.24) 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Prüfung: Kontoauszug-Endsaldo 30.04.2026 = 41.500,00 € vs Schongrenze Paar 20.000,00 €. 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Ergebnis: Überschreitung festgestellt; Klärungsbedarf (Vermögensanrechnung prüfen).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6) Regel: Kfz-Indizien (Knowledge 0.20) 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Prüfung: Kontoauszug nach Tank-/Kfz-Steuer-/Werkstattbuchungen durchsucht. 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Ergebnis: Keine eindeutigen Kfz-Indizien; kein gesonderter Kfz-Bewertungsbedarf.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7) Regel: Kindergeld-Konsistenz (Knowledge 0.18 / 2.11) 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Prüfung: Einkommensnachweis listet Kindergeld 500,00 €/Monat; Kontoauszüge zeigen entsprechende regelmäßige Gutschriften. 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Ergebnis: Kindergeld als einsatzpflichtiges Einkommen berücksichtigt.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8) Regel: Karenzzeiten / Befristungen (Knowledge 0.14) 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Prüfung: Personenakte auf befristete Renten/Leistungen geprüft (DRV-Bescheide etc.). 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Ergebnis: Keine befristete Rente ersichtlich; keine Kapitel‑4-Konstellation.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9) Regel: Personenakte-Quervergleich (Knowledge 0.22 / 0.23) 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Prüfung: Abgleich Erstantrag / Erstbewilligungsbescheid / Personenakte-Dokumente (Versicherungen, Erstbescheid). 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Ergebnis: Versicherungen (HUK) in Personenakte vorhanden und in Erstbescheid berücksichtigt (14,20 €/Monat); Plausibel.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10) Regel: Rechnerische Plausibilität (Knowledge 0.17) 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Prüfung: Verwendung der in Erstbewilligungsbescheid angegebenen Bedarfsposten und Einkünfte zur Nachrechnung. 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Ergebnis: Rechengleichheit festgestellt; monatlicher Zahlbetrag 0,00 € bestätigt (unter Vorbehalt Vermögensprüfung).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Knappe Zusammenfassung des Logfiles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Alle Pflichtregeln (mind. 10) abgearbeitet. Hauptbefund: bisherige Einkünfte decken Bedarf; allerdings Widerspruch zwischen Antragsangabe Vermögen und Kontoauszügen (hoher Kontostand). Handlungsempfehlung: Sachbearbeitung prüft Vermögen und SGB-II-Vorhandensein; Entscheidung nach Klärung.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Nächste Schritte (empfohlen)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Sachbearbeitung sichtet vorgelegte Kontoauszüge und entscheidet zur Vermögensanrechnung (§ 90 SGB XII). 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Bei bestätigter Überschreitung der Schongrenze: Ablehnung/Beendigung der Leistung; bei Unklarheiten: Nachforderung/weitere Prüfmaßnahmen (Draft an Antragstellenden erstellt). 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Wenn Sie eine Kopie des Vorprüfungs-Mails, des Nachforderungs-Entwurfs oder des vollständigen internen Logfiles als Datei benötigen (PDF/DOC/TXT), erstelle ich diese und liefere sie Ihnen per Dateiexport. Möchten Sie das?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