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den Antrag geprüft und die Vorprüfung abgeschlossen. Kurzfassung der Ergebnisse, der versendeten Vorprüfungs‑Mail an die Sachbearbeitung und das interne Logfile (Regel / Prüfung / Ergebnis).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Was ich gemacht habe (Werkzeuge / Schritte)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 eingelesen.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(1gEF-yv7dl0AAk4gfwHu5HLrBvvS9Cnto) durchsucht und alle dortigen Unterlagen heruntergeladen.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(1tFT700PKoLz3WHrCyj2ai_B4MHLBRaza) durchsucht und relevante Bestandsunterlagen heruntergeladen.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gemäß Knowledge (Abschnitt 2) durchgeführt.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(dem Grunde nach und der Höhe nach) durchgeführt; rechnerische Plausibilitätsprüfung vorgenommen.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erstellt und versendet (Gmail).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E‑Mail‑Label auf „Sachbearbeiter*in“ gesetzt.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erstellt (Unterlagen vollständig).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Kernergebnis (kompakt)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Vollständigkeit: vollständig (alle Pflichtnachweise vorliegend).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grundsätzlich gegeben (vgl. § 27 SGB XII). Gleichzeitig liegt verwertbares Vermögen vor, das die Schongrenze von 10.000,00 € p. P. überschreitet (vgl. § 90 SGB XII) — daher rechtliche Prüfung zur Fortführung erforderlich.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Vorrang: keine ersichtliche vorrangige Leistung (vgl. § 21 SGB XII).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Mittel (90–95 %) — sachliche Zahlenlage (Einkommen, Depot, Konto) ist belastbar; rechtliche Wertung der Anrechenbarkeit des Vermögens trifft die Sachbearbeitung.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 Berechnung (Bestand → Neu → Δ)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(1 Person): 563,00 € → 563,00 € → 0,00 €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 → 0,00 €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 Bedarfe: 0,00 € → 0,00 € → 0,00 €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330,00 € → 330,00 € → 0,00 €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105,00 € → 105,00 € → 0,00 €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82,00 € → 82,00 € → 0,00 €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1.080,00 € → 1.080,00 € → 0,00 €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(Rente): −1.010,00 € → −1.010,00 € → 0,00 €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 (anrechenbar): 5,90 € → 5,90 € → 0,00 €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−1.004,10 € → −1.004,10 € → 0,00 €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75,90 € → 75,90 € → 0,00 €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(Rechtsgrundlagen zur Berechnung: §§ 27a, 30, 31, 82–84, 90 SGB XII.)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Rückforderung (Vorläufig / Bedingt)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Auffälligkeit: Kontoauszug 09.04.2026 zeigt Eingang „Erbschaft“ 8.700,00 € und 14.04.2026 Abbuchung „DERTOUR“ 8.700,00 € (vgl. Kontoauszug). Zusätzlich Depotauszug Stichtag 31.03.2026: 12.800,00 €.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Sofern die Sachbearbeitung das Depot bzw. den Zufluss als anrechenbares Vermögen einstuft und dadurch Hilfebedürftigkeit für den Zeitraum ab 09.04.2026 entfällt, wäre eine Rückforderung nach §§ 45, 48, 50 SGB X zu prüfen und zu beziffern.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Bezifferung (nur bei bestätigter Anrechnung): Wirkungszeitraum 09.04.2026 – 31.05.2026 (2 Monate) × Monatsdifferenz 75,90 € = 151,80 € (vgl. §§ 45, 48, 50 SGB X). Diese Bezifferung ist konditional; endgültige Festsetzung durch die Sachbearbeitung.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Klärungsbedarf — Feststellungen mit Handlungsempfehlung (keine Fragen)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Depotbestand (Depotauszug 31.03.2026: 12.800,00 €). Feststellung: Verwaltetes Vermögen (Depot + Konto) ohne Kfz übersteigt die Schongrenze von 10.000,00 € p. P. Handlungsempfehlung: Sachbearbeitung prüft Anrechnung des Depots nach § 90 SGB XII; bei Anrechnung Prüfung auf Einstellung der Leistung und ggf. Rückforderung (vgl. §§ 45, 48, 50 SGB X).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Einmaliger Geldeingang / Verwendung (09.04.2026 Erbschaft 8.700,00 € / 14.04.2026 Zahlung Reise 8.700,00 €). Feststellung: Großes Zufluss‑/Verwendungsereignis während des Bewilligungszeitraums. Handlungsempfehlung: Sachbearbeitung prüft Meldepflicht, Verwendungsnachweis (Rechnung/Beleg DERTOUR) und die Anspruchsfolge; ggf. Belegnachforderung oder Bezifferung Rückforderung.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Depot vs. Kontostand: Kontostand 30.04.2026 965,20 €; Depotauszug 12.800,00 € (Stichtag 31.03.2026). Feststellung: Gesamtvermögen (ohne Kfz) = 13.765,20 € &gt; 10.000,00 € Schongrenze. Handlungsempfehlung: Sachbearbeitung ordnet Gesamtvermögen an und entscheidet über Anrechnung (vgl. Knowledge 0.24).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Kfz (Mazda 2, Zeitwert 3.800,00 €). Feststellung: Kfz bis 7.500,00 € angemessen und nicht Teil der Schongrenze. Handlungsempfehlung: Kfz als nicht schongrenzrelevantes Vermögen behandeln (vgl. Knowledge 0.24).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DRV/Erwerbsminderungsrente: Zahlbetrag 1.010,00 €, Rentenbefristung bis 31.08.2028. Feststellung: Regelmäßiges Einkommen, anrechenbar (vgl. §§ 82 ff. SGB XII). Handlungsempfehlung: Rentenbestandteil in der endgültigen Entscheidung berücksichtigen.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Nicht anrechenbare Versicherungen / Posten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weitere Versicherung erkennbar, die derzeit gesondert als nicht anrechenbar zu nennen wäre. Privathaftpflicht (HUK24, 5,90 €/Monat) wurde bereits als anrechenbar berücksichtigt.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Unstimmigkeiten ohne unmittelbare Anspruchswirkung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sonstigen Unstimmigkeiten festgestellt; Angaben in Antrag und Kontoauszügen sind überwiegend konsistent.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Ungewöhnliche Beobachtungen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Kombination aus hohem Depotbestand und großem kurzfristigem Zufluss/Auszahlungsereignis (Erbschaft → Reise) innerhalb des Bewilligungszeitraums; hohe rechtliche Relevanz für Vermögensprüfung.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Geprüfte Unterlagen (Dateinamen)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Lammers, Tobias.docx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hzl_ek_nachweis_Tobias_Lammers_Renten_/_Pensionen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depotauszug.pdf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drv_em_befristung.pdf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schwerbehindertenausweis.pdf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Versand / Labeling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versendet (Empfänger: agent.sozialamt.borken@gmail.com). Message‑ID/System‑ID der versendeten Mail: 19e6f4462020125d. Label „Sachbearbeiter*in“ gesetzt.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Antragstellende: nicht erstellt (keine fehlenden Pflichtnachweise).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Internes Logfile (Regel / Prüfung / Ergebnis) — Auszug (Pflichtregeln abgedeckt)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Knowledge-Datei lesen (Knowledge 0.18). Prüfung: Knowledge_HzL_v2.md eingelesen. Ergebnis: Knowledge vollständig berücksichtigt.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Aktenzeichen‑Abgleich (Knowledge 0.19). Prüfung: Antragsblatt Aktenzeichen vs Erstbewilligungsbescheid. Ergebnis: Übereinstimmung: HZL-2025-000538.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Adresse / Konsistenz (Knowledge 0.23). Prüfung: Adresse Antragsblatt ↔ Personalausweis. Ergebnis: Übereinstimmung (Gemener Straße 88, 46325 Borken).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Buchungs‑Abgleich Erstantrag ↔ Kontoauszüge (Knowledge 0.16). Prüfung: Kontoauszüge Feb–Apr 2026 gegenüber Erstantrag/Bescheid. Ergebnis: Regelmäßige Buchungen (Rente 1.010, Miete 435, Versicherungen) konsistent; keine unerkannte Dauerlastschrift außer genannten Transaktionen.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Vermögensschongrenze (Knowledge 0.24). Prüfung: Depotauszug + Kontostand vs 10.000,00 € Schongrenze. Ergebnis: Vermögen (ohne Kfz) 13.765,20 € → überschreitet Schongrenze → Klärungsbedarf.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Kfz‑Indizien (Knowledge 0.20). Prüfung: Kfz‑Schein geprüft, Zeitwert 3.800,00 €. Ergebnis: Kfz ≤ 7.500 € → angemessen, nicht Teil der Schongrenze.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Kindergeld‑/Leistungen‑Konsistenz (Knowledge 0.18). Prüfung: keine Kindergeldbezüge angegeben. Ergebnis: n.a.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Karenzzeiten / Befristungen (Knowledge 0.22). Prüfung: DRV‑Befristung geprüft (bis 31.08.2028). Ergebnis: Befristete EM‑Rente liegt vor; relevant für Langfristbeurteilung.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Personenakte‑Quervergleich (Knowledge 0.23). Prüfung: Erstbewilligungsbescheid vs aktuelle Unterlagen. Ergebnis: Einkommens- und Mietangaben konsistent; Vermögensstand (Depot) bestätigt durch aktuelle Depotauszüge.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Regel: Rechnerische Plausibilität (Knowledge 0.17). Prüfung: Berechnung des Zahlbetrags (1080,00 € − 1.004,10 € = 75,90 €). Ergebnis: Rechnerisch konsistent mit Erstbescheid.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 Zusammenfassung / Empfehlung an Sachbearbeitung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Auf Basis der vorliegenden Unterlagen beträgt die rechnerische Monatsleistung 75,90 €. Wegen des ausgewiesenen Depotbestands (12.800,00 €) und des großen einmaligen Zuflusses (Erbschaft 09.04.2026) ist die Anrechnung des Vermögens vorrangig zu prüfen. Ich empfehle, vor einer endgültigen Fortführung ab 01.06.2026 die Anrechnung nach § 90 SGB XII zu klären; falls anrechenbar, sind Einstellung der Leistung und ggf. Rückforderung nach §§ 45, 48, 50 SGB X zu veranlassen (vorläufige Bezifferung: 151,80 €, nur bei bestätigter Anrechnung der Einmalzahlung/Depot).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auf Basis der aufgezeigten Klärungspunkte einen Nachforderungs‑Entwurf (Gmail‑Entwurf, 14 Tage Frist) an den Antragstellenden erstelle — z. B. zur Vorlage der Reisebelege / Verwendungsnachweise für die Abbuchung DERTOUR oder weiterer Depot‑Belege? Wenn ja, erstelle ich den Entwurf und speichere ihn als Gmail‑Entwurf (nicht versenden).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