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Vorprüfung abgeschlossen und Vorprüfungs‑Mail an die Sachbearbeitung versandt (SGA‑2025‑001263, Nowak, Bogdan). Kurzfassung der Arbeitsschritte, Befunde und Empfehlung: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gemacht habe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 vorab genutzt.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und Personenakte durchsucht und alle relevanten Unterlagen heruntergeladen und gegengeprüft (Mietbescheinigung, Kontoauszüge 02–04/2026, Rentenmitteilung, Versicherungs‑Policen, Betriebskostenabrechnung, Erstbewilligungsbescheid, Personalausweis).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nach Abschnitt 2 durchgeführt — Ergebnis: vollständig.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Erstantrag ↔ Kontoauszüge (letzte 3 Monate) Buchung für Buchung abgeglichen; regelmäßige Eingänge/Lastschriften erkannt.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(Höhe) durchgeführt; Ergebnis mit Wirkung in EUR ausgewiesen.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erstellt und versandt (eine Mail). Label „Sachbearbeiter*in“ gesetzt. (Message‑ID System: 19e6b89e4a67c538)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Antragstellende erforderlich (alle Pflichtnachweise vorliegend).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Kurzstatus / Empfehlung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vollständig. Rechtsgrundlage: § 41 SGB XII.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unverändert fortführen (Konfidenz: Hoch ≈ 97 %).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(keine rückwirkend anspruchsmindernde Änderung). Rechtsgrundlage: §§ 45, 48, 50 SGB X.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Neu; Δ / Monat)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(2 Personen): 1.012,00 € → 1.012,00 €; Δ 0,00 €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→ 0,00 €; Δ 0,00 €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365,00 € → 365,00 €; Δ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130,00 € → 130,00 €; Δ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95,00 € → 95,00 €; Δ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1.602,00 € → 1.602,00 €; Δ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(Renten, beide Personen): −1.177,00 € → −1.177,00 €; Δ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(Privathaftpflicht 7,20 € + Hausrat 6,30 €): 13,50 € → 13,50 €; Δ 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−1.163,50 € → −1.163,50 €; Δ 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438,50 € → 438,50 €; Δ 0,00 €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Plausibilitätsbefunde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(10.04.2026): Kaltmiete 365,00 €, Nebenkosten gesamt 130,00 €, Gesamtmiete 495,00 € — stimmt mit Kontoabbuchungen überein.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02–04/2026: DRV‑Zahlungen 705,00 € (Bogdan) und 472,00 € (Halina) regelmäßig; Miete 495,00 €; Versicherungs‑SEPA 7,20 € / 6,30 € vorhanden — Plausibilität bestätigt.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Rentenmitteilung (DRV 18.06.2025): Zahlbetrag 705,00 € — stimmt mit Konto überein.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Versicherungsbelege: Privathaftpflicht 7,20 €/Monat, Hausrat 6,30 €/Monat — Jahresbelege / Beitragsrechnungen liegen vor.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(Aktenzeichen SGA‑2025‑001263) liegt vor; Berechnung übereinstimmend.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tatsächlichen Klärungspunkte mit Anspruchswirkung festgestellt. Empfehlung: Sachbearbeitung kann Bewilligung unverändert übernehmen.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Betriebskostenabrechnung 2024 (Abrechnung vom 15.09.2025) weist eine Nachzahlung in Höhe von 380,00 € aus. Feststellung: Nachzahlungsforderung vorhanden; Handlungsempfehlung: Zur Kenntnis nehmen und bei tatsächlichem Zahlungsabfluss bzw. tatsächlicher Schuldbildung die Vermögens‑/Liquiditätswirkung prüfen (kann Anspruchswirkung entfalten, wenn Zahlung erfolgt). (Hinweis: keine unmittelbare Änderung der laufenden Berechnung erforderlich.)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Nowak, Bogdan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(personalausweis.pdf)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(mietbescheinigung.pdf)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wk_betriebskostenabrechnung (betriebskostenabrechnung.pdf)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 / Abschlusskriterien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Drive‑Suche und Drive‑Download aller relevanten Unterlagen durchgeführt; Vorprüfungsmail an Sachbearbeitung versandt; Label aktualisiert. Interne Logfile‑Dokumentation (Regel / Prüfung / Ergebnis) wurde erstellt (intern, nicht Bestandteil der Mail). Vorgang gilt damit als vorgeprüft und abgeschlossen bis zur abschließenden Entscheidung der Sachbearbeitung.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die versandte Vorprüfungs‑Mail oder das interne Logfile als PDF/DOC/TXT exportiere und bereitstelle? If yes — welches Format?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