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49908" w14:textId="47798004" w:rsidR="00DB6A50" w:rsidRDefault="00F95D5B" w:rsidP="00F95D5B">
      <w:r>
        <w:rPr>
          <w:noProof/>
        </w:rPr>
        <w:drawing>
          <wp:anchor distT="0" distB="0" distL="114300" distR="114300" simplePos="0" relativeHeight="251658240" behindDoc="1" locked="0" layoutInCell="1" allowOverlap="1" wp14:anchorId="76C2283D" wp14:editId="7B8EC2EC">
            <wp:simplePos x="0" y="0"/>
            <wp:positionH relativeFrom="column">
              <wp:posOffset>-309245</wp:posOffset>
            </wp:positionH>
            <wp:positionV relativeFrom="paragraph">
              <wp:posOffset>-4445</wp:posOffset>
            </wp:positionV>
            <wp:extent cx="6287554" cy="834390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
                      <a:extLst>
                        <a:ext uri="{28A0092B-C50C-407E-A947-70E740481C1C}">
                          <a14:useLocalDpi xmlns:a14="http://schemas.microsoft.com/office/drawing/2010/main" val="0"/>
                        </a:ext>
                      </a:extLst>
                    </a:blip>
                    <a:stretch>
                      <a:fillRect/>
                    </a:stretch>
                  </pic:blipFill>
                  <pic:spPr>
                    <a:xfrm>
                      <a:off x="0" y="0"/>
                      <a:ext cx="6287554" cy="8343900"/>
                    </a:xfrm>
                    <a:prstGeom prst="rect">
                      <a:avLst/>
                    </a:prstGeom>
                  </pic:spPr>
                </pic:pic>
              </a:graphicData>
            </a:graphic>
          </wp:anchor>
        </w:drawing>
      </w:r>
    </w:p>
    <w:p w14:paraId="44040199" w14:textId="77777777" w:rsidR="00F95D5B" w:rsidRDefault="00F95D5B"/>
    <w:p w14:paraId="6D1190DC" w14:textId="77777777" w:rsidR="00F95D5B" w:rsidRDefault="00F95D5B"/>
    <w:p w14:paraId="54DA65F6" w14:textId="77777777" w:rsidR="00F95D5B" w:rsidRDefault="00F95D5B"/>
    <w:p w14:paraId="15BA1B06" w14:textId="77777777" w:rsidR="00F95D5B" w:rsidRDefault="00F95D5B"/>
    <w:p w14:paraId="0C903594" w14:textId="77777777" w:rsidR="00F95D5B" w:rsidRDefault="00F95D5B"/>
    <w:p w14:paraId="5CC2F381" w14:textId="77777777" w:rsidR="00F95D5B" w:rsidRDefault="00F95D5B"/>
    <w:p w14:paraId="4FE460DE" w14:textId="77777777" w:rsidR="00F95D5B" w:rsidRDefault="00F95D5B"/>
    <w:p w14:paraId="4924CBD7" w14:textId="77777777" w:rsidR="00F95D5B" w:rsidRDefault="00F95D5B"/>
    <w:p w14:paraId="37B06766" w14:textId="77777777" w:rsidR="00F95D5B" w:rsidRDefault="00F95D5B"/>
    <w:p w14:paraId="6D13FD7C" w14:textId="77777777" w:rsidR="00F95D5B" w:rsidRDefault="00F95D5B"/>
    <w:p w14:paraId="4EAF746E" w14:textId="77777777" w:rsidR="00F95D5B" w:rsidRDefault="00F95D5B"/>
    <w:p w14:paraId="2A02F43A" w14:textId="77777777" w:rsidR="00F95D5B" w:rsidRDefault="00F95D5B"/>
    <w:p w14:paraId="5811B38D" w14:textId="77777777" w:rsidR="00F95D5B" w:rsidRDefault="00F95D5B"/>
    <w:p w14:paraId="4922AA0A" w14:textId="77777777" w:rsidR="00F95D5B" w:rsidRDefault="00F95D5B"/>
    <w:p w14:paraId="6B8F53C1" w14:textId="77777777" w:rsidR="00F95D5B" w:rsidRDefault="00F95D5B"/>
    <w:p w14:paraId="61115448" w14:textId="77777777" w:rsidR="00F95D5B" w:rsidRDefault="00F95D5B"/>
    <w:p w14:paraId="230D2E23" w14:textId="77777777" w:rsidR="00F95D5B" w:rsidRDefault="00F95D5B"/>
    <w:p w14:paraId="30D3836F" w14:textId="77777777" w:rsidR="00F95D5B" w:rsidRDefault="00F95D5B"/>
    <w:p w14:paraId="0E8454BF" w14:textId="77777777" w:rsidR="00F95D5B" w:rsidRDefault="00F95D5B"/>
    <w:p w14:paraId="5F01B10F" w14:textId="77777777" w:rsidR="00F95D5B" w:rsidRDefault="00F95D5B"/>
    <w:p w14:paraId="178C910E" w14:textId="77777777" w:rsidR="00F95D5B" w:rsidRDefault="00F95D5B"/>
    <w:p w14:paraId="1443E5DA" w14:textId="77777777" w:rsidR="00F95D5B" w:rsidRDefault="00F95D5B"/>
    <w:p w14:paraId="1B06CA62" w14:textId="77777777" w:rsidR="00F95D5B" w:rsidRDefault="00F95D5B"/>
    <w:p w14:paraId="78254B2C" w14:textId="77777777" w:rsidR="00F95D5B" w:rsidRDefault="00F95D5B"/>
    <w:p w14:paraId="2CE7987F" w14:textId="77777777" w:rsidR="00F95D5B" w:rsidRDefault="00F95D5B"/>
    <w:p w14:paraId="53082259" w14:textId="77777777" w:rsidR="00F95D5B" w:rsidRDefault="00F95D5B"/>
    <w:p w14:paraId="6AABC3B1" w14:textId="77777777" w:rsidR="00F95D5B" w:rsidRDefault="00F95D5B"/>
    <w:p w14:paraId="6207FCFC" w14:textId="77777777" w:rsidR="00F95D5B" w:rsidRDefault="00F95D5B"/>
    <w:p w14:paraId="62094208" w14:textId="77777777" w:rsidR="00F95D5B" w:rsidRDefault="00F95D5B"/>
    <w:p w14:paraId="1313132A" w14:textId="77777777" w:rsidR="00F95D5B" w:rsidRDefault="00F95D5B"/>
    <w:p w14:paraId="4A0A7EFA" w14:textId="77777777" w:rsidR="00B80342" w:rsidRDefault="00B80342"/>
    <w:p w14:paraId="650670CE" w14:textId="53B8CE08" w:rsidR="00B80342" w:rsidRDefault="00B80342">
      <w:r>
        <w:rPr>
          <w:noProof/>
        </w:rPr>
        <w:lastRenderedPageBreak/>
        <w:drawing>
          <wp:anchor distT="0" distB="0" distL="114300" distR="114300" simplePos="0" relativeHeight="251659264" behindDoc="0" locked="0" layoutInCell="1" allowOverlap="1" wp14:anchorId="389551C3" wp14:editId="73C4DD93">
            <wp:simplePos x="0" y="0"/>
            <wp:positionH relativeFrom="margin">
              <wp:align>center</wp:align>
            </wp:positionH>
            <wp:positionV relativeFrom="paragraph">
              <wp:posOffset>439420</wp:posOffset>
            </wp:positionV>
            <wp:extent cx="6714253" cy="8629650"/>
            <wp:effectExtent l="0" t="0" r="0" b="0"/>
            <wp:wrapSquare wrapText="bothSides"/>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6714253" cy="8629650"/>
                    </a:xfrm>
                    <a:prstGeom prst="rect">
                      <a:avLst/>
                    </a:prstGeom>
                  </pic:spPr>
                </pic:pic>
              </a:graphicData>
            </a:graphic>
          </wp:anchor>
        </w:drawing>
      </w:r>
    </w:p>
    <w:p w14:paraId="4AD3834C" w14:textId="066DBB6F" w:rsidR="00F95D5B" w:rsidRDefault="00F95D5B"/>
    <w:p w14:paraId="45580D75" w14:textId="3ABC5163" w:rsidR="00B80342" w:rsidRDefault="00E15989">
      <w:r>
        <w:rPr>
          <w:noProof/>
        </w:rPr>
        <w:drawing>
          <wp:anchor distT="0" distB="0" distL="114300" distR="114300" simplePos="0" relativeHeight="251660288" behindDoc="1" locked="0" layoutInCell="1" allowOverlap="1" wp14:anchorId="2E87B023" wp14:editId="658B286A">
            <wp:simplePos x="0" y="0"/>
            <wp:positionH relativeFrom="margin">
              <wp:align>center</wp:align>
            </wp:positionH>
            <wp:positionV relativeFrom="paragraph">
              <wp:posOffset>361950</wp:posOffset>
            </wp:positionV>
            <wp:extent cx="7012940" cy="8077200"/>
            <wp:effectExtent l="0" t="0" r="0" b="0"/>
            <wp:wrapTight wrapText="bothSides">
              <wp:wrapPolygon edited="0">
                <wp:start x="0" y="0"/>
                <wp:lineTo x="0" y="21549"/>
                <wp:lineTo x="21534" y="21549"/>
                <wp:lineTo x="21534" y="0"/>
                <wp:lineTo x="0" y="0"/>
              </wp:wrapPolygon>
            </wp:wrapTight>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7012940" cy="8077200"/>
                    </a:xfrm>
                    <a:prstGeom prst="rect">
                      <a:avLst/>
                    </a:prstGeom>
                  </pic:spPr>
                </pic:pic>
              </a:graphicData>
            </a:graphic>
          </wp:anchor>
        </w:drawing>
      </w:r>
    </w:p>
    <w:p w14:paraId="1EBC5F4A" w14:textId="11C9CD66" w:rsidR="00B80342" w:rsidRDefault="00B80342"/>
    <w:p w14:paraId="6D313025" w14:textId="77777777" w:rsidR="009F403A" w:rsidRPr="00F50366" w:rsidRDefault="009F403A" w:rsidP="00B43B35">
      <w:pPr>
        <w:spacing w:line="360" w:lineRule="auto"/>
        <w:rPr>
          <w:rFonts w:ascii="Times New Roman" w:hAnsi="Times New Roman" w:cs="Times New Roman"/>
          <w:b/>
        </w:rPr>
      </w:pPr>
      <w:r w:rsidRPr="00F50366">
        <w:rPr>
          <w:rFonts w:ascii="Times New Roman" w:hAnsi="Times New Roman" w:cs="Times New Roman"/>
          <w:b/>
        </w:rPr>
        <w:lastRenderedPageBreak/>
        <w:t xml:space="preserve">2 Material und Methoden </w:t>
      </w:r>
    </w:p>
    <w:p w14:paraId="0AEF3902" w14:textId="77777777" w:rsidR="009F403A" w:rsidRPr="00F50366" w:rsidRDefault="009F403A" w:rsidP="00B43B35">
      <w:pPr>
        <w:spacing w:line="360" w:lineRule="auto"/>
        <w:rPr>
          <w:rFonts w:ascii="Times New Roman" w:hAnsi="Times New Roman" w:cs="Times New Roman"/>
          <w:b/>
        </w:rPr>
      </w:pPr>
      <w:r w:rsidRPr="00F50366">
        <w:rPr>
          <w:rFonts w:ascii="Times New Roman" w:hAnsi="Times New Roman" w:cs="Times New Roman"/>
          <w:b/>
        </w:rPr>
        <w:t xml:space="preserve">2.1 Bioinformatische Methoden </w:t>
      </w:r>
    </w:p>
    <w:p w14:paraId="180C6E2D" w14:textId="77777777" w:rsidR="009F403A" w:rsidRPr="00F50366" w:rsidRDefault="009F403A" w:rsidP="00B43B35">
      <w:pPr>
        <w:spacing w:line="360" w:lineRule="auto"/>
        <w:rPr>
          <w:rFonts w:ascii="Times New Roman" w:hAnsi="Times New Roman" w:cs="Times New Roman"/>
          <w:b/>
        </w:rPr>
      </w:pPr>
      <w:r w:rsidRPr="00F50366">
        <w:rPr>
          <w:rFonts w:ascii="Times New Roman" w:hAnsi="Times New Roman" w:cs="Times New Roman"/>
          <w:b/>
        </w:rPr>
        <w:t xml:space="preserve">2.1.1 </w:t>
      </w:r>
      <w:proofErr w:type="spellStart"/>
      <w:r w:rsidRPr="00F50366">
        <w:rPr>
          <w:rFonts w:ascii="Times New Roman" w:hAnsi="Times New Roman" w:cs="Times New Roman"/>
          <w:b/>
        </w:rPr>
        <w:t>Rekombinase</w:t>
      </w:r>
      <w:proofErr w:type="spellEnd"/>
      <w:r w:rsidRPr="00F50366">
        <w:rPr>
          <w:rFonts w:ascii="Times New Roman" w:hAnsi="Times New Roman" w:cs="Times New Roman"/>
          <w:b/>
        </w:rPr>
        <w:t xml:space="preserve"> Polymerase Amplifikation </w:t>
      </w:r>
      <w:proofErr w:type="spellStart"/>
      <w:r w:rsidRPr="00F50366">
        <w:rPr>
          <w:rFonts w:ascii="Times New Roman" w:hAnsi="Times New Roman" w:cs="Times New Roman"/>
          <w:b/>
        </w:rPr>
        <w:t>Primerdesign</w:t>
      </w:r>
      <w:proofErr w:type="spellEnd"/>
      <w:r w:rsidRPr="00F50366">
        <w:rPr>
          <w:rFonts w:ascii="Times New Roman" w:hAnsi="Times New Roman" w:cs="Times New Roman"/>
          <w:b/>
        </w:rPr>
        <w:t xml:space="preserve"> </w:t>
      </w:r>
    </w:p>
    <w:p w14:paraId="1129040F" w14:textId="166ABE1F" w:rsidR="00B80342" w:rsidRPr="00F50366" w:rsidRDefault="009F403A" w:rsidP="00B43B35">
      <w:pPr>
        <w:spacing w:line="360" w:lineRule="auto"/>
        <w:jc w:val="both"/>
        <w:rPr>
          <w:rFonts w:ascii="Times New Roman" w:hAnsi="Times New Roman" w:cs="Times New Roman"/>
        </w:rPr>
      </w:pPr>
      <w:r w:rsidRPr="00F50366">
        <w:rPr>
          <w:rFonts w:ascii="Times New Roman" w:hAnsi="Times New Roman" w:cs="Times New Roman"/>
        </w:rPr>
        <w:t xml:space="preserve">Für die Erstellung der Primer und Sonden zur Detektion des Influenza A und B Virus wurde das von Higgins et al. (2018) entwickelte Programm </w:t>
      </w:r>
      <w:proofErr w:type="spellStart"/>
      <w:r w:rsidRPr="00F50366">
        <w:rPr>
          <w:rFonts w:ascii="Times New Roman" w:hAnsi="Times New Roman" w:cs="Times New Roman"/>
        </w:rPr>
        <w:t>PrimedRPA</w:t>
      </w:r>
      <w:proofErr w:type="spellEnd"/>
      <w:r w:rsidRPr="00F50366">
        <w:rPr>
          <w:rFonts w:ascii="Times New Roman" w:hAnsi="Times New Roman" w:cs="Times New Roman"/>
        </w:rPr>
        <w:t xml:space="preserve"> verwendet. Die Parameter dafür sind in Tabelle 1 angegeben.</w:t>
      </w:r>
    </w:p>
    <w:p w14:paraId="6889778A" w14:textId="1EA579C6" w:rsidR="00B80342" w:rsidRDefault="009E0018" w:rsidP="00B43B35">
      <w:pPr>
        <w:spacing w:line="360" w:lineRule="auto"/>
      </w:pPr>
      <w:r>
        <w:rPr>
          <w:noProof/>
        </w:rPr>
        <w:drawing>
          <wp:inline distT="0" distB="0" distL="0" distR="0" wp14:anchorId="4D3D717A" wp14:editId="50E00255">
            <wp:extent cx="5760720" cy="1768475"/>
            <wp:effectExtent l="0" t="0" r="0" b="317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7"/>
                    <a:stretch>
                      <a:fillRect/>
                    </a:stretch>
                  </pic:blipFill>
                  <pic:spPr>
                    <a:xfrm>
                      <a:off x="0" y="0"/>
                      <a:ext cx="5760720" cy="1768475"/>
                    </a:xfrm>
                    <a:prstGeom prst="rect">
                      <a:avLst/>
                    </a:prstGeom>
                  </pic:spPr>
                </pic:pic>
              </a:graphicData>
            </a:graphic>
          </wp:inline>
        </w:drawing>
      </w:r>
    </w:p>
    <w:p w14:paraId="1DCBC343" w14:textId="28E7B842" w:rsidR="009E0018" w:rsidRPr="00F50366" w:rsidRDefault="009E0018" w:rsidP="00B43B35">
      <w:pPr>
        <w:spacing w:line="360" w:lineRule="auto"/>
        <w:jc w:val="both"/>
        <w:rPr>
          <w:rFonts w:ascii="Times New Roman" w:hAnsi="Times New Roman" w:cs="Times New Roman"/>
        </w:rPr>
      </w:pPr>
      <w:r w:rsidRPr="00F50366">
        <w:rPr>
          <w:rFonts w:ascii="Times New Roman" w:hAnsi="Times New Roman" w:cs="Times New Roman"/>
        </w:rPr>
        <w:t>Als Referenzsequenzen für das Influenza A Virus diente jeweils eine Sequenz des Virusgenomsegmentes 7 von den Subtypen H1N1 (</w:t>
      </w:r>
      <w:proofErr w:type="spellStart"/>
      <w:r w:rsidRPr="00F50366">
        <w:rPr>
          <w:rFonts w:ascii="Times New Roman" w:hAnsi="Times New Roman" w:cs="Times New Roman"/>
        </w:rPr>
        <w:t>GenBank</w:t>
      </w:r>
      <w:proofErr w:type="spellEnd"/>
      <w:r w:rsidRPr="00F50366">
        <w:rPr>
          <w:rFonts w:ascii="Times New Roman" w:hAnsi="Times New Roman" w:cs="Times New Roman"/>
        </w:rPr>
        <w:t xml:space="preserve"> Nr.: MT341937) und H3N2 (</w:t>
      </w:r>
      <w:proofErr w:type="spellStart"/>
      <w:r w:rsidRPr="00F50366">
        <w:rPr>
          <w:rFonts w:ascii="Times New Roman" w:hAnsi="Times New Roman" w:cs="Times New Roman"/>
        </w:rPr>
        <w:t>GenBank</w:t>
      </w:r>
      <w:proofErr w:type="spellEnd"/>
      <w:r w:rsidRPr="00F50366">
        <w:rPr>
          <w:rFonts w:ascii="Times New Roman" w:hAnsi="Times New Roman" w:cs="Times New Roman"/>
        </w:rPr>
        <w:t xml:space="preserve"> Nr.: MT244214). Die Primer und Sonden wurden so gewählt, dass mindestens 90 % der Primer- und </w:t>
      </w:r>
      <w:proofErr w:type="spellStart"/>
      <w:r w:rsidRPr="00F50366">
        <w:rPr>
          <w:rFonts w:ascii="Times New Roman" w:hAnsi="Times New Roman" w:cs="Times New Roman"/>
        </w:rPr>
        <w:t>Sondensequenz</w:t>
      </w:r>
      <w:proofErr w:type="spellEnd"/>
      <w:r w:rsidRPr="00F50366">
        <w:rPr>
          <w:rFonts w:ascii="Times New Roman" w:hAnsi="Times New Roman" w:cs="Times New Roman"/>
        </w:rPr>
        <w:t xml:space="preserve"> keine Basenfehlpaarungen zwischen den beiden Subtypen aufweisen. Für das Influenza B Virus diente das Virusgenomsegment 8 (GenBank Nr.: MT637911) als Referenzsequenz. Alle entstandenen Primer/Sonden Sets wurden mit dem Online</w:t>
      </w:r>
      <w:r w:rsidR="007B4110" w:rsidRPr="00F50366">
        <w:rPr>
          <w:rFonts w:ascii="Times New Roman" w:hAnsi="Times New Roman" w:cs="Times New Roman"/>
        </w:rPr>
        <w:t>-</w:t>
      </w:r>
      <w:r w:rsidRPr="00F50366">
        <w:rPr>
          <w:rFonts w:ascii="Times New Roman" w:hAnsi="Times New Roman" w:cs="Times New Roman"/>
        </w:rPr>
        <w:t xml:space="preserve">Programm PrimerDimer1 von Johnston et al. (2019) auf Eigenhybridisierung und </w:t>
      </w:r>
      <w:proofErr w:type="spellStart"/>
      <w:r w:rsidRPr="00F50366">
        <w:rPr>
          <w:rFonts w:ascii="Times New Roman" w:hAnsi="Times New Roman" w:cs="Times New Roman"/>
        </w:rPr>
        <w:t>Dimerbildung</w:t>
      </w:r>
      <w:proofErr w:type="spellEnd"/>
      <w:r w:rsidRPr="00F50366">
        <w:rPr>
          <w:rFonts w:ascii="Times New Roman" w:hAnsi="Times New Roman" w:cs="Times New Roman"/>
        </w:rPr>
        <w:t xml:space="preserve"> untersucht. Im Anschluss wurden die Primer-Sonden-Sets mit DNA-Sequenzen des gleichen Virusgenomsegmentes von älteren Stämmen verglichen und mögliche Fehlpaarungen durch die Einführung von degenerierten Primern zu vermeiden. Für das Alignment wurde das Online-Programm </w:t>
      </w:r>
      <w:proofErr w:type="spellStart"/>
      <w:r w:rsidRPr="00F50366">
        <w:rPr>
          <w:rFonts w:ascii="Times New Roman" w:hAnsi="Times New Roman" w:cs="Times New Roman"/>
        </w:rPr>
        <w:t>Clustal</w:t>
      </w:r>
      <w:proofErr w:type="spellEnd"/>
      <w:r w:rsidRPr="00F50366">
        <w:rPr>
          <w:rFonts w:ascii="Times New Roman" w:hAnsi="Times New Roman" w:cs="Times New Roman"/>
        </w:rPr>
        <w:t xml:space="preserve"> Omega2 beschrieben durch Sievers and Higgins (2017), verwendet. Für die Influenza A Primer-Sonden</w:t>
      </w:r>
      <w:r w:rsidR="005935E5" w:rsidRPr="00F50366">
        <w:rPr>
          <w:rFonts w:ascii="Times New Roman" w:hAnsi="Times New Roman" w:cs="Times New Roman"/>
        </w:rPr>
        <w:t>-S</w:t>
      </w:r>
      <w:r w:rsidRPr="00F50366">
        <w:rPr>
          <w:rFonts w:ascii="Times New Roman" w:hAnsi="Times New Roman" w:cs="Times New Roman"/>
        </w:rPr>
        <w:t>ets wurden zusätzlich degenerierte Basen eingeführt, um eine optimales Alignment an die Sequenzen der beiden Subtypen zu gewährleisten.</w:t>
      </w:r>
    </w:p>
    <w:p w14:paraId="02DD6397" w14:textId="77777777" w:rsidR="003D50DE" w:rsidRPr="00F50366" w:rsidRDefault="003D50DE" w:rsidP="00B43B35">
      <w:pPr>
        <w:spacing w:line="360" w:lineRule="auto"/>
        <w:rPr>
          <w:rFonts w:ascii="Times New Roman" w:hAnsi="Times New Roman" w:cs="Times New Roman"/>
          <w:b/>
        </w:rPr>
      </w:pPr>
      <w:r w:rsidRPr="00F50366">
        <w:rPr>
          <w:rFonts w:ascii="Times New Roman" w:hAnsi="Times New Roman" w:cs="Times New Roman"/>
          <w:b/>
        </w:rPr>
        <w:t xml:space="preserve">2.1.2 Modifikation der Fluoreszenzsonden </w:t>
      </w:r>
    </w:p>
    <w:p w14:paraId="606A3832" w14:textId="7F5FE7E2" w:rsidR="005951ED" w:rsidRPr="00F50366" w:rsidRDefault="003D50DE" w:rsidP="00B43B35">
      <w:pPr>
        <w:spacing w:line="360" w:lineRule="auto"/>
        <w:jc w:val="both"/>
        <w:rPr>
          <w:rFonts w:ascii="Times New Roman" w:hAnsi="Times New Roman" w:cs="Times New Roman"/>
        </w:rPr>
      </w:pPr>
      <w:r w:rsidRPr="00F50366">
        <w:rPr>
          <w:rFonts w:ascii="Times New Roman" w:hAnsi="Times New Roman" w:cs="Times New Roman"/>
        </w:rPr>
        <w:t xml:space="preserve">Das Prinzip der Fluoreszenzsonden ist bei PCR und RPA gleich. Dieses besteht aus einem fluoreszierenden Reportermolekül und einem sogenannten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welche sich innerhalb der Sonde in räumlicher Nähe befinden. Der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ist </w:t>
      </w:r>
      <w:proofErr w:type="gramStart"/>
      <w:r w:rsidRPr="00F50366">
        <w:rPr>
          <w:rFonts w:ascii="Times New Roman" w:hAnsi="Times New Roman" w:cs="Times New Roman"/>
        </w:rPr>
        <w:t>ein weiteres Fluorophor</w:t>
      </w:r>
      <w:proofErr w:type="gramEnd"/>
      <w:r w:rsidRPr="00F50366">
        <w:rPr>
          <w:rFonts w:ascii="Times New Roman" w:hAnsi="Times New Roman" w:cs="Times New Roman"/>
        </w:rPr>
        <w:t xml:space="preserve">, welches von der Emission des Reportermoleküls angeregt wird und dadurch verhindert, dass die Fluoreszenz des Reportermoleküls detektiert werden kann. Erst wenn die beiden Fluorophore durch Hydrolyse getrennt werden, kann der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nicht mehr das Signal des Reportermoleküls blockieren und die Fluoreszenz kann detektiert werden (S. </w:t>
      </w:r>
      <w:proofErr w:type="spellStart"/>
      <w:r w:rsidRPr="00F50366">
        <w:rPr>
          <w:rFonts w:ascii="Times New Roman" w:hAnsi="Times New Roman" w:cs="Times New Roman"/>
        </w:rPr>
        <w:t>Bustin</w:t>
      </w:r>
      <w:proofErr w:type="spellEnd"/>
      <w:r w:rsidRPr="00F50366">
        <w:rPr>
          <w:rFonts w:ascii="Times New Roman" w:hAnsi="Times New Roman" w:cs="Times New Roman"/>
        </w:rPr>
        <w:t xml:space="preserve"> 2000). Alle verwendeten PCR-Sonden wurden am 5´-Ende mit einem entsprechendem Reporterfluorophor markiert. An 3´-Ende sowie an der 9 Basenposition wurden die </w:t>
      </w:r>
      <w:r w:rsidRPr="00F50366">
        <w:rPr>
          <w:rFonts w:ascii="Times New Roman" w:hAnsi="Times New Roman" w:cs="Times New Roman"/>
        </w:rPr>
        <w:lastRenderedPageBreak/>
        <w:t xml:space="preserve">Sonde mit entsprechende </w:t>
      </w:r>
      <w:proofErr w:type="spellStart"/>
      <w:r w:rsidRPr="00F50366">
        <w:rPr>
          <w:rFonts w:ascii="Times New Roman" w:hAnsi="Times New Roman" w:cs="Times New Roman"/>
        </w:rPr>
        <w:t>Quenchern</w:t>
      </w:r>
      <w:proofErr w:type="spellEnd"/>
      <w:r w:rsidRPr="00F50366">
        <w:rPr>
          <w:rFonts w:ascii="Times New Roman" w:hAnsi="Times New Roman" w:cs="Times New Roman"/>
        </w:rPr>
        <w:t xml:space="preserve"> markiert. Das Design der RPA-Sonden wurde wie in Behrmann et al. (2020) beschrieben durchgeführt. Dazu wurde die erste </w:t>
      </w:r>
      <w:proofErr w:type="spellStart"/>
      <w:r w:rsidRPr="00F50366">
        <w:rPr>
          <w:rFonts w:ascii="Times New Roman" w:hAnsi="Times New Roman" w:cs="Times New Roman"/>
        </w:rPr>
        <w:t>Thymin</w:t>
      </w:r>
      <w:proofErr w:type="spellEnd"/>
      <w:r w:rsidR="007B4110" w:rsidRPr="00F50366">
        <w:rPr>
          <w:rFonts w:ascii="Times New Roman" w:hAnsi="Times New Roman" w:cs="Times New Roman"/>
        </w:rPr>
        <w:t>-</w:t>
      </w:r>
      <w:r w:rsidRPr="00F50366">
        <w:rPr>
          <w:rFonts w:ascii="Times New Roman" w:hAnsi="Times New Roman" w:cs="Times New Roman"/>
        </w:rPr>
        <w:t>Base nach ca. 30 bp mit dem Reporterflu</w:t>
      </w:r>
      <w:r w:rsidR="00DF042E">
        <w:rPr>
          <w:rFonts w:ascii="Times New Roman" w:hAnsi="Times New Roman" w:cs="Times New Roman"/>
        </w:rPr>
        <w:t>o</w:t>
      </w:r>
      <w:r w:rsidRPr="00F50366">
        <w:rPr>
          <w:rFonts w:ascii="Times New Roman" w:hAnsi="Times New Roman" w:cs="Times New Roman"/>
        </w:rPr>
        <w:t xml:space="preserve">rophor markiert, gefolgt von einer a-basischen Seite. Nachfolgend wurde ein entsprechender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an die Sonde gekoppelt.</w:t>
      </w:r>
    </w:p>
    <w:p w14:paraId="41F1ACC9" w14:textId="77777777" w:rsidR="005951ED"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2.1.3 Statistische Auswertung der Amplifikationen </w:t>
      </w:r>
    </w:p>
    <w:p w14:paraId="31867DC9" w14:textId="7B7E1389" w:rsidR="0007305A" w:rsidRPr="00F50366" w:rsidRDefault="005951ED" w:rsidP="00B43B35">
      <w:pPr>
        <w:spacing w:line="360" w:lineRule="auto"/>
        <w:jc w:val="both"/>
        <w:rPr>
          <w:rFonts w:ascii="Times New Roman" w:hAnsi="Times New Roman" w:cs="Times New Roman"/>
        </w:rPr>
      </w:pPr>
      <w:r w:rsidRPr="00F50366">
        <w:rPr>
          <w:rFonts w:ascii="Times New Roman" w:hAnsi="Times New Roman" w:cs="Times New Roman"/>
        </w:rPr>
        <w:t xml:space="preserve">Für die Entwicklung und Optimierung von Amplifikationsverfahren ist eine einheitliche statistische Auswertung notwendig (Rödiger,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 2015). Als Werkzeug für die Auswertung wurde die “Open Source” Programmiersprache R verwendet, welches für spezifische Anwendungen beliebig erweiterbar ist durch die Verwendung sogenannter “Packages” (</w:t>
      </w:r>
      <w:proofErr w:type="spellStart"/>
      <w:r w:rsidRPr="00F50366">
        <w:rPr>
          <w:rFonts w:ascii="Times New Roman" w:hAnsi="Times New Roman" w:cs="Times New Roman"/>
        </w:rPr>
        <w:t>Pabinger</w:t>
      </w:r>
      <w:proofErr w:type="spellEnd"/>
      <w:r w:rsidRPr="00F50366">
        <w:rPr>
          <w:rFonts w:ascii="Times New Roman" w:hAnsi="Times New Roman" w:cs="Times New Roman"/>
        </w:rPr>
        <w:t xml:space="preserve"> et al. 2014). </w:t>
      </w:r>
    </w:p>
    <w:p w14:paraId="4B107FDE" w14:textId="77777777" w:rsidR="0007305A"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Normalisierung der Fluoreszenz-Daten: </w:t>
      </w:r>
    </w:p>
    <w:p w14:paraId="345B4F71" w14:textId="04FE3DF2" w:rsidR="0007305A" w:rsidRPr="00F50366" w:rsidRDefault="005951ED" w:rsidP="00B43B35">
      <w:pPr>
        <w:spacing w:line="360" w:lineRule="auto"/>
        <w:jc w:val="both"/>
        <w:rPr>
          <w:rFonts w:ascii="Times New Roman" w:hAnsi="Times New Roman" w:cs="Times New Roman"/>
        </w:rPr>
      </w:pPr>
      <w:r w:rsidRPr="00F50366">
        <w:rPr>
          <w:rFonts w:ascii="Times New Roman" w:hAnsi="Times New Roman" w:cs="Times New Roman"/>
        </w:rPr>
        <w:t xml:space="preserve">Für die Normalisierung der Daten wurde, wie in der Literatur beschrieben, der Mittelwert der ersten 5 Messwerte jeder Amplifikationskurve berechnet (Ritz and </w:t>
      </w:r>
      <w:proofErr w:type="spellStart"/>
      <w:r w:rsidRPr="00F50366">
        <w:rPr>
          <w:rFonts w:ascii="Times New Roman" w:hAnsi="Times New Roman" w:cs="Times New Roman"/>
        </w:rPr>
        <w:t>Spiess</w:t>
      </w:r>
      <w:proofErr w:type="spellEnd"/>
      <w:r w:rsidRPr="00F50366">
        <w:rPr>
          <w:rFonts w:ascii="Times New Roman" w:hAnsi="Times New Roman" w:cs="Times New Roman"/>
        </w:rPr>
        <w:t xml:space="preserve"> 2008). Die berechneten Mittelwerte wurden von den jeweiligen Datensätzen subtrahiert. </w:t>
      </w:r>
    </w:p>
    <w:p w14:paraId="55E5B4CF" w14:textId="77777777" w:rsidR="0007305A"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Ermittlung signifikanter Amplifikationen: </w:t>
      </w:r>
    </w:p>
    <w:p w14:paraId="0E3ED45E" w14:textId="76676858" w:rsidR="005951ED" w:rsidRPr="00F50366" w:rsidRDefault="005951ED" w:rsidP="00B43B35">
      <w:pPr>
        <w:spacing w:line="360" w:lineRule="auto"/>
        <w:jc w:val="both"/>
        <w:rPr>
          <w:rFonts w:ascii="Times New Roman" w:hAnsi="Times New Roman" w:cs="Times New Roman"/>
        </w:rPr>
      </w:pPr>
      <w:r w:rsidRPr="00F50366">
        <w:rPr>
          <w:rFonts w:ascii="Times New Roman" w:hAnsi="Times New Roman" w:cs="Times New Roman"/>
        </w:rPr>
        <w:t xml:space="preserve">Die Überprüfung, ob es sich bei einem gemessenen Fluoreszenz-Datensatz um eine positive Amplifikation handelt, wurde mit dem </w:t>
      </w:r>
      <w:proofErr w:type="spellStart"/>
      <w:r w:rsidRPr="00F50366">
        <w:rPr>
          <w:rFonts w:ascii="Times New Roman" w:hAnsi="Times New Roman" w:cs="Times New Roman"/>
        </w:rPr>
        <w:t>chipPCR</w:t>
      </w:r>
      <w:proofErr w:type="spellEnd"/>
      <w:r w:rsidRPr="00F50366">
        <w:rPr>
          <w:rFonts w:ascii="Times New Roman" w:hAnsi="Times New Roman" w:cs="Times New Roman"/>
        </w:rPr>
        <w:t xml:space="preserve"> Paket von 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xml:space="preserve">, and Schierack (2015) durchgeführt. Für die Auswertung wurden folgende Tests durchgeführt. Shapiro-Wilk Test: Negative Amplifikationen unterliegen einem gleichmäßigen starken Rauschen, weswegen eine Normalverteilung der Daten gegeben ist. Bei positiven Amplifikationen hingegen sind die Daten durch den linearen Anstieg in der exponentiellen Phase der Amplifikation nicht mehr normalverteilt. Anhand dieser Gesetzmäßigkeit lassen sich durch einen Test auf Normalverteilung positive von negativen Amplifikationen unterscheiden (Rödiger et al. 2022). Mithilfe des Shapiro-Wilk Tests (beschrieben durch SHAPIRO and WILK (1965)) für Normalität wird der Datensatz auf Normalverteilung getestet. Bei errechneten P-Werten von ≥ 5 </w:t>
      </w:r>
      <w:r w:rsidRPr="00F50366">
        <w:rPr>
          <w:rFonts w:ascii="Cambria Math" w:hAnsi="Cambria Math" w:cs="Cambria Math"/>
        </w:rPr>
        <w:t>∗</w:t>
      </w:r>
      <w:r w:rsidRPr="00F50366">
        <w:rPr>
          <w:rFonts w:ascii="Times New Roman" w:hAnsi="Times New Roman" w:cs="Times New Roman"/>
        </w:rPr>
        <w:t xml:space="preserve"> 10−4 liegt keine Normalverteilung mehr vor und der Datensatz wurde als positive Amplifikation gewertet. Residuen Wachstums Test: Bei diesem Test wird die Stabilität der Residuen in der linearen Phase des Anstiegs untersucht. Bei negativen Amplifikationen weichen die Fluoreszenzwerte von dem linearen Modell ab. Dadurch korrelieren die Residuen im Gegensatz zu positiven Amplifikationen stark mit den Fluoreszenzwerten. Anhand eines Schwellenwertes von 0,5 wurde diese Korrelation untersucht und der Datensatz als positive/negative Amplifikation eingestuft. Vergleichs Test: Innerhalb dieses Tests wird untersucht, ob die ersten 20 % des Datensatzes sich signifikant von den letzten 15 % unterscheiden. Dazu wurden die beiden Datengruppen mit dem </w:t>
      </w:r>
      <w:proofErr w:type="spellStart"/>
      <w:r w:rsidRPr="00F50366">
        <w:rPr>
          <w:rFonts w:ascii="Times New Roman" w:hAnsi="Times New Roman" w:cs="Times New Roman"/>
        </w:rPr>
        <w:t>Wilcoxon</w:t>
      </w:r>
      <w:proofErr w:type="spellEnd"/>
      <w:r w:rsidRPr="00F50366">
        <w:rPr>
          <w:rFonts w:ascii="Times New Roman" w:hAnsi="Times New Roman" w:cs="Times New Roman"/>
        </w:rPr>
        <w:t>-Mann-Whitney</w:t>
      </w:r>
      <w:r w:rsidR="007B4110" w:rsidRPr="00F50366">
        <w:rPr>
          <w:rFonts w:ascii="Times New Roman" w:hAnsi="Times New Roman" w:cs="Times New Roman"/>
        </w:rPr>
        <w:t>-</w:t>
      </w:r>
      <w:r w:rsidRPr="00F50366">
        <w:rPr>
          <w:rFonts w:ascii="Times New Roman" w:hAnsi="Times New Roman" w:cs="Times New Roman"/>
        </w:rPr>
        <w:t xml:space="preserve">Test, beschrieben durch Mann and Whitney (1947), verglichen. Besteht ein signifikanter Unterschied, handelt es sich um eine positive Amplifikation. Signal Level Test: Dieser Test vergleicht zwei aus dem Datensatz berechnete Werte. Ersterer berechnet sich </w:t>
      </w:r>
      <w:r w:rsidRPr="00F50366">
        <w:rPr>
          <w:rFonts w:ascii="Times New Roman" w:hAnsi="Times New Roman" w:cs="Times New Roman"/>
        </w:rPr>
        <w:lastRenderedPageBreak/>
        <w:t xml:space="preserve">aus Formel (1), wobei MAD3 (engl. Mean-absolut </w:t>
      </w:r>
      <w:proofErr w:type="spellStart"/>
      <w:r w:rsidRPr="00F50366">
        <w:rPr>
          <w:rFonts w:ascii="Times New Roman" w:hAnsi="Times New Roman" w:cs="Times New Roman"/>
        </w:rPr>
        <w:t>deviation</w:t>
      </w:r>
      <w:proofErr w:type="spellEnd"/>
      <w:r w:rsidRPr="00F50366">
        <w:rPr>
          <w:rFonts w:ascii="Times New Roman" w:hAnsi="Times New Roman" w:cs="Times New Roman"/>
        </w:rPr>
        <w:t xml:space="preserve">) für die absolute Standardabweichung steht (siehe R-Dokumentation). Der zweite Wert ist das Signal-Rausch-Verhältnis (SNR, engl. </w:t>
      </w:r>
      <w:proofErr w:type="spellStart"/>
      <w:r w:rsidRPr="00F50366">
        <w:rPr>
          <w:rFonts w:ascii="Times New Roman" w:hAnsi="Times New Roman" w:cs="Times New Roman"/>
        </w:rPr>
        <w:t>signal</w:t>
      </w:r>
      <w:proofErr w:type="spellEnd"/>
      <w:r w:rsidRPr="00F50366">
        <w:rPr>
          <w:rFonts w:ascii="Times New Roman" w:hAnsi="Times New Roman" w:cs="Times New Roman"/>
        </w:rPr>
        <w:t xml:space="preserve"> </w:t>
      </w:r>
      <w:proofErr w:type="spellStart"/>
      <w:r w:rsidRPr="00F50366">
        <w:rPr>
          <w:rFonts w:ascii="Times New Roman" w:hAnsi="Times New Roman" w:cs="Times New Roman"/>
        </w:rPr>
        <w:t>noise</w:t>
      </w:r>
      <w:proofErr w:type="spellEnd"/>
      <w:r w:rsidRPr="00F50366">
        <w:rPr>
          <w:rFonts w:ascii="Times New Roman" w:hAnsi="Times New Roman" w:cs="Times New Roman"/>
        </w:rPr>
        <w:t xml:space="preserve"> </w:t>
      </w:r>
      <w:proofErr w:type="spellStart"/>
      <w:r w:rsidRPr="00F50366">
        <w:rPr>
          <w:rFonts w:ascii="Times New Roman" w:hAnsi="Times New Roman" w:cs="Times New Roman"/>
        </w:rPr>
        <w:t>ratio</w:t>
      </w:r>
      <w:proofErr w:type="spellEnd"/>
      <w:r w:rsidRPr="00F50366">
        <w:rPr>
          <w:rFonts w:ascii="Times New Roman" w:hAnsi="Times New Roman" w:cs="Times New Roman"/>
        </w:rPr>
        <w:t>), berechnet mit Formel (2). Bei einem um 25 % erhöhtem Wert des SNR im Vergleich zum ersten Wert wird die Amplifikation als positiv gewertet</w:t>
      </w:r>
    </w:p>
    <w:p w14:paraId="4BA38B93" w14:textId="222D387D" w:rsidR="00B80342" w:rsidRDefault="005D7860" w:rsidP="00B43B35">
      <w:pPr>
        <w:spacing w:line="360" w:lineRule="auto"/>
      </w:pPr>
      <w:r>
        <w:rPr>
          <w:noProof/>
        </w:rPr>
        <w:drawing>
          <wp:inline distT="0" distB="0" distL="0" distR="0" wp14:anchorId="3BDCD93E" wp14:editId="4166206D">
            <wp:extent cx="5760720" cy="4540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4025"/>
                    </a:xfrm>
                    <a:prstGeom prst="rect">
                      <a:avLst/>
                    </a:prstGeom>
                  </pic:spPr>
                </pic:pic>
              </a:graphicData>
            </a:graphic>
          </wp:inline>
        </w:drawing>
      </w:r>
    </w:p>
    <w:p w14:paraId="5AE68572" w14:textId="467B1E9A" w:rsidR="00EC4E85" w:rsidRDefault="00EC4E85" w:rsidP="00B43B35">
      <w:pPr>
        <w:spacing w:line="360" w:lineRule="auto"/>
      </w:pPr>
      <w:r>
        <w:rPr>
          <w:noProof/>
        </w:rPr>
        <w:drawing>
          <wp:inline distT="0" distB="0" distL="0" distR="0" wp14:anchorId="7C51D282" wp14:editId="3E90316A">
            <wp:extent cx="5760720" cy="411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1480"/>
                    </a:xfrm>
                    <a:prstGeom prst="rect">
                      <a:avLst/>
                    </a:prstGeom>
                  </pic:spPr>
                </pic:pic>
              </a:graphicData>
            </a:graphic>
          </wp:inline>
        </w:drawing>
      </w:r>
    </w:p>
    <w:p w14:paraId="5993FB7D" w14:textId="71133C8A" w:rsidR="00EC4E85" w:rsidRPr="00F50366" w:rsidRDefault="00EC4E85" w:rsidP="00B43B35">
      <w:pPr>
        <w:spacing w:line="360" w:lineRule="auto"/>
        <w:jc w:val="both"/>
        <w:rPr>
          <w:rFonts w:ascii="Times New Roman" w:hAnsi="Times New Roman" w:cs="Times New Roman"/>
        </w:rPr>
      </w:pPr>
      <w:r w:rsidRPr="00F50366">
        <w:rPr>
          <w:rFonts w:ascii="Times New Roman" w:hAnsi="Times New Roman" w:cs="Times New Roman"/>
        </w:rPr>
        <w:t xml:space="preserve">Polygon Test: Innerhalb dieses Tests wird der Anstieg pro Zeitintervall mit Formel (3) aufsummiert. Bei positiven Amplifikationen erreicht die Summe höhere Werte als bei negativen Amplifikationen, da hier das stärkere Rauschen der Daten die Endsumme niedrig hält. Als Schwellenwert für eine positive Amplifikation wurde hier empirisch ein Wert von 10 festgelegt. (Rödiger,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 2015).</w:t>
      </w:r>
    </w:p>
    <w:p w14:paraId="2B960A24" w14:textId="565A76EA" w:rsidR="00292F1D" w:rsidRDefault="00292F1D" w:rsidP="00B43B35">
      <w:pPr>
        <w:spacing w:line="360" w:lineRule="auto"/>
      </w:pPr>
      <w:r>
        <w:rPr>
          <w:noProof/>
        </w:rPr>
        <w:drawing>
          <wp:inline distT="0" distB="0" distL="0" distR="0" wp14:anchorId="6790D0F0" wp14:editId="19D272B6">
            <wp:extent cx="5760720" cy="2857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750"/>
                    </a:xfrm>
                    <a:prstGeom prst="rect">
                      <a:avLst/>
                    </a:prstGeom>
                  </pic:spPr>
                </pic:pic>
              </a:graphicData>
            </a:graphic>
          </wp:inline>
        </w:drawing>
      </w:r>
    </w:p>
    <w:p w14:paraId="1DA5061F" w14:textId="4281B24C" w:rsidR="00292F1D" w:rsidRPr="00F50366" w:rsidRDefault="005E29DB" w:rsidP="00B43B35">
      <w:pPr>
        <w:spacing w:line="360" w:lineRule="auto"/>
        <w:jc w:val="both"/>
        <w:rPr>
          <w:rFonts w:ascii="Times New Roman" w:hAnsi="Times New Roman" w:cs="Times New Roman"/>
        </w:rPr>
      </w:pPr>
      <w:r w:rsidRPr="00F50366">
        <w:rPr>
          <w:rFonts w:ascii="Times New Roman" w:hAnsi="Times New Roman" w:cs="Times New Roman"/>
        </w:rPr>
        <w:t xml:space="preserve">Des Weiteren ist es üblich, bei Echtzeit-Amplifikationsmethoden einen Schwellenwert einzuführen. Sollte dieser während der Messung nicht überschritten werden, wird die Amplifikation als negativ eingestuft (Aranha et al. 2021). Um dies zu berücksichtigen wurde ein weiterer Test, der Schwellenwert Test, eingeführt. Für die Berechnung des Schwellenwertes wurde die von Frey, </w:t>
      </w:r>
      <w:proofErr w:type="spellStart"/>
      <w:r w:rsidRPr="00F50366">
        <w:rPr>
          <w:rFonts w:ascii="Times New Roman" w:hAnsi="Times New Roman" w:cs="Times New Roman"/>
        </w:rPr>
        <w:t>Canzio</w:t>
      </w:r>
      <w:proofErr w:type="spellEnd"/>
      <w:r w:rsidRPr="00F50366">
        <w:rPr>
          <w:rFonts w:ascii="Times New Roman" w:hAnsi="Times New Roman" w:cs="Times New Roman"/>
        </w:rPr>
        <w:t xml:space="preserve">, and </w:t>
      </w:r>
      <w:proofErr w:type="spellStart"/>
      <w:r w:rsidRPr="00F50366">
        <w:rPr>
          <w:rFonts w:ascii="Times New Roman" w:hAnsi="Times New Roman" w:cs="Times New Roman"/>
        </w:rPr>
        <w:t>Zurakowski</w:t>
      </w:r>
      <w:proofErr w:type="spellEnd"/>
      <w:r w:rsidRPr="00F50366">
        <w:rPr>
          <w:rFonts w:ascii="Times New Roman" w:hAnsi="Times New Roman" w:cs="Times New Roman"/>
        </w:rPr>
        <w:t xml:space="preserve"> (1998) beschriebene Methode verwendet. Diese beruht auf dem Median der gesamten Daten, zu welchem ein Faktor addiert wird. Der Faktor bildet sich dabei aus der Standardabweichung (SD) der Daten multipliziert mit einem Term bestehend aus der Probenanzahl (n</w:t>
      </w:r>
      <w:r w:rsidR="001D7C22" w:rsidRPr="00F50366">
        <w:rPr>
          <w:rFonts w:ascii="Times New Roman" w:hAnsi="Times New Roman" w:cs="Times New Roman"/>
          <w:vertAlign w:val="subscript"/>
        </w:rPr>
        <w:t>1</w:t>
      </w:r>
      <w:r w:rsidRPr="00F50366">
        <w:rPr>
          <w:rFonts w:ascii="Times New Roman" w:hAnsi="Times New Roman" w:cs="Times New Roman"/>
        </w:rPr>
        <w:t xml:space="preserve">) und den Werten </w:t>
      </w:r>
      <w:proofErr w:type="gramStart"/>
      <w:r w:rsidRPr="00F50366">
        <w:rPr>
          <w:rFonts w:ascii="Times New Roman" w:hAnsi="Times New Roman" w:cs="Times New Roman"/>
        </w:rPr>
        <w:t xml:space="preserve">einer einseitigen </w:t>
      </w:r>
      <w:proofErr w:type="spellStart"/>
      <w:r w:rsidRPr="00F50366">
        <w:rPr>
          <w:rFonts w:ascii="Times New Roman" w:hAnsi="Times New Roman" w:cs="Times New Roman"/>
        </w:rPr>
        <w:t>Student</w:t>
      </w:r>
      <w:proofErr w:type="gramEnd"/>
      <w:r w:rsidR="00905960">
        <w:rPr>
          <w:rFonts w:ascii="Times New Roman" w:hAnsi="Times New Roman" w:cs="Times New Roman"/>
        </w:rPr>
        <w:t>‘</w:t>
      </w:r>
      <w:r w:rsidRPr="00F50366">
        <w:rPr>
          <w:rFonts w:ascii="Times New Roman" w:hAnsi="Times New Roman" w:cs="Times New Roman"/>
        </w:rPr>
        <w:t>s</w:t>
      </w:r>
      <w:proofErr w:type="spellEnd"/>
      <w:r w:rsidRPr="00F50366">
        <w:rPr>
          <w:rFonts w:ascii="Times New Roman" w:hAnsi="Times New Roman" w:cs="Times New Roman"/>
        </w:rPr>
        <w:t xml:space="preserve"> t-Verteilung (siehe Formel (4)). Für die Schwellenwertberechnung wurden mindestens 6 Negativkontrollen als Datensatz verwendet. Das Konfidenzintervall für die t-Verteilung wurde als 0,99 (99 %) festgelegt.</w:t>
      </w:r>
    </w:p>
    <w:p w14:paraId="7B936C28" w14:textId="5100371B" w:rsidR="00B80342" w:rsidRDefault="005E29DB" w:rsidP="00B43B35">
      <w:pPr>
        <w:spacing w:line="360" w:lineRule="auto"/>
      </w:pPr>
      <w:r>
        <w:rPr>
          <w:noProof/>
        </w:rPr>
        <w:drawing>
          <wp:inline distT="0" distB="0" distL="0" distR="0" wp14:anchorId="104EF362" wp14:editId="1DEED279">
            <wp:extent cx="5760720" cy="413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3385"/>
                    </a:xfrm>
                    <a:prstGeom prst="rect">
                      <a:avLst/>
                    </a:prstGeom>
                  </pic:spPr>
                </pic:pic>
              </a:graphicData>
            </a:graphic>
          </wp:inline>
        </w:drawing>
      </w:r>
    </w:p>
    <w:p w14:paraId="34A6465A" w14:textId="77777777" w:rsidR="00503EEC" w:rsidRPr="00F50366" w:rsidRDefault="00503EEC" w:rsidP="00B43B35">
      <w:pPr>
        <w:spacing w:line="360" w:lineRule="auto"/>
        <w:jc w:val="both"/>
        <w:rPr>
          <w:rFonts w:ascii="Times New Roman" w:hAnsi="Times New Roman" w:cs="Times New Roman"/>
        </w:rPr>
      </w:pPr>
      <w:r w:rsidRPr="00F50366">
        <w:rPr>
          <w:rFonts w:ascii="Times New Roman" w:hAnsi="Times New Roman" w:cs="Times New Roman"/>
        </w:rPr>
        <w:t xml:space="preserve">Um eine Amplifikation als positiv einzustufen, mussten alle aufgeführten Tests ein positives Testergebnis aufweisen. Sobald ein oder mehrere Tests ein negatives Testergebnis zeigten, wurde die Amplifikation als negativ eingestuft. </w:t>
      </w:r>
    </w:p>
    <w:p w14:paraId="2DFC7597" w14:textId="77777777" w:rsidR="00503EEC" w:rsidRPr="00F50366" w:rsidRDefault="00503EEC" w:rsidP="00B43B35">
      <w:pPr>
        <w:spacing w:line="360" w:lineRule="auto"/>
        <w:jc w:val="both"/>
        <w:rPr>
          <w:rFonts w:ascii="Times New Roman" w:hAnsi="Times New Roman" w:cs="Times New Roman"/>
          <w:b/>
        </w:rPr>
      </w:pPr>
      <w:r w:rsidRPr="00F50366">
        <w:rPr>
          <w:rFonts w:ascii="Times New Roman" w:hAnsi="Times New Roman" w:cs="Times New Roman"/>
          <w:b/>
        </w:rPr>
        <w:t xml:space="preserve">Ermittlung der Anstiegszeit </w:t>
      </w:r>
    </w:p>
    <w:p w14:paraId="128C8AF9" w14:textId="55FEB5C0" w:rsidR="004841C5" w:rsidRPr="00F50366" w:rsidRDefault="00503EEC" w:rsidP="00B43B35">
      <w:pPr>
        <w:spacing w:line="360" w:lineRule="auto"/>
        <w:jc w:val="both"/>
        <w:rPr>
          <w:rFonts w:ascii="Times New Roman" w:hAnsi="Times New Roman" w:cs="Times New Roman"/>
        </w:rPr>
      </w:pPr>
      <w:r w:rsidRPr="00F50366">
        <w:rPr>
          <w:rFonts w:ascii="Times New Roman" w:hAnsi="Times New Roman" w:cs="Times New Roman"/>
        </w:rPr>
        <w:t xml:space="preserve">Die Anstiegszeit, in der Literatur bei PCR-System nach den </w:t>
      </w:r>
      <w:proofErr w:type="gramStart"/>
      <w:r w:rsidRPr="00F50366">
        <w:rPr>
          <w:rFonts w:ascii="Times New Roman" w:hAnsi="Times New Roman" w:cs="Times New Roman"/>
        </w:rPr>
        <w:t>MIQE Richtlinien</w:t>
      </w:r>
      <w:proofErr w:type="gramEnd"/>
      <w:r w:rsidRPr="00F50366">
        <w:rPr>
          <w:rFonts w:ascii="Times New Roman" w:hAnsi="Times New Roman" w:cs="Times New Roman"/>
        </w:rPr>
        <w:t xml:space="preserve"> auch als </w:t>
      </w:r>
      <w:proofErr w:type="spellStart"/>
      <w:r w:rsidRPr="00F50366">
        <w:rPr>
          <w:rFonts w:ascii="Times New Roman" w:hAnsi="Times New Roman" w:cs="Times New Roman"/>
        </w:rPr>
        <w:t>Cq</w:t>
      </w:r>
      <w:proofErr w:type="spellEnd"/>
      <w:r w:rsidRPr="00F50366">
        <w:rPr>
          <w:rFonts w:ascii="Times New Roman" w:hAnsi="Times New Roman" w:cs="Times New Roman"/>
        </w:rPr>
        <w:t xml:space="preserve"> -Wert (engl. </w:t>
      </w:r>
      <w:proofErr w:type="spellStart"/>
      <w:r w:rsidRPr="00F50366">
        <w:rPr>
          <w:rFonts w:ascii="Times New Roman" w:hAnsi="Times New Roman" w:cs="Times New Roman"/>
        </w:rPr>
        <w:t>cycle</w:t>
      </w:r>
      <w:proofErr w:type="spellEnd"/>
      <w:r w:rsidRPr="00F50366">
        <w:rPr>
          <w:rFonts w:ascii="Times New Roman" w:hAnsi="Times New Roman" w:cs="Times New Roman"/>
        </w:rPr>
        <w:t xml:space="preserve"> </w:t>
      </w:r>
      <w:proofErr w:type="spellStart"/>
      <w:r w:rsidRPr="00F50366">
        <w:rPr>
          <w:rFonts w:ascii="Times New Roman" w:hAnsi="Times New Roman" w:cs="Times New Roman"/>
        </w:rPr>
        <w:t>quantification</w:t>
      </w:r>
      <w:proofErr w:type="spellEnd"/>
      <w:r w:rsidRPr="00F50366">
        <w:rPr>
          <w:rFonts w:ascii="Times New Roman" w:hAnsi="Times New Roman" w:cs="Times New Roman"/>
        </w:rPr>
        <w:t xml:space="preserve">) angegeben, ist der Zeitpunkt bei, die dem Fluoreszenzwerte einer Amplifikation einen vorher festgelegten Schwellenwert überschreiten und sich zusätzlich signifikant von dem </w:t>
      </w:r>
      <w:r w:rsidRPr="00F50366">
        <w:rPr>
          <w:rFonts w:ascii="Times New Roman" w:hAnsi="Times New Roman" w:cs="Times New Roman"/>
        </w:rPr>
        <w:lastRenderedPageBreak/>
        <w:t xml:space="preserve">Grundrauschen unterscheiden (S. A. </w:t>
      </w:r>
      <w:proofErr w:type="spellStart"/>
      <w:r w:rsidRPr="00F50366">
        <w:rPr>
          <w:rFonts w:ascii="Times New Roman" w:hAnsi="Times New Roman" w:cs="Times New Roman"/>
        </w:rPr>
        <w:t>Bustin</w:t>
      </w:r>
      <w:proofErr w:type="spellEnd"/>
      <w:r w:rsidRPr="00F50366">
        <w:rPr>
          <w:rFonts w:ascii="Times New Roman" w:hAnsi="Times New Roman" w:cs="Times New Roman"/>
        </w:rPr>
        <w:t xml:space="preserve"> et al. 2009). Dies lässt sich auch auf die RPA als TT-Wert (engl. </w:t>
      </w:r>
      <w:proofErr w:type="spellStart"/>
      <w:r w:rsidRPr="00F50366">
        <w:rPr>
          <w:rFonts w:ascii="Times New Roman" w:hAnsi="Times New Roman" w:cs="Times New Roman"/>
        </w:rPr>
        <w:t>threshold</w:t>
      </w:r>
      <w:proofErr w:type="spellEnd"/>
      <w:r w:rsidRPr="00F50366">
        <w:rPr>
          <w:rFonts w:ascii="Times New Roman" w:hAnsi="Times New Roman" w:cs="Times New Roman"/>
        </w:rPr>
        <w:t xml:space="preserve"> time) übertragen (Diagne et al. 2020). Für die Ermittlung der Anstiegszeit wurde der im </w:t>
      </w:r>
      <w:proofErr w:type="spellStart"/>
      <w:r w:rsidRPr="00F50366">
        <w:rPr>
          <w:rFonts w:ascii="Times New Roman" w:hAnsi="Times New Roman" w:cs="Times New Roman"/>
        </w:rPr>
        <w:t>chipPCR</w:t>
      </w:r>
      <w:proofErr w:type="spellEnd"/>
      <w:r w:rsidRPr="00F50366">
        <w:rPr>
          <w:rFonts w:ascii="Times New Roman" w:hAnsi="Times New Roman" w:cs="Times New Roman"/>
        </w:rPr>
        <w:t>-Paket vorhandene Befehl “</w:t>
      </w:r>
      <w:proofErr w:type="spellStart"/>
      <w:r w:rsidRPr="00F50366">
        <w:rPr>
          <w:rFonts w:ascii="Times New Roman" w:hAnsi="Times New Roman" w:cs="Times New Roman"/>
        </w:rPr>
        <w:t>th.cyc</w:t>
      </w:r>
      <w:proofErr w:type="spellEnd"/>
      <w:r w:rsidRPr="00F50366">
        <w:rPr>
          <w:rFonts w:ascii="Times New Roman" w:hAnsi="Times New Roman" w:cs="Times New Roman"/>
        </w:rPr>
        <w:t xml:space="preserve">” verwendet. Dieser gleicht die Amplifikationskurve im Bereich des vorher festgelegten Schwellenwertes mit einer Polynomfunktion zweiten Grades an und gibt den Schnittpunkt mit dem Schwellenwert als Anstiegszeit aus. Als Schwellenwert wurde der im Schwellenwert Test beschrieben Wert (siehe Kapitel 2.1.3) verwendet (Rödiger,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 2015).</w:t>
      </w:r>
      <w:r w:rsidR="004841C5" w:rsidRPr="00F50366">
        <w:rPr>
          <w:rFonts w:ascii="Times New Roman" w:hAnsi="Times New Roman" w:cs="Times New Roman"/>
        </w:rPr>
        <w:t xml:space="preserve"> </w:t>
      </w:r>
    </w:p>
    <w:p w14:paraId="31D70A30" w14:textId="77777777" w:rsidR="004841C5" w:rsidRPr="00F50366" w:rsidRDefault="004841C5" w:rsidP="00B43B35">
      <w:pPr>
        <w:spacing w:line="360" w:lineRule="auto"/>
        <w:jc w:val="both"/>
        <w:rPr>
          <w:rFonts w:ascii="Times New Roman" w:hAnsi="Times New Roman" w:cs="Times New Roman"/>
          <w:b/>
        </w:rPr>
      </w:pPr>
      <w:r w:rsidRPr="00F50366">
        <w:rPr>
          <w:rFonts w:ascii="Times New Roman" w:hAnsi="Times New Roman" w:cs="Times New Roman"/>
          <w:b/>
        </w:rPr>
        <w:t xml:space="preserve">2.1.4 Vergleich von Anstiegszeiten </w:t>
      </w:r>
    </w:p>
    <w:p w14:paraId="09562F5E" w14:textId="3B06DD22" w:rsidR="00503EEC" w:rsidRPr="00F50366" w:rsidRDefault="004841C5" w:rsidP="00B43B35">
      <w:pPr>
        <w:spacing w:line="360" w:lineRule="auto"/>
        <w:jc w:val="both"/>
        <w:rPr>
          <w:rFonts w:ascii="Times New Roman" w:hAnsi="Times New Roman" w:cs="Times New Roman"/>
        </w:rPr>
      </w:pPr>
      <w:r w:rsidRPr="00F50366">
        <w:rPr>
          <w:rFonts w:ascii="Times New Roman" w:hAnsi="Times New Roman" w:cs="Times New Roman"/>
        </w:rPr>
        <w:t xml:space="preserve">Um zu überprüfen, ob eine Veränderung der Reaktionsparameter eine signifikante Veränderung der Anstiegszeiten zur Folge hat, wurden die Mittelwerte der Anstiegszeiten bei 2 Gruppen mithilfe eines T-Tests und bei 3 oder mehr Gruppen mithilfe einer einfaktoriellen Varianzanalyse verglichen. Im ersten Schritt wurden die Daten mit dem </w:t>
      </w:r>
      <w:proofErr w:type="spellStart"/>
      <w:r w:rsidRPr="00F50366">
        <w:rPr>
          <w:rFonts w:ascii="Times New Roman" w:hAnsi="Times New Roman" w:cs="Times New Roman"/>
        </w:rPr>
        <w:t>Shaprio</w:t>
      </w:r>
      <w:proofErr w:type="spellEnd"/>
      <w:r w:rsidRPr="00F50366">
        <w:rPr>
          <w:rFonts w:ascii="Times New Roman" w:hAnsi="Times New Roman" w:cs="Times New Roman"/>
        </w:rPr>
        <w:t>-Wilk-Test auf Normalität überprüft und anschließend auf Ausreißer untersucht.</w:t>
      </w:r>
      <w:r w:rsidR="00CE2F9B" w:rsidRPr="00F50366">
        <w:rPr>
          <w:rFonts w:ascii="Times New Roman" w:hAnsi="Times New Roman" w:cs="Times New Roman"/>
        </w:rPr>
        <w:t xml:space="preserve"> Datenpunkte, welche über </w:t>
      </w:r>
      <w:r w:rsidR="00CE2F9B" w:rsidRPr="00F50366">
        <w:rPr>
          <w:rFonts w:ascii="Cambria Math" w:hAnsi="Cambria Math" w:cs="Cambria Math"/>
        </w:rPr>
        <w:t>𝑄</w:t>
      </w:r>
      <w:r w:rsidR="00CE2F9B" w:rsidRPr="00F50366">
        <w:rPr>
          <w:rFonts w:ascii="Times New Roman" w:hAnsi="Times New Roman" w:cs="Times New Roman"/>
        </w:rPr>
        <w:t>3+3</w:t>
      </w:r>
      <w:r w:rsidR="00CE2F9B" w:rsidRPr="00F50366">
        <w:rPr>
          <w:rFonts w:ascii="Cambria Math" w:hAnsi="Cambria Math" w:cs="Cambria Math"/>
        </w:rPr>
        <w:t>∗𝐼𝑄𝑅</w:t>
      </w:r>
      <w:r w:rsidR="00CE2F9B" w:rsidRPr="00F50366">
        <w:rPr>
          <w:rFonts w:ascii="Times New Roman" w:hAnsi="Times New Roman" w:cs="Times New Roman"/>
        </w:rPr>
        <w:t xml:space="preserve"> oder unter </w:t>
      </w:r>
      <w:r w:rsidR="00CE2F9B" w:rsidRPr="00F50366">
        <w:rPr>
          <w:rFonts w:ascii="Cambria Math" w:hAnsi="Cambria Math" w:cs="Cambria Math"/>
        </w:rPr>
        <w:t>𝑄</w:t>
      </w:r>
      <w:r w:rsidR="00CE2F9B" w:rsidRPr="00F50366">
        <w:rPr>
          <w:rFonts w:ascii="Times New Roman" w:hAnsi="Times New Roman" w:cs="Times New Roman"/>
        </w:rPr>
        <w:t>1−3</w:t>
      </w:r>
      <w:r w:rsidR="00CE2F9B" w:rsidRPr="00F50366">
        <w:rPr>
          <w:rFonts w:ascii="Cambria Math" w:hAnsi="Cambria Math" w:cs="Cambria Math"/>
        </w:rPr>
        <w:t>∗𝐼𝑄𝑅</w:t>
      </w:r>
      <w:r w:rsidR="00CE2F9B" w:rsidRPr="00F50366">
        <w:rPr>
          <w:rFonts w:ascii="Times New Roman" w:hAnsi="Times New Roman" w:cs="Times New Roman"/>
        </w:rPr>
        <w:t xml:space="preserve"> liegen, wurden als Ausreißer festgelegt und für die folgenden Tests ignoriert. Dabei sind Q1 und Q3 das erste und dritte Quartil der Daten und IQR steht für den Interquartils-Abstand. Nachfolgend wurden die bereinigten Daten auf Varianzhomogenität mit dem Levene-Test überprüft. Bei einem Vergleich von 2 Gruppen wurde bei festgestellter Varianzhom</w:t>
      </w:r>
      <w:r w:rsidR="00905960">
        <w:rPr>
          <w:rFonts w:ascii="Times New Roman" w:hAnsi="Times New Roman" w:cs="Times New Roman"/>
        </w:rPr>
        <w:t>o</w:t>
      </w:r>
      <w:r w:rsidR="00CE2F9B" w:rsidRPr="00F50366">
        <w:rPr>
          <w:rFonts w:ascii="Times New Roman" w:hAnsi="Times New Roman" w:cs="Times New Roman"/>
        </w:rPr>
        <w:t xml:space="preserve">genität der </w:t>
      </w:r>
      <w:proofErr w:type="spellStart"/>
      <w:r w:rsidR="00905960">
        <w:rPr>
          <w:rFonts w:ascii="Times New Roman" w:hAnsi="Times New Roman" w:cs="Times New Roman"/>
        </w:rPr>
        <w:t>S</w:t>
      </w:r>
      <w:r w:rsidR="00CE2F9B" w:rsidRPr="00F50366">
        <w:rPr>
          <w:rFonts w:ascii="Times New Roman" w:hAnsi="Times New Roman" w:cs="Times New Roman"/>
        </w:rPr>
        <w:t>tudent</w:t>
      </w:r>
      <w:r w:rsidR="00905960">
        <w:rPr>
          <w:rFonts w:ascii="Times New Roman" w:hAnsi="Times New Roman" w:cs="Times New Roman"/>
        </w:rPr>
        <w:t>‘</w:t>
      </w:r>
      <w:r w:rsidR="00CE2F9B" w:rsidRPr="00F50366">
        <w:rPr>
          <w:rFonts w:ascii="Times New Roman" w:hAnsi="Times New Roman" w:cs="Times New Roman"/>
        </w:rPr>
        <w:t>s</w:t>
      </w:r>
      <w:proofErr w:type="spellEnd"/>
      <w:r w:rsidR="00CE2F9B" w:rsidRPr="00F50366">
        <w:rPr>
          <w:rFonts w:ascii="Times New Roman" w:hAnsi="Times New Roman" w:cs="Times New Roman"/>
        </w:rPr>
        <w:t xml:space="preserve"> T-Test und bei signifikant unterschiedlichen Varianzen der Welch T-Test durchgeführt. Bei einem Vergleich von 3 oder mehr Gruppen wurde bei Varianzhomogenität eine einfaktorielle Varianzanalyse durchgeführt, welche bei einem p-Wert von unter 0,05 mit einem nachfolgendem </w:t>
      </w:r>
      <w:proofErr w:type="spellStart"/>
      <w:r w:rsidR="00CE2F9B" w:rsidRPr="00F50366">
        <w:rPr>
          <w:rFonts w:ascii="Times New Roman" w:hAnsi="Times New Roman" w:cs="Times New Roman"/>
        </w:rPr>
        <w:t>Tukey</w:t>
      </w:r>
      <w:proofErr w:type="spellEnd"/>
      <w:r w:rsidR="00CE2F9B" w:rsidRPr="00F50366">
        <w:rPr>
          <w:rFonts w:ascii="Times New Roman" w:hAnsi="Times New Roman" w:cs="Times New Roman"/>
        </w:rPr>
        <w:t xml:space="preserve"> HSD Test kombiniert wurde, um die Verhältnisse zwischen den Gruppen zu untersuchen. Wenn die Gruppen keine einheitlichen Varianzen besitzen, wurde eine </w:t>
      </w:r>
      <w:proofErr w:type="spellStart"/>
      <w:proofErr w:type="gramStart"/>
      <w:r w:rsidR="00CE2F9B" w:rsidRPr="00F50366">
        <w:rPr>
          <w:rFonts w:ascii="Times New Roman" w:hAnsi="Times New Roman" w:cs="Times New Roman"/>
        </w:rPr>
        <w:t>Welch’s</w:t>
      </w:r>
      <w:proofErr w:type="spellEnd"/>
      <w:proofErr w:type="gramEnd"/>
      <w:r w:rsidR="00CE2F9B" w:rsidRPr="00F50366">
        <w:rPr>
          <w:rFonts w:ascii="Times New Roman" w:hAnsi="Times New Roman" w:cs="Times New Roman"/>
        </w:rPr>
        <w:t xml:space="preserve"> Varianzanalyse durchgeführt. Konnten innerhalb der </w:t>
      </w:r>
      <w:proofErr w:type="spellStart"/>
      <w:proofErr w:type="gramStart"/>
      <w:r w:rsidR="00CE2F9B" w:rsidRPr="00F50366">
        <w:rPr>
          <w:rFonts w:ascii="Times New Roman" w:hAnsi="Times New Roman" w:cs="Times New Roman"/>
        </w:rPr>
        <w:t>Welch’s</w:t>
      </w:r>
      <w:proofErr w:type="spellEnd"/>
      <w:proofErr w:type="gramEnd"/>
      <w:r w:rsidR="00CE2F9B" w:rsidRPr="00F50366">
        <w:rPr>
          <w:rFonts w:ascii="Times New Roman" w:hAnsi="Times New Roman" w:cs="Times New Roman"/>
        </w:rPr>
        <w:t xml:space="preserve"> Varianzanalyse signifikante Unterschiede zwischen den Gruppen festgestellt werden, wurde ein Games Howell Test nachfolgend durchgeführt, um die Verhältnisse der einzelnen Gruppen zu untersuchen.</w:t>
      </w:r>
    </w:p>
    <w:p w14:paraId="1D8A6596" w14:textId="77777777" w:rsidR="00CE2F9B" w:rsidRPr="00F50366" w:rsidRDefault="00CE2F9B" w:rsidP="00B43B35">
      <w:pPr>
        <w:spacing w:line="360" w:lineRule="auto"/>
        <w:jc w:val="both"/>
        <w:rPr>
          <w:rFonts w:ascii="Times New Roman" w:hAnsi="Times New Roman" w:cs="Times New Roman"/>
          <w:b/>
        </w:rPr>
      </w:pPr>
      <w:r w:rsidRPr="00F50366">
        <w:rPr>
          <w:rFonts w:ascii="Times New Roman" w:hAnsi="Times New Roman" w:cs="Times New Roman"/>
          <w:b/>
        </w:rPr>
        <w:t xml:space="preserve">2.1.5 Probit-Analyse </w:t>
      </w:r>
    </w:p>
    <w:p w14:paraId="62B75139" w14:textId="08845A34" w:rsidR="00CE2F9B" w:rsidRPr="00F50366" w:rsidRDefault="00CE2F9B" w:rsidP="00B43B35">
      <w:pPr>
        <w:spacing w:line="360" w:lineRule="auto"/>
        <w:jc w:val="both"/>
        <w:rPr>
          <w:rFonts w:ascii="Times New Roman" w:hAnsi="Times New Roman" w:cs="Times New Roman"/>
        </w:rPr>
      </w:pPr>
      <w:r w:rsidRPr="00F50366">
        <w:rPr>
          <w:rFonts w:ascii="Times New Roman" w:hAnsi="Times New Roman" w:cs="Times New Roman"/>
        </w:rPr>
        <w:t xml:space="preserve">Die Probit-Analyse ist ein statistisches Modell, welches binäre Fälle (0 und 1) mit einer fortlaufenden Variablen in Verbindung bringt. Dabei wird die </w:t>
      </w:r>
      <w:r w:rsidR="000623DC" w:rsidRPr="00F50366">
        <w:rPr>
          <w:rFonts w:ascii="Times New Roman" w:hAnsi="Times New Roman" w:cs="Times New Roman"/>
        </w:rPr>
        <w:t>Gauß’sche</w:t>
      </w:r>
      <w:r w:rsidRPr="00F50366">
        <w:rPr>
          <w:rFonts w:ascii="Times New Roman" w:hAnsi="Times New Roman" w:cs="Times New Roman"/>
        </w:rPr>
        <w:t xml:space="preserve"> Normalverteilungsfunktion </w:t>
      </w:r>
      <w:r w:rsidRPr="00F50366">
        <w:rPr>
          <w:rFonts w:ascii="Cambria Math" w:hAnsi="Cambria Math" w:cs="Cambria Math"/>
        </w:rPr>
        <w:t>𝜙</w:t>
      </w:r>
      <w:r w:rsidRPr="00F50366">
        <w:rPr>
          <w:rFonts w:ascii="Times New Roman" w:hAnsi="Times New Roman" w:cs="Times New Roman"/>
        </w:rPr>
        <w:t xml:space="preserve">, welche durch die Formel </w:t>
      </w:r>
      <w:r w:rsidRPr="00F50366">
        <w:rPr>
          <w:rFonts w:ascii="Cambria Math" w:hAnsi="Cambria Math" w:cs="Cambria Math"/>
        </w:rPr>
        <w:t>𝑝</w:t>
      </w:r>
      <w:r w:rsidRPr="00F50366">
        <w:rPr>
          <w:rFonts w:ascii="Times New Roman" w:hAnsi="Times New Roman" w:cs="Times New Roman"/>
        </w:rPr>
        <w:t xml:space="preserve"> = </w:t>
      </w:r>
      <w:proofErr w:type="gramStart"/>
      <w:r w:rsidRPr="00F50366">
        <w:rPr>
          <w:rFonts w:ascii="Cambria Math" w:hAnsi="Cambria Math" w:cs="Cambria Math"/>
        </w:rPr>
        <w:t>𝜙</w:t>
      </w:r>
      <w:r w:rsidRPr="00F50366">
        <w:rPr>
          <w:rFonts w:ascii="Times New Roman" w:hAnsi="Times New Roman" w:cs="Times New Roman"/>
        </w:rPr>
        <w:t>(</w:t>
      </w:r>
      <w:proofErr w:type="gramEnd"/>
      <w:r w:rsidRPr="00F50366">
        <w:rPr>
          <w:rFonts w:ascii="Cambria Math" w:hAnsi="Cambria Math" w:cs="Cambria Math"/>
        </w:rPr>
        <w:t>𝛼</w:t>
      </w:r>
      <w:r w:rsidRPr="00F50366">
        <w:rPr>
          <w:rFonts w:ascii="Times New Roman" w:hAnsi="Times New Roman" w:cs="Times New Roman"/>
        </w:rPr>
        <w:t xml:space="preserve"> + </w:t>
      </w:r>
      <w:r w:rsidRPr="00F50366">
        <w:rPr>
          <w:rFonts w:ascii="Cambria Math" w:hAnsi="Cambria Math" w:cs="Cambria Math"/>
        </w:rPr>
        <w:t>𝛽𝑥</w:t>
      </w:r>
      <w:r w:rsidRPr="00F50366">
        <w:rPr>
          <w:rFonts w:ascii="Times New Roman" w:hAnsi="Times New Roman" w:cs="Times New Roman"/>
        </w:rPr>
        <w:t>) beschrieben wird, auf die Regression angewendet (Bingham and Fry 2010). Die von Bliss (1934) entwickelte Methode wurde ursprünglich für toxikologische Experimente genutzt, um die tödliche Dosis mathematisch zu bestimmen (Bliss 1934). Aufgrund der gleichen Datenlage lässt sich jedoch dieses mathematische Modell auch verwenden, um das Detektionslimit anhand einer Konzentrationsreihe für ein Nukleinsäure-Amplifikationssystem zu ermitteln. Die Probit-Analyse anhand von Amplifikationsdaten erfolgte mittels einer R-skripts, entwickelt durch Ole Behrmann, beschrieben in Behrmann et al. (2020). Skript modifiziert und an die Daten angepasst durch mich.</w:t>
      </w:r>
    </w:p>
    <w:p w14:paraId="61E0CFAB" w14:textId="77777777" w:rsidR="00033925" w:rsidRPr="00F50366" w:rsidRDefault="00033925" w:rsidP="00B43B35">
      <w:pPr>
        <w:spacing w:line="360" w:lineRule="auto"/>
        <w:jc w:val="both"/>
        <w:rPr>
          <w:rFonts w:ascii="Times New Roman" w:hAnsi="Times New Roman" w:cs="Times New Roman"/>
          <w:b/>
        </w:rPr>
      </w:pPr>
      <w:r w:rsidRPr="00F50366">
        <w:rPr>
          <w:rFonts w:ascii="Times New Roman" w:hAnsi="Times New Roman" w:cs="Times New Roman"/>
          <w:b/>
        </w:rPr>
        <w:t xml:space="preserve">2.2 Herstellen der RNA-Standards </w:t>
      </w:r>
    </w:p>
    <w:p w14:paraId="26DFB9B3" w14:textId="42CF5859" w:rsidR="00033925" w:rsidRPr="00F50366" w:rsidRDefault="00033925" w:rsidP="00B43B35">
      <w:pPr>
        <w:spacing w:line="360" w:lineRule="auto"/>
        <w:jc w:val="both"/>
        <w:rPr>
          <w:rFonts w:ascii="Times New Roman" w:hAnsi="Times New Roman" w:cs="Times New Roman"/>
        </w:rPr>
      </w:pPr>
      <w:r w:rsidRPr="00F50366">
        <w:rPr>
          <w:rFonts w:ascii="Times New Roman" w:hAnsi="Times New Roman" w:cs="Times New Roman"/>
          <w:color w:val="FF0000"/>
        </w:rPr>
        <w:lastRenderedPageBreak/>
        <w:t xml:space="preserve">Für die Etablierung und Optimierung der RPA-Protokolle ist es nötig, eine definierte Menge amplifizierbarer viraler Nukleinsäure-Moleküle </w:t>
      </w:r>
      <w:r w:rsidR="003857AD" w:rsidRPr="00F50366">
        <w:rPr>
          <w:rFonts w:ascii="Times New Roman" w:hAnsi="Times New Roman" w:cs="Times New Roman"/>
          <w:color w:val="FF0000"/>
        </w:rPr>
        <w:t>einzusetzen</w:t>
      </w:r>
      <w:r w:rsidRPr="00F50366">
        <w:rPr>
          <w:rFonts w:ascii="Times New Roman" w:hAnsi="Times New Roman" w:cs="Times New Roman"/>
          <w:color w:val="FF0000"/>
        </w:rPr>
        <w:t>, um so eine Vergleichbarkeit zu anderen Protokollen herzustellen. Dafür wurden definierte RNA-Standards der zu amplifizierenden Nukleinsäure hergestellt</w:t>
      </w:r>
      <w:r w:rsidRPr="00F50366">
        <w:rPr>
          <w:rFonts w:ascii="Times New Roman" w:hAnsi="Times New Roman" w:cs="Times New Roman"/>
        </w:rPr>
        <w:t>. Die RNA</w:t>
      </w:r>
      <w:r w:rsidR="00FB3450" w:rsidRPr="00F50366">
        <w:rPr>
          <w:rFonts w:ascii="Times New Roman" w:hAnsi="Times New Roman" w:cs="Times New Roman"/>
        </w:rPr>
        <w:t>-</w:t>
      </w:r>
      <w:r w:rsidRPr="00F50366">
        <w:rPr>
          <w:rFonts w:ascii="Times New Roman" w:hAnsi="Times New Roman" w:cs="Times New Roman"/>
        </w:rPr>
        <w:t>Standards für das Influenza A Virus wurden wie in den nachfolgenden Kapiteln beschrieben hergestellt. Für das Influenza B Virus war in der Arbeitsgruppe schon eine transformierte E. coli Kultur vorhanden, weswegen mit dieser erst ab Kapitel 2.2.2 weitergearbeitet wurde.</w:t>
      </w:r>
    </w:p>
    <w:p w14:paraId="4FADE4D6" w14:textId="77777777" w:rsidR="00C032DC" w:rsidRPr="00F50366" w:rsidRDefault="00C032DC" w:rsidP="00B43B35">
      <w:pPr>
        <w:spacing w:line="360" w:lineRule="auto"/>
        <w:jc w:val="both"/>
        <w:rPr>
          <w:rFonts w:ascii="Times New Roman" w:hAnsi="Times New Roman" w:cs="Times New Roman"/>
          <w:b/>
        </w:rPr>
      </w:pPr>
      <w:r w:rsidRPr="00F50366">
        <w:rPr>
          <w:rFonts w:ascii="Times New Roman" w:hAnsi="Times New Roman" w:cs="Times New Roman"/>
          <w:b/>
        </w:rPr>
        <w:t xml:space="preserve">2.2.1 Transformation von E. coli mit Plasmid-DNA </w:t>
      </w:r>
    </w:p>
    <w:p w14:paraId="1ACC1628" w14:textId="0EC7CB4C" w:rsidR="006A700F" w:rsidRPr="00F50366" w:rsidRDefault="00C032DC" w:rsidP="00B43B35">
      <w:pPr>
        <w:spacing w:line="360" w:lineRule="auto"/>
        <w:jc w:val="both"/>
        <w:rPr>
          <w:rFonts w:ascii="Times New Roman" w:hAnsi="Times New Roman" w:cs="Times New Roman"/>
        </w:rPr>
      </w:pPr>
      <w:r w:rsidRPr="00F50366">
        <w:rPr>
          <w:rFonts w:ascii="Times New Roman" w:hAnsi="Times New Roman" w:cs="Times New Roman"/>
        </w:rPr>
        <w:t xml:space="preserve">Die chemische Transformation von NEB© 5-alpha </w:t>
      </w:r>
      <w:proofErr w:type="spellStart"/>
      <w:r w:rsidRPr="00F50366">
        <w:rPr>
          <w:rFonts w:ascii="Times New Roman" w:hAnsi="Times New Roman" w:cs="Times New Roman"/>
        </w:rPr>
        <w:t>competent</w:t>
      </w:r>
      <w:proofErr w:type="spellEnd"/>
      <w:r w:rsidRPr="00F50366">
        <w:rPr>
          <w:rFonts w:ascii="Times New Roman" w:hAnsi="Times New Roman" w:cs="Times New Roman"/>
        </w:rPr>
        <w:t xml:space="preserve"> E. coli (High Efficiency, New England </w:t>
      </w:r>
      <w:proofErr w:type="spellStart"/>
      <w:r w:rsidRPr="00F50366">
        <w:rPr>
          <w:rFonts w:ascii="Times New Roman" w:hAnsi="Times New Roman" w:cs="Times New Roman"/>
        </w:rPr>
        <w:t>BioLabs</w:t>
      </w:r>
      <w:proofErr w:type="spellEnd"/>
      <w:r w:rsidRPr="00F50366">
        <w:rPr>
          <w:rFonts w:ascii="Times New Roman" w:hAnsi="Times New Roman" w:cs="Times New Roman"/>
        </w:rPr>
        <w:t xml:space="preserve">© GmbH) wurde nach Herstellerangaben durchgeführt (Protokoll4 online verfügbar). Als Vektor dienten synthetisierte Plasmide der Firma </w:t>
      </w:r>
      <w:proofErr w:type="spellStart"/>
      <w:r w:rsidRPr="00F50366">
        <w:rPr>
          <w:rFonts w:ascii="Times New Roman" w:hAnsi="Times New Roman" w:cs="Times New Roman"/>
        </w:rPr>
        <w:t>Invitrogen</w:t>
      </w:r>
      <w:proofErr w:type="spellEnd"/>
      <w:r w:rsidRPr="00F50366">
        <w:rPr>
          <w:rFonts w:ascii="Times New Roman" w:hAnsi="Times New Roman" w:cs="Times New Roman"/>
        </w:rPr>
        <w:t xml:space="preserve"> (</w:t>
      </w:r>
      <w:proofErr w:type="spellStart"/>
      <w:r w:rsidRPr="00F50366">
        <w:rPr>
          <w:rFonts w:ascii="Times New Roman" w:hAnsi="Times New Roman" w:cs="Times New Roman"/>
        </w:rPr>
        <w:t>Plasmidkarten</w:t>
      </w:r>
      <w:proofErr w:type="spellEnd"/>
      <w:r w:rsidRPr="00F50366">
        <w:rPr>
          <w:rFonts w:ascii="Times New Roman" w:hAnsi="Times New Roman" w:cs="Times New Roman"/>
        </w:rPr>
        <w:t xml:space="preserve"> siehe Abbildung 7 - 11 im Anhang). Nach der Transformation wurden jeweils 25 µl des Transformationsansatzes auf zwei mit Ampicillin (Endkonzentration: 100 µg/ml, Roche </w:t>
      </w:r>
      <w:proofErr w:type="spellStart"/>
      <w:r w:rsidRPr="00F50366">
        <w:rPr>
          <w:rFonts w:ascii="Times New Roman" w:hAnsi="Times New Roman" w:cs="Times New Roman"/>
        </w:rPr>
        <w:t>diagnostics</w:t>
      </w:r>
      <w:proofErr w:type="spellEnd"/>
      <w:r w:rsidRPr="00F50366">
        <w:rPr>
          <w:rFonts w:ascii="Times New Roman" w:hAnsi="Times New Roman" w:cs="Times New Roman"/>
        </w:rPr>
        <w:t xml:space="preserve">) versetzte LB-Platten (Carl Roth) ausplattiert und bei 37 °C über Nacht inkubiert. Zur Überprüfung der Transformation wurde eine Kolonie-PCR, eine modifizierte Form der PCR, durchgeführt. Hierbei dient nicht reine DNA, sondern die transformierten Bakterien als Ausgangsmaterial. Durch die Wahl spezifischer Primer, welche das gewünschte Insert innerhalb des Plasmids amplifizieren, kann überprüft werden, ob die Transformation innerhalb der Kultur erfolgreich war (Bergkessel and Guthrie 2013). Für die PCR wurde </w:t>
      </w:r>
      <w:proofErr w:type="gramStart"/>
      <w:r w:rsidRPr="00F50366">
        <w:rPr>
          <w:rFonts w:ascii="Times New Roman" w:hAnsi="Times New Roman" w:cs="Times New Roman"/>
        </w:rPr>
        <w:t>der Luna</w:t>
      </w:r>
      <w:proofErr w:type="gramEnd"/>
      <w:r w:rsidRPr="00F50366">
        <w:rPr>
          <w:rFonts w:ascii="Times New Roman" w:hAnsi="Times New Roman" w:cs="Times New Roman"/>
        </w:rPr>
        <w:t xml:space="preserve">© Universal qPCR Master Mix (New England </w:t>
      </w:r>
      <w:proofErr w:type="spellStart"/>
      <w:r w:rsidRPr="00F50366">
        <w:rPr>
          <w:rFonts w:ascii="Times New Roman" w:hAnsi="Times New Roman" w:cs="Times New Roman"/>
        </w:rPr>
        <w:t>BioLabs</w:t>
      </w:r>
      <w:proofErr w:type="spellEnd"/>
      <w:r w:rsidRPr="00F50366">
        <w:rPr>
          <w:rFonts w:ascii="Times New Roman" w:hAnsi="Times New Roman" w:cs="Times New Roman"/>
        </w:rPr>
        <w:t xml:space="preserve">) verwendet. Eine halbe Kolonie der transformieren E. coli wurde in 20 µl PCR-reinem Wasser (Nuklease- und Nukleinsäure-frei, DEPC behandelt, Carl Roth) suspendiert. Von dieser Suspension wurden 2 µl mit 18 µl PCR-Mix gemischt und eine PCR durchgeführt. Das Temperaturprogramm der PCR ist in Tabelle 2 angegeben. Weitere 5 µl der Suspension wurden auf einer mit Ampicillin versetzten LB-Platte ausplattiert und bei 37 °C über Nacht </w:t>
      </w:r>
      <w:r w:rsidR="003857AD" w:rsidRPr="00F50366">
        <w:rPr>
          <w:rFonts w:ascii="Times New Roman" w:hAnsi="Times New Roman" w:cs="Times New Roman"/>
        </w:rPr>
        <w:t>inkubiert,</w:t>
      </w:r>
      <w:r w:rsidRPr="00F50366">
        <w:rPr>
          <w:rFonts w:ascii="Times New Roman" w:hAnsi="Times New Roman" w:cs="Times New Roman"/>
        </w:rPr>
        <w:t xml:space="preserve"> um eine Folgekultur der überprüften E. coli zu erhalten.</w:t>
      </w:r>
    </w:p>
    <w:p w14:paraId="56BBB6E1" w14:textId="7556B78A" w:rsidR="00C032DC" w:rsidRDefault="006A700F" w:rsidP="00B43B35">
      <w:pPr>
        <w:spacing w:line="360" w:lineRule="auto"/>
      </w:pPr>
      <w:r w:rsidRPr="006A700F">
        <w:rPr>
          <w:noProof/>
        </w:rPr>
        <w:t xml:space="preserve"> </w:t>
      </w:r>
      <w:r>
        <w:rPr>
          <w:noProof/>
        </w:rPr>
        <w:drawing>
          <wp:inline distT="0" distB="0" distL="0" distR="0" wp14:anchorId="4529DC85" wp14:editId="6CE0562C">
            <wp:extent cx="5760720" cy="2075180"/>
            <wp:effectExtent l="0" t="0" r="0" b="1270"/>
            <wp:docPr id="10" name="Grafik 10"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Tisch enthält.&#10;&#10;Automatisch generierte Beschreibung"/>
                    <pic:cNvPicPr/>
                  </pic:nvPicPr>
                  <pic:blipFill>
                    <a:blip r:embed="rId12"/>
                    <a:stretch>
                      <a:fillRect/>
                    </a:stretch>
                  </pic:blipFill>
                  <pic:spPr>
                    <a:xfrm>
                      <a:off x="0" y="0"/>
                      <a:ext cx="5760720" cy="2075180"/>
                    </a:xfrm>
                    <a:prstGeom prst="rect">
                      <a:avLst/>
                    </a:prstGeom>
                  </pic:spPr>
                </pic:pic>
              </a:graphicData>
            </a:graphic>
          </wp:inline>
        </w:drawing>
      </w:r>
    </w:p>
    <w:p w14:paraId="2C10FAC4" w14:textId="77777777" w:rsidR="004D6DD7" w:rsidRPr="00A10064" w:rsidRDefault="004D6DD7" w:rsidP="00B43B35">
      <w:pPr>
        <w:spacing w:line="360" w:lineRule="auto"/>
        <w:jc w:val="both"/>
        <w:rPr>
          <w:rFonts w:ascii="Times New Roman" w:hAnsi="Times New Roman" w:cs="Times New Roman"/>
          <w:b/>
        </w:rPr>
      </w:pPr>
      <w:r w:rsidRPr="00A10064">
        <w:rPr>
          <w:rFonts w:ascii="Times New Roman" w:hAnsi="Times New Roman" w:cs="Times New Roman"/>
          <w:b/>
        </w:rPr>
        <w:t>2.2.2 Extraktion von Plasmid-DNA aus Übernachtkulturen</w:t>
      </w:r>
    </w:p>
    <w:p w14:paraId="32566608" w14:textId="7F25664E" w:rsidR="00B80342" w:rsidRPr="00A10064" w:rsidRDefault="004D6DD7" w:rsidP="00B43B35">
      <w:pPr>
        <w:spacing w:line="360" w:lineRule="auto"/>
        <w:jc w:val="both"/>
        <w:rPr>
          <w:rFonts w:ascii="Times New Roman" w:hAnsi="Times New Roman" w:cs="Times New Roman"/>
        </w:rPr>
      </w:pPr>
      <w:r w:rsidRPr="00A10064">
        <w:rPr>
          <w:rFonts w:ascii="Times New Roman" w:hAnsi="Times New Roman" w:cs="Times New Roman"/>
        </w:rPr>
        <w:lastRenderedPageBreak/>
        <w:t xml:space="preserve"> Die transformierten Bakterien wurden bei 37 °C und 200 RPM über Nacht in 25 ml Lennox LB-Medium (Carl Roth) kultiviert. Die Isolierung der Plasmid-DNA erfolgte mit dem Qiagen Plasmid Midi Kit (Qiagen) nach Herstellerangaben (Protokoll5 online verfügbar). Das Prinzip der QIAGEN DNA-Aufreinigung beruht dabei auf einer speziellen alkalischen Lyse der Bakterien kombiniert mit einem Ionen Austausch (QIAGEN 2021). Hierbei wird die negativ geladene DNA an ein positiv geladenes Säulenmaterial wie </w:t>
      </w:r>
      <w:proofErr w:type="spellStart"/>
      <w:r w:rsidRPr="00A10064">
        <w:rPr>
          <w:rFonts w:ascii="Times New Roman" w:hAnsi="Times New Roman" w:cs="Times New Roman"/>
        </w:rPr>
        <w:t>Diethylaminoethyl</w:t>
      </w:r>
      <w:proofErr w:type="spellEnd"/>
      <w:r w:rsidRPr="00A10064">
        <w:rPr>
          <w:rFonts w:ascii="Times New Roman" w:hAnsi="Times New Roman" w:cs="Times New Roman"/>
        </w:rPr>
        <w:t xml:space="preserve"> (DEAE) Zellulose gebunden (Gautam 2022). Durch in Salzkonzentrationen variierende Puffer kann anschließend die gebundene DNA von Unreinheiten befreit und eluiert werden (</w:t>
      </w:r>
      <w:proofErr w:type="spellStart"/>
      <w:r w:rsidRPr="00A10064">
        <w:rPr>
          <w:rFonts w:ascii="Times New Roman" w:hAnsi="Times New Roman" w:cs="Times New Roman"/>
        </w:rPr>
        <w:t>Prazeres</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Schluep</w:t>
      </w:r>
      <w:proofErr w:type="spellEnd"/>
      <w:r w:rsidRPr="00A10064">
        <w:rPr>
          <w:rFonts w:ascii="Times New Roman" w:hAnsi="Times New Roman" w:cs="Times New Roman"/>
        </w:rPr>
        <w:t xml:space="preserve">, and </w:t>
      </w:r>
      <w:proofErr w:type="spellStart"/>
      <w:r w:rsidRPr="00A10064">
        <w:rPr>
          <w:rFonts w:ascii="Times New Roman" w:hAnsi="Times New Roman" w:cs="Times New Roman"/>
        </w:rPr>
        <w:t>Cooney</w:t>
      </w:r>
      <w:proofErr w:type="spellEnd"/>
      <w:r w:rsidRPr="00A10064">
        <w:rPr>
          <w:rFonts w:ascii="Times New Roman" w:hAnsi="Times New Roman" w:cs="Times New Roman"/>
        </w:rPr>
        <w:t xml:space="preserve"> 1998). Die Elution der DNA im letzten Schritt wurde mit 30 µl PCR-reinem Wasser durchgeführt. Eine anschließende Abschätzung der DNA-Konzentration erfolgte mit dem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8000 </w:t>
      </w:r>
      <w:proofErr w:type="spellStart"/>
      <w:r w:rsidRPr="00A10064">
        <w:rPr>
          <w:rFonts w:ascii="Times New Roman" w:hAnsi="Times New Roman" w:cs="Times New Roman"/>
        </w:rPr>
        <w:t>Spektrophotometer</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w:t>
      </w:r>
    </w:p>
    <w:p w14:paraId="2C5AB6B0" w14:textId="77777777" w:rsidR="004D6DD7" w:rsidRPr="00A10064" w:rsidRDefault="004D6DD7"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2.2.3 Sequenzierung der isolierten Plasmide </w:t>
      </w:r>
    </w:p>
    <w:p w14:paraId="648B04A2" w14:textId="26F030F3" w:rsidR="004D6DD7" w:rsidRPr="00A10064" w:rsidRDefault="004D6DD7" w:rsidP="00B43B35">
      <w:pPr>
        <w:spacing w:line="360" w:lineRule="auto"/>
        <w:jc w:val="both"/>
        <w:rPr>
          <w:rFonts w:ascii="Times New Roman" w:hAnsi="Times New Roman" w:cs="Times New Roman"/>
        </w:rPr>
      </w:pPr>
      <w:r w:rsidRPr="00A10064">
        <w:rPr>
          <w:rFonts w:ascii="Times New Roman" w:hAnsi="Times New Roman" w:cs="Times New Roman"/>
        </w:rPr>
        <w:t xml:space="preserve">Um die DNA-Sequenz des transformierten Plasmids zu überprüfen, wurde die isolierte Plasmid-DNA mittels Sequenzierung untersucht. Dabei wird der </w:t>
      </w:r>
      <w:proofErr w:type="spellStart"/>
      <w:r w:rsidRPr="00A10064">
        <w:rPr>
          <w:rFonts w:ascii="Times New Roman" w:hAnsi="Times New Roman" w:cs="Times New Roman"/>
        </w:rPr>
        <w:t>Plasmidabschnitt</w:t>
      </w:r>
      <w:proofErr w:type="spellEnd"/>
      <w:r w:rsidRPr="00A10064">
        <w:rPr>
          <w:rFonts w:ascii="Times New Roman" w:hAnsi="Times New Roman" w:cs="Times New Roman"/>
        </w:rPr>
        <w:t xml:space="preserve"> mit der Virussequenz über eine PCR amplifiziert und mittels der von Sanger, </w:t>
      </w:r>
      <w:proofErr w:type="spellStart"/>
      <w:r w:rsidRPr="00A10064">
        <w:rPr>
          <w:rFonts w:ascii="Times New Roman" w:hAnsi="Times New Roman" w:cs="Times New Roman"/>
        </w:rPr>
        <w:t>Nicklen</w:t>
      </w:r>
      <w:proofErr w:type="spellEnd"/>
      <w:r w:rsidRPr="00A10064">
        <w:rPr>
          <w:rFonts w:ascii="Times New Roman" w:hAnsi="Times New Roman" w:cs="Times New Roman"/>
        </w:rPr>
        <w:t xml:space="preserve">, and Coulson (1977) beschriebenen Kettenabbruchmethode mit fluoreszenzmarkierten </w:t>
      </w:r>
      <w:proofErr w:type="spellStart"/>
      <w:r w:rsidRPr="00A10064">
        <w:rPr>
          <w:rFonts w:ascii="Times New Roman" w:hAnsi="Times New Roman" w:cs="Times New Roman"/>
        </w:rPr>
        <w:t>Didesoxynucleotiden</w:t>
      </w:r>
      <w:proofErr w:type="spellEnd"/>
      <w:r w:rsidRPr="00A10064">
        <w:rPr>
          <w:rFonts w:ascii="Times New Roman" w:hAnsi="Times New Roman" w:cs="Times New Roman"/>
        </w:rPr>
        <w:t xml:space="preserve"> sequenziert (</w:t>
      </w:r>
      <w:proofErr w:type="spellStart"/>
      <w:r w:rsidRPr="00A10064">
        <w:rPr>
          <w:rFonts w:ascii="Times New Roman" w:hAnsi="Times New Roman" w:cs="Times New Roman"/>
        </w:rPr>
        <w:t>Mülhardt</w:t>
      </w:r>
      <w:proofErr w:type="spellEnd"/>
      <w:r w:rsidRPr="00A10064">
        <w:rPr>
          <w:rFonts w:ascii="Times New Roman" w:hAnsi="Times New Roman" w:cs="Times New Roman"/>
        </w:rPr>
        <w:t xml:space="preserve"> 2009). Als </w:t>
      </w:r>
      <w:proofErr w:type="gramStart"/>
      <w:r w:rsidRPr="00A10064">
        <w:rPr>
          <w:rFonts w:ascii="Times New Roman" w:hAnsi="Times New Roman" w:cs="Times New Roman"/>
        </w:rPr>
        <w:t>Primer</w:t>
      </w:r>
      <w:proofErr w:type="gramEnd"/>
      <w:r w:rsidRPr="00A10064">
        <w:rPr>
          <w:rFonts w:ascii="Times New Roman" w:hAnsi="Times New Roman" w:cs="Times New Roman"/>
        </w:rPr>
        <w:t xml:space="preserve"> für die aus Kapitel 2.2.2 extrahierte Plasmid-DNA wurde der Vorwärtsprimer M13 (5’-GTAAAACGACGGCCAG-3’) und der Rückwärtsprimer M13r (5’-CAGGAAACAGCTATGAC-3’) verwendet. Die Sequenzierung erfolgte bei der Firma </w:t>
      </w:r>
      <w:proofErr w:type="spellStart"/>
      <w:r w:rsidRPr="00A10064">
        <w:rPr>
          <w:rFonts w:ascii="Times New Roman" w:hAnsi="Times New Roman" w:cs="Times New Roman"/>
        </w:rPr>
        <w:t>Microsynth</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Seqlab</w:t>
      </w:r>
      <w:proofErr w:type="spellEnd"/>
      <w:r w:rsidRPr="00A10064">
        <w:rPr>
          <w:rFonts w:ascii="Times New Roman" w:hAnsi="Times New Roman" w:cs="Times New Roman"/>
        </w:rPr>
        <w:t xml:space="preserve"> GmbH.</w:t>
      </w:r>
    </w:p>
    <w:p w14:paraId="50E2E6A2" w14:textId="77777777" w:rsidR="00921A85" w:rsidRPr="00A10064" w:rsidRDefault="00921A85"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2.2.4 Restriktionsverdau und Linearisierung von Plasmiden </w:t>
      </w:r>
    </w:p>
    <w:p w14:paraId="7446CE93" w14:textId="2CC9F109" w:rsidR="00921A85" w:rsidRPr="00A10064" w:rsidRDefault="00921A85" w:rsidP="00B43B35">
      <w:pPr>
        <w:spacing w:line="360" w:lineRule="auto"/>
        <w:jc w:val="both"/>
        <w:rPr>
          <w:rFonts w:ascii="Times New Roman" w:hAnsi="Times New Roman" w:cs="Times New Roman"/>
        </w:rPr>
      </w:pPr>
      <w:r w:rsidRPr="00A10064">
        <w:rPr>
          <w:rFonts w:ascii="Times New Roman" w:hAnsi="Times New Roman" w:cs="Times New Roman"/>
        </w:rPr>
        <w:t xml:space="preserve">In Vorbereitung für eine in vitro Transkription zum Erstellen viraler RNA </w:t>
      </w:r>
      <w:proofErr w:type="gramStart"/>
      <w:r w:rsidRPr="00A10064">
        <w:rPr>
          <w:rFonts w:ascii="Times New Roman" w:hAnsi="Times New Roman" w:cs="Times New Roman"/>
        </w:rPr>
        <w:t>wurde</w:t>
      </w:r>
      <w:proofErr w:type="gramEnd"/>
      <w:r w:rsidRPr="00A10064">
        <w:rPr>
          <w:rFonts w:ascii="Times New Roman" w:hAnsi="Times New Roman" w:cs="Times New Roman"/>
        </w:rPr>
        <w:t xml:space="preserve"> die aus Kapitel 2.2.2 extrahierte Plasmid-DNA linearisiert. Dafür wurden </w:t>
      </w:r>
      <w:r w:rsidR="00DE08B5" w:rsidRPr="00A10064">
        <w:rPr>
          <w:rFonts w:ascii="Times New Roman" w:hAnsi="Times New Roman" w:cs="Times New Roman"/>
        </w:rPr>
        <w:t>Restriktion</w:t>
      </w:r>
      <w:r w:rsidR="00DE08B5">
        <w:rPr>
          <w:rFonts w:ascii="Times New Roman" w:hAnsi="Times New Roman" w:cs="Times New Roman"/>
        </w:rPr>
        <w:t>s-</w:t>
      </w:r>
      <w:r w:rsidRPr="00A10064">
        <w:rPr>
          <w:rFonts w:ascii="Times New Roman" w:hAnsi="Times New Roman" w:cs="Times New Roman"/>
        </w:rPr>
        <w:t xml:space="preserve">Endonukleasen benutzt, welche innerhalb von spezifischen Erkennungssequenzen die </w:t>
      </w:r>
      <w:r w:rsidR="007D2CF9">
        <w:rPr>
          <w:rFonts w:ascii="Times New Roman" w:hAnsi="Times New Roman" w:cs="Times New Roman"/>
        </w:rPr>
        <w:t>DNA-Doppelstrang</w:t>
      </w:r>
      <w:r w:rsidRPr="00A10064">
        <w:rPr>
          <w:rFonts w:ascii="Times New Roman" w:hAnsi="Times New Roman" w:cs="Times New Roman"/>
        </w:rPr>
        <w:t xml:space="preserve"> schneiden</w:t>
      </w:r>
      <w:r w:rsidR="007D2CF9">
        <w:rPr>
          <w:rFonts w:ascii="Times New Roman" w:hAnsi="Times New Roman" w:cs="Times New Roman"/>
        </w:rPr>
        <w:t xml:space="preserve"> </w:t>
      </w:r>
      <w:r w:rsidRPr="00A10064">
        <w:rPr>
          <w:rFonts w:ascii="Times New Roman" w:hAnsi="Times New Roman" w:cs="Times New Roman"/>
        </w:rPr>
        <w:t xml:space="preserve">(Smith, </w:t>
      </w:r>
      <w:proofErr w:type="spellStart"/>
      <w:r w:rsidRPr="00A10064">
        <w:rPr>
          <w:rFonts w:ascii="Times New Roman" w:hAnsi="Times New Roman" w:cs="Times New Roman"/>
        </w:rPr>
        <w:t>n.d</w:t>
      </w:r>
      <w:proofErr w:type="spellEnd"/>
      <w:r w:rsidRPr="00A10064">
        <w:rPr>
          <w:rFonts w:ascii="Times New Roman" w:hAnsi="Times New Roman" w:cs="Times New Roman"/>
        </w:rPr>
        <w:t xml:space="preserve">.). Für das Influenza B Plasmid (siehe Abbildung 7 im Anhang) wurde das Enzym </w:t>
      </w:r>
      <w:proofErr w:type="spellStart"/>
      <w:r w:rsidRPr="00A10064">
        <w:rPr>
          <w:rFonts w:ascii="Times New Roman" w:hAnsi="Times New Roman" w:cs="Times New Roman"/>
        </w:rPr>
        <w:t>SacI</w:t>
      </w:r>
      <w:proofErr w:type="spellEnd"/>
      <w:r w:rsidRPr="00A10064">
        <w:rPr>
          <w:rFonts w:ascii="Times New Roman" w:hAnsi="Times New Roman" w:cs="Times New Roman"/>
        </w:rPr>
        <w:t xml:space="preserve"> (Fast Digest,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Der Restriktionsverdau erfolgte in 30 µl einfach konzentriertem Fast Digest 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welcher mit 6 µl Enzym und 3 µl Plasmid-DNA versetzt wurde. Der Restriktionsansatz wurde für 30 min bei 37 °C im Wasserbad inkubiert und anschließend bei 65 °C für 5 min inaktiviert. Für die Influenza A Plasmide (siehe Abbildung 8 - 11 im Anhang) wurde das Enzym </w:t>
      </w:r>
      <w:proofErr w:type="spellStart"/>
      <w:r w:rsidRPr="00A10064">
        <w:rPr>
          <w:rFonts w:ascii="Times New Roman" w:hAnsi="Times New Roman" w:cs="Times New Roman"/>
        </w:rPr>
        <w:t>PshAI</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Der Restriktionsverdau erfolgte in 40 µl einfach konzentriertem Tango 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welcher mit 3 </w:t>
      </w:r>
      <w:r w:rsidRPr="00A10064">
        <w:rPr>
          <w:rFonts w:ascii="Cambria Math" w:hAnsi="Cambria Math" w:cs="Cambria Math"/>
        </w:rPr>
        <w:t>𝜇𝑔</w:t>
      </w:r>
      <w:r w:rsidRPr="00A10064">
        <w:rPr>
          <w:rFonts w:ascii="Times New Roman" w:hAnsi="Times New Roman" w:cs="Times New Roman"/>
        </w:rPr>
        <w:t xml:space="preserve"> Plasmid-DNA und 1,5 </w:t>
      </w:r>
      <w:r w:rsidRPr="00A10064">
        <w:rPr>
          <w:rFonts w:ascii="Cambria Math" w:hAnsi="Cambria Math" w:cs="Cambria Math"/>
        </w:rPr>
        <w:t>𝑈</w:t>
      </w:r>
      <w:r w:rsidRPr="00A10064">
        <w:rPr>
          <w:rFonts w:ascii="Times New Roman" w:hAnsi="Times New Roman" w:cs="Times New Roman"/>
        </w:rPr>
        <w:t>/</w:t>
      </w:r>
      <w:r w:rsidRPr="00A10064">
        <w:rPr>
          <w:rFonts w:ascii="Cambria Math" w:hAnsi="Cambria Math" w:cs="Cambria Math"/>
        </w:rPr>
        <w:t>𝜇𝑙</w:t>
      </w:r>
      <w:r w:rsidRPr="00A10064">
        <w:rPr>
          <w:rFonts w:ascii="Times New Roman" w:hAnsi="Times New Roman" w:cs="Times New Roman"/>
        </w:rPr>
        <w:t xml:space="preserve"> Enzym versetzt wurde. Der Restriktionsansatz wurde für 2 h im Wasserbad bei 37 °C inkubiert und anschließend bei 80 °C für 20 min im </w:t>
      </w:r>
      <w:proofErr w:type="spellStart"/>
      <w:r w:rsidRPr="00A10064">
        <w:rPr>
          <w:rFonts w:ascii="Times New Roman" w:hAnsi="Times New Roman" w:cs="Times New Roman"/>
        </w:rPr>
        <w:t>ThermoStat</w:t>
      </w:r>
      <w:proofErr w:type="spellEnd"/>
      <w:r w:rsidRPr="00A10064">
        <w:rPr>
          <w:rFonts w:ascii="Times New Roman" w:hAnsi="Times New Roman" w:cs="Times New Roman"/>
        </w:rPr>
        <w:t xml:space="preserve"> C (Eppendorf</w:t>
      </w:r>
      <w:proofErr w:type="gramStart"/>
      <w:r w:rsidRPr="00A10064">
        <w:rPr>
          <w:rFonts w:ascii="Times New Roman" w:hAnsi="Times New Roman" w:cs="Times New Roman"/>
        </w:rPr>
        <w:t>© )</w:t>
      </w:r>
      <w:proofErr w:type="gramEnd"/>
      <w:r w:rsidRPr="00A10064">
        <w:rPr>
          <w:rFonts w:ascii="Times New Roman" w:hAnsi="Times New Roman" w:cs="Times New Roman"/>
        </w:rPr>
        <w:t xml:space="preserve"> inaktiviert. Zur Überprüfung des </w:t>
      </w:r>
      <w:proofErr w:type="spellStart"/>
      <w:r w:rsidRPr="00A10064">
        <w:rPr>
          <w:rFonts w:ascii="Times New Roman" w:hAnsi="Times New Roman" w:cs="Times New Roman"/>
        </w:rPr>
        <w:t>Restriktionsverdaus</w:t>
      </w:r>
      <w:proofErr w:type="spellEnd"/>
      <w:r w:rsidRPr="00A10064">
        <w:rPr>
          <w:rFonts w:ascii="Times New Roman" w:hAnsi="Times New Roman" w:cs="Times New Roman"/>
        </w:rPr>
        <w:t xml:space="preserve"> wurde eine Agarose-Gelelektrophorese durchgeführt. Sie dient der Auftrennung von DNA-Fragmenten. Die negativ geladene DNA wandert durch das Anlegen einer Spannung durch ein gitterartiges Trägermaterial (Agarose</w:t>
      </w:r>
      <w:r w:rsidR="004840A9">
        <w:rPr>
          <w:rFonts w:ascii="Times New Roman" w:hAnsi="Times New Roman" w:cs="Times New Roman"/>
        </w:rPr>
        <w:t>-</w:t>
      </w:r>
      <w:r w:rsidRPr="00A10064">
        <w:rPr>
          <w:rFonts w:ascii="Times New Roman" w:hAnsi="Times New Roman" w:cs="Times New Roman"/>
        </w:rPr>
        <w:t xml:space="preserve">Gel) Richtung Anode. Dabei wandern kürzere DNA-Moleküle schneller durch das Trägermaterial als längere, wodurch DNA-Moleküle anhand ihrer Sequenzlänge aufgetrennt werden. Auch verschiedene </w:t>
      </w:r>
      <w:proofErr w:type="spellStart"/>
      <w:r w:rsidRPr="00A10064">
        <w:rPr>
          <w:rFonts w:ascii="Times New Roman" w:hAnsi="Times New Roman" w:cs="Times New Roman"/>
        </w:rPr>
        <w:t>Plasmidformen</w:t>
      </w:r>
      <w:proofErr w:type="spellEnd"/>
      <w:r w:rsidRPr="00A10064">
        <w:rPr>
          <w:rFonts w:ascii="Times New Roman" w:hAnsi="Times New Roman" w:cs="Times New Roman"/>
        </w:rPr>
        <w:t xml:space="preserve"> wie zirkuläre oder </w:t>
      </w:r>
      <w:proofErr w:type="spellStart"/>
      <w:r w:rsidRPr="00A10064">
        <w:rPr>
          <w:rFonts w:ascii="Times New Roman" w:hAnsi="Times New Roman" w:cs="Times New Roman"/>
        </w:rPr>
        <w:t>supercoilde</w:t>
      </w:r>
      <w:proofErr w:type="spellEnd"/>
      <w:r w:rsidRPr="00A10064">
        <w:rPr>
          <w:rFonts w:ascii="Times New Roman" w:hAnsi="Times New Roman" w:cs="Times New Roman"/>
        </w:rPr>
        <w:t xml:space="preserve"> Plasmide lassen </w:t>
      </w:r>
      <w:r w:rsidRPr="00A10064">
        <w:rPr>
          <w:rFonts w:ascii="Times New Roman" w:hAnsi="Times New Roman" w:cs="Times New Roman"/>
        </w:rPr>
        <w:lastRenderedPageBreak/>
        <w:t xml:space="preserve">sich so unterscheiden, </w:t>
      </w:r>
      <w:r w:rsidRPr="00E93363">
        <w:rPr>
          <w:rFonts w:ascii="Times New Roman" w:hAnsi="Times New Roman" w:cs="Times New Roman"/>
          <w:color w:val="FF0000"/>
        </w:rPr>
        <w:t xml:space="preserve">da die unterschiedlichen </w:t>
      </w:r>
      <w:r w:rsidR="001A2929" w:rsidRPr="00E93363">
        <w:rPr>
          <w:rFonts w:ascii="Times New Roman" w:hAnsi="Times New Roman" w:cs="Times New Roman"/>
          <w:color w:val="FF0000"/>
        </w:rPr>
        <w:t>Formen</w:t>
      </w:r>
      <w:r w:rsidRPr="00E93363">
        <w:rPr>
          <w:rFonts w:ascii="Times New Roman" w:hAnsi="Times New Roman" w:cs="Times New Roman"/>
          <w:color w:val="FF0000"/>
        </w:rPr>
        <w:t xml:space="preserve"> für geringere oder stärkere sterische Beeinträchtigung in der Gittermatrix sorgen.</w:t>
      </w:r>
      <w:r w:rsidRPr="00A10064">
        <w:rPr>
          <w:rFonts w:ascii="Times New Roman" w:hAnsi="Times New Roman" w:cs="Times New Roman"/>
        </w:rPr>
        <w:t xml:space="preserve"> Zur visuellen Detektion der DNA-Fragmente wird die aufgetrennte DNA durch einen Farbstoff markiert (</w:t>
      </w:r>
      <w:proofErr w:type="spellStart"/>
      <w:r w:rsidRPr="00A10064">
        <w:rPr>
          <w:rFonts w:ascii="Times New Roman" w:hAnsi="Times New Roman" w:cs="Times New Roman"/>
        </w:rPr>
        <w:t>Mülhardt</w:t>
      </w:r>
      <w:proofErr w:type="spellEnd"/>
      <w:r w:rsidRPr="00A10064">
        <w:rPr>
          <w:rFonts w:ascii="Times New Roman" w:hAnsi="Times New Roman" w:cs="Times New Roman"/>
        </w:rPr>
        <w:t xml:space="preserve"> 2009; Schmidt et al. 1999). Als Trägermaterial diente ein Agarosegel mit 1 % (w/v) Agarose in 1X TRIS-Borat-EDTA-Puffer (</w:t>
      </w:r>
      <w:proofErr w:type="spellStart"/>
      <w:r w:rsidRPr="00A10064">
        <w:rPr>
          <w:rFonts w:ascii="Times New Roman" w:hAnsi="Times New Roman" w:cs="Times New Roman"/>
        </w:rPr>
        <w:t>Roti</w:t>
      </w:r>
      <w:proofErr w:type="spellEnd"/>
      <w:r w:rsidRPr="00A10064">
        <w:rPr>
          <w:rFonts w:ascii="Times New Roman" w:hAnsi="Times New Roman" w:cs="Times New Roman"/>
        </w:rPr>
        <w:t xml:space="preserve">© fair, Carl Roth) versetzt mit 1,5 µl Green Gel DNA/RNA </w:t>
      </w:r>
      <w:proofErr w:type="spellStart"/>
      <w:r w:rsidRPr="00A10064">
        <w:rPr>
          <w:rFonts w:ascii="Times New Roman" w:hAnsi="Times New Roman" w:cs="Times New Roman"/>
        </w:rPr>
        <w:t>Stain</w:t>
      </w:r>
      <w:proofErr w:type="spellEnd"/>
      <w:r w:rsidRPr="00A10064">
        <w:rPr>
          <w:rFonts w:ascii="Times New Roman" w:hAnsi="Times New Roman" w:cs="Times New Roman"/>
        </w:rPr>
        <w:t xml:space="preserve"> (Bio &amp; Sell). Pro Geltasche wurden 100 </w:t>
      </w:r>
      <w:r w:rsidRPr="00A10064">
        <w:rPr>
          <w:rFonts w:ascii="Cambria Math" w:hAnsi="Cambria Math" w:cs="Cambria Math"/>
        </w:rPr>
        <w:t>𝑛𝑔</w:t>
      </w:r>
      <w:r w:rsidRPr="00A10064">
        <w:rPr>
          <w:rFonts w:ascii="Times New Roman" w:hAnsi="Times New Roman" w:cs="Times New Roman"/>
        </w:rPr>
        <w:t xml:space="preserve"> DNA-Material mit 1 µl 6x orange </w:t>
      </w:r>
      <w:proofErr w:type="spellStart"/>
      <w:r w:rsidRPr="00A10064">
        <w:rPr>
          <w:rFonts w:ascii="Times New Roman" w:hAnsi="Times New Roman" w:cs="Times New Roman"/>
        </w:rPr>
        <w:t>loading</w:t>
      </w:r>
      <w:proofErr w:type="spellEnd"/>
      <w:r w:rsidRPr="00A10064">
        <w:rPr>
          <w:rFonts w:ascii="Times New Roman" w:hAnsi="Times New Roman" w:cs="Times New Roman"/>
        </w:rPr>
        <w:t xml:space="preserve"> DYE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in einem finalen Volumen von 6 µl analysiert. Als Referenz wurden jeweils 3 µl einer 100bp plus DNA-Leiter (</w:t>
      </w:r>
      <w:proofErr w:type="spellStart"/>
      <w:r w:rsidRPr="00A10064">
        <w:rPr>
          <w:rFonts w:ascii="Times New Roman" w:hAnsi="Times New Roman" w:cs="Times New Roman"/>
        </w:rPr>
        <w:t>GeneRuler</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und einer 1 </w:t>
      </w:r>
      <w:proofErr w:type="spellStart"/>
      <w:r w:rsidRPr="00A10064">
        <w:rPr>
          <w:rFonts w:ascii="Times New Roman" w:hAnsi="Times New Roman" w:cs="Times New Roman"/>
        </w:rPr>
        <w:t>kb</w:t>
      </w:r>
      <w:proofErr w:type="spellEnd"/>
      <w:r w:rsidRPr="00A10064">
        <w:rPr>
          <w:rFonts w:ascii="Times New Roman" w:hAnsi="Times New Roman" w:cs="Times New Roman"/>
        </w:rPr>
        <w:t xml:space="preserve"> DNA-Leiter (</w:t>
      </w:r>
      <w:proofErr w:type="spellStart"/>
      <w:r w:rsidRPr="00A10064">
        <w:rPr>
          <w:rFonts w:ascii="Times New Roman" w:hAnsi="Times New Roman" w:cs="Times New Roman"/>
        </w:rPr>
        <w:t>PeqGOLD</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mitgeführt. Die angelegte Spannung betrug 80 V für 60 min. Nach der erfolgten Elektrophorese wurde das Gel unter UV-Licht mithilfe des </w:t>
      </w:r>
      <w:proofErr w:type="spellStart"/>
      <w:r w:rsidRPr="00A10064">
        <w:rPr>
          <w:rFonts w:ascii="Times New Roman" w:hAnsi="Times New Roman" w:cs="Times New Roman"/>
        </w:rPr>
        <w:t>Geldokumentationssytemes</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Biorad</w:t>
      </w:r>
      <w:proofErr w:type="spellEnd"/>
      <w:r w:rsidRPr="00A10064">
        <w:rPr>
          <w:rFonts w:ascii="Times New Roman" w:hAnsi="Times New Roman" w:cs="Times New Roman"/>
        </w:rPr>
        <w:t xml:space="preserve"> universal Hood II (Bio-Rad) ausgewertet.</w:t>
      </w:r>
    </w:p>
    <w:p w14:paraId="42BCF291" w14:textId="77777777" w:rsidR="00B05A1A" w:rsidRPr="00A10064" w:rsidRDefault="00B05A1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2.2.5 DNA-Aufreinigung des </w:t>
      </w:r>
      <w:proofErr w:type="spellStart"/>
      <w:r w:rsidRPr="00A10064">
        <w:rPr>
          <w:rFonts w:ascii="Times New Roman" w:hAnsi="Times New Roman" w:cs="Times New Roman"/>
          <w:b/>
        </w:rPr>
        <w:t>Restriktionsverdaus</w:t>
      </w:r>
      <w:proofErr w:type="spellEnd"/>
      <w:r w:rsidRPr="00A10064">
        <w:rPr>
          <w:rFonts w:ascii="Times New Roman" w:hAnsi="Times New Roman" w:cs="Times New Roman"/>
          <w:b/>
        </w:rPr>
        <w:t xml:space="preserve"> </w:t>
      </w:r>
    </w:p>
    <w:p w14:paraId="6AEB68B1" w14:textId="14FB7AB9" w:rsidR="00B80342" w:rsidRPr="00A10064" w:rsidRDefault="00B05A1A" w:rsidP="00B43B35">
      <w:pPr>
        <w:spacing w:line="360" w:lineRule="auto"/>
        <w:jc w:val="both"/>
        <w:rPr>
          <w:rFonts w:ascii="Times New Roman" w:hAnsi="Times New Roman" w:cs="Times New Roman"/>
        </w:rPr>
      </w:pPr>
      <w:r w:rsidRPr="00A10064">
        <w:rPr>
          <w:rFonts w:ascii="Times New Roman" w:hAnsi="Times New Roman" w:cs="Times New Roman"/>
        </w:rPr>
        <w:t xml:space="preserve">Um Puffer- und Enzymbestandteile aus dem fertigen Restriktionsansatz zu entfernen, wurde der Ansatz mithilfe des DNA clean &amp; </w:t>
      </w:r>
      <w:proofErr w:type="spellStart"/>
      <w:r w:rsidRPr="00A10064">
        <w:rPr>
          <w:rFonts w:ascii="Times New Roman" w:hAnsi="Times New Roman" w:cs="Times New Roman"/>
        </w:rPr>
        <w:t>concentrator</w:t>
      </w:r>
      <w:proofErr w:type="spellEnd"/>
      <w:r w:rsidRPr="00A10064">
        <w:rPr>
          <w:rFonts w:ascii="Times New Roman" w:hAnsi="Times New Roman" w:cs="Times New Roman"/>
        </w:rPr>
        <w:t xml:space="preserve"> Kit (</w:t>
      </w:r>
      <w:proofErr w:type="spellStart"/>
      <w:r w:rsidRPr="00A10064">
        <w:rPr>
          <w:rFonts w:ascii="Times New Roman" w:hAnsi="Times New Roman" w:cs="Times New Roman"/>
        </w:rPr>
        <w:t>Zymo</w:t>
      </w:r>
      <w:proofErr w:type="spellEnd"/>
      <w:r w:rsidRPr="00A10064">
        <w:rPr>
          <w:rFonts w:ascii="Times New Roman" w:hAnsi="Times New Roman" w:cs="Times New Roman"/>
        </w:rPr>
        <w:t xml:space="preserve"> Research) nach Herstellerangaben aufgereinigt (Protokoll6 online verfügbar). Die Elution im letzten Schritt des Herstellerprotokolls erfolgte mit 10 µl DNA </w:t>
      </w:r>
      <w:proofErr w:type="spellStart"/>
      <w:r w:rsidRPr="00A10064">
        <w:rPr>
          <w:rFonts w:ascii="Times New Roman" w:hAnsi="Times New Roman" w:cs="Times New Roman"/>
        </w:rPr>
        <w:t>Elutionspuffer</w:t>
      </w:r>
      <w:proofErr w:type="spellEnd"/>
      <w:r w:rsidRPr="00A10064">
        <w:rPr>
          <w:rFonts w:ascii="Times New Roman" w:hAnsi="Times New Roman" w:cs="Times New Roman"/>
        </w:rPr>
        <w:t xml:space="preserve">. Anschließend fand eine Abschätzung der DNA-Konzentration mit dem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8000 </w:t>
      </w:r>
      <w:proofErr w:type="spellStart"/>
      <w:r w:rsidRPr="00A10064">
        <w:rPr>
          <w:rFonts w:ascii="Times New Roman" w:hAnsi="Times New Roman" w:cs="Times New Roman"/>
        </w:rPr>
        <w:t>Spektrophotometer</w:t>
      </w:r>
      <w:proofErr w:type="spellEnd"/>
      <w:r w:rsidRPr="00A10064">
        <w:rPr>
          <w:rFonts w:ascii="Times New Roman" w:hAnsi="Times New Roman" w:cs="Times New Roman"/>
        </w:rPr>
        <w:t xml:space="preserve"> statt.</w:t>
      </w:r>
    </w:p>
    <w:p w14:paraId="4CEFB136" w14:textId="221F84EB" w:rsidR="00B05A1A" w:rsidRPr="00A10064" w:rsidRDefault="00B05A1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2.2.6 In Vitro </w:t>
      </w:r>
      <w:proofErr w:type="spellStart"/>
      <w:r w:rsidRPr="00A10064">
        <w:rPr>
          <w:rFonts w:ascii="Times New Roman" w:hAnsi="Times New Roman" w:cs="Times New Roman"/>
          <w:b/>
        </w:rPr>
        <w:t>Transktription</w:t>
      </w:r>
      <w:proofErr w:type="spellEnd"/>
      <w:r w:rsidRPr="00A10064">
        <w:rPr>
          <w:rFonts w:ascii="Times New Roman" w:hAnsi="Times New Roman" w:cs="Times New Roman"/>
          <w:b/>
        </w:rPr>
        <w:t xml:space="preserve"> zur Herstellung von viralen </w:t>
      </w:r>
      <w:r w:rsidR="007445B6" w:rsidRPr="00A10064">
        <w:rPr>
          <w:rFonts w:ascii="Times New Roman" w:hAnsi="Times New Roman" w:cs="Times New Roman"/>
          <w:b/>
        </w:rPr>
        <w:t>RNA-Standards</w:t>
      </w:r>
      <w:r w:rsidRPr="00A10064">
        <w:rPr>
          <w:rFonts w:ascii="Times New Roman" w:hAnsi="Times New Roman" w:cs="Times New Roman"/>
          <w:b/>
        </w:rPr>
        <w:t xml:space="preserve"> </w:t>
      </w:r>
    </w:p>
    <w:p w14:paraId="28A9CE7A" w14:textId="2F0AD3F8" w:rsidR="00B80342" w:rsidRPr="00A10064" w:rsidRDefault="00B05A1A" w:rsidP="00B43B35">
      <w:pPr>
        <w:spacing w:line="360" w:lineRule="auto"/>
        <w:jc w:val="both"/>
        <w:rPr>
          <w:rFonts w:ascii="Times New Roman" w:hAnsi="Times New Roman" w:cs="Times New Roman"/>
        </w:rPr>
      </w:pPr>
      <w:r w:rsidRPr="00A10064">
        <w:rPr>
          <w:rFonts w:ascii="Times New Roman" w:hAnsi="Times New Roman" w:cs="Times New Roman"/>
        </w:rPr>
        <w:t xml:space="preserve">Die in vitro Transkription erfolgte mit dem </w:t>
      </w:r>
      <w:proofErr w:type="spellStart"/>
      <w:r w:rsidRPr="00A10064">
        <w:rPr>
          <w:rFonts w:ascii="Times New Roman" w:hAnsi="Times New Roman" w:cs="Times New Roman"/>
        </w:rPr>
        <w:t>HiScribeTM</w:t>
      </w:r>
      <w:proofErr w:type="spellEnd"/>
      <w:r w:rsidRPr="00A10064">
        <w:rPr>
          <w:rFonts w:ascii="Times New Roman" w:hAnsi="Times New Roman" w:cs="Times New Roman"/>
        </w:rPr>
        <w:t xml:space="preserve"> T7 High </w:t>
      </w:r>
      <w:proofErr w:type="spellStart"/>
      <w:r w:rsidRPr="00A10064">
        <w:rPr>
          <w:rFonts w:ascii="Times New Roman" w:hAnsi="Times New Roman" w:cs="Times New Roman"/>
        </w:rPr>
        <w:t>Yield</w:t>
      </w:r>
      <w:proofErr w:type="spellEnd"/>
      <w:r w:rsidRPr="00A10064">
        <w:rPr>
          <w:rFonts w:ascii="Times New Roman" w:hAnsi="Times New Roman" w:cs="Times New Roman"/>
        </w:rPr>
        <w:t xml:space="preserve"> RNA Synthesis Kit (New England </w:t>
      </w:r>
      <w:proofErr w:type="spellStart"/>
      <w:r w:rsidRPr="00A10064">
        <w:rPr>
          <w:rFonts w:ascii="Times New Roman" w:hAnsi="Times New Roman" w:cs="Times New Roman"/>
        </w:rPr>
        <w:t>BioLabs</w:t>
      </w:r>
      <w:proofErr w:type="spellEnd"/>
      <w:r w:rsidRPr="00A10064">
        <w:rPr>
          <w:rFonts w:ascii="Times New Roman" w:hAnsi="Times New Roman" w:cs="Times New Roman"/>
        </w:rPr>
        <w:t xml:space="preserve">) nach Herstellerangaben (Protokoll7 online verfügbar). Pro Reaktion wurde 1 µg verdaute und </w:t>
      </w:r>
      <w:r w:rsidR="00254B62" w:rsidRPr="00A10064">
        <w:rPr>
          <w:rFonts w:ascii="Times New Roman" w:hAnsi="Times New Roman" w:cs="Times New Roman"/>
        </w:rPr>
        <w:t>gereinigte</w:t>
      </w:r>
      <w:r w:rsidRPr="00A10064">
        <w:rPr>
          <w:rFonts w:ascii="Times New Roman" w:hAnsi="Times New Roman" w:cs="Times New Roman"/>
        </w:rPr>
        <w:t xml:space="preserve"> DNA aus Kapitel 2.2.4 eingesetzt. Anschließend wurde die Reaktion für 2 h bei 37 °C im Wasserbad inkubiert. Um die Anfangs-DNA aus der RNA-Lösung zu </w:t>
      </w:r>
      <w:proofErr w:type="gramStart"/>
      <w:r w:rsidRPr="00A10064">
        <w:rPr>
          <w:rFonts w:ascii="Times New Roman" w:hAnsi="Times New Roman" w:cs="Times New Roman"/>
        </w:rPr>
        <w:t>entfernen</w:t>
      </w:r>
      <w:proofErr w:type="gramEnd"/>
      <w:r w:rsidRPr="00A10064">
        <w:rPr>
          <w:rFonts w:ascii="Times New Roman" w:hAnsi="Times New Roman" w:cs="Times New Roman"/>
        </w:rPr>
        <w:t xml:space="preserve"> wurde anschließend ein </w:t>
      </w:r>
      <w:proofErr w:type="spellStart"/>
      <w:r w:rsidRPr="00A10064">
        <w:rPr>
          <w:rFonts w:ascii="Times New Roman" w:hAnsi="Times New Roman" w:cs="Times New Roman"/>
        </w:rPr>
        <w:t>DNAse</w:t>
      </w:r>
      <w:proofErr w:type="spellEnd"/>
      <w:r w:rsidRPr="00A10064">
        <w:rPr>
          <w:rFonts w:ascii="Times New Roman" w:hAnsi="Times New Roman" w:cs="Times New Roman"/>
        </w:rPr>
        <w:t xml:space="preserve"> verdau</w:t>
      </w:r>
      <w:r w:rsidR="00366AC1" w:rsidRPr="00A10064">
        <w:rPr>
          <w:rFonts w:ascii="Times New Roman" w:hAnsi="Times New Roman" w:cs="Times New Roman"/>
        </w:rPr>
        <w:t xml:space="preserve"> durchgeführt. Dazu wurde der Mix mit 70 µl PCR-reinem Wasser verdünnt und 10 µl 10x </w:t>
      </w:r>
      <w:proofErr w:type="spellStart"/>
      <w:r w:rsidR="00366AC1" w:rsidRPr="00A10064">
        <w:rPr>
          <w:rFonts w:ascii="Times New Roman" w:hAnsi="Times New Roman" w:cs="Times New Roman"/>
        </w:rPr>
        <w:t>DNAse</w:t>
      </w:r>
      <w:proofErr w:type="spellEnd"/>
      <w:r w:rsidR="00366AC1" w:rsidRPr="00A10064">
        <w:rPr>
          <w:rFonts w:ascii="Times New Roman" w:hAnsi="Times New Roman" w:cs="Times New Roman"/>
        </w:rPr>
        <w:t xml:space="preserve">-Puffer (New England </w:t>
      </w:r>
      <w:proofErr w:type="spellStart"/>
      <w:r w:rsidR="00366AC1" w:rsidRPr="00A10064">
        <w:rPr>
          <w:rFonts w:ascii="Times New Roman" w:hAnsi="Times New Roman" w:cs="Times New Roman"/>
        </w:rPr>
        <w:t>Biolabs</w:t>
      </w:r>
      <w:proofErr w:type="spellEnd"/>
      <w:r w:rsidR="00366AC1" w:rsidRPr="00A10064">
        <w:rPr>
          <w:rFonts w:ascii="Times New Roman" w:hAnsi="Times New Roman" w:cs="Times New Roman"/>
        </w:rPr>
        <w:t xml:space="preserve">) dazugegeben. Die neu entstandene Reaktionslösung wurde mit 4 U </w:t>
      </w:r>
      <w:proofErr w:type="spellStart"/>
      <w:r w:rsidR="00366AC1" w:rsidRPr="00A10064">
        <w:rPr>
          <w:rFonts w:ascii="Times New Roman" w:hAnsi="Times New Roman" w:cs="Times New Roman"/>
        </w:rPr>
        <w:t>DNAse</w:t>
      </w:r>
      <w:proofErr w:type="spellEnd"/>
      <w:r w:rsidR="00366AC1" w:rsidRPr="00A10064">
        <w:rPr>
          <w:rFonts w:ascii="Times New Roman" w:hAnsi="Times New Roman" w:cs="Times New Roman"/>
        </w:rPr>
        <w:t xml:space="preserve"> (New England </w:t>
      </w:r>
      <w:proofErr w:type="spellStart"/>
      <w:r w:rsidR="00366AC1" w:rsidRPr="00A10064">
        <w:rPr>
          <w:rFonts w:ascii="Times New Roman" w:hAnsi="Times New Roman" w:cs="Times New Roman"/>
        </w:rPr>
        <w:t>Biolabs</w:t>
      </w:r>
      <w:proofErr w:type="spellEnd"/>
      <w:r w:rsidR="00366AC1" w:rsidRPr="00A10064">
        <w:rPr>
          <w:rFonts w:ascii="Times New Roman" w:hAnsi="Times New Roman" w:cs="Times New Roman"/>
        </w:rPr>
        <w:t xml:space="preserve">) versetzt und abermals bei 37 °C für 15 min inkubiert. Um Puffer- und Enzymbestandteile aus den vorherigen Arbeitsschritten zu entfernen und eine reine RNA-Lösung zu erhalten, wurde das </w:t>
      </w:r>
      <w:proofErr w:type="spellStart"/>
      <w:r w:rsidR="00366AC1" w:rsidRPr="00A10064">
        <w:rPr>
          <w:rFonts w:ascii="Times New Roman" w:hAnsi="Times New Roman" w:cs="Times New Roman"/>
        </w:rPr>
        <w:t>EchoCLEAN</w:t>
      </w:r>
      <w:proofErr w:type="spellEnd"/>
      <w:r w:rsidR="00366AC1" w:rsidRPr="00A10064">
        <w:rPr>
          <w:rFonts w:ascii="Times New Roman" w:hAnsi="Times New Roman" w:cs="Times New Roman"/>
        </w:rPr>
        <w:t xml:space="preserve"> RNA </w:t>
      </w:r>
      <w:proofErr w:type="spellStart"/>
      <w:r w:rsidR="00366AC1" w:rsidRPr="00A10064">
        <w:rPr>
          <w:rFonts w:ascii="Times New Roman" w:hAnsi="Times New Roman" w:cs="Times New Roman"/>
        </w:rPr>
        <w:t>CleanUp</w:t>
      </w:r>
      <w:proofErr w:type="spellEnd"/>
      <w:r w:rsidR="00366AC1" w:rsidRPr="00A10064">
        <w:rPr>
          <w:rFonts w:ascii="Times New Roman" w:hAnsi="Times New Roman" w:cs="Times New Roman"/>
        </w:rPr>
        <w:t xml:space="preserve"> Kit (</w:t>
      </w:r>
      <w:proofErr w:type="spellStart"/>
      <w:r w:rsidR="00366AC1" w:rsidRPr="00A10064">
        <w:rPr>
          <w:rFonts w:ascii="Times New Roman" w:hAnsi="Times New Roman" w:cs="Times New Roman"/>
        </w:rPr>
        <w:t>BioEcho</w:t>
      </w:r>
      <w:proofErr w:type="spellEnd"/>
      <w:r w:rsidR="00366AC1" w:rsidRPr="00A10064">
        <w:rPr>
          <w:rFonts w:ascii="Times New Roman" w:hAnsi="Times New Roman" w:cs="Times New Roman"/>
        </w:rPr>
        <w:t xml:space="preserve"> Life Sciences GmbH) nach Herstellerangaben durchgeführt (Protokoll8 online verfügbar). Das Prinzip der RNA-</w:t>
      </w:r>
      <w:proofErr w:type="spellStart"/>
      <w:r w:rsidR="00366AC1" w:rsidRPr="00A10064">
        <w:rPr>
          <w:rFonts w:ascii="Times New Roman" w:hAnsi="Times New Roman" w:cs="Times New Roman"/>
        </w:rPr>
        <w:t>Aufreinigungsmethode</w:t>
      </w:r>
      <w:proofErr w:type="spellEnd"/>
      <w:r w:rsidR="00366AC1" w:rsidRPr="00A10064">
        <w:rPr>
          <w:rFonts w:ascii="Times New Roman" w:hAnsi="Times New Roman" w:cs="Times New Roman"/>
        </w:rPr>
        <w:t xml:space="preserve"> von </w:t>
      </w:r>
      <w:proofErr w:type="spellStart"/>
      <w:r w:rsidR="00366AC1" w:rsidRPr="00A10064">
        <w:rPr>
          <w:rFonts w:ascii="Times New Roman" w:hAnsi="Times New Roman" w:cs="Times New Roman"/>
        </w:rPr>
        <w:t>BioEcho</w:t>
      </w:r>
      <w:proofErr w:type="spellEnd"/>
      <w:r w:rsidR="00366AC1" w:rsidRPr="00A10064">
        <w:rPr>
          <w:rFonts w:ascii="Times New Roman" w:hAnsi="Times New Roman" w:cs="Times New Roman"/>
        </w:rPr>
        <w:t xml:space="preserve"> basiert dabei auf einer Matrix, welche durchlässig für Nukleinsäuren ist, jedoch andere Verunreinigungen bindet (</w:t>
      </w:r>
      <w:proofErr w:type="spellStart"/>
      <w:r w:rsidR="00366AC1" w:rsidRPr="00A10064">
        <w:rPr>
          <w:rFonts w:ascii="Times New Roman" w:hAnsi="Times New Roman" w:cs="Times New Roman"/>
        </w:rPr>
        <w:t>BioEcho</w:t>
      </w:r>
      <w:proofErr w:type="spellEnd"/>
      <w:r w:rsidR="00366AC1" w:rsidRPr="00A10064">
        <w:rPr>
          <w:rFonts w:ascii="Times New Roman" w:hAnsi="Times New Roman" w:cs="Times New Roman"/>
        </w:rPr>
        <w:t xml:space="preserve"> 2022).</w:t>
      </w:r>
    </w:p>
    <w:p w14:paraId="2286420E" w14:textId="2A3F79AC" w:rsidR="00314DAA" w:rsidRPr="00A10064" w:rsidRDefault="00314DA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2.2.7 </w:t>
      </w:r>
      <w:proofErr w:type="spellStart"/>
      <w:r w:rsidRPr="00A10064">
        <w:rPr>
          <w:rFonts w:ascii="Times New Roman" w:hAnsi="Times New Roman" w:cs="Times New Roman"/>
          <w:b/>
        </w:rPr>
        <w:t>Ribogreen</w:t>
      </w:r>
      <w:proofErr w:type="spellEnd"/>
      <w:r w:rsidRPr="00A10064">
        <w:rPr>
          <w:rFonts w:ascii="Times New Roman" w:hAnsi="Times New Roman" w:cs="Times New Roman"/>
          <w:b/>
        </w:rPr>
        <w:t xml:space="preserve"> Assay zur </w:t>
      </w:r>
      <w:r w:rsidR="00E209EC" w:rsidRPr="00A10064">
        <w:rPr>
          <w:rFonts w:ascii="Times New Roman" w:hAnsi="Times New Roman" w:cs="Times New Roman"/>
          <w:b/>
        </w:rPr>
        <w:t>Quantifizierung</w:t>
      </w:r>
      <w:r w:rsidRPr="00A10064">
        <w:rPr>
          <w:rFonts w:ascii="Times New Roman" w:hAnsi="Times New Roman" w:cs="Times New Roman"/>
          <w:b/>
        </w:rPr>
        <w:t xml:space="preserve"> von RNA </w:t>
      </w:r>
    </w:p>
    <w:p w14:paraId="4F370437" w14:textId="26092A9A" w:rsidR="00314DAA" w:rsidRPr="00A10064" w:rsidRDefault="00314DAA" w:rsidP="00B43B35">
      <w:pPr>
        <w:spacing w:line="360" w:lineRule="auto"/>
        <w:jc w:val="both"/>
        <w:rPr>
          <w:rFonts w:ascii="Times New Roman" w:hAnsi="Times New Roman" w:cs="Times New Roman"/>
        </w:rPr>
      </w:pPr>
      <w:r w:rsidRPr="00A10064">
        <w:rPr>
          <w:rFonts w:ascii="Times New Roman" w:hAnsi="Times New Roman" w:cs="Times New Roman"/>
        </w:rPr>
        <w:t>Zur präzisen RNA-Konzentrationsbestimmung wurde das Quant-</w:t>
      </w:r>
      <w:proofErr w:type="spellStart"/>
      <w:r w:rsidRPr="00A10064">
        <w:rPr>
          <w:rFonts w:ascii="Times New Roman" w:hAnsi="Times New Roman" w:cs="Times New Roman"/>
        </w:rPr>
        <w:t>iT</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RiboGreen</w:t>
      </w:r>
      <w:proofErr w:type="spellEnd"/>
      <w:r w:rsidRPr="00A10064">
        <w:rPr>
          <w:rFonts w:ascii="Times New Roman" w:hAnsi="Times New Roman" w:cs="Times New Roman"/>
        </w:rPr>
        <w:t xml:space="preserve"> RNA-Kit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Das Prinzip des Kits basiert dabei auf der Bindung eines gleichnamigen Fluoreszenzfarbstoffes an die RNA. Durch die Bindung erhöht sich die Fluoreszenz des Farbstoffes um das 1000-Fache wodurch eine sensitive Detektion von bis zu 1 </w:t>
      </w:r>
      <w:r w:rsidRPr="00A10064">
        <w:rPr>
          <w:rFonts w:ascii="Cambria Math" w:hAnsi="Cambria Math" w:cs="Cambria Math"/>
        </w:rPr>
        <w:t>𝑛𝑔</w:t>
      </w:r>
      <w:r w:rsidRPr="00A10064">
        <w:rPr>
          <w:rFonts w:ascii="Times New Roman" w:hAnsi="Times New Roman" w:cs="Times New Roman"/>
        </w:rPr>
        <w:t>/</w:t>
      </w:r>
      <w:r w:rsidRPr="00A10064">
        <w:rPr>
          <w:rFonts w:ascii="Cambria Math" w:hAnsi="Cambria Math" w:cs="Cambria Math"/>
        </w:rPr>
        <w:t>𝑚𝑙</w:t>
      </w:r>
      <w:r w:rsidRPr="00A10064">
        <w:rPr>
          <w:rFonts w:ascii="Times New Roman" w:hAnsi="Times New Roman" w:cs="Times New Roman"/>
        </w:rPr>
        <w:t xml:space="preserve"> RNA möglich wird (Jones et al. 1998). Vor der RNA</w:t>
      </w:r>
      <w:r w:rsidR="007B6B7C" w:rsidRPr="00A10064">
        <w:rPr>
          <w:rFonts w:ascii="Times New Roman" w:hAnsi="Times New Roman" w:cs="Times New Roman"/>
        </w:rPr>
        <w:t>-</w:t>
      </w:r>
      <w:r w:rsidRPr="00A10064">
        <w:rPr>
          <w:rFonts w:ascii="Times New Roman" w:hAnsi="Times New Roman" w:cs="Times New Roman"/>
        </w:rPr>
        <w:t>Konzentrationsbestimmung wurde</w:t>
      </w:r>
      <w:r w:rsidRPr="00A10064">
        <w:rPr>
          <w:rFonts w:ascii="Times New Roman" w:hAnsi="Times New Roman" w:cs="Times New Roman"/>
          <w:color w:val="FF0000"/>
        </w:rPr>
        <w:t xml:space="preserve"> </w:t>
      </w:r>
      <w:r w:rsidRPr="00A10064">
        <w:rPr>
          <w:rFonts w:ascii="Times New Roman" w:hAnsi="Times New Roman" w:cs="Times New Roman"/>
        </w:rPr>
        <w:t xml:space="preserve">eine Kalibriergerade im “High-Range” Bereich </w:t>
      </w:r>
      <w:r w:rsidRPr="00A10064">
        <w:rPr>
          <w:rFonts w:ascii="Times New Roman" w:hAnsi="Times New Roman" w:cs="Times New Roman"/>
        </w:rPr>
        <w:lastRenderedPageBreak/>
        <w:t xml:space="preserve">erstellt. Dazu wurden mit dem im Kit enthaltenen RNA-Standard 5 Kalibrierlösungen im Bereich zwischen 2000 </w:t>
      </w:r>
      <w:proofErr w:type="spellStart"/>
      <w:r w:rsidRPr="00A10064">
        <w:rPr>
          <w:rFonts w:ascii="Times New Roman" w:hAnsi="Times New Roman" w:cs="Times New Roman"/>
        </w:rPr>
        <w:t>ng</w:t>
      </w:r>
      <w:proofErr w:type="spellEnd"/>
      <w:r w:rsidRPr="00A10064">
        <w:rPr>
          <w:rFonts w:ascii="Times New Roman" w:hAnsi="Times New Roman" w:cs="Times New Roman"/>
        </w:rPr>
        <w:t xml:space="preserve">/ml und 50 </w:t>
      </w:r>
      <w:proofErr w:type="spellStart"/>
      <w:r w:rsidRPr="00A10064">
        <w:rPr>
          <w:rFonts w:ascii="Times New Roman" w:hAnsi="Times New Roman" w:cs="Times New Roman"/>
        </w:rPr>
        <w:t>ng</w:t>
      </w:r>
      <w:proofErr w:type="spellEnd"/>
      <w:r w:rsidRPr="00A10064">
        <w:rPr>
          <w:rFonts w:ascii="Times New Roman" w:hAnsi="Times New Roman" w:cs="Times New Roman"/>
        </w:rPr>
        <w:t>/ml mit 1X TE-Puffer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hergestellt. Die zu messende RNA-Probe wurde vor der Messung mit 1X TE-Puffer auf eine in der Kalibriergerade liegende Konzentration verdünnt. Jede Messlösung der Kalibriergerade sowie zu bestimmende RNA-Lösung wurde 1:1 mit einer Farblösung (</w:t>
      </w:r>
      <w:proofErr w:type="spellStart"/>
      <w:r w:rsidRPr="00A10064">
        <w:rPr>
          <w:rFonts w:ascii="Times New Roman" w:hAnsi="Times New Roman" w:cs="Times New Roman"/>
        </w:rPr>
        <w:t>RiboGreen</w:t>
      </w:r>
      <w:proofErr w:type="spellEnd"/>
      <w:r w:rsidRPr="00A10064">
        <w:rPr>
          <w:rFonts w:ascii="Times New Roman" w:hAnsi="Times New Roman" w:cs="Times New Roman"/>
        </w:rPr>
        <w:t xml:space="preserve"> 1:200 mit 1X TE-Puffer verdünnt) gemischt. Diese wurde homogenisiert, für 2 min auf Eis im Dunklen gelagert und anschließend abermals gemischt.</w:t>
      </w:r>
      <w:r w:rsidR="00527ACA" w:rsidRPr="00A10064">
        <w:rPr>
          <w:rFonts w:ascii="Times New Roman" w:hAnsi="Times New Roman" w:cs="Times New Roman"/>
        </w:rPr>
        <w:t xml:space="preserve"> </w:t>
      </w:r>
      <w:r w:rsidRPr="00A10064">
        <w:rPr>
          <w:rFonts w:ascii="Times New Roman" w:hAnsi="Times New Roman" w:cs="Times New Roman"/>
        </w:rPr>
        <w:t xml:space="preserve">Die anschließende Fluoreszenzmessung erfolgte im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3300 Fluoreszenzspektrometer bei 525 nm.</w:t>
      </w:r>
    </w:p>
    <w:p w14:paraId="289D8DC9" w14:textId="22C17448" w:rsidR="00527ACA" w:rsidRPr="00A10064" w:rsidRDefault="00527ACA" w:rsidP="00B43B35">
      <w:pPr>
        <w:spacing w:line="360" w:lineRule="auto"/>
        <w:jc w:val="both"/>
        <w:rPr>
          <w:rFonts w:ascii="Times New Roman" w:hAnsi="Times New Roman" w:cs="Times New Roman"/>
          <w:b/>
          <w:color w:val="FF0000"/>
        </w:rPr>
      </w:pPr>
      <w:r w:rsidRPr="00A10064">
        <w:rPr>
          <w:rFonts w:ascii="Times New Roman" w:hAnsi="Times New Roman" w:cs="Times New Roman"/>
          <w:b/>
          <w:color w:val="FF0000"/>
        </w:rPr>
        <w:t xml:space="preserve">2.2.8 Isolation von viraler RNA aus </w:t>
      </w:r>
      <w:proofErr w:type="spellStart"/>
      <w:r w:rsidRPr="00A10064">
        <w:rPr>
          <w:rFonts w:ascii="Times New Roman" w:hAnsi="Times New Roman" w:cs="Times New Roman"/>
          <w:b/>
          <w:color w:val="FF0000"/>
        </w:rPr>
        <w:t>Nasopharyngeal</w:t>
      </w:r>
      <w:proofErr w:type="spellEnd"/>
      <w:r w:rsidR="007D2CF9" w:rsidRPr="007D2CF9">
        <w:rPr>
          <w:rFonts w:ascii="Times New Roman" w:hAnsi="Times New Roman" w:cs="Times New Roman"/>
          <w:b/>
          <w:color w:val="FF0000"/>
        </w:rPr>
        <w:t>-Abstrichen</w:t>
      </w:r>
    </w:p>
    <w:p w14:paraId="6EC8E3E0" w14:textId="31B9311A" w:rsidR="00527ACA" w:rsidRPr="00A10064" w:rsidRDefault="00527ACA" w:rsidP="00B43B35">
      <w:pPr>
        <w:spacing w:line="360" w:lineRule="auto"/>
        <w:jc w:val="both"/>
        <w:rPr>
          <w:rFonts w:ascii="Times New Roman" w:hAnsi="Times New Roman" w:cs="Times New Roman"/>
        </w:rPr>
      </w:pPr>
      <w:r w:rsidRPr="00A10064">
        <w:rPr>
          <w:rFonts w:ascii="Times New Roman" w:hAnsi="Times New Roman" w:cs="Times New Roman"/>
        </w:rPr>
        <w:t xml:space="preserve">Für die Erstellung einer klinischen Kontrollprobe wurden von gesunden Mitarbeitern der Arbeitsgruppe </w:t>
      </w:r>
      <w:proofErr w:type="spellStart"/>
      <w:r w:rsidRPr="00A10064">
        <w:rPr>
          <w:rFonts w:ascii="Times New Roman" w:hAnsi="Times New Roman" w:cs="Times New Roman"/>
        </w:rPr>
        <w:t>Nasopharyngeal</w:t>
      </w:r>
      <w:proofErr w:type="spellEnd"/>
      <w:r w:rsidRPr="00A10064">
        <w:rPr>
          <w:rFonts w:ascii="Times New Roman" w:hAnsi="Times New Roman" w:cs="Times New Roman"/>
        </w:rPr>
        <w:t xml:space="preserve">-Abstriche entnommen und die RNA mithilfe des </w:t>
      </w:r>
      <w:proofErr w:type="spellStart"/>
      <w:r w:rsidRPr="00A10064">
        <w:rPr>
          <w:rFonts w:ascii="Times New Roman" w:hAnsi="Times New Roman" w:cs="Times New Roman"/>
        </w:rPr>
        <w:t>QiAamp</w:t>
      </w:r>
      <w:proofErr w:type="spellEnd"/>
      <w:r w:rsidRPr="00A10064">
        <w:rPr>
          <w:rFonts w:ascii="Times New Roman" w:hAnsi="Times New Roman" w:cs="Times New Roman"/>
        </w:rPr>
        <w:t xml:space="preserve"> Viral RNA Mini Kits (Qiagen) nach Herstellerangaben isoliert. In die erhaltenen Extrakte wurde in einem 1:10 Verhältnis entsprechende Virus Standard RNA zugegeben.</w:t>
      </w:r>
    </w:p>
    <w:p w14:paraId="233CE5B2" w14:textId="77777777" w:rsidR="00FB3695" w:rsidRPr="00A10064" w:rsidRDefault="00FB3695" w:rsidP="00B43B35">
      <w:pPr>
        <w:spacing w:line="360" w:lineRule="auto"/>
        <w:jc w:val="both"/>
        <w:rPr>
          <w:rFonts w:ascii="Times New Roman" w:hAnsi="Times New Roman" w:cs="Times New Roman"/>
          <w:b/>
        </w:rPr>
      </w:pPr>
      <w:r w:rsidRPr="00A10064">
        <w:rPr>
          <w:rFonts w:ascii="Times New Roman" w:hAnsi="Times New Roman" w:cs="Times New Roman"/>
          <w:b/>
        </w:rPr>
        <w:t xml:space="preserve">2.3 Nukleinsäure Amplifikation 2.3.1 Real Time Polymerase Kettenreaktion </w:t>
      </w:r>
    </w:p>
    <w:p w14:paraId="0F2AC1D7" w14:textId="0737C41B" w:rsidR="00B80342" w:rsidRPr="00A10064" w:rsidRDefault="00FB3695" w:rsidP="00B43B35">
      <w:pPr>
        <w:spacing w:line="360" w:lineRule="auto"/>
        <w:jc w:val="both"/>
        <w:rPr>
          <w:rFonts w:ascii="Times New Roman" w:hAnsi="Times New Roman" w:cs="Times New Roman"/>
        </w:rPr>
      </w:pPr>
      <w:r w:rsidRPr="00A10064">
        <w:rPr>
          <w:rFonts w:ascii="Times New Roman" w:hAnsi="Times New Roman" w:cs="Times New Roman"/>
        </w:rPr>
        <w:t xml:space="preserve">Die Amplifikation von viralen Nukleinsäuren mittels PCR wurde </w:t>
      </w:r>
      <w:proofErr w:type="gramStart"/>
      <w:r w:rsidRPr="00A10064">
        <w:rPr>
          <w:rFonts w:ascii="Times New Roman" w:hAnsi="Times New Roman" w:cs="Times New Roman"/>
        </w:rPr>
        <w:t>mit dem Luna</w:t>
      </w:r>
      <w:proofErr w:type="gramEnd"/>
      <w:r w:rsidRPr="00A10064">
        <w:rPr>
          <w:rFonts w:ascii="Times New Roman" w:hAnsi="Times New Roman" w:cs="Times New Roman"/>
        </w:rPr>
        <w:t xml:space="preserve">© Universal Probe </w:t>
      </w:r>
      <w:proofErr w:type="spellStart"/>
      <w:r w:rsidRPr="00A10064">
        <w:rPr>
          <w:rFonts w:ascii="Times New Roman" w:hAnsi="Times New Roman" w:cs="Times New Roman"/>
        </w:rPr>
        <w:t>One-Step</w:t>
      </w:r>
      <w:proofErr w:type="spellEnd"/>
      <w:r w:rsidRPr="00A10064">
        <w:rPr>
          <w:rFonts w:ascii="Times New Roman" w:hAnsi="Times New Roman" w:cs="Times New Roman"/>
        </w:rPr>
        <w:t xml:space="preserve"> RT-qPCR Kit durchgeführt. Pro Reaktion wurden 19 µl Reaktionsmix (siehe Tabelle 3) mit 1 µl Virus-RNA versetzt. Für den in Tabelle 3 angegebenen Primer-Sonden-Mix (PSM) wurden je nach Detektionssystem die für Influenza A (siehe Tabelle 4) bzw. Influenza B (siehe Tabelle 5) beschriebenen Primer und Sonden verwendet (</w:t>
      </w:r>
      <w:proofErr w:type="spellStart"/>
      <w:r w:rsidRPr="00A10064">
        <w:rPr>
          <w:rFonts w:ascii="Times New Roman" w:hAnsi="Times New Roman" w:cs="Times New Roman"/>
        </w:rPr>
        <w:t>Immunization</w:t>
      </w:r>
      <w:proofErr w:type="spellEnd"/>
      <w:r w:rsidRPr="00A10064">
        <w:rPr>
          <w:rFonts w:ascii="Times New Roman" w:hAnsi="Times New Roman" w:cs="Times New Roman"/>
        </w:rPr>
        <w:t xml:space="preserve"> and (U.S.) 2021). Die finalen 20 µl Reaktionsmix wurden nach dem in Tabelle 6 angegebenen Temperaturprotokoll im </w:t>
      </w:r>
      <w:proofErr w:type="spellStart"/>
      <w:r w:rsidRPr="00A10064">
        <w:rPr>
          <w:rFonts w:ascii="Times New Roman" w:hAnsi="Times New Roman" w:cs="Times New Roman"/>
        </w:rPr>
        <w:t>LightCycler</w:t>
      </w:r>
      <w:proofErr w:type="spellEnd"/>
      <w:r w:rsidRPr="00A10064">
        <w:rPr>
          <w:rFonts w:ascii="Times New Roman" w:hAnsi="Times New Roman" w:cs="Times New Roman"/>
        </w:rPr>
        <w:t xml:space="preserve">© 480 (Roche Holding) gemessen. Für das </w:t>
      </w:r>
      <w:proofErr w:type="spellStart"/>
      <w:r w:rsidRPr="00A10064">
        <w:rPr>
          <w:rFonts w:ascii="Times New Roman" w:hAnsi="Times New Roman" w:cs="Times New Roman"/>
        </w:rPr>
        <w:t>Hexachlorofluorescein</w:t>
      </w:r>
      <w:proofErr w:type="spellEnd"/>
      <w:r w:rsidRPr="00A10064">
        <w:rPr>
          <w:rFonts w:ascii="Times New Roman" w:hAnsi="Times New Roman" w:cs="Times New Roman"/>
        </w:rPr>
        <w:t xml:space="preserve"> (HEX) Fluorophor wurde im Wellenlängenbereich von ……. gemessen. Die Erfassung des </w:t>
      </w:r>
      <w:proofErr w:type="spellStart"/>
      <w:r w:rsidRPr="00A10064">
        <w:rPr>
          <w:rFonts w:ascii="Times New Roman" w:hAnsi="Times New Roman" w:cs="Times New Roman"/>
        </w:rPr>
        <w:t>Cyanine</w:t>
      </w:r>
      <w:proofErr w:type="spellEnd"/>
      <w:r w:rsidRPr="00A10064">
        <w:rPr>
          <w:rFonts w:ascii="Times New Roman" w:hAnsi="Times New Roman" w:cs="Times New Roman"/>
        </w:rPr>
        <w:t xml:space="preserve"> 5 (Cy5) Fluorophors erfolgte im Wellenlängenbereich von</w:t>
      </w:r>
      <w:proofErr w:type="gramStart"/>
      <w:r w:rsidRPr="00A10064">
        <w:rPr>
          <w:rFonts w:ascii="Times New Roman" w:hAnsi="Times New Roman" w:cs="Times New Roman"/>
        </w:rPr>
        <w:t xml:space="preserve"> ….</w:t>
      </w:r>
      <w:proofErr w:type="gramEnd"/>
      <w:r w:rsidRPr="00A10064">
        <w:rPr>
          <w:rFonts w:ascii="Times New Roman" w:hAnsi="Times New Roman" w:cs="Times New Roman"/>
        </w:rPr>
        <w:t>. Die Auswertung der Daten ist in Kapitel 2.1.3 beschrieben.</w:t>
      </w:r>
    </w:p>
    <w:p w14:paraId="1616071F" w14:textId="77777777" w:rsidR="00017EE7" w:rsidRPr="00CD3343" w:rsidRDefault="00A56237" w:rsidP="00B43B35">
      <w:pPr>
        <w:spacing w:line="360" w:lineRule="auto"/>
        <w:jc w:val="both"/>
        <w:rPr>
          <w:rFonts w:ascii="Times New Roman" w:hAnsi="Times New Roman" w:cs="Times New Roman"/>
          <w:b/>
        </w:rPr>
      </w:pPr>
      <w:r>
        <w:rPr>
          <w:noProof/>
        </w:rPr>
        <w:lastRenderedPageBreak/>
        <w:drawing>
          <wp:inline distT="0" distB="0" distL="0" distR="0" wp14:anchorId="66650134" wp14:editId="43BE3978">
            <wp:extent cx="5760720" cy="175895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stretch>
                      <a:fillRect/>
                    </a:stretch>
                  </pic:blipFill>
                  <pic:spPr>
                    <a:xfrm>
                      <a:off x="0" y="0"/>
                      <a:ext cx="5760720" cy="1758950"/>
                    </a:xfrm>
                    <a:prstGeom prst="rect">
                      <a:avLst/>
                    </a:prstGeom>
                  </pic:spPr>
                </pic:pic>
              </a:graphicData>
            </a:graphic>
          </wp:inline>
        </w:drawing>
      </w:r>
      <w:r w:rsidR="00F40159">
        <w:rPr>
          <w:noProof/>
        </w:rPr>
        <w:drawing>
          <wp:inline distT="0" distB="0" distL="0" distR="0" wp14:anchorId="419BE50F" wp14:editId="510EB6E1">
            <wp:extent cx="5760720" cy="1457325"/>
            <wp:effectExtent l="0" t="0" r="0" b="952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stretch>
                      <a:fillRect/>
                    </a:stretch>
                  </pic:blipFill>
                  <pic:spPr>
                    <a:xfrm>
                      <a:off x="0" y="0"/>
                      <a:ext cx="5760720" cy="1457325"/>
                    </a:xfrm>
                    <a:prstGeom prst="rect">
                      <a:avLst/>
                    </a:prstGeom>
                  </pic:spPr>
                </pic:pic>
              </a:graphicData>
            </a:graphic>
          </wp:inline>
        </w:drawing>
      </w:r>
      <w:r w:rsidR="00F77AE0">
        <w:rPr>
          <w:noProof/>
        </w:rPr>
        <w:drawing>
          <wp:inline distT="0" distB="0" distL="0" distR="0" wp14:anchorId="19CC5197" wp14:editId="0268649B">
            <wp:extent cx="5760720" cy="1270000"/>
            <wp:effectExtent l="0" t="0" r="0" b="635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1270000"/>
                    </a:xfrm>
                    <a:prstGeom prst="rect">
                      <a:avLst/>
                    </a:prstGeom>
                  </pic:spPr>
                </pic:pic>
              </a:graphicData>
            </a:graphic>
          </wp:inline>
        </w:drawing>
      </w:r>
      <w:r w:rsidR="00F77AE0">
        <w:rPr>
          <w:noProof/>
        </w:rPr>
        <w:drawing>
          <wp:inline distT="0" distB="0" distL="0" distR="0" wp14:anchorId="69F9E949" wp14:editId="4638AF62">
            <wp:extent cx="5760720" cy="2169795"/>
            <wp:effectExtent l="0" t="0" r="0" b="190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6"/>
                    <a:stretch>
                      <a:fillRect/>
                    </a:stretch>
                  </pic:blipFill>
                  <pic:spPr>
                    <a:xfrm>
                      <a:off x="0" y="0"/>
                      <a:ext cx="5760720" cy="2169795"/>
                    </a:xfrm>
                    <a:prstGeom prst="rect">
                      <a:avLst/>
                    </a:prstGeom>
                  </pic:spPr>
                </pic:pic>
              </a:graphicData>
            </a:graphic>
          </wp:inline>
        </w:drawing>
      </w:r>
      <w:r w:rsidR="00017EE7" w:rsidRPr="00CD3343">
        <w:rPr>
          <w:rFonts w:ascii="Times New Roman" w:hAnsi="Times New Roman" w:cs="Times New Roman"/>
          <w:b/>
        </w:rPr>
        <w:t xml:space="preserve">2.3.2 </w:t>
      </w:r>
      <w:proofErr w:type="spellStart"/>
      <w:r w:rsidR="00017EE7" w:rsidRPr="00CD3343">
        <w:rPr>
          <w:rFonts w:ascii="Times New Roman" w:hAnsi="Times New Roman" w:cs="Times New Roman"/>
          <w:b/>
        </w:rPr>
        <w:t>Rekombinase</w:t>
      </w:r>
      <w:proofErr w:type="spellEnd"/>
      <w:r w:rsidR="00017EE7" w:rsidRPr="00CD3343">
        <w:rPr>
          <w:rFonts w:ascii="Times New Roman" w:hAnsi="Times New Roman" w:cs="Times New Roman"/>
          <w:b/>
        </w:rPr>
        <w:t xml:space="preserve"> Polymerase Amplifikation </w:t>
      </w:r>
    </w:p>
    <w:p w14:paraId="561C656B" w14:textId="77777777" w:rsidR="00017EE7" w:rsidRPr="00CD3343" w:rsidRDefault="00017EE7" w:rsidP="00B43B35">
      <w:pPr>
        <w:spacing w:line="360" w:lineRule="auto"/>
        <w:jc w:val="both"/>
        <w:rPr>
          <w:rFonts w:ascii="Times New Roman" w:hAnsi="Times New Roman" w:cs="Times New Roman"/>
          <w:b/>
        </w:rPr>
      </w:pPr>
      <w:r w:rsidRPr="00CD3343">
        <w:rPr>
          <w:rFonts w:ascii="Times New Roman" w:hAnsi="Times New Roman" w:cs="Times New Roman"/>
          <w:b/>
        </w:rPr>
        <w:t xml:space="preserve">2.3.2.1 </w:t>
      </w:r>
      <w:proofErr w:type="spellStart"/>
      <w:r w:rsidRPr="00CD3343">
        <w:rPr>
          <w:rFonts w:ascii="Times New Roman" w:hAnsi="Times New Roman" w:cs="Times New Roman"/>
          <w:b/>
        </w:rPr>
        <w:t>Nukleinsäureamplifikation</w:t>
      </w:r>
      <w:proofErr w:type="spellEnd"/>
      <w:r w:rsidRPr="00CD3343">
        <w:rPr>
          <w:rFonts w:ascii="Times New Roman" w:hAnsi="Times New Roman" w:cs="Times New Roman"/>
          <w:b/>
        </w:rPr>
        <w:t xml:space="preserve"> im 50 µl Ansatz</w:t>
      </w:r>
    </w:p>
    <w:p w14:paraId="4C587A0D" w14:textId="3934EA9B" w:rsidR="00FB3695" w:rsidRPr="00CD3343" w:rsidRDefault="00017EE7" w:rsidP="00B43B35">
      <w:pPr>
        <w:spacing w:line="360" w:lineRule="auto"/>
        <w:jc w:val="both"/>
        <w:rPr>
          <w:rFonts w:ascii="Times New Roman" w:hAnsi="Times New Roman" w:cs="Times New Roman"/>
        </w:rPr>
      </w:pPr>
      <w:r w:rsidRPr="00CD3343">
        <w:rPr>
          <w:rFonts w:ascii="Times New Roman" w:hAnsi="Times New Roman" w:cs="Times New Roman"/>
        </w:rPr>
        <w:t xml:space="preserve">Für die Amplifikation von Nukleinsäuren mittels RPA wurde das </w:t>
      </w:r>
      <w:proofErr w:type="spellStart"/>
      <w:r w:rsidRPr="00CD3343">
        <w:rPr>
          <w:rFonts w:ascii="Times New Roman" w:hAnsi="Times New Roman" w:cs="Times New Roman"/>
        </w:rPr>
        <w:t>TwistAmp</w:t>
      </w:r>
      <w:proofErr w:type="spellEnd"/>
      <w:r w:rsidRPr="00CD3343">
        <w:rPr>
          <w:rFonts w:ascii="Times New Roman" w:hAnsi="Times New Roman" w:cs="Times New Roman"/>
        </w:rPr>
        <w:t xml:space="preserve">© </w:t>
      </w:r>
      <w:proofErr w:type="spellStart"/>
      <w:r w:rsidRPr="00CD3343">
        <w:rPr>
          <w:rFonts w:ascii="Times New Roman" w:hAnsi="Times New Roman" w:cs="Times New Roman"/>
        </w:rPr>
        <w:t>exo</w:t>
      </w:r>
      <w:proofErr w:type="spellEnd"/>
      <w:r w:rsidRPr="00CD3343">
        <w:rPr>
          <w:rFonts w:ascii="Times New Roman" w:hAnsi="Times New Roman" w:cs="Times New Roman"/>
        </w:rPr>
        <w:t xml:space="preserve"> Kit (</w:t>
      </w:r>
      <w:proofErr w:type="spellStart"/>
      <w:r w:rsidRPr="00CD3343">
        <w:rPr>
          <w:rFonts w:ascii="Times New Roman" w:hAnsi="Times New Roman" w:cs="Times New Roman"/>
        </w:rPr>
        <w:t>TwistDX</w:t>
      </w:r>
      <w:proofErr w:type="spellEnd"/>
      <w:r w:rsidRPr="00CD3343">
        <w:rPr>
          <w:rFonts w:ascii="Times New Roman" w:hAnsi="Times New Roman" w:cs="Times New Roman"/>
        </w:rPr>
        <w:t xml:space="preserve">™) verwendet. Die für die RPA verwendeten Oligonukleotide sind in Tabelle 7 angegeben. Pro Reaktion wurde 46,5 µl </w:t>
      </w:r>
      <w:proofErr w:type="spellStart"/>
      <w:r w:rsidRPr="00CD3343">
        <w:rPr>
          <w:rFonts w:ascii="Times New Roman" w:hAnsi="Times New Roman" w:cs="Times New Roman"/>
        </w:rPr>
        <w:t>Rehydrationsmix</w:t>
      </w:r>
      <w:proofErr w:type="spellEnd"/>
      <w:r w:rsidRPr="00CD3343">
        <w:rPr>
          <w:rFonts w:ascii="Times New Roman" w:hAnsi="Times New Roman" w:cs="Times New Roman"/>
        </w:rPr>
        <w:t xml:space="preserve"> (Zusammensetzung siehe Tab. 8) hergestellt und auf das </w:t>
      </w:r>
      <w:proofErr w:type="spellStart"/>
      <w:r w:rsidRPr="00CD3343">
        <w:rPr>
          <w:rFonts w:ascii="Times New Roman" w:hAnsi="Times New Roman" w:cs="Times New Roman"/>
        </w:rPr>
        <w:t>lyophilisiert</w:t>
      </w:r>
      <w:proofErr w:type="spellEnd"/>
      <w:r w:rsidRPr="00CD3343">
        <w:rPr>
          <w:rFonts w:ascii="Times New Roman" w:hAnsi="Times New Roman" w:cs="Times New Roman"/>
        </w:rPr>
        <w:t xml:space="preserve"> RPA-Enzympellet übertragen, um es zu </w:t>
      </w:r>
      <w:proofErr w:type="spellStart"/>
      <w:r w:rsidR="00E4740A">
        <w:rPr>
          <w:rFonts w:ascii="Times New Roman" w:hAnsi="Times New Roman" w:cs="Times New Roman"/>
        </w:rPr>
        <w:t>re</w:t>
      </w:r>
      <w:r w:rsidR="00E4740A" w:rsidRPr="00CD3343">
        <w:rPr>
          <w:rFonts w:ascii="Times New Roman" w:hAnsi="Times New Roman" w:cs="Times New Roman"/>
        </w:rPr>
        <w:t>suspendieren</w:t>
      </w:r>
      <w:proofErr w:type="spellEnd"/>
      <w:r w:rsidRPr="00CD3343">
        <w:rPr>
          <w:rFonts w:ascii="Times New Roman" w:hAnsi="Times New Roman" w:cs="Times New Roman"/>
        </w:rPr>
        <w:t xml:space="preserve">. Die Lösung wurde für ca. 2 min bei Raumtemperatur inkubiert und anschließend gut gemischt. Die </w:t>
      </w:r>
      <w:proofErr w:type="spellStart"/>
      <w:r w:rsidRPr="00CD3343">
        <w:rPr>
          <w:rFonts w:ascii="Times New Roman" w:hAnsi="Times New Roman" w:cs="Times New Roman"/>
        </w:rPr>
        <w:t>resuspendierte</w:t>
      </w:r>
      <w:proofErr w:type="spellEnd"/>
      <w:r w:rsidRPr="00CD3343">
        <w:rPr>
          <w:rFonts w:ascii="Times New Roman" w:hAnsi="Times New Roman" w:cs="Times New Roman"/>
        </w:rPr>
        <w:t xml:space="preserve"> RPA-Reaktion (46,5 µl) wurden in eine Kavität eines 8-ter Messstreifens (Carl Roth) übertragen und dieser kurz zentrifugiert. </w:t>
      </w:r>
      <w:r w:rsidRPr="00CD3343">
        <w:rPr>
          <w:rFonts w:ascii="Times New Roman" w:hAnsi="Times New Roman" w:cs="Times New Roman"/>
        </w:rPr>
        <w:lastRenderedPageBreak/>
        <w:t xml:space="preserve">Nachfolgend wurde 1 µl zu amplifizierende Virus RNA bzw. 1 µl PCR reines H2O (Negativkontrolle) zum Reaktionsmix gegeben, sowie 2,5 µl Magnesium Acetat (280 </w:t>
      </w:r>
      <w:proofErr w:type="spellStart"/>
      <w:r w:rsidRPr="00CD3343">
        <w:rPr>
          <w:rFonts w:ascii="Times New Roman" w:hAnsi="Times New Roman" w:cs="Times New Roman"/>
        </w:rPr>
        <w:t>mM</w:t>
      </w:r>
      <w:proofErr w:type="spellEnd"/>
      <w:r w:rsidRPr="00CD3343">
        <w:rPr>
          <w:rFonts w:ascii="Times New Roman" w:hAnsi="Times New Roman" w:cs="Times New Roman"/>
        </w:rPr>
        <w:t xml:space="preserve">) in den Deckel der Kavität pipettiert. Zum Start der Reaktion wurde der Messstreifen kurz zentrifugiert und homogenisiert, um das Magnesium Acetat in den Reaktionsmix einzubringen. Die Messung erfolgte nach einer </w:t>
      </w:r>
      <w:proofErr w:type="gramStart"/>
      <w:r w:rsidRPr="00CD3343">
        <w:rPr>
          <w:rFonts w:ascii="Times New Roman" w:hAnsi="Times New Roman" w:cs="Times New Roman"/>
        </w:rPr>
        <w:t>ein minütigen</w:t>
      </w:r>
      <w:proofErr w:type="gramEnd"/>
      <w:r w:rsidRPr="00CD3343">
        <w:rPr>
          <w:rFonts w:ascii="Times New Roman" w:hAnsi="Times New Roman" w:cs="Times New Roman"/>
        </w:rPr>
        <w:t xml:space="preserve"> </w:t>
      </w:r>
      <w:proofErr w:type="spellStart"/>
      <w:r w:rsidRPr="00CD3343">
        <w:rPr>
          <w:rFonts w:ascii="Times New Roman" w:hAnsi="Times New Roman" w:cs="Times New Roman"/>
        </w:rPr>
        <w:t>Equilibrationszeit</w:t>
      </w:r>
      <w:proofErr w:type="spellEnd"/>
      <w:r w:rsidRPr="00CD3343">
        <w:rPr>
          <w:rFonts w:ascii="Times New Roman" w:hAnsi="Times New Roman" w:cs="Times New Roman"/>
        </w:rPr>
        <w:t xml:space="preserve"> im </w:t>
      </w:r>
      <w:proofErr w:type="spellStart"/>
      <w:r w:rsidRPr="00CD3343">
        <w:rPr>
          <w:rFonts w:ascii="Times New Roman" w:hAnsi="Times New Roman" w:cs="Times New Roman"/>
        </w:rPr>
        <w:t>ESEQuant</w:t>
      </w:r>
      <w:proofErr w:type="spellEnd"/>
      <w:r w:rsidRPr="00CD3343">
        <w:rPr>
          <w:rFonts w:ascii="Times New Roman" w:hAnsi="Times New Roman" w:cs="Times New Roman"/>
        </w:rPr>
        <w:t xml:space="preserve"> TS2.4 (Qiagen) bei 38-42 °C. Je nach Versuch wurde die Messung für ein zusätzliches Mischen unterbrochen.</w:t>
      </w:r>
    </w:p>
    <w:p w14:paraId="6BE70289" w14:textId="5DC1B3DB" w:rsidR="00BD7F04" w:rsidRDefault="00BD7F04" w:rsidP="00B43B35">
      <w:pPr>
        <w:spacing w:line="360" w:lineRule="auto"/>
      </w:pPr>
      <w:r>
        <w:rPr>
          <w:noProof/>
        </w:rPr>
        <w:drawing>
          <wp:inline distT="0" distB="0" distL="0" distR="0" wp14:anchorId="02E21314" wp14:editId="59D2B0CB">
            <wp:extent cx="5760720" cy="170116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a:stretch>
                      <a:fillRect/>
                    </a:stretch>
                  </pic:blipFill>
                  <pic:spPr>
                    <a:xfrm>
                      <a:off x="0" y="0"/>
                      <a:ext cx="5760720" cy="1701165"/>
                    </a:xfrm>
                    <a:prstGeom prst="rect">
                      <a:avLst/>
                    </a:prstGeom>
                  </pic:spPr>
                </pic:pic>
              </a:graphicData>
            </a:graphic>
          </wp:inline>
        </w:drawing>
      </w:r>
      <w:r w:rsidR="0092270A">
        <w:rPr>
          <w:noProof/>
        </w:rPr>
        <w:drawing>
          <wp:inline distT="0" distB="0" distL="0" distR="0" wp14:anchorId="6B1DB132" wp14:editId="089C3BB9">
            <wp:extent cx="5760720" cy="202057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stretch>
                      <a:fillRect/>
                    </a:stretch>
                  </pic:blipFill>
                  <pic:spPr>
                    <a:xfrm>
                      <a:off x="0" y="0"/>
                      <a:ext cx="5760720" cy="2020570"/>
                    </a:xfrm>
                    <a:prstGeom prst="rect">
                      <a:avLst/>
                    </a:prstGeom>
                  </pic:spPr>
                </pic:pic>
              </a:graphicData>
            </a:graphic>
          </wp:inline>
        </w:drawing>
      </w:r>
    </w:p>
    <w:p w14:paraId="632CD6EF" w14:textId="45FF151B" w:rsidR="00CD04B3" w:rsidRPr="00CD3343" w:rsidRDefault="00CD04B3" w:rsidP="00B43B35">
      <w:pPr>
        <w:spacing w:line="360" w:lineRule="auto"/>
        <w:jc w:val="both"/>
        <w:rPr>
          <w:rFonts w:ascii="Times New Roman" w:hAnsi="Times New Roman" w:cs="Times New Roman"/>
          <w:b/>
        </w:rPr>
      </w:pPr>
      <w:r w:rsidRPr="00CD04B3">
        <w:rPr>
          <w:b/>
        </w:rPr>
        <w:t>2</w:t>
      </w:r>
      <w:r w:rsidRPr="00CD3343">
        <w:rPr>
          <w:rFonts w:ascii="Times New Roman" w:hAnsi="Times New Roman" w:cs="Times New Roman"/>
          <w:b/>
        </w:rPr>
        <w:t xml:space="preserve">.3.2.2 </w:t>
      </w:r>
      <w:proofErr w:type="spellStart"/>
      <w:r w:rsidR="00735A4F" w:rsidRPr="00CD3343">
        <w:rPr>
          <w:rFonts w:ascii="Times New Roman" w:hAnsi="Times New Roman" w:cs="Times New Roman"/>
          <w:b/>
        </w:rPr>
        <w:t>Nukleinsäureamplifikation</w:t>
      </w:r>
      <w:proofErr w:type="spellEnd"/>
      <w:r w:rsidRPr="00CD3343">
        <w:rPr>
          <w:rFonts w:ascii="Times New Roman" w:hAnsi="Times New Roman" w:cs="Times New Roman"/>
          <w:b/>
        </w:rPr>
        <w:t xml:space="preserve"> im 8-tel Ansatz</w:t>
      </w:r>
    </w:p>
    <w:p w14:paraId="57E5EC0F" w14:textId="6512FBF6" w:rsidR="00CD04B3" w:rsidRPr="00CD3343" w:rsidRDefault="00CD04B3" w:rsidP="00B43B35">
      <w:pPr>
        <w:spacing w:line="360" w:lineRule="auto"/>
        <w:jc w:val="both"/>
        <w:rPr>
          <w:rFonts w:ascii="Times New Roman" w:hAnsi="Times New Roman" w:cs="Times New Roman"/>
        </w:rPr>
      </w:pPr>
      <w:r w:rsidRPr="00CD3343">
        <w:rPr>
          <w:rFonts w:ascii="Times New Roman" w:hAnsi="Times New Roman" w:cs="Times New Roman"/>
        </w:rPr>
        <w:t xml:space="preserve"> kurze Einleitung, dass die RPA auch im 8tel Ansatz geht. (kommt darauf an, was ich in der Einleitung/theoretischem Hintergrund dazu schreibe) </w:t>
      </w:r>
    </w:p>
    <w:p w14:paraId="18EC50AE" w14:textId="22684D2C" w:rsidR="0092270A" w:rsidRPr="00CD3343" w:rsidRDefault="00CD04B3" w:rsidP="00B43B35">
      <w:pPr>
        <w:spacing w:line="360" w:lineRule="auto"/>
        <w:jc w:val="both"/>
        <w:rPr>
          <w:rFonts w:ascii="Times New Roman" w:hAnsi="Times New Roman" w:cs="Times New Roman"/>
        </w:rPr>
      </w:pPr>
      <w:r w:rsidRPr="00CD3343">
        <w:rPr>
          <w:rFonts w:ascii="Times New Roman" w:hAnsi="Times New Roman" w:cs="Times New Roman"/>
        </w:rPr>
        <w:t xml:space="preserve">Für 8 Reaktionen wurde insgesamt 40,8 µl </w:t>
      </w:r>
      <w:proofErr w:type="spellStart"/>
      <w:r w:rsidRPr="00CD3343">
        <w:rPr>
          <w:rFonts w:ascii="Times New Roman" w:hAnsi="Times New Roman" w:cs="Times New Roman"/>
        </w:rPr>
        <w:t>Rehydrationsmix</w:t>
      </w:r>
      <w:proofErr w:type="spellEnd"/>
      <w:r w:rsidRPr="00CD3343">
        <w:rPr>
          <w:rFonts w:ascii="Times New Roman" w:hAnsi="Times New Roman" w:cs="Times New Roman"/>
        </w:rPr>
        <w:t xml:space="preserve"> (Zusammensetzung siehe Tab. 9) hergestellt und auf das </w:t>
      </w:r>
      <w:proofErr w:type="spellStart"/>
      <w:r w:rsidRPr="00CD3343">
        <w:rPr>
          <w:rFonts w:ascii="Times New Roman" w:hAnsi="Times New Roman" w:cs="Times New Roman"/>
        </w:rPr>
        <w:t>lyophilisiert</w:t>
      </w:r>
      <w:proofErr w:type="spellEnd"/>
      <w:r w:rsidRPr="00CD3343">
        <w:rPr>
          <w:rFonts w:ascii="Times New Roman" w:hAnsi="Times New Roman" w:cs="Times New Roman"/>
        </w:rPr>
        <w:t xml:space="preserve"> RPA-Enzympellet übertragen, um es zu </w:t>
      </w:r>
      <w:proofErr w:type="spellStart"/>
      <w:r w:rsidRPr="00CD3343">
        <w:rPr>
          <w:rFonts w:ascii="Times New Roman" w:hAnsi="Times New Roman" w:cs="Times New Roman"/>
        </w:rPr>
        <w:t>resuspendieren</w:t>
      </w:r>
      <w:proofErr w:type="spellEnd"/>
      <w:r w:rsidRPr="00CD3343">
        <w:rPr>
          <w:rFonts w:ascii="Times New Roman" w:hAnsi="Times New Roman" w:cs="Times New Roman"/>
        </w:rPr>
        <w:t xml:space="preserve">. Die Zusammensetzung des in Tabelle 9 aufgeführten 50X </w:t>
      </w:r>
      <w:proofErr w:type="spellStart"/>
      <w:proofErr w:type="gramStart"/>
      <w:r w:rsidRPr="00CD3343">
        <w:rPr>
          <w:rFonts w:ascii="Times New Roman" w:hAnsi="Times New Roman" w:cs="Times New Roman"/>
        </w:rPr>
        <w:t>PSM´s</w:t>
      </w:r>
      <w:proofErr w:type="spellEnd"/>
      <w:proofErr w:type="gramEnd"/>
      <w:r w:rsidRPr="00CD3343">
        <w:rPr>
          <w:rFonts w:ascii="Times New Roman" w:hAnsi="Times New Roman" w:cs="Times New Roman"/>
        </w:rPr>
        <w:t xml:space="preserve"> ist in Tabelle 10 gezeigt. Die Lösung wurde für ca. 2 min bei Raumtemperatur inkubiert und anschließend gut gemischt. Die </w:t>
      </w:r>
      <w:proofErr w:type="spellStart"/>
      <w:r w:rsidRPr="00CD3343">
        <w:rPr>
          <w:rFonts w:ascii="Times New Roman" w:hAnsi="Times New Roman" w:cs="Times New Roman"/>
        </w:rPr>
        <w:t>resuspendierte</w:t>
      </w:r>
      <w:proofErr w:type="spellEnd"/>
      <w:r w:rsidRPr="00CD3343">
        <w:rPr>
          <w:rFonts w:ascii="Times New Roman" w:hAnsi="Times New Roman" w:cs="Times New Roman"/>
        </w:rPr>
        <w:t xml:space="preserve"> RPA-Reaktion wurden auf einen 8-ter Messstreifens </w:t>
      </w:r>
      <w:r w:rsidR="00FE4EBF" w:rsidRPr="00CD3343">
        <w:rPr>
          <w:rFonts w:ascii="Times New Roman" w:hAnsi="Times New Roman" w:cs="Times New Roman"/>
        </w:rPr>
        <w:t>aufgeteilt</w:t>
      </w:r>
      <w:r w:rsidRPr="00CD3343">
        <w:rPr>
          <w:rFonts w:ascii="Times New Roman" w:hAnsi="Times New Roman" w:cs="Times New Roman"/>
        </w:rPr>
        <w:t xml:space="preserve"> (4,8 µl pro Kavität) und dieser kurz zentrifugiert. Nachfolgend wurden jeweils pro Kavität 1 µl zu amplifizierende Virus RNA bzw. 1µl PCR reines H2O (Negativkontrolle) zum Reaktionsmix gegeben. Darauffolgend wurden 15 µl Mineralöl Hersteller, welches die Evaporation des Reaktionsmixes während der Messung verhindert, in den Deckel jeder Kavität pipettiert. Als Letztes wurden 0,64 µl Magnesium Acetat (140mM) an die Innenseite der Kavität pipettiert. Zum Start der Messung wurde der Messstreifen kurz zentrifugiert und </w:t>
      </w:r>
      <w:proofErr w:type="gramStart"/>
      <w:r w:rsidRPr="00CD3343">
        <w:rPr>
          <w:rFonts w:ascii="Times New Roman" w:hAnsi="Times New Roman" w:cs="Times New Roman"/>
        </w:rPr>
        <w:t>homogenisiert</w:t>
      </w:r>
      <w:proofErr w:type="gramEnd"/>
      <w:r w:rsidRPr="00CD3343">
        <w:rPr>
          <w:rFonts w:ascii="Times New Roman" w:hAnsi="Times New Roman" w:cs="Times New Roman"/>
        </w:rPr>
        <w:t xml:space="preserve"> um das Magnesium und das Mineralöl in den Reaktionsmix einzubringen. Es folgte eine </w:t>
      </w:r>
      <w:r w:rsidRPr="00CD3343">
        <w:rPr>
          <w:rFonts w:ascii="Times New Roman" w:hAnsi="Times New Roman" w:cs="Times New Roman"/>
        </w:rPr>
        <w:lastRenderedPageBreak/>
        <w:t xml:space="preserve">erneute </w:t>
      </w:r>
      <w:r w:rsidR="00FE4EBF" w:rsidRPr="00CD3343">
        <w:rPr>
          <w:rFonts w:ascii="Times New Roman" w:hAnsi="Times New Roman" w:cs="Times New Roman"/>
        </w:rPr>
        <w:t>Zentrifugation,</w:t>
      </w:r>
      <w:r w:rsidRPr="00CD3343">
        <w:rPr>
          <w:rFonts w:ascii="Times New Roman" w:hAnsi="Times New Roman" w:cs="Times New Roman"/>
        </w:rPr>
        <w:t xml:space="preserve"> um die Öl-Phase von der wässrigen Phase zu trennen. Die Messung erfolgte nach einer </w:t>
      </w:r>
      <w:r w:rsidR="007879A1" w:rsidRPr="00CD3343">
        <w:rPr>
          <w:rFonts w:ascii="Times New Roman" w:hAnsi="Times New Roman" w:cs="Times New Roman"/>
        </w:rPr>
        <w:t>einminütigen</w:t>
      </w:r>
      <w:r w:rsidRPr="00CD3343">
        <w:rPr>
          <w:rFonts w:ascii="Times New Roman" w:hAnsi="Times New Roman" w:cs="Times New Roman"/>
        </w:rPr>
        <w:t xml:space="preserve"> </w:t>
      </w:r>
      <w:proofErr w:type="spellStart"/>
      <w:r w:rsidRPr="00CD3343">
        <w:rPr>
          <w:rFonts w:ascii="Times New Roman" w:hAnsi="Times New Roman" w:cs="Times New Roman"/>
        </w:rPr>
        <w:t>Equilibrationszeit</w:t>
      </w:r>
      <w:proofErr w:type="spellEnd"/>
      <w:r w:rsidRPr="00CD3343">
        <w:rPr>
          <w:rFonts w:ascii="Times New Roman" w:hAnsi="Times New Roman" w:cs="Times New Roman"/>
        </w:rPr>
        <w:t xml:space="preserve"> im </w:t>
      </w:r>
      <w:proofErr w:type="spellStart"/>
      <w:r w:rsidRPr="00CD3343">
        <w:rPr>
          <w:rFonts w:ascii="Times New Roman" w:hAnsi="Times New Roman" w:cs="Times New Roman"/>
        </w:rPr>
        <w:t>ESEQuant</w:t>
      </w:r>
      <w:proofErr w:type="spellEnd"/>
      <w:r w:rsidRPr="00CD3343">
        <w:rPr>
          <w:rFonts w:ascii="Times New Roman" w:hAnsi="Times New Roman" w:cs="Times New Roman"/>
        </w:rPr>
        <w:t xml:space="preserve"> TS2.4 (Qiagen) bei 38-42 °C. Je nach Versuch wurde die Messung für ein zusätzliches Mischen unterbrochen.</w:t>
      </w:r>
    </w:p>
    <w:p w14:paraId="1D5C6E31" w14:textId="135324A1" w:rsidR="00B80342" w:rsidRDefault="003F1AAB" w:rsidP="00B43B35">
      <w:pPr>
        <w:spacing w:line="360" w:lineRule="auto"/>
        <w:rPr>
          <w:noProof/>
        </w:rPr>
      </w:pPr>
      <w:r>
        <w:rPr>
          <w:noProof/>
        </w:rPr>
        <w:drawing>
          <wp:inline distT="0" distB="0" distL="0" distR="0" wp14:anchorId="490DFD2A" wp14:editId="486236AE">
            <wp:extent cx="5760720" cy="1431925"/>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19"/>
                    <a:stretch>
                      <a:fillRect/>
                    </a:stretch>
                  </pic:blipFill>
                  <pic:spPr>
                    <a:xfrm>
                      <a:off x="0" y="0"/>
                      <a:ext cx="5760720" cy="1431925"/>
                    </a:xfrm>
                    <a:prstGeom prst="rect">
                      <a:avLst/>
                    </a:prstGeom>
                  </pic:spPr>
                </pic:pic>
              </a:graphicData>
            </a:graphic>
          </wp:inline>
        </w:drawing>
      </w:r>
      <w:r w:rsidR="00ED2451" w:rsidRPr="00ED2451">
        <w:rPr>
          <w:noProof/>
        </w:rPr>
        <w:t xml:space="preserve"> </w:t>
      </w:r>
      <w:r w:rsidR="00ED2451">
        <w:rPr>
          <w:noProof/>
        </w:rPr>
        <w:drawing>
          <wp:inline distT="0" distB="0" distL="0" distR="0" wp14:anchorId="661CC125" wp14:editId="6249F198">
            <wp:extent cx="5760720" cy="1236345"/>
            <wp:effectExtent l="0" t="0" r="0" b="190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stretch>
                      <a:fillRect/>
                    </a:stretch>
                  </pic:blipFill>
                  <pic:spPr>
                    <a:xfrm>
                      <a:off x="0" y="0"/>
                      <a:ext cx="5760720" cy="1236345"/>
                    </a:xfrm>
                    <a:prstGeom prst="rect">
                      <a:avLst/>
                    </a:prstGeom>
                  </pic:spPr>
                </pic:pic>
              </a:graphicData>
            </a:graphic>
          </wp:inline>
        </w:drawing>
      </w:r>
    </w:p>
    <w:p w14:paraId="249444D6" w14:textId="77777777" w:rsidR="005B3616"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b/>
        </w:rPr>
        <w:t>3 Ergebnisse</w:t>
      </w:r>
      <w:r w:rsidRPr="00CD3343">
        <w:rPr>
          <w:rFonts w:ascii="Times New Roman" w:hAnsi="Times New Roman" w:cs="Times New Roman"/>
        </w:rPr>
        <w:t xml:space="preserve"> </w:t>
      </w:r>
    </w:p>
    <w:p w14:paraId="0FB78B85" w14:textId="77777777" w:rsidR="005B3616" w:rsidRPr="00CD3343" w:rsidRDefault="005B3616"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 Entwicklung eines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Amplifikationssystems für das Influenza B Virus </w:t>
      </w:r>
    </w:p>
    <w:p w14:paraId="2F28103F" w14:textId="2458EFCD" w:rsidR="00EA648F"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kleiner Einleitungstext… (kommt darauf an, was ich in der Einleitung/theoretischem Hintergrund dazu schreibe) </w:t>
      </w:r>
    </w:p>
    <w:p w14:paraId="4768F272" w14:textId="77777777" w:rsidR="00EA648F" w:rsidRPr="00CD3343" w:rsidRDefault="005B3616"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3.1.1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w:t>
      </w:r>
      <w:proofErr w:type="spellStart"/>
      <w:r w:rsidRPr="00CD3343">
        <w:rPr>
          <w:rFonts w:ascii="Times New Roman" w:hAnsi="Times New Roman" w:cs="Times New Roman"/>
          <w:b/>
        </w:rPr>
        <w:t>Primerdesing</w:t>
      </w:r>
      <w:proofErr w:type="spellEnd"/>
      <w:r w:rsidRPr="00CD3343">
        <w:rPr>
          <w:rFonts w:ascii="Times New Roman" w:hAnsi="Times New Roman" w:cs="Times New Roman"/>
          <w:b/>
        </w:rPr>
        <w:t xml:space="preserve"> für das Influenza B Virus</w:t>
      </w:r>
    </w:p>
    <w:p w14:paraId="36FCD77F" w14:textId="02F44060" w:rsidR="00EA648F"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Für das Influenza B Virus konnten nach der beschriebenen Methode (siehe 2.1.1) insgesamt 10 verschiedene Primer-Sonden-Kombinationen gefunden werden. Davon befanden sich 2 Kombinationen im Bereich zwischen 625-756 Basenpaare und 8 im Bereich von 443-615 Basenpaare. Diese wurden in einer Dreifachbestimmung (n=3) nach Methode 2.3.2.1 getestet. Dabei zeigte das Primer-Sonden-Paar, welches in Tabelle 7 beschrieben ist, die besten Ergebnisse. Dieses Primer-Sonden-Set wurde für alle weiteren </w:t>
      </w:r>
      <w:proofErr w:type="spellStart"/>
      <w:r w:rsidRPr="00CD3343">
        <w:rPr>
          <w:rFonts w:ascii="Times New Roman" w:hAnsi="Times New Roman" w:cs="Times New Roman"/>
        </w:rPr>
        <w:t>Rekombinase</w:t>
      </w:r>
      <w:proofErr w:type="spellEnd"/>
      <w:r w:rsidRPr="00CD3343">
        <w:rPr>
          <w:rFonts w:ascii="Times New Roman" w:hAnsi="Times New Roman" w:cs="Times New Roman"/>
        </w:rPr>
        <w:t xml:space="preserve"> Polymerase Amplifikationen innerhalb dieses Abschnitts verwendet. Der Amplifikationsbereich liegt dabei zwischen 625 und 749 Basenpaaren.</w:t>
      </w:r>
    </w:p>
    <w:p w14:paraId="5A5BE4DD" w14:textId="1267E65A" w:rsidR="00EA648F" w:rsidRPr="00CD3343" w:rsidRDefault="005B3616" w:rsidP="00B43B35">
      <w:pPr>
        <w:spacing w:line="360" w:lineRule="auto"/>
        <w:jc w:val="both"/>
        <w:rPr>
          <w:rFonts w:ascii="Times New Roman" w:hAnsi="Times New Roman" w:cs="Times New Roman"/>
          <w:b/>
        </w:rPr>
      </w:pPr>
      <w:r w:rsidRPr="00CD3343">
        <w:rPr>
          <w:rFonts w:ascii="Times New Roman" w:hAnsi="Times New Roman" w:cs="Times New Roman"/>
          <w:b/>
        </w:rPr>
        <w:t xml:space="preserve"> 3.1.2 Herstellung der Influenza B Virus Standard-RNA </w:t>
      </w:r>
    </w:p>
    <w:p w14:paraId="1FD3E2AF" w14:textId="002D0D85" w:rsidR="00B5710A"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Um verschiedene Nukleinsäure-Amplifikationsverfahren durchführen und vergleichen zu können, war es nötig, standardisierte Virus-RNA mit einer definierten Konzentration herzustellen. Dabei diente ein DNA-Plasmid mit der entsprechenden Virus-Sequenz als Ausgangsmaterial. Dieses wurde in E. coli transformiert, durch Kultivierung vermehrt und anschließend mittels verschiedener Methoden zur gewünschten Virus-RNA transkribiert. </w:t>
      </w:r>
    </w:p>
    <w:p w14:paraId="49356848" w14:textId="5B6C5F70" w:rsidR="00B5710A"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lastRenderedPageBreak/>
        <w:t>Da für das Influenza B Virus innerhalb der Arbeitsgruppe schon eine transformierte Bakterienkolonie vorhanden war, konnte direkt eine Kultivierung mit anschließender Plasmid-Extraktion nach beschriebener Methode (siehe Kapitel 2.2.2) erfolgen. Durch eine Sequenzierung (siehe 2.2.3) konnten mögliche Sequenzfehler der extrahierten DNA ausgeschlossen werden.</w:t>
      </w:r>
    </w:p>
    <w:p w14:paraId="158794C8" w14:textId="067268DF" w:rsidR="00996795"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Der anschließende Restriktionsverdau (siehe Kapitel 2.2.4) diente dazu, das Plasmid zu linearisieren und somit für die in vitro Transkription vorzubereiten. Das Kontrollgel ist in Abbildung 1 gezeigt. Die darin enthaltenen DNA-Banden zeigen unterschiedliche Größen, wobei das verdaute Plasmid deutlich unter dem unverdauten </w:t>
      </w:r>
      <w:proofErr w:type="spellStart"/>
      <w:r w:rsidRPr="00CD3343">
        <w:rPr>
          <w:rFonts w:ascii="Times New Roman" w:hAnsi="Times New Roman" w:cs="Times New Roman"/>
        </w:rPr>
        <w:t>Kontrollplasmid</w:t>
      </w:r>
      <w:proofErr w:type="spellEnd"/>
      <w:r w:rsidRPr="00CD3343">
        <w:rPr>
          <w:rFonts w:ascii="Times New Roman" w:hAnsi="Times New Roman" w:cs="Times New Roman"/>
        </w:rPr>
        <w:t xml:space="preserve"> liegt. Um mit der verdauten DNA weiterzuarbeiten, mussten Puffer und Enzymrückstände vom Restriktionsverdau entfernt werden. Dazu wurde der Restriktionsansatz nach beschriebener Methode (siehe Kapitel 2.2.5) gereinigt. </w:t>
      </w:r>
    </w:p>
    <w:p w14:paraId="5631C0F8" w14:textId="34BD605D" w:rsidR="00ED2451"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Die Herstellung der Virus-RNA </w:t>
      </w:r>
      <w:r w:rsidR="00326700" w:rsidRPr="00CD3343">
        <w:rPr>
          <w:rFonts w:ascii="Times New Roman" w:hAnsi="Times New Roman" w:cs="Times New Roman"/>
        </w:rPr>
        <w:t>wurde,</w:t>
      </w:r>
      <w:r w:rsidRPr="00CD3343">
        <w:rPr>
          <w:rFonts w:ascii="Times New Roman" w:hAnsi="Times New Roman" w:cs="Times New Roman"/>
        </w:rPr>
        <w:t xml:space="preserve"> wie in Kapitel 2.2.6 mit dem linearisierten Plasmid beschrieben durchgeführt und im Anschluss mit dem </w:t>
      </w:r>
      <w:proofErr w:type="spellStart"/>
      <w:r w:rsidRPr="00CD3343">
        <w:rPr>
          <w:rFonts w:ascii="Times New Roman" w:hAnsi="Times New Roman" w:cs="Times New Roman"/>
        </w:rPr>
        <w:t>Ribogreen</w:t>
      </w:r>
      <w:proofErr w:type="spellEnd"/>
      <w:r w:rsidRPr="00CD3343">
        <w:rPr>
          <w:rFonts w:ascii="Times New Roman" w:hAnsi="Times New Roman" w:cs="Times New Roman"/>
        </w:rPr>
        <w:t xml:space="preserve">-Assay nach beschriebener Methode (siehe Kapitel 2.2.7) quantifiziert. Die </w:t>
      </w:r>
      <w:proofErr w:type="spellStart"/>
      <w:r w:rsidRPr="00CD3343">
        <w:rPr>
          <w:rFonts w:ascii="Times New Roman" w:hAnsi="Times New Roman" w:cs="Times New Roman"/>
        </w:rPr>
        <w:t>Kalibrationsgerade</w:t>
      </w:r>
      <w:proofErr w:type="spellEnd"/>
      <w:r w:rsidRPr="00CD3343">
        <w:rPr>
          <w:rFonts w:ascii="Times New Roman" w:hAnsi="Times New Roman" w:cs="Times New Roman"/>
        </w:rPr>
        <w:t xml:space="preserve"> des Assays ist in Abbildung 1 gezeigt. Die Kalibrierung ergab eine Geradengleichung von </w:t>
      </w:r>
      <w:r w:rsidRPr="00CD3343">
        <w:rPr>
          <w:rFonts w:ascii="Cambria Math" w:hAnsi="Cambria Math" w:cs="Cambria Math"/>
        </w:rPr>
        <w:t>𝑦</w:t>
      </w:r>
      <w:r w:rsidRPr="00CD3343">
        <w:rPr>
          <w:rFonts w:ascii="Times New Roman" w:hAnsi="Times New Roman" w:cs="Times New Roman"/>
        </w:rPr>
        <w:t xml:space="preserve"> = 22+3, 6</w:t>
      </w:r>
      <w:r w:rsidRPr="00CD3343">
        <w:rPr>
          <w:rFonts w:ascii="Cambria Math" w:hAnsi="Cambria Math" w:cs="Cambria Math"/>
        </w:rPr>
        <w:t>𝑥</w:t>
      </w:r>
      <w:r w:rsidRPr="00CD3343">
        <w:rPr>
          <w:rFonts w:ascii="Times New Roman" w:hAnsi="Times New Roman" w:cs="Times New Roman"/>
        </w:rPr>
        <w:t xml:space="preserve"> mit einem Korrelationskoeffizient R = 0.99. Anhand dieser Geradengleichung konnte die hergestellte RNA in einer Fünffachbestimmung (n=5) quantifiziert werden. Der Influenza B Virus RNA-Standard besitzt eine Konzentration von 476.0 ± 7, 8 </w:t>
      </w:r>
      <w:proofErr w:type="spellStart"/>
      <w:r w:rsidRPr="00CD3343">
        <w:rPr>
          <w:rFonts w:ascii="Times New Roman" w:hAnsi="Times New Roman" w:cs="Times New Roman"/>
        </w:rPr>
        <w:t>ng</w:t>
      </w:r>
      <w:proofErr w:type="spellEnd"/>
      <w:r w:rsidRPr="00CD3343">
        <w:rPr>
          <w:rFonts w:ascii="Times New Roman" w:hAnsi="Times New Roman" w:cs="Times New Roman"/>
        </w:rPr>
        <w:t xml:space="preserve">/ml und somit eine </w:t>
      </w:r>
      <w:proofErr w:type="spellStart"/>
      <w:r w:rsidRPr="00CD3343">
        <w:rPr>
          <w:rFonts w:ascii="Times New Roman" w:hAnsi="Times New Roman" w:cs="Times New Roman"/>
        </w:rPr>
        <w:t>Kopienanzahl</w:t>
      </w:r>
      <w:proofErr w:type="spellEnd"/>
      <w:r w:rsidRPr="00CD3343">
        <w:rPr>
          <w:rFonts w:ascii="Times New Roman" w:hAnsi="Times New Roman" w:cs="Times New Roman"/>
        </w:rPr>
        <w:t xml:space="preserve"> von rund 2, 2 </w:t>
      </w:r>
      <w:r w:rsidRPr="00CD3343">
        <w:rPr>
          <w:rFonts w:ascii="Cambria Math" w:hAnsi="Cambria Math" w:cs="Cambria Math"/>
        </w:rPr>
        <w:t>∗</w:t>
      </w:r>
      <w:r w:rsidRPr="00CD3343">
        <w:rPr>
          <w:rFonts w:ascii="Times New Roman" w:hAnsi="Times New Roman" w:cs="Times New Roman"/>
        </w:rPr>
        <w:t xml:space="preserve"> 108 Kopien/µl.</w:t>
      </w:r>
    </w:p>
    <w:p w14:paraId="2F1C39C0" w14:textId="170C60AF" w:rsidR="00A06FC5" w:rsidRDefault="00A06FC5" w:rsidP="00B43B35">
      <w:pPr>
        <w:spacing w:line="360" w:lineRule="auto"/>
      </w:pPr>
      <w:r>
        <w:rPr>
          <w:noProof/>
        </w:rPr>
        <w:drawing>
          <wp:inline distT="0" distB="0" distL="0" distR="0" wp14:anchorId="50E5DB96" wp14:editId="077426E6">
            <wp:extent cx="5760720" cy="3137535"/>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37535"/>
                    </a:xfrm>
                    <a:prstGeom prst="rect">
                      <a:avLst/>
                    </a:prstGeom>
                  </pic:spPr>
                </pic:pic>
              </a:graphicData>
            </a:graphic>
          </wp:inline>
        </w:drawing>
      </w:r>
    </w:p>
    <w:p w14:paraId="4F8FB774" w14:textId="77777777" w:rsidR="00A443D5" w:rsidRPr="00CD3343" w:rsidRDefault="00A443D5"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3.1.3 Ermittlung der Sensitivität der Influenza B PCR </w:t>
      </w:r>
    </w:p>
    <w:p w14:paraId="4995BDC6" w14:textId="56537225" w:rsidR="00B80342" w:rsidRPr="00CD3343" w:rsidRDefault="00A443D5" w:rsidP="00B43B35">
      <w:pPr>
        <w:spacing w:line="360" w:lineRule="auto"/>
        <w:jc w:val="both"/>
        <w:rPr>
          <w:rFonts w:ascii="Times New Roman" w:hAnsi="Times New Roman" w:cs="Times New Roman"/>
        </w:rPr>
      </w:pPr>
      <w:r w:rsidRPr="00CD3343">
        <w:rPr>
          <w:rFonts w:ascii="Times New Roman" w:hAnsi="Times New Roman" w:cs="Times New Roman"/>
        </w:rPr>
        <w:t xml:space="preserve">Zur Überprüfung der Sensitivität und um ein etabliertes Amplifikationssystem zum Vergleich heranziehen zu können, wurde das in Kapitel 2.3.1 gezeigte Influenza B PCR-System auf die Sensitivität getestet. Dazu wurde der in Kapitel 3.1.2 hergestellte Standard auf 2 </w:t>
      </w:r>
      <w:r w:rsidRPr="00CD3343">
        <w:rPr>
          <w:rFonts w:ascii="Cambria Math" w:hAnsi="Cambria Math" w:cs="Cambria Math"/>
        </w:rPr>
        <w:t>∗</w:t>
      </w:r>
      <w:r w:rsidRPr="00CD3343">
        <w:rPr>
          <w:rFonts w:ascii="Times New Roman" w:hAnsi="Times New Roman" w:cs="Times New Roman"/>
        </w:rPr>
        <w:t xml:space="preserve"> 10</w:t>
      </w:r>
      <w:r w:rsidRPr="00CD3343">
        <w:rPr>
          <w:rFonts w:ascii="Times New Roman" w:hAnsi="Times New Roman" w:cs="Times New Roman"/>
          <w:vertAlign w:val="superscript"/>
        </w:rPr>
        <w:t>7</w:t>
      </w:r>
      <w:r w:rsidRPr="00CD3343">
        <w:rPr>
          <w:rFonts w:ascii="Times New Roman" w:hAnsi="Times New Roman" w:cs="Times New Roman"/>
        </w:rPr>
        <w:t xml:space="preserve"> Kopien/µl verdünnt und in </w:t>
      </w:r>
      <w:r w:rsidRPr="00CD3343">
        <w:rPr>
          <w:rFonts w:ascii="Times New Roman" w:hAnsi="Times New Roman" w:cs="Times New Roman"/>
          <w:color w:val="FF0000"/>
        </w:rPr>
        <w:t>dekadischen Verdünnungsstufen</w:t>
      </w:r>
      <w:r w:rsidRPr="00CD3343">
        <w:rPr>
          <w:rFonts w:ascii="Times New Roman" w:hAnsi="Times New Roman" w:cs="Times New Roman"/>
        </w:rPr>
        <w:t xml:space="preserve"> bis zu 2 </w:t>
      </w:r>
      <w:r w:rsidRPr="00CD3343">
        <w:rPr>
          <w:rFonts w:ascii="Cambria Math" w:hAnsi="Cambria Math" w:cs="Cambria Math"/>
        </w:rPr>
        <w:t>∗</w:t>
      </w:r>
      <w:r w:rsidRPr="00CD3343">
        <w:rPr>
          <w:rFonts w:ascii="Times New Roman" w:hAnsi="Times New Roman" w:cs="Times New Roman"/>
        </w:rPr>
        <w:t xml:space="preserve"> 10</w:t>
      </w:r>
      <w:r w:rsidRPr="00CD3343">
        <w:rPr>
          <w:rFonts w:ascii="Times New Roman" w:hAnsi="Times New Roman" w:cs="Times New Roman"/>
          <w:vertAlign w:val="superscript"/>
        </w:rPr>
        <w:t>0</w:t>
      </w:r>
      <w:r w:rsidRPr="00CD3343">
        <w:rPr>
          <w:rFonts w:ascii="Times New Roman" w:hAnsi="Times New Roman" w:cs="Times New Roman"/>
        </w:rPr>
        <w:t xml:space="preserve"> in jeweils einer Mehrfachbestimmung (n=7) auf eine </w:t>
      </w:r>
      <w:r w:rsidRPr="00CD3343">
        <w:rPr>
          <w:rFonts w:ascii="Times New Roman" w:hAnsi="Times New Roman" w:cs="Times New Roman"/>
        </w:rPr>
        <w:lastRenderedPageBreak/>
        <w:t>Amplifikation nach beschriebener Methode 2.3.1 untersucht. Die normalisierten Fluoreszenzwerte der Amplifikationen sowie der lineare Zusammenhang der Ct-Werte (ermittelt nach der in 2.1.3 beschriebenen Methode) sind in Abbildung 2A und B gezeigt. Für die Ermittlung der Sensitivität wurden die Amplifikationsergebnisse in das in Kapitel 2.1.5 beschriebene R-Skript eingefügt. Die berechnete Sensitivitätsgrenze bei einer 95 %-</w:t>
      </w:r>
      <w:proofErr w:type="spellStart"/>
      <w:r w:rsidRPr="00CD3343">
        <w:rPr>
          <w:rFonts w:ascii="Times New Roman" w:hAnsi="Times New Roman" w:cs="Times New Roman"/>
        </w:rPr>
        <w:t>igen</w:t>
      </w:r>
      <w:proofErr w:type="spellEnd"/>
      <w:r w:rsidRPr="00CD3343">
        <w:rPr>
          <w:rFonts w:ascii="Times New Roman" w:hAnsi="Times New Roman" w:cs="Times New Roman"/>
        </w:rPr>
        <w:t xml:space="preserve"> Wahrscheinlichkeit liegt bei 11,3 Kopien (siehe Abbildung 2C).</w:t>
      </w:r>
    </w:p>
    <w:p w14:paraId="4925DCB0" w14:textId="77777777" w:rsidR="00D91AAD" w:rsidRPr="00CD3343" w:rsidRDefault="00D91AAD"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3.1.4 Etablierung der Influenza B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w:t>
      </w:r>
      <w:proofErr w:type="spellStart"/>
      <w:r w:rsidRPr="00CD3343">
        <w:rPr>
          <w:rFonts w:ascii="Times New Roman" w:hAnsi="Times New Roman" w:cs="Times New Roman"/>
          <w:b/>
        </w:rPr>
        <w:t>Apmlifikations</w:t>
      </w:r>
      <w:proofErr w:type="spellEnd"/>
      <w:r w:rsidRPr="00CD3343">
        <w:rPr>
          <w:rFonts w:ascii="Times New Roman" w:hAnsi="Times New Roman" w:cs="Times New Roman"/>
          <w:b/>
        </w:rPr>
        <w:t>-Assays</w:t>
      </w:r>
    </w:p>
    <w:p w14:paraId="7FE40BF2" w14:textId="5B5ABF91" w:rsidR="00D91AAD" w:rsidRPr="00CD3343" w:rsidRDefault="00D91AAD" w:rsidP="00B43B35">
      <w:pPr>
        <w:spacing w:line="360" w:lineRule="auto"/>
        <w:jc w:val="both"/>
        <w:rPr>
          <w:rFonts w:ascii="Times New Roman" w:hAnsi="Times New Roman" w:cs="Times New Roman"/>
        </w:rPr>
      </w:pPr>
      <w:r w:rsidRPr="00CD3343">
        <w:rPr>
          <w:rFonts w:ascii="Times New Roman" w:hAnsi="Times New Roman" w:cs="Times New Roman"/>
        </w:rPr>
        <w:t xml:space="preserve">Um das in Kapitel 3.1.1 getestete Primer-Sonden-Set zu </w:t>
      </w:r>
      <w:r w:rsidR="0051247D" w:rsidRPr="00CD3343">
        <w:rPr>
          <w:rFonts w:ascii="Times New Roman" w:hAnsi="Times New Roman" w:cs="Times New Roman"/>
        </w:rPr>
        <w:t>etablieren,</w:t>
      </w:r>
      <w:r w:rsidRPr="00CD3343">
        <w:rPr>
          <w:rFonts w:ascii="Times New Roman" w:hAnsi="Times New Roman" w:cs="Times New Roman"/>
        </w:rPr>
        <w:t xml:space="preserve"> wurde eine RPA im Original-Volumen (50 µl) nach der beschriebenen Methode (siehe Kapitel 2.3.2.1) und eine RPA im 8tel-Ansatz (Methode siehe Kapitel 2.3.2.2) mit jeweils 106 Virus RNA Kopien/µl durchgeführt. Die Amplifikation wurde bei 40 °C durchgeführt. Eine Unterbrechung der Messung durch einen Mischschritt fand nicht statt. Die normalisierten Fluoreszenzdaten sind in Abbildung 3 gezeigt. Es ist zu erkennen, dass die 8tel RPA im Vergleich zu der 50 µl RPA im Verlauf der Reaktion an maximaler Intensität verliert. Um die Anstiegszeiten der beiden RPA</w:t>
      </w:r>
      <w:r w:rsidR="009B1E10" w:rsidRPr="00CD3343">
        <w:rPr>
          <w:rFonts w:ascii="Times New Roman" w:hAnsi="Times New Roman" w:cs="Times New Roman"/>
        </w:rPr>
        <w:t>-</w:t>
      </w:r>
      <w:r w:rsidRPr="00CD3343">
        <w:rPr>
          <w:rFonts w:ascii="Times New Roman" w:hAnsi="Times New Roman" w:cs="Times New Roman"/>
        </w:rPr>
        <w:t xml:space="preserve">Reaktionstypen zu vergleichen, wurden die nach Kapitel 2.1.3 ermittelten TT-Werte </w:t>
      </w:r>
      <w:proofErr w:type="gramStart"/>
      <w:r w:rsidR="008B75C4" w:rsidRPr="00CD3343">
        <w:rPr>
          <w:rFonts w:ascii="Times New Roman" w:hAnsi="Times New Roman" w:cs="Times New Roman"/>
        </w:rPr>
        <w:t>mit</w:t>
      </w:r>
      <w:proofErr w:type="gramEnd"/>
      <w:r w:rsidRPr="00CD3343">
        <w:rPr>
          <w:rFonts w:ascii="Times New Roman" w:hAnsi="Times New Roman" w:cs="Times New Roman"/>
        </w:rPr>
        <w:t xml:space="preserve"> der in Kapitel 2.1.4 beschriebenen Methode untersucht. Es konnte kein signifikanter Unterschied der Anstiegszeit zwischen den beiden Reaktionstypen festgestellt werden (siehe Tabelle 11 im Anhang).</w:t>
      </w:r>
    </w:p>
    <w:p w14:paraId="1E559A2C" w14:textId="3A44EA29" w:rsidR="00B80342" w:rsidRDefault="00005ED1" w:rsidP="00B43B35">
      <w:pPr>
        <w:spacing w:line="360" w:lineRule="auto"/>
      </w:pPr>
      <w:r>
        <w:rPr>
          <w:noProof/>
        </w:rPr>
        <w:lastRenderedPageBreak/>
        <w:drawing>
          <wp:inline distT="0" distB="0" distL="0" distR="0" wp14:anchorId="00D7F20D" wp14:editId="3D1133D0">
            <wp:extent cx="5760720" cy="527113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271135"/>
                    </a:xfrm>
                    <a:prstGeom prst="rect">
                      <a:avLst/>
                    </a:prstGeom>
                  </pic:spPr>
                </pic:pic>
              </a:graphicData>
            </a:graphic>
          </wp:inline>
        </w:drawing>
      </w:r>
    </w:p>
    <w:p w14:paraId="36870B81" w14:textId="77777777" w:rsidR="00005ED1" w:rsidRDefault="00005ED1" w:rsidP="00B43B35">
      <w:pPr>
        <w:spacing w:line="360" w:lineRule="auto"/>
      </w:pPr>
    </w:p>
    <w:p w14:paraId="71410D2F" w14:textId="529E3BA6" w:rsidR="00005ED1" w:rsidRDefault="00002A31" w:rsidP="00B43B35">
      <w:pPr>
        <w:spacing w:line="360" w:lineRule="auto"/>
      </w:pPr>
      <w:r>
        <w:rPr>
          <w:noProof/>
        </w:rPr>
        <w:lastRenderedPageBreak/>
        <w:drawing>
          <wp:inline distT="0" distB="0" distL="0" distR="0" wp14:anchorId="1B632061" wp14:editId="09745ABC">
            <wp:extent cx="5760720" cy="3597275"/>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97275"/>
                    </a:xfrm>
                    <a:prstGeom prst="rect">
                      <a:avLst/>
                    </a:prstGeom>
                  </pic:spPr>
                </pic:pic>
              </a:graphicData>
            </a:graphic>
          </wp:inline>
        </w:drawing>
      </w:r>
    </w:p>
    <w:p w14:paraId="4D4FD271" w14:textId="77777777" w:rsidR="00A77F1E" w:rsidRPr="00CD3343" w:rsidRDefault="00A77F1E" w:rsidP="00B43B35">
      <w:pPr>
        <w:spacing w:line="360" w:lineRule="auto"/>
        <w:jc w:val="both"/>
        <w:rPr>
          <w:rFonts w:ascii="Times New Roman" w:hAnsi="Times New Roman" w:cs="Times New Roman"/>
          <w:b/>
        </w:rPr>
      </w:pPr>
      <w:r w:rsidRPr="00A77F1E">
        <w:rPr>
          <w:b/>
        </w:rPr>
        <w:t>3.</w:t>
      </w:r>
      <w:r w:rsidRPr="00CD3343">
        <w:rPr>
          <w:rFonts w:ascii="Times New Roman" w:hAnsi="Times New Roman" w:cs="Times New Roman"/>
          <w:b/>
        </w:rPr>
        <w:t xml:space="preserve">1.5 Optimierung der Influenza B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 </w:t>
      </w:r>
    </w:p>
    <w:p w14:paraId="4CE0E77A" w14:textId="1286787A" w:rsidR="006737AA" w:rsidRPr="004A3F55" w:rsidRDefault="00A77F1E" w:rsidP="00B43B35">
      <w:pPr>
        <w:spacing w:line="360" w:lineRule="auto"/>
        <w:jc w:val="both"/>
        <w:rPr>
          <w:rFonts w:ascii="Times New Roman" w:hAnsi="Times New Roman" w:cs="Times New Roman"/>
        </w:rPr>
      </w:pPr>
      <w:r w:rsidRPr="00CD3343">
        <w:rPr>
          <w:rFonts w:ascii="Times New Roman" w:hAnsi="Times New Roman" w:cs="Times New Roman"/>
        </w:rPr>
        <w:t xml:space="preserve">Um die Influenza B RPA zu optimieren, wurden die Reaktionsparameter Mischzeit und Reaktionstemperatur untersucht, um die bestmöglichen Reaktionsbedingungen zu ermitteln. Des Weiteren wurde in Kapitel ?? gezeigt, dass eine erhöhte </w:t>
      </w:r>
      <w:proofErr w:type="spellStart"/>
      <w:r w:rsidRPr="00CD3343">
        <w:rPr>
          <w:rFonts w:ascii="Times New Roman" w:hAnsi="Times New Roman" w:cs="Times New Roman"/>
        </w:rPr>
        <w:t>Reverseprimer</w:t>
      </w:r>
      <w:proofErr w:type="spellEnd"/>
      <w:r w:rsidRPr="00CD3343">
        <w:rPr>
          <w:rFonts w:ascii="Times New Roman" w:hAnsi="Times New Roman" w:cs="Times New Roman"/>
        </w:rPr>
        <w:t xml:space="preserve">-Konzentration bessere Amplifikation zur Folge hat. Aus diesem Grund wurde die Primer-Konzentration als weiterer Optimierungsparameter untersucht. </w:t>
      </w:r>
      <w:r w:rsidR="00E81140" w:rsidRPr="00CD3343">
        <w:rPr>
          <w:rFonts w:ascii="Times New Roman" w:hAnsi="Times New Roman" w:cs="Times New Roman"/>
        </w:rPr>
        <w:br/>
      </w:r>
      <w:r w:rsidRPr="00CD3343">
        <w:rPr>
          <w:rFonts w:ascii="Times New Roman" w:hAnsi="Times New Roman" w:cs="Times New Roman"/>
        </w:rPr>
        <w:t>Wie in Abbildung 4A zu sehen, weist die Reaktion bei 38 °C einen späteren Anstieg des Fluoreszenzsignals und somit signifikant höhere TT-Werte (siehe Tabelle 12) auf als bei 40 °C oder 42 °C. Zwischen 40 °C und 42 °C konnten keine signifikanten Unterschiede bei den TT-Werten festgestellt werden. Des Weiteren wei</w:t>
      </w:r>
      <w:r w:rsidR="0091600E">
        <w:rPr>
          <w:rFonts w:ascii="Times New Roman" w:hAnsi="Times New Roman" w:cs="Times New Roman"/>
        </w:rPr>
        <w:t>s</w:t>
      </w:r>
      <w:r w:rsidRPr="00CD3343">
        <w:rPr>
          <w:rFonts w:ascii="Times New Roman" w:hAnsi="Times New Roman" w:cs="Times New Roman"/>
        </w:rPr>
        <w:t>t die RPA bei 38 °C Reaktionstemperatur im späteren Verlauf der Reaktion die niedrigste Fluoreszenzintensität auf. Die Reaktion bei 42 °C zeigt ebenfalls eine niedrigere Fluoreszenzintensität als Messung bei 40 °C. Zusätzlich lässt sich bei 42 °C eine weitere Abnahme des Fluoreszenzsignals nach ~ 13 Minuten beobachten. Das gleiche Phänomen tritt ebenfalls bei 40 °C Reaktionstemperatur auf, jedoch erst später ab ~ 15 Minuten und nur bei 4 von 6 Reaktionen. Alle Reaktionen wurden nach beschriebener Methode (siehe Kapitel 2.3.2.2) ohne eine Unterbrechung der Messung durch einen Mischschritt</w:t>
      </w:r>
      <w:r w:rsidR="00CD3343">
        <w:rPr>
          <w:rFonts w:ascii="Times New Roman" w:hAnsi="Times New Roman" w:cs="Times New Roman"/>
        </w:rPr>
        <w:t xml:space="preserve"> </w:t>
      </w:r>
      <w:r w:rsidRPr="00CD3343">
        <w:rPr>
          <w:rFonts w:ascii="Times New Roman" w:hAnsi="Times New Roman" w:cs="Times New Roman"/>
        </w:rPr>
        <w:t xml:space="preserve">durchgeführt. </w:t>
      </w:r>
      <w:r w:rsidR="004A3F55">
        <w:rPr>
          <w:rFonts w:ascii="Times New Roman" w:hAnsi="Times New Roman" w:cs="Times New Roman"/>
        </w:rPr>
        <w:tab/>
      </w:r>
      <w:r w:rsidR="004A3F55">
        <w:rPr>
          <w:rFonts w:ascii="Times New Roman" w:hAnsi="Times New Roman" w:cs="Times New Roman"/>
        </w:rPr>
        <w:tab/>
      </w:r>
      <w:r w:rsidR="004A3F55">
        <w:rPr>
          <w:rFonts w:ascii="Times New Roman" w:hAnsi="Times New Roman" w:cs="Times New Roman"/>
        </w:rPr>
        <w:tab/>
      </w:r>
      <w:r w:rsidR="004A3F55">
        <w:rPr>
          <w:rFonts w:ascii="Times New Roman" w:hAnsi="Times New Roman" w:cs="Times New Roman"/>
        </w:rPr>
        <w:tab/>
      </w:r>
      <w:r w:rsidR="004A3F55">
        <w:rPr>
          <w:rFonts w:ascii="Times New Roman" w:hAnsi="Times New Roman" w:cs="Times New Roman"/>
        </w:rPr>
        <w:tab/>
      </w:r>
      <w:r w:rsidR="004A3F55">
        <w:rPr>
          <w:rFonts w:ascii="Times New Roman" w:hAnsi="Times New Roman" w:cs="Times New Roman"/>
        </w:rPr>
        <w:tab/>
        <w:t xml:space="preserve">                </w:t>
      </w:r>
      <w:r w:rsidRPr="00CD3343">
        <w:rPr>
          <w:rFonts w:ascii="Times New Roman" w:hAnsi="Times New Roman" w:cs="Times New Roman"/>
        </w:rPr>
        <w:t>Bei der Optimierung der Mischzeit (Fluoreszenzdaten in Abbildung 6 im Anhang) konnte beobachtet werden, dass bei Konzentrationen von 10</w:t>
      </w:r>
      <w:r w:rsidRPr="00CD3343">
        <w:rPr>
          <w:rFonts w:ascii="Times New Roman" w:hAnsi="Times New Roman" w:cs="Times New Roman"/>
          <w:vertAlign w:val="superscript"/>
        </w:rPr>
        <w:t>3</w:t>
      </w:r>
      <w:r w:rsidRPr="00CD3343">
        <w:rPr>
          <w:rFonts w:ascii="Times New Roman" w:hAnsi="Times New Roman" w:cs="Times New Roman"/>
        </w:rPr>
        <w:t xml:space="preserve"> Virus RNA-Molekülen ein zusätzlicher Mischschritt bei 3 oder 4 Minuten eine geringe, aber signifikante Verringerung des TT-Wertes zur Folge hat (siehe Tab. 14 im Anhang). Signifikante Veränderungen des TT-Wertes konnten innerhalb der unterschiedlichen Mischzeiten nicht beobachtet werden. Ebenfalls konnten keine Unterschiede in der </w:t>
      </w:r>
      <w:r w:rsidRPr="00CD3343">
        <w:rPr>
          <w:rFonts w:ascii="Times New Roman" w:hAnsi="Times New Roman" w:cs="Times New Roman"/>
        </w:rPr>
        <w:lastRenderedPageBreak/>
        <w:t xml:space="preserve">Fluoreszenzintensität am Ende der Messung sowohl bei den getesteten </w:t>
      </w:r>
      <w:r w:rsidR="004A3A26" w:rsidRPr="00CD3343">
        <w:rPr>
          <w:rFonts w:ascii="Times New Roman" w:hAnsi="Times New Roman" w:cs="Times New Roman"/>
        </w:rPr>
        <w:t>Mischzeiten</w:t>
      </w:r>
      <w:r w:rsidRPr="00CD3343">
        <w:rPr>
          <w:rFonts w:ascii="Times New Roman" w:hAnsi="Times New Roman" w:cs="Times New Roman"/>
        </w:rPr>
        <w:t xml:space="preserve"> als auch bei der Referenzmessung ohne zusätzlichen Mischschritt festgestellt werden. Bei 10</w:t>
      </w:r>
      <w:r w:rsidRPr="00CD3343">
        <w:rPr>
          <w:rFonts w:ascii="Times New Roman" w:hAnsi="Times New Roman" w:cs="Times New Roman"/>
          <w:vertAlign w:val="superscript"/>
        </w:rPr>
        <w:t>1</w:t>
      </w:r>
      <w:r w:rsidRPr="00CD3343">
        <w:rPr>
          <w:rFonts w:ascii="Times New Roman" w:hAnsi="Times New Roman" w:cs="Times New Roman"/>
        </w:rPr>
        <w:t xml:space="preserve"> </w:t>
      </w:r>
      <w:proofErr w:type="spellStart"/>
      <w:r w:rsidRPr="00CD3343">
        <w:rPr>
          <w:rFonts w:ascii="Times New Roman" w:hAnsi="Times New Roman" w:cs="Times New Roman"/>
        </w:rPr>
        <w:t>Amplifikaten</w:t>
      </w:r>
      <w:proofErr w:type="spellEnd"/>
      <w:r w:rsidRPr="00CD3343">
        <w:rPr>
          <w:rFonts w:ascii="Times New Roman" w:hAnsi="Times New Roman" w:cs="Times New Roman"/>
        </w:rPr>
        <w:t>/µl als Ausgangsmaterial zu Beginn der Messung zeigte ein Mischschritt nach 5 Minuten eine Verbesserung der Amplifikation (siehe Abbildung ??A und B). Bei der Auswertung der Fluoreszenzdaten nach der beschriebenen Methode (siehe Kapitel 2.1.3) konnte die Anzahl der positiven</w:t>
      </w:r>
      <w:r w:rsidR="00E01777" w:rsidRPr="00CD3343">
        <w:rPr>
          <w:rFonts w:ascii="Times New Roman" w:hAnsi="Times New Roman" w:cs="Times New Roman"/>
        </w:rPr>
        <w:t xml:space="preserve"> Amplifikationen von 3/7 (ohne Mischschritt) auf 7/7 (zusätzlicher Mischschritt nach 5 Min.) erhöht werden. Die Fluoreszenzdaten der Optimierung der Primer-Konzentration sind in Abbildung 4B gezeigt. Es ist zu</w:t>
      </w:r>
      <w:r w:rsidR="00E01777">
        <w:t xml:space="preserve"> erkennen, dass eine Erhöhung der </w:t>
      </w:r>
      <w:proofErr w:type="spellStart"/>
      <w:r w:rsidR="00E01777">
        <w:t>Reverseprimer</w:t>
      </w:r>
      <w:proofErr w:type="spellEnd"/>
      <w:r w:rsidR="00E01777">
        <w:t xml:space="preserve">-Konzentration auf 1,5X mit einer Erhöhung der Fluoreszenzintensität einhergeht. Bei einer weiteren Erhöhung auf eine doppelte </w:t>
      </w:r>
      <w:proofErr w:type="spellStart"/>
      <w:r w:rsidR="00E01777">
        <w:t>Reverseprimer</w:t>
      </w:r>
      <w:proofErr w:type="spellEnd"/>
      <w:r w:rsidR="00E01777">
        <w:t>-</w:t>
      </w:r>
      <w:r w:rsidR="00E01777" w:rsidRPr="004A3F55">
        <w:rPr>
          <w:rFonts w:ascii="Times New Roman" w:hAnsi="Times New Roman" w:cs="Times New Roman"/>
        </w:rPr>
        <w:t xml:space="preserve">Konzentration ist ein Abfall der Fluoreszenz bei ~ 12 Minuten bei 4 von 6 Reaktionen zu beobachten. Es konnte keine signifikante Veränderung des TT-Wertes bei den untersuchten Primer-Konzentration festgestellt werden (siehe Tab. ?? im Anhang). Alle Messung wurden nach beschriebener Methode (siehe Kapitel 2.3.2.2) bei 40 °C und ohne zusätzlichen Mischschritt durchgeführt. </w:t>
      </w:r>
    </w:p>
    <w:p w14:paraId="7119CABD" w14:textId="380C59E1" w:rsidR="00B80342" w:rsidRPr="004A3F55" w:rsidRDefault="00E01777" w:rsidP="00B43B35">
      <w:pPr>
        <w:spacing w:line="360" w:lineRule="auto"/>
        <w:jc w:val="both"/>
        <w:rPr>
          <w:rFonts w:ascii="Times New Roman" w:hAnsi="Times New Roman" w:cs="Times New Roman"/>
        </w:rPr>
      </w:pPr>
      <w:r w:rsidRPr="004A3F55">
        <w:rPr>
          <w:rFonts w:ascii="Times New Roman" w:hAnsi="Times New Roman" w:cs="Times New Roman"/>
        </w:rPr>
        <w:t xml:space="preserve">Somit konnten als Parameter für die folgenden Messungen ein Temperaturoptimum von 40 °C, ein zusätzlicher Mischschritt bei 5 Minuten und eine 1,5X erhöhte </w:t>
      </w:r>
      <w:proofErr w:type="spellStart"/>
      <w:r w:rsidRPr="004A3F55">
        <w:rPr>
          <w:rFonts w:ascii="Times New Roman" w:hAnsi="Times New Roman" w:cs="Times New Roman"/>
        </w:rPr>
        <w:t>Reverseprimer</w:t>
      </w:r>
      <w:proofErr w:type="spellEnd"/>
      <w:r w:rsidRPr="004A3F55">
        <w:rPr>
          <w:rFonts w:ascii="Times New Roman" w:hAnsi="Times New Roman" w:cs="Times New Roman"/>
        </w:rPr>
        <w:t>-Konzentration als Optimal herausgefunden werden.</w:t>
      </w:r>
    </w:p>
    <w:p w14:paraId="545DD1C4" w14:textId="7F2C79D3" w:rsidR="006737AA" w:rsidRDefault="00001DC6" w:rsidP="00B43B35">
      <w:pPr>
        <w:spacing w:line="360" w:lineRule="auto"/>
      </w:pPr>
      <w:r>
        <w:rPr>
          <w:noProof/>
        </w:rPr>
        <w:drawing>
          <wp:inline distT="0" distB="0" distL="0" distR="0" wp14:anchorId="684A8AC9" wp14:editId="1C26F640">
            <wp:extent cx="5760720" cy="34740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74085"/>
                    </a:xfrm>
                    <a:prstGeom prst="rect">
                      <a:avLst/>
                    </a:prstGeom>
                  </pic:spPr>
                </pic:pic>
              </a:graphicData>
            </a:graphic>
          </wp:inline>
        </w:drawing>
      </w:r>
    </w:p>
    <w:p w14:paraId="474B1166" w14:textId="77777777" w:rsidR="00E45DBF" w:rsidRPr="004A3F55" w:rsidRDefault="00E45DBF" w:rsidP="00B43B35">
      <w:pPr>
        <w:spacing w:line="360" w:lineRule="auto"/>
        <w:jc w:val="both"/>
        <w:rPr>
          <w:rFonts w:ascii="Times New Roman" w:hAnsi="Times New Roman" w:cs="Times New Roman"/>
          <w:b/>
        </w:rPr>
      </w:pPr>
      <w:r w:rsidRPr="004A3F55">
        <w:rPr>
          <w:rFonts w:ascii="Times New Roman" w:hAnsi="Times New Roman" w:cs="Times New Roman"/>
          <w:b/>
        </w:rPr>
        <w:t xml:space="preserve">3.1.6 Ermittlung der Sensitivität der Influenza B </w:t>
      </w:r>
      <w:proofErr w:type="spellStart"/>
      <w:r w:rsidRPr="004A3F55">
        <w:rPr>
          <w:rFonts w:ascii="Times New Roman" w:hAnsi="Times New Roman" w:cs="Times New Roman"/>
          <w:b/>
        </w:rPr>
        <w:t>Rekombinase</w:t>
      </w:r>
      <w:proofErr w:type="spellEnd"/>
      <w:r w:rsidRPr="004A3F55">
        <w:rPr>
          <w:rFonts w:ascii="Times New Roman" w:hAnsi="Times New Roman" w:cs="Times New Roman"/>
          <w:b/>
        </w:rPr>
        <w:t xml:space="preserve"> Polymerase Amplifikation </w:t>
      </w:r>
    </w:p>
    <w:p w14:paraId="24BF0213" w14:textId="357501AE" w:rsidR="00B80342" w:rsidRPr="004A3F55" w:rsidRDefault="00E45DBF" w:rsidP="00B43B35">
      <w:pPr>
        <w:spacing w:line="360" w:lineRule="auto"/>
        <w:jc w:val="both"/>
        <w:rPr>
          <w:rFonts w:ascii="Times New Roman" w:hAnsi="Times New Roman" w:cs="Times New Roman"/>
        </w:rPr>
      </w:pPr>
      <w:r w:rsidRPr="004A3F55">
        <w:rPr>
          <w:rFonts w:ascii="Times New Roman" w:hAnsi="Times New Roman" w:cs="Times New Roman"/>
        </w:rPr>
        <w:t xml:space="preserve">Um die optimierte Influenza B RPA zu charakterisieren, wurde eine Sensitivitätsmessung durchgeführt, um die minimal detektierbaren viralen RNA-Moleküle zu ermitteln. Dazu wurde der in 3.1.2 hergestellte Standard auf 2 </w:t>
      </w:r>
      <w:r w:rsidRPr="004A3F55">
        <w:rPr>
          <w:rFonts w:ascii="Cambria Math" w:hAnsi="Cambria Math" w:cs="Cambria Math"/>
        </w:rPr>
        <w:t>∗</w:t>
      </w:r>
      <w:r w:rsidRPr="004A3F55">
        <w:rPr>
          <w:rFonts w:ascii="Times New Roman" w:hAnsi="Times New Roman" w:cs="Times New Roman"/>
        </w:rPr>
        <w:t xml:space="preserve"> 10</w:t>
      </w:r>
      <w:r w:rsidRPr="004A3F55">
        <w:rPr>
          <w:rFonts w:ascii="Times New Roman" w:hAnsi="Times New Roman" w:cs="Times New Roman"/>
          <w:vertAlign w:val="superscript"/>
        </w:rPr>
        <w:t>7</w:t>
      </w:r>
      <w:r w:rsidRPr="004A3F55">
        <w:rPr>
          <w:rFonts w:ascii="Times New Roman" w:hAnsi="Times New Roman" w:cs="Times New Roman"/>
        </w:rPr>
        <w:t xml:space="preserve"> Kopien/µl verdünnt und in </w:t>
      </w:r>
      <w:r w:rsidRPr="004A3F55">
        <w:rPr>
          <w:rFonts w:ascii="Times New Roman" w:hAnsi="Times New Roman" w:cs="Times New Roman"/>
          <w:color w:val="FF0000"/>
        </w:rPr>
        <w:t xml:space="preserve">dekadischen Verdünnungsstufen </w:t>
      </w:r>
      <w:r w:rsidRPr="004A3F55">
        <w:rPr>
          <w:rFonts w:ascii="Times New Roman" w:hAnsi="Times New Roman" w:cs="Times New Roman"/>
        </w:rPr>
        <w:t xml:space="preserve">bis zu 2 </w:t>
      </w:r>
      <w:r w:rsidRPr="004A3F55">
        <w:rPr>
          <w:rFonts w:ascii="Cambria Math" w:hAnsi="Cambria Math" w:cs="Cambria Math"/>
        </w:rPr>
        <w:t>∗</w:t>
      </w:r>
      <w:r w:rsidRPr="004A3F55">
        <w:rPr>
          <w:rFonts w:ascii="Times New Roman" w:hAnsi="Times New Roman" w:cs="Times New Roman"/>
        </w:rPr>
        <w:t xml:space="preserve"> 10</w:t>
      </w:r>
      <w:r w:rsidRPr="004A3F55">
        <w:rPr>
          <w:rFonts w:ascii="Times New Roman" w:hAnsi="Times New Roman" w:cs="Times New Roman"/>
          <w:vertAlign w:val="superscript"/>
        </w:rPr>
        <w:t>0</w:t>
      </w:r>
      <w:r w:rsidRPr="004A3F55">
        <w:rPr>
          <w:rFonts w:ascii="Times New Roman" w:hAnsi="Times New Roman" w:cs="Times New Roman"/>
        </w:rPr>
        <w:t xml:space="preserve"> in jeweils einer Mehrfachbestimmung von n=7 auf eine Amplifikation getestet. Dabei wurde jeweils die </w:t>
      </w:r>
      <w:r w:rsidRPr="004A3F55">
        <w:rPr>
          <w:rFonts w:ascii="Times New Roman" w:hAnsi="Times New Roman" w:cs="Times New Roman"/>
        </w:rPr>
        <w:lastRenderedPageBreak/>
        <w:t>Verdünnungsreihe innerhalb der 50 µl RPA (Methode siehe Kapitel 2.3.2.1) und der 8tel RPA (Methode siehe Kapitel 2.3.2.2) gemessen. Die beiden Systeme wurden dabei mit den in Kapitel 3.1.5 angegebenen optimalen Reaktionsparametern durchgeführt. Eine Unterbrechung der Messung durch einen Mischschritt nach 5 Minuten erfolgte in der 50 µl RPA bei RNA-Konzentrationen von 10</w:t>
      </w:r>
      <w:r w:rsidRPr="004A3F55">
        <w:rPr>
          <w:rFonts w:ascii="Times New Roman" w:hAnsi="Times New Roman" w:cs="Times New Roman"/>
          <w:vertAlign w:val="superscript"/>
        </w:rPr>
        <w:t>4</w:t>
      </w:r>
      <w:r w:rsidRPr="004A3F55">
        <w:rPr>
          <w:rFonts w:ascii="Times New Roman" w:hAnsi="Times New Roman" w:cs="Times New Roman"/>
        </w:rPr>
        <w:t xml:space="preserve"> Molekülen/µl und niedriger. Bei der 8tel RPA wurde die Messung durch den benannten Mischschritt bei 10</w:t>
      </w:r>
      <w:r w:rsidRPr="004A3F55">
        <w:rPr>
          <w:rFonts w:ascii="Times New Roman" w:hAnsi="Times New Roman" w:cs="Times New Roman"/>
          <w:vertAlign w:val="superscript"/>
        </w:rPr>
        <w:t>2</w:t>
      </w:r>
      <w:r w:rsidRPr="004A3F55">
        <w:rPr>
          <w:rFonts w:ascii="Times New Roman" w:hAnsi="Times New Roman" w:cs="Times New Roman"/>
        </w:rPr>
        <w:t xml:space="preserve"> Molekülen/µl und niedriger unterbrochen. Die normalisierten Fluoreszenzdaten der Amplifikationen sind in Abbildung 5A und B gezeigt. Die Auswertung de</w:t>
      </w:r>
      <w:r w:rsidR="00F94E65" w:rsidRPr="004A3F55">
        <w:rPr>
          <w:rFonts w:ascii="Times New Roman" w:hAnsi="Times New Roman" w:cs="Times New Roman"/>
        </w:rPr>
        <w:t>r Daten wurde mit der in Kapitel 2.1.3 beschriebenen Methode durchgeführt. Die ermittelten TT-Werte sowie deren linearer Zusammenhang bei verschiedenen Konzentrationen sind für beide Assays im Anhang unter Abbildung @</w:t>
      </w:r>
      <w:proofErr w:type="gramStart"/>
      <w:r w:rsidR="00F94E65" w:rsidRPr="004A3F55">
        <w:rPr>
          <w:rFonts w:ascii="Times New Roman" w:hAnsi="Times New Roman" w:cs="Times New Roman"/>
        </w:rPr>
        <w:t>ref(</w:t>
      </w:r>
      <w:proofErr w:type="gramEnd"/>
      <w:r w:rsidR="00F94E65" w:rsidRPr="004A3F55">
        <w:rPr>
          <w:rFonts w:ascii="Times New Roman" w:hAnsi="Times New Roman" w:cs="Times New Roman"/>
        </w:rPr>
        <w:t xml:space="preserve">fig:..) gezeigt. Für die 50 µl RPA konnte eine Geradengleichung von </w:t>
      </w:r>
      <w:r w:rsidR="00F94E65" w:rsidRPr="004A3F55">
        <w:rPr>
          <w:rFonts w:ascii="Cambria Math" w:hAnsi="Cambria Math" w:cs="Cambria Math"/>
        </w:rPr>
        <w:t>𝑦</w:t>
      </w:r>
      <w:r w:rsidR="00F94E65" w:rsidRPr="004A3F55">
        <w:rPr>
          <w:rFonts w:ascii="Times New Roman" w:hAnsi="Times New Roman" w:cs="Times New Roman"/>
        </w:rPr>
        <w:t xml:space="preserve"> = 11−1, 3</w:t>
      </w:r>
      <w:r w:rsidR="00F94E65" w:rsidRPr="004A3F55">
        <w:rPr>
          <w:rFonts w:ascii="Cambria Math" w:hAnsi="Cambria Math" w:cs="Cambria Math"/>
        </w:rPr>
        <w:t>𝑥</w:t>
      </w:r>
      <w:r w:rsidR="00F94E65" w:rsidRPr="004A3F55">
        <w:rPr>
          <w:rFonts w:ascii="Times New Roman" w:hAnsi="Times New Roman" w:cs="Times New Roman"/>
        </w:rPr>
        <w:t xml:space="preserve"> mit einem Bestimmtheitsmaß von </w:t>
      </w:r>
      <w:r w:rsidR="00F94E65" w:rsidRPr="004A3F55">
        <w:rPr>
          <w:rFonts w:ascii="Cambria Math" w:hAnsi="Cambria Math" w:cs="Cambria Math"/>
        </w:rPr>
        <w:t>𝑅</w:t>
      </w:r>
      <w:r w:rsidR="00F94E65" w:rsidRPr="004A3F55">
        <w:rPr>
          <w:rFonts w:ascii="Times New Roman" w:hAnsi="Times New Roman" w:cs="Times New Roman"/>
        </w:rPr>
        <w:t>2 = 0, 93 ermittelt werden. Die 95 %</w:t>
      </w:r>
      <w:proofErr w:type="spellStart"/>
      <w:r w:rsidR="00F94E65" w:rsidRPr="004A3F55">
        <w:rPr>
          <w:rFonts w:ascii="Times New Roman" w:hAnsi="Times New Roman" w:cs="Times New Roman"/>
        </w:rPr>
        <w:t>ige</w:t>
      </w:r>
      <w:proofErr w:type="spellEnd"/>
      <w:r w:rsidR="00F94E65" w:rsidRPr="004A3F55">
        <w:rPr>
          <w:rFonts w:ascii="Times New Roman" w:hAnsi="Times New Roman" w:cs="Times New Roman"/>
        </w:rPr>
        <w:t xml:space="preserve"> Detektionswahrscheinlichkeit liegt hier, wie in </w:t>
      </w:r>
      <w:r w:rsidR="00A21A21" w:rsidRPr="004A3F55">
        <w:rPr>
          <w:rFonts w:ascii="Times New Roman" w:hAnsi="Times New Roman" w:cs="Times New Roman"/>
        </w:rPr>
        <w:t>Abbildung</w:t>
      </w:r>
      <w:r w:rsidR="00F94E65" w:rsidRPr="004A3F55">
        <w:rPr>
          <w:rFonts w:ascii="Times New Roman" w:hAnsi="Times New Roman" w:cs="Times New Roman"/>
        </w:rPr>
        <w:t xml:space="preserve"> 5C gezeigt, bei 31,6 RNA-Molekülen. Für die 8tel RPA konnte eine Detektionsgrenze von 14,6 Kopien ermittelt werden (siehe Abbildung 5D. Um die in Abbildung 5B gezeigten Ausreißer der TT-</w:t>
      </w:r>
      <w:r w:rsidR="005F01CB" w:rsidRPr="004A3F55">
        <w:rPr>
          <w:rFonts w:ascii="Times New Roman" w:hAnsi="Times New Roman" w:cs="Times New Roman"/>
        </w:rPr>
        <w:t>Werte</w:t>
      </w:r>
      <w:r w:rsidR="00F94E65" w:rsidRPr="004A3F55">
        <w:rPr>
          <w:rFonts w:ascii="Times New Roman" w:hAnsi="Times New Roman" w:cs="Times New Roman"/>
        </w:rPr>
        <w:t xml:space="preserve"> aus dem linearen Zusammenhang zu entfernen, wurde der in Kapitel 2.1.4 beschriebene Ausreißertest für die jeweiligen Konzentrationen durchgeführt. Somit konnte eine Geradengleichung von </w:t>
      </w:r>
      <w:r w:rsidR="00F94E65" w:rsidRPr="004A3F55">
        <w:rPr>
          <w:rFonts w:ascii="Cambria Math" w:hAnsi="Cambria Math" w:cs="Cambria Math"/>
        </w:rPr>
        <w:t>𝑦</w:t>
      </w:r>
      <w:r w:rsidR="00F94E65" w:rsidRPr="004A3F55">
        <w:rPr>
          <w:rFonts w:ascii="Times New Roman" w:hAnsi="Times New Roman" w:cs="Times New Roman"/>
        </w:rPr>
        <w:t xml:space="preserve"> = 9, 4 − 0, 95</w:t>
      </w:r>
      <w:r w:rsidR="00F94E65" w:rsidRPr="004A3F55">
        <w:rPr>
          <w:rFonts w:ascii="Cambria Math" w:hAnsi="Cambria Math" w:cs="Cambria Math"/>
        </w:rPr>
        <w:t>𝑥</w:t>
      </w:r>
      <w:r w:rsidR="00F94E65" w:rsidRPr="004A3F55">
        <w:rPr>
          <w:rFonts w:ascii="Times New Roman" w:hAnsi="Times New Roman" w:cs="Times New Roman"/>
        </w:rPr>
        <w:t xml:space="preserve"> mit einem Bestimmtheitsmaß von </w:t>
      </w:r>
      <w:r w:rsidR="00F94E65" w:rsidRPr="004A3F55">
        <w:rPr>
          <w:rFonts w:ascii="Cambria Math" w:hAnsi="Cambria Math" w:cs="Cambria Math"/>
        </w:rPr>
        <w:t>𝑅</w:t>
      </w:r>
      <w:r w:rsidR="00F94E65" w:rsidRPr="004A3F55">
        <w:rPr>
          <w:rFonts w:ascii="Times New Roman" w:hAnsi="Times New Roman" w:cs="Times New Roman"/>
        </w:rPr>
        <w:t xml:space="preserve">2 = 0, 92 berechnet werden. Zusätzlich wurde für die 8tel RPA eine dekadische Konzentrationsreihe ab 2 </w:t>
      </w:r>
      <w:r w:rsidR="00F94E65" w:rsidRPr="004A3F55">
        <w:rPr>
          <w:rFonts w:ascii="Cambria Math" w:hAnsi="Cambria Math" w:cs="Cambria Math"/>
        </w:rPr>
        <w:t>∗</w:t>
      </w:r>
      <w:r w:rsidR="00F94E65" w:rsidRPr="004A3F55">
        <w:rPr>
          <w:rFonts w:ascii="Times New Roman" w:hAnsi="Times New Roman" w:cs="Times New Roman"/>
        </w:rPr>
        <w:t xml:space="preserve"> 104 RNA-Kopien/µl abwärts in einem humanen </w:t>
      </w:r>
      <w:r w:rsidR="000308FB" w:rsidRPr="004A3F55">
        <w:rPr>
          <w:rFonts w:ascii="Times New Roman" w:hAnsi="Times New Roman" w:cs="Times New Roman"/>
        </w:rPr>
        <w:t>RNA-Probenhintergrund</w:t>
      </w:r>
      <w:r w:rsidR="00F94E65" w:rsidRPr="004A3F55">
        <w:rPr>
          <w:rFonts w:ascii="Times New Roman" w:hAnsi="Times New Roman" w:cs="Times New Roman"/>
        </w:rPr>
        <w:t xml:space="preserve"> gemessen (n=6), um die Sensitivität unter klinisch simulierten Bedingungen zu ermitteln. Dazu wurden die untersuchten Proben wie in Kapitel 2.2.8 beschrieben hergestellt. Alle Messungen wurden mit den in Kapitel 3.1.5 angegebenen optimalen Reaktionsparam</w:t>
      </w:r>
      <w:r w:rsidR="00181FA4">
        <w:rPr>
          <w:rFonts w:ascii="Times New Roman" w:hAnsi="Times New Roman" w:cs="Times New Roman"/>
        </w:rPr>
        <w:t>e</w:t>
      </w:r>
      <w:r w:rsidR="00F94E65" w:rsidRPr="004A3F55">
        <w:rPr>
          <w:rFonts w:ascii="Times New Roman" w:hAnsi="Times New Roman" w:cs="Times New Roman"/>
        </w:rPr>
        <w:t xml:space="preserve">tern durchgeführt. Als weitere Negativkontrolle wurde der RNA-Extrakt ohne zugesetzte Virus-RNA mitgeführt. Alle Proben mit einer Konzentration von 2 </w:t>
      </w:r>
      <w:r w:rsidR="00F94E65" w:rsidRPr="004A3F55">
        <w:rPr>
          <w:rFonts w:ascii="Cambria Math" w:hAnsi="Cambria Math" w:cs="Cambria Math"/>
        </w:rPr>
        <w:t>∗</w:t>
      </w:r>
      <w:r w:rsidR="00F94E65" w:rsidRPr="004A3F55">
        <w:rPr>
          <w:rFonts w:ascii="Times New Roman" w:hAnsi="Times New Roman" w:cs="Times New Roman"/>
        </w:rPr>
        <w:t xml:space="preserve"> 10</w:t>
      </w:r>
      <w:r w:rsidR="00F94E65" w:rsidRPr="004A3F55">
        <w:rPr>
          <w:rFonts w:ascii="Times New Roman" w:hAnsi="Times New Roman" w:cs="Times New Roman"/>
          <w:vertAlign w:val="superscript"/>
        </w:rPr>
        <w:t>3</w:t>
      </w:r>
      <w:r w:rsidR="00F94E65" w:rsidRPr="004A3F55">
        <w:rPr>
          <w:rFonts w:ascii="Times New Roman" w:hAnsi="Times New Roman" w:cs="Times New Roman"/>
        </w:rPr>
        <w:t xml:space="preserve"> Virus RNA Molekülen konnten detektiert werden (siehe Abbildung ?? im Anhang). Bei 10</w:t>
      </w:r>
      <w:r w:rsidR="00F94E65" w:rsidRPr="004A3F55">
        <w:rPr>
          <w:rFonts w:ascii="Times New Roman" w:hAnsi="Times New Roman" w:cs="Times New Roman"/>
          <w:vertAlign w:val="superscript"/>
        </w:rPr>
        <w:t>2</w:t>
      </w:r>
      <w:r w:rsidR="00F94E65" w:rsidRPr="004A3F55">
        <w:rPr>
          <w:rFonts w:ascii="Times New Roman" w:hAnsi="Times New Roman" w:cs="Times New Roman"/>
        </w:rPr>
        <w:t xml:space="preserve"> </w:t>
      </w:r>
      <w:r w:rsidR="00181FA4" w:rsidRPr="004A3F55">
        <w:rPr>
          <w:rFonts w:ascii="Times New Roman" w:hAnsi="Times New Roman" w:cs="Times New Roman"/>
        </w:rPr>
        <w:t>RNA-Molekülen</w:t>
      </w:r>
      <w:r w:rsidR="00F94E65" w:rsidRPr="004A3F55">
        <w:rPr>
          <w:rFonts w:ascii="Times New Roman" w:hAnsi="Times New Roman" w:cs="Times New Roman"/>
        </w:rPr>
        <w:t xml:space="preserve"> konnte keine Probe als Positiv detektiert werden. Als neue 95 %</w:t>
      </w:r>
      <w:proofErr w:type="spellStart"/>
      <w:r w:rsidR="00F94E65" w:rsidRPr="004A3F55">
        <w:rPr>
          <w:rFonts w:ascii="Times New Roman" w:hAnsi="Times New Roman" w:cs="Times New Roman"/>
        </w:rPr>
        <w:t>ige</w:t>
      </w:r>
      <w:proofErr w:type="spellEnd"/>
      <w:r w:rsidR="00F94E65" w:rsidRPr="004A3F55">
        <w:rPr>
          <w:rFonts w:ascii="Times New Roman" w:hAnsi="Times New Roman" w:cs="Times New Roman"/>
        </w:rPr>
        <w:t xml:space="preserve"> Detektionsgrenze konnten 1397 Kopien errechnet werden. Somit lässt sich ein Verlust an Sensitivität in dem simulierten humanen </w:t>
      </w:r>
      <w:proofErr w:type="gramStart"/>
      <w:r w:rsidR="00F94E65" w:rsidRPr="004A3F55">
        <w:rPr>
          <w:rFonts w:ascii="Times New Roman" w:hAnsi="Times New Roman" w:cs="Times New Roman"/>
        </w:rPr>
        <w:t>RNA Probenhintergrund</w:t>
      </w:r>
      <w:proofErr w:type="gramEnd"/>
      <w:r w:rsidR="00F94E65" w:rsidRPr="004A3F55">
        <w:rPr>
          <w:rFonts w:ascii="Times New Roman" w:hAnsi="Times New Roman" w:cs="Times New Roman"/>
        </w:rPr>
        <w:t xml:space="preserve"> feststellen. Eine </w:t>
      </w:r>
      <w:proofErr w:type="spellStart"/>
      <w:r w:rsidR="00F94E65" w:rsidRPr="004A3F55">
        <w:rPr>
          <w:rFonts w:ascii="Times New Roman" w:hAnsi="Times New Roman" w:cs="Times New Roman"/>
        </w:rPr>
        <w:t>Kreuzreaktivität</w:t>
      </w:r>
      <w:proofErr w:type="spellEnd"/>
      <w:r w:rsidR="00F94E65" w:rsidRPr="004A3F55">
        <w:rPr>
          <w:rFonts w:ascii="Times New Roman" w:hAnsi="Times New Roman" w:cs="Times New Roman"/>
        </w:rPr>
        <w:t xml:space="preserve"> mit humaner Proben-RNA konnte nicht beobachtet werden.</w:t>
      </w:r>
    </w:p>
    <w:p w14:paraId="4D21C8E0" w14:textId="7543CC0F" w:rsidR="00310F8D" w:rsidRDefault="00310F8D" w:rsidP="00B43B35">
      <w:pPr>
        <w:spacing w:line="360" w:lineRule="auto"/>
      </w:pPr>
      <w:r>
        <w:rPr>
          <w:noProof/>
        </w:rPr>
        <w:lastRenderedPageBreak/>
        <w:drawing>
          <wp:inline distT="0" distB="0" distL="0" distR="0" wp14:anchorId="44F86505" wp14:editId="08E07C2A">
            <wp:extent cx="5760720" cy="53803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380355"/>
                    </a:xfrm>
                    <a:prstGeom prst="rect">
                      <a:avLst/>
                    </a:prstGeom>
                  </pic:spPr>
                </pic:pic>
              </a:graphicData>
            </a:graphic>
          </wp:inline>
        </w:drawing>
      </w:r>
    </w:p>
    <w:p w14:paraId="7D707EDC" w14:textId="77777777" w:rsidR="00310F8D" w:rsidRDefault="00310F8D" w:rsidP="00B43B35">
      <w:pPr>
        <w:spacing w:line="360" w:lineRule="auto"/>
      </w:pPr>
    </w:p>
    <w:p w14:paraId="56FC8541" w14:textId="77777777" w:rsidR="00310F8D" w:rsidRDefault="00310F8D" w:rsidP="00B43B35">
      <w:pPr>
        <w:spacing w:line="360" w:lineRule="auto"/>
      </w:pPr>
    </w:p>
    <w:p w14:paraId="440146FE" w14:textId="77777777" w:rsidR="00310F8D" w:rsidRDefault="00310F8D" w:rsidP="00B43B35">
      <w:pPr>
        <w:spacing w:line="360" w:lineRule="auto"/>
      </w:pPr>
    </w:p>
    <w:p w14:paraId="1936D684" w14:textId="77777777" w:rsidR="00310F8D" w:rsidRDefault="00310F8D" w:rsidP="00B43B35">
      <w:pPr>
        <w:spacing w:line="360" w:lineRule="auto"/>
      </w:pPr>
    </w:p>
    <w:p w14:paraId="396079FD" w14:textId="77777777" w:rsidR="00310F8D" w:rsidRDefault="00310F8D" w:rsidP="00B43B35">
      <w:pPr>
        <w:spacing w:line="360" w:lineRule="auto"/>
      </w:pPr>
    </w:p>
    <w:p w14:paraId="1D5A4DA0" w14:textId="77777777" w:rsidR="00B80342" w:rsidRDefault="00B80342" w:rsidP="00B43B35">
      <w:pPr>
        <w:spacing w:line="360" w:lineRule="auto"/>
      </w:pPr>
    </w:p>
    <w:p w14:paraId="14BE7E48" w14:textId="77777777" w:rsidR="00B80342" w:rsidRDefault="00B80342" w:rsidP="00B43B35">
      <w:pPr>
        <w:spacing w:line="360" w:lineRule="auto"/>
      </w:pPr>
    </w:p>
    <w:p w14:paraId="5F567E10" w14:textId="77777777" w:rsidR="00B80342" w:rsidRDefault="00B80342" w:rsidP="00B43B35">
      <w:pPr>
        <w:spacing w:line="360" w:lineRule="auto"/>
      </w:pPr>
    </w:p>
    <w:p w14:paraId="6DC74902" w14:textId="77777777" w:rsidR="00B80342" w:rsidRDefault="00B80342" w:rsidP="00B43B35">
      <w:pPr>
        <w:spacing w:line="360" w:lineRule="auto"/>
      </w:pPr>
    </w:p>
    <w:p w14:paraId="2CAE22A1" w14:textId="77777777" w:rsidR="00B80342" w:rsidRDefault="00B80342" w:rsidP="00B43B35">
      <w:pPr>
        <w:spacing w:line="360" w:lineRule="auto"/>
      </w:pPr>
    </w:p>
    <w:p w14:paraId="75B0951C" w14:textId="77777777" w:rsidR="00B80342" w:rsidRDefault="00B80342" w:rsidP="00B43B35">
      <w:pPr>
        <w:spacing w:line="360" w:lineRule="auto"/>
      </w:pPr>
    </w:p>
    <w:p w14:paraId="6AF9E33F" w14:textId="77777777" w:rsidR="00B80342" w:rsidRDefault="00B80342" w:rsidP="00B43B35">
      <w:pPr>
        <w:spacing w:line="360" w:lineRule="auto"/>
      </w:pPr>
    </w:p>
    <w:p w14:paraId="1E96AE61" w14:textId="77777777" w:rsidR="00B80342" w:rsidRDefault="00B80342" w:rsidP="00B43B35">
      <w:pPr>
        <w:spacing w:line="360" w:lineRule="auto"/>
      </w:pPr>
    </w:p>
    <w:p w14:paraId="14BF3C63" w14:textId="77777777" w:rsidR="00B80342" w:rsidRDefault="00B80342" w:rsidP="00B43B35">
      <w:pPr>
        <w:spacing w:line="360" w:lineRule="auto"/>
      </w:pPr>
    </w:p>
    <w:p w14:paraId="491FF3A0" w14:textId="77777777" w:rsidR="00B80342" w:rsidRDefault="00B80342" w:rsidP="00B43B35">
      <w:pPr>
        <w:spacing w:line="360" w:lineRule="auto"/>
      </w:pPr>
    </w:p>
    <w:p w14:paraId="3DFC54E9" w14:textId="77777777" w:rsidR="00B80342" w:rsidRDefault="00B80342" w:rsidP="00B43B35">
      <w:pPr>
        <w:spacing w:line="360" w:lineRule="auto"/>
      </w:pPr>
    </w:p>
    <w:p w14:paraId="318E876C" w14:textId="77777777" w:rsidR="00B80342" w:rsidRDefault="00B80342" w:rsidP="00B43B35">
      <w:pPr>
        <w:spacing w:line="360" w:lineRule="auto"/>
      </w:pPr>
    </w:p>
    <w:p w14:paraId="1CADAF4C" w14:textId="77777777" w:rsidR="00B80342" w:rsidRDefault="00B80342" w:rsidP="00B43B35">
      <w:pPr>
        <w:spacing w:line="360" w:lineRule="auto"/>
      </w:pPr>
    </w:p>
    <w:p w14:paraId="56C034AC" w14:textId="77777777" w:rsidR="00B80342" w:rsidRDefault="00B80342" w:rsidP="00B43B35">
      <w:pPr>
        <w:spacing w:line="360" w:lineRule="auto"/>
      </w:pPr>
    </w:p>
    <w:p w14:paraId="025C5F45" w14:textId="77777777" w:rsidR="00B80342" w:rsidRDefault="00B80342" w:rsidP="00B43B35">
      <w:pPr>
        <w:spacing w:line="360" w:lineRule="auto"/>
      </w:pPr>
    </w:p>
    <w:p w14:paraId="4AABCA6C" w14:textId="77777777" w:rsidR="00B80342" w:rsidRDefault="00B80342" w:rsidP="00B43B35">
      <w:pPr>
        <w:spacing w:line="360" w:lineRule="auto"/>
      </w:pPr>
    </w:p>
    <w:p w14:paraId="6E93CDF8" w14:textId="77777777" w:rsidR="00B80342" w:rsidRDefault="00B80342" w:rsidP="00B43B35">
      <w:pPr>
        <w:spacing w:line="360" w:lineRule="auto"/>
      </w:pPr>
    </w:p>
    <w:p w14:paraId="4FE18427" w14:textId="77777777" w:rsidR="00B80342" w:rsidRDefault="00B80342"/>
    <w:p w14:paraId="696990AA" w14:textId="77777777" w:rsidR="00B80342" w:rsidRDefault="00B80342"/>
    <w:p w14:paraId="4EA4B2F3" w14:textId="77777777" w:rsidR="00B80342" w:rsidRDefault="00B80342"/>
    <w:p w14:paraId="6ED77CF1" w14:textId="77777777" w:rsidR="00B80342" w:rsidRDefault="00B80342"/>
    <w:p w14:paraId="65961F1B" w14:textId="77777777" w:rsidR="00B80342" w:rsidRDefault="00B80342"/>
    <w:p w14:paraId="2DFC37F7" w14:textId="77777777" w:rsidR="00B80342" w:rsidRDefault="00B80342"/>
    <w:p w14:paraId="3A2C1C2C" w14:textId="77777777" w:rsidR="00B80342" w:rsidRDefault="00B80342"/>
    <w:p w14:paraId="72623B13" w14:textId="77777777" w:rsidR="00B80342" w:rsidRDefault="00B80342"/>
    <w:p w14:paraId="23DD63CD" w14:textId="77777777" w:rsidR="00B80342" w:rsidRDefault="00B80342"/>
    <w:p w14:paraId="6729CEC3" w14:textId="77777777" w:rsidR="00B80342" w:rsidRDefault="00B80342"/>
    <w:p w14:paraId="498DCFA8" w14:textId="77777777" w:rsidR="00B80342" w:rsidRDefault="00B80342"/>
    <w:p w14:paraId="7E6384D2" w14:textId="77777777" w:rsidR="00B80342" w:rsidRDefault="00B80342"/>
    <w:p w14:paraId="44073705" w14:textId="77777777" w:rsidR="00B80342" w:rsidRDefault="00B80342"/>
    <w:p w14:paraId="3C5F0831" w14:textId="77777777" w:rsidR="00B80342" w:rsidRDefault="00B80342"/>
    <w:p w14:paraId="78159C72" w14:textId="77777777" w:rsidR="00B80342" w:rsidRDefault="00B80342"/>
    <w:p w14:paraId="0C42885C" w14:textId="77777777" w:rsidR="00B80342" w:rsidRDefault="00B80342"/>
    <w:p w14:paraId="19FA904C" w14:textId="77777777" w:rsidR="00B80342" w:rsidRDefault="00B80342"/>
    <w:p w14:paraId="59B5781C" w14:textId="77777777" w:rsidR="00B80342" w:rsidRDefault="00B80342"/>
    <w:p w14:paraId="6A7888FB" w14:textId="77777777" w:rsidR="00B80342" w:rsidRDefault="00B80342"/>
    <w:p w14:paraId="0C2B0066" w14:textId="77777777" w:rsidR="00B80342" w:rsidRDefault="00B80342"/>
    <w:p w14:paraId="6AF4E25E" w14:textId="77777777" w:rsidR="00B80342" w:rsidRDefault="00B80342"/>
    <w:p w14:paraId="5763F758" w14:textId="77777777" w:rsidR="00B80342" w:rsidRDefault="00B80342"/>
    <w:p w14:paraId="07500E09" w14:textId="77777777" w:rsidR="00B80342" w:rsidRDefault="00B80342"/>
    <w:p w14:paraId="4F6DA8DC" w14:textId="77777777" w:rsidR="00B80342" w:rsidRDefault="00B80342"/>
    <w:p w14:paraId="72E474C6" w14:textId="77777777" w:rsidR="00B80342" w:rsidRDefault="00B80342"/>
    <w:p w14:paraId="3A87D53D" w14:textId="77777777" w:rsidR="00B80342" w:rsidRDefault="00B80342"/>
    <w:p w14:paraId="5DB973C4" w14:textId="77777777" w:rsidR="00B80342" w:rsidRDefault="00B80342"/>
    <w:p w14:paraId="0CB94806" w14:textId="77777777" w:rsidR="00B80342" w:rsidRDefault="00B80342"/>
    <w:p w14:paraId="735FBC59" w14:textId="77777777" w:rsidR="00B80342" w:rsidRDefault="00B80342"/>
    <w:p w14:paraId="61B2B2DE" w14:textId="77777777" w:rsidR="00B80342" w:rsidRDefault="00B80342"/>
    <w:p w14:paraId="44934F01" w14:textId="77777777" w:rsidR="00B80342" w:rsidRDefault="00B80342"/>
    <w:p w14:paraId="66708792" w14:textId="77777777" w:rsidR="00B80342" w:rsidRDefault="00B80342"/>
    <w:p w14:paraId="5B41A554" w14:textId="77777777" w:rsidR="00B80342" w:rsidRDefault="00B80342"/>
    <w:p w14:paraId="7513F20B" w14:textId="77777777" w:rsidR="00B80342" w:rsidRDefault="00B80342"/>
    <w:p w14:paraId="4E780798" w14:textId="77777777" w:rsidR="00B80342" w:rsidRDefault="00B80342"/>
    <w:p w14:paraId="33F8A57E" w14:textId="77777777" w:rsidR="00B80342" w:rsidRDefault="00B80342"/>
    <w:p w14:paraId="24782BBB" w14:textId="77777777" w:rsidR="00B80342" w:rsidRDefault="00B80342"/>
    <w:p w14:paraId="74177E92" w14:textId="77777777" w:rsidR="00B80342" w:rsidRDefault="00B80342"/>
    <w:p w14:paraId="24778915" w14:textId="77777777" w:rsidR="00B80342" w:rsidRDefault="00B80342"/>
    <w:p w14:paraId="66E7F6DC" w14:textId="77777777" w:rsidR="00B80342" w:rsidRDefault="00B80342"/>
    <w:p w14:paraId="63E88014" w14:textId="77777777" w:rsidR="00B80342" w:rsidRDefault="00B80342"/>
    <w:p w14:paraId="67A13297" w14:textId="77777777" w:rsidR="00B80342" w:rsidRDefault="00B80342"/>
    <w:p w14:paraId="6DEDD54B" w14:textId="77777777" w:rsidR="00B80342" w:rsidRDefault="00B80342"/>
    <w:p w14:paraId="58DB62DB" w14:textId="77777777" w:rsidR="00B80342" w:rsidRDefault="00B80342"/>
    <w:p w14:paraId="1E7AEB87" w14:textId="77777777" w:rsidR="00B80342" w:rsidRDefault="00B80342"/>
    <w:p w14:paraId="5DD128F3" w14:textId="77777777" w:rsidR="00B80342" w:rsidRDefault="00B80342"/>
    <w:p w14:paraId="3BAC4015" w14:textId="77777777" w:rsidR="00B80342" w:rsidRDefault="00B80342"/>
    <w:p w14:paraId="157A6DF1" w14:textId="77777777" w:rsidR="00B80342" w:rsidRDefault="00B80342"/>
    <w:p w14:paraId="4DB8DC98" w14:textId="77777777" w:rsidR="00B80342" w:rsidRDefault="00B80342"/>
    <w:p w14:paraId="655A8B6A" w14:textId="77777777" w:rsidR="00B80342" w:rsidRDefault="00B80342"/>
    <w:p w14:paraId="5A8492DD" w14:textId="77777777" w:rsidR="00B80342" w:rsidRDefault="00B80342"/>
    <w:p w14:paraId="309FF2D4" w14:textId="77777777" w:rsidR="00B80342" w:rsidRDefault="00B80342"/>
    <w:p w14:paraId="69559F67" w14:textId="77777777" w:rsidR="00B80342" w:rsidRDefault="00B80342"/>
    <w:p w14:paraId="371A3740" w14:textId="77777777" w:rsidR="00B80342" w:rsidRDefault="00B80342"/>
    <w:p w14:paraId="6C8CB2C7" w14:textId="77777777" w:rsidR="00B80342" w:rsidRDefault="00B80342"/>
    <w:p w14:paraId="3A3AE2A6" w14:textId="77777777" w:rsidR="00B80342" w:rsidRDefault="00B80342"/>
    <w:p w14:paraId="6027E4BC" w14:textId="77777777" w:rsidR="00B80342" w:rsidRDefault="00B80342"/>
    <w:p w14:paraId="1E7D9049" w14:textId="77777777" w:rsidR="00B80342" w:rsidRDefault="00B80342"/>
    <w:p w14:paraId="0A683DB9" w14:textId="77777777" w:rsidR="00B80342" w:rsidRDefault="00B80342"/>
    <w:p w14:paraId="1EECD329" w14:textId="77777777" w:rsidR="00B80342" w:rsidRDefault="00B80342"/>
    <w:p w14:paraId="4A96A75B" w14:textId="77777777" w:rsidR="00B80342" w:rsidRDefault="00B80342"/>
    <w:p w14:paraId="43CD7F9B" w14:textId="77777777" w:rsidR="00B80342" w:rsidRDefault="00B80342"/>
    <w:p w14:paraId="08CB2141" w14:textId="77777777" w:rsidR="00B80342" w:rsidRDefault="00B80342"/>
    <w:p w14:paraId="432DCD2B" w14:textId="77777777" w:rsidR="00B80342" w:rsidRDefault="00B80342"/>
    <w:p w14:paraId="4FF0BBC8" w14:textId="77777777" w:rsidR="00B80342" w:rsidRDefault="00B80342"/>
    <w:p w14:paraId="57F1B68C" w14:textId="77777777" w:rsidR="00B80342" w:rsidRDefault="00B80342"/>
    <w:p w14:paraId="4A81DB7C" w14:textId="77777777" w:rsidR="00B80342" w:rsidRDefault="00B80342"/>
    <w:p w14:paraId="662CA122" w14:textId="77777777" w:rsidR="00B80342" w:rsidRDefault="00B80342"/>
    <w:p w14:paraId="65D3F7D1" w14:textId="77777777" w:rsidR="00B80342" w:rsidRDefault="00B80342"/>
    <w:p w14:paraId="4311F6DB" w14:textId="77777777" w:rsidR="00B80342" w:rsidRDefault="00B80342"/>
    <w:p w14:paraId="39B04A00" w14:textId="77777777" w:rsidR="00B80342" w:rsidRDefault="00B80342"/>
    <w:p w14:paraId="7EC3BCA7" w14:textId="77777777" w:rsidR="00B80342" w:rsidRDefault="00B80342"/>
    <w:p w14:paraId="6B9378CA" w14:textId="77777777" w:rsidR="00B80342" w:rsidRDefault="00B80342"/>
    <w:p w14:paraId="41FF51E5" w14:textId="77777777" w:rsidR="00B80342" w:rsidRDefault="00B80342"/>
    <w:p w14:paraId="3B5D5680" w14:textId="77777777" w:rsidR="00B80342" w:rsidRDefault="00B80342"/>
    <w:p w14:paraId="655D0D28" w14:textId="77777777" w:rsidR="00B80342" w:rsidRDefault="00B80342"/>
    <w:p w14:paraId="39E22D38" w14:textId="77777777" w:rsidR="00B80342" w:rsidRDefault="00B80342"/>
    <w:p w14:paraId="1647205B" w14:textId="77777777" w:rsidR="00B80342" w:rsidRDefault="00B80342"/>
    <w:p w14:paraId="411087DA" w14:textId="77777777" w:rsidR="00B80342" w:rsidRDefault="00B80342"/>
    <w:p w14:paraId="3BDB5EE5" w14:textId="77777777" w:rsidR="00B80342" w:rsidRDefault="00B80342"/>
    <w:p w14:paraId="105AFB69" w14:textId="77777777" w:rsidR="00B80342" w:rsidRDefault="00B80342"/>
    <w:p w14:paraId="75914158" w14:textId="77777777" w:rsidR="00B80342" w:rsidRDefault="00B80342"/>
    <w:p w14:paraId="5F80FC98" w14:textId="77777777" w:rsidR="00B80342" w:rsidRDefault="00B80342"/>
    <w:p w14:paraId="7EFB5ECB" w14:textId="77777777" w:rsidR="00B80342" w:rsidRDefault="00B80342"/>
    <w:p w14:paraId="55A1A8C4" w14:textId="77777777" w:rsidR="00B80342" w:rsidRDefault="00B80342"/>
    <w:p w14:paraId="2A8DF7A5" w14:textId="77777777" w:rsidR="00B80342" w:rsidRDefault="00B80342"/>
    <w:p w14:paraId="0A58E428" w14:textId="77777777" w:rsidR="00B80342" w:rsidRDefault="00B80342"/>
    <w:p w14:paraId="11EA3D58" w14:textId="77777777" w:rsidR="00B80342" w:rsidRDefault="00B80342"/>
    <w:p w14:paraId="4E835F14" w14:textId="77777777" w:rsidR="00B80342" w:rsidRDefault="00B80342"/>
    <w:p w14:paraId="4B5A401D" w14:textId="77777777" w:rsidR="00B80342" w:rsidRDefault="00B80342"/>
    <w:p w14:paraId="07A94CA6" w14:textId="77777777" w:rsidR="00B80342" w:rsidRDefault="00B80342"/>
    <w:p w14:paraId="3EEE5160" w14:textId="77777777" w:rsidR="00B80342" w:rsidRDefault="00B80342"/>
    <w:p w14:paraId="46CBDB14" w14:textId="77777777" w:rsidR="00B80342" w:rsidRDefault="00B80342"/>
    <w:p w14:paraId="44FA8EAA" w14:textId="77777777" w:rsidR="00B80342" w:rsidRDefault="00B80342"/>
    <w:p w14:paraId="3BBB1DBB" w14:textId="77777777" w:rsidR="00B80342" w:rsidRDefault="00B80342"/>
    <w:p w14:paraId="384D9BA5" w14:textId="77777777" w:rsidR="00B80342" w:rsidRDefault="00B80342"/>
    <w:p w14:paraId="2F601715" w14:textId="77777777" w:rsidR="00B80342" w:rsidRDefault="00B80342"/>
    <w:p w14:paraId="19B47C1C" w14:textId="77777777" w:rsidR="00B80342" w:rsidRDefault="00B80342"/>
    <w:p w14:paraId="6434E2BA" w14:textId="77777777" w:rsidR="00B80342" w:rsidRDefault="00B80342"/>
    <w:p w14:paraId="5B558DF6" w14:textId="77777777" w:rsidR="00B80342" w:rsidRDefault="00B80342"/>
    <w:p w14:paraId="7144FF65" w14:textId="77777777" w:rsidR="00B80342" w:rsidRDefault="00B80342"/>
    <w:p w14:paraId="408F8333" w14:textId="77777777" w:rsidR="00B80342" w:rsidRDefault="00B80342"/>
    <w:p w14:paraId="5CC552E8" w14:textId="77777777" w:rsidR="00B80342" w:rsidRDefault="00B80342"/>
    <w:p w14:paraId="4165A69F" w14:textId="77777777" w:rsidR="00B80342" w:rsidRDefault="00B80342"/>
    <w:p w14:paraId="26516254" w14:textId="77777777" w:rsidR="00B80342" w:rsidRDefault="00B80342"/>
    <w:p w14:paraId="7FA0401C" w14:textId="77777777" w:rsidR="00B80342" w:rsidRDefault="00B80342"/>
    <w:p w14:paraId="43EF4691" w14:textId="77777777" w:rsidR="00B80342" w:rsidRDefault="00B80342"/>
    <w:p w14:paraId="514B2714" w14:textId="77777777" w:rsidR="00B80342" w:rsidRDefault="00B80342"/>
    <w:p w14:paraId="3619CBD9" w14:textId="77777777" w:rsidR="00B80342" w:rsidRDefault="00B80342"/>
    <w:p w14:paraId="2F259322" w14:textId="77777777" w:rsidR="00B80342" w:rsidRDefault="00B80342"/>
    <w:p w14:paraId="768DEB81" w14:textId="77777777" w:rsidR="00B80342" w:rsidRDefault="00B80342"/>
    <w:sectPr w:rsidR="00B8034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A5"/>
    <w:rsid w:val="00001DC6"/>
    <w:rsid w:val="00002A31"/>
    <w:rsid w:val="00005ED1"/>
    <w:rsid w:val="00017EE7"/>
    <w:rsid w:val="000308FB"/>
    <w:rsid w:val="00033925"/>
    <w:rsid w:val="000623DC"/>
    <w:rsid w:val="0007305A"/>
    <w:rsid w:val="00127053"/>
    <w:rsid w:val="0013484D"/>
    <w:rsid w:val="00180D10"/>
    <w:rsid w:val="00181FA4"/>
    <w:rsid w:val="001A2929"/>
    <w:rsid w:val="001C775F"/>
    <w:rsid w:val="001D7C22"/>
    <w:rsid w:val="00254B62"/>
    <w:rsid w:val="00291F9E"/>
    <w:rsid w:val="00292F1D"/>
    <w:rsid w:val="00310F8D"/>
    <w:rsid w:val="00314DAA"/>
    <w:rsid w:val="00326700"/>
    <w:rsid w:val="00366AC1"/>
    <w:rsid w:val="003857AD"/>
    <w:rsid w:val="003A4D58"/>
    <w:rsid w:val="003D50DE"/>
    <w:rsid w:val="003F1AAB"/>
    <w:rsid w:val="003F21A5"/>
    <w:rsid w:val="0046469F"/>
    <w:rsid w:val="004840A9"/>
    <w:rsid w:val="004841C5"/>
    <w:rsid w:val="004A3A26"/>
    <w:rsid w:val="004A3F55"/>
    <w:rsid w:val="004C48AA"/>
    <w:rsid w:val="004D1F5E"/>
    <w:rsid w:val="004D6DD7"/>
    <w:rsid w:val="00503EEC"/>
    <w:rsid w:val="0051247D"/>
    <w:rsid w:val="00527ACA"/>
    <w:rsid w:val="00554454"/>
    <w:rsid w:val="005935E5"/>
    <w:rsid w:val="005951ED"/>
    <w:rsid w:val="005B3616"/>
    <w:rsid w:val="005D7860"/>
    <w:rsid w:val="005E29DB"/>
    <w:rsid w:val="005F01CB"/>
    <w:rsid w:val="006737AA"/>
    <w:rsid w:val="006A700F"/>
    <w:rsid w:val="006F6C5D"/>
    <w:rsid w:val="00735A4F"/>
    <w:rsid w:val="007445B6"/>
    <w:rsid w:val="00761547"/>
    <w:rsid w:val="007879A1"/>
    <w:rsid w:val="007B4110"/>
    <w:rsid w:val="007B6B7C"/>
    <w:rsid w:val="007D2CF9"/>
    <w:rsid w:val="008B75C4"/>
    <w:rsid w:val="00902023"/>
    <w:rsid w:val="00905960"/>
    <w:rsid w:val="0091600E"/>
    <w:rsid w:val="00917B49"/>
    <w:rsid w:val="00921A85"/>
    <w:rsid w:val="0092270A"/>
    <w:rsid w:val="00996795"/>
    <w:rsid w:val="009B1E10"/>
    <w:rsid w:val="009E0018"/>
    <w:rsid w:val="009F403A"/>
    <w:rsid w:val="00A06FC5"/>
    <w:rsid w:val="00A10064"/>
    <w:rsid w:val="00A171D9"/>
    <w:rsid w:val="00A21A21"/>
    <w:rsid w:val="00A443D5"/>
    <w:rsid w:val="00A56237"/>
    <w:rsid w:val="00A77F1E"/>
    <w:rsid w:val="00B05A1A"/>
    <w:rsid w:val="00B43B35"/>
    <w:rsid w:val="00B5710A"/>
    <w:rsid w:val="00B80342"/>
    <w:rsid w:val="00BD7F04"/>
    <w:rsid w:val="00C032DC"/>
    <w:rsid w:val="00CD04B3"/>
    <w:rsid w:val="00CD3343"/>
    <w:rsid w:val="00CE2F9B"/>
    <w:rsid w:val="00D72A9B"/>
    <w:rsid w:val="00D91AAD"/>
    <w:rsid w:val="00DB6A50"/>
    <w:rsid w:val="00DE08B5"/>
    <w:rsid w:val="00DF042E"/>
    <w:rsid w:val="00E01777"/>
    <w:rsid w:val="00E15989"/>
    <w:rsid w:val="00E209EC"/>
    <w:rsid w:val="00E25935"/>
    <w:rsid w:val="00E45DBF"/>
    <w:rsid w:val="00E4740A"/>
    <w:rsid w:val="00E81140"/>
    <w:rsid w:val="00E93363"/>
    <w:rsid w:val="00EA648F"/>
    <w:rsid w:val="00EB1656"/>
    <w:rsid w:val="00EC4E85"/>
    <w:rsid w:val="00ED2451"/>
    <w:rsid w:val="00F40159"/>
    <w:rsid w:val="00F4057A"/>
    <w:rsid w:val="00F50366"/>
    <w:rsid w:val="00F77AE0"/>
    <w:rsid w:val="00F94E65"/>
    <w:rsid w:val="00F95D5B"/>
    <w:rsid w:val="00FB3450"/>
    <w:rsid w:val="00FB3695"/>
    <w:rsid w:val="00FE4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CA72"/>
  <w15:chartTrackingRefBased/>
  <w15:docId w15:val="{1D617C23-C45D-4FB0-890F-92773CF5C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4838</Words>
  <Characters>30486</Characters>
  <Application>Microsoft Office Word</Application>
  <DocSecurity>0</DocSecurity>
  <Lines>254</Lines>
  <Paragraphs>70</Paragraphs>
  <ScaleCrop>false</ScaleCrop>
  <Company/>
  <LinksUpToDate>false</LinksUpToDate>
  <CharactersWithSpaces>35254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Rublack</dc:creator>
  <cp:keywords/>
  <dc:description/>
  <cp:lastModifiedBy>Julius Rublack</cp:lastModifiedBy>
  <cp:revision>105</cp:revision>
  <dcterms:created xsi:type="dcterms:W3CDTF">2022-12-20T07:40:00Z</dcterms:created>
  <dcterms:modified xsi:type="dcterms:W3CDTF">2022-12-20T10:23:00Z</dcterms:modified>
</cp:coreProperties>
</file>