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EF7E" w14:textId="77777777" w:rsidR="00073CCF" w:rsidRDefault="0064621C">
      <w:pPr>
        <w:spacing w:after="141" w:line="259" w:lineRule="auto"/>
        <w:ind w:left="18" w:hanging="10"/>
        <w:jc w:val="left"/>
      </w:pPr>
      <w:r>
        <w:rPr>
          <w:b/>
          <w:sz w:val="29"/>
        </w:rPr>
        <w:t>Inhaltsverzeichnis</w:t>
      </w:r>
    </w:p>
    <w:sdt>
      <w:sdtPr>
        <w:rPr>
          <w:b w:val="0"/>
        </w:rPr>
        <w:id w:val="699211375"/>
        <w:docPartObj>
          <w:docPartGallery w:val="Table of Contents"/>
        </w:docPartObj>
      </w:sdtPr>
      <w:sdtEndPr/>
      <w:sdtContent>
        <w:p w14:paraId="3C6C748A" w14:textId="77777777" w:rsidR="00073CCF" w:rsidRDefault="0064621C">
          <w:pPr>
            <w:pStyle w:val="Verzeichnis1"/>
            <w:tabs>
              <w:tab w:val="right" w:leader="dot" w:pos="10065"/>
            </w:tabs>
          </w:pPr>
          <w:r>
            <w:fldChar w:fldCharType="begin"/>
          </w:r>
          <w:r>
            <w:instrText xml:space="preserve"> TOC \o "1-2" \h \z \u </w:instrText>
          </w:r>
          <w:r>
            <w:fldChar w:fldCharType="separate"/>
          </w:r>
          <w:hyperlink w:anchor="_Toc18342">
            <w:r>
              <w:t>1 Diskussion</w:t>
            </w:r>
            <w:r>
              <w:tab/>
            </w:r>
            <w:r>
              <w:fldChar w:fldCharType="begin"/>
            </w:r>
            <w:r>
              <w:instrText>PAGEREF _Toc18342 \h</w:instrText>
            </w:r>
            <w:r>
              <w:fldChar w:fldCharType="separate"/>
            </w:r>
            <w:r>
              <w:t>2</w:t>
            </w:r>
            <w:r>
              <w:fldChar w:fldCharType="end"/>
            </w:r>
          </w:hyperlink>
        </w:p>
        <w:p w14:paraId="27BF9BB7" w14:textId="77777777" w:rsidR="00073CCF" w:rsidRDefault="0064621C">
          <w:pPr>
            <w:pStyle w:val="Verzeichnis2"/>
            <w:tabs>
              <w:tab w:val="right" w:leader="dot" w:pos="10065"/>
            </w:tabs>
          </w:pPr>
          <w:hyperlink w:anchor="_Toc18343">
            <w:r>
              <w:t>1.1 Design der Primer und deren Einfluss auf die RT-RPA</w:t>
            </w:r>
            <w:r>
              <w:tab/>
            </w:r>
            <w:r>
              <w:fldChar w:fldCharType="begin"/>
            </w:r>
            <w:r>
              <w:instrText>PAGEREF _Toc18343 \h</w:instrText>
            </w:r>
            <w:r>
              <w:fldChar w:fldCharType="separate"/>
            </w:r>
            <w:r>
              <w:t>2</w:t>
            </w:r>
            <w:r>
              <w:fldChar w:fldCharType="end"/>
            </w:r>
          </w:hyperlink>
        </w:p>
        <w:p w14:paraId="7CC57D30" w14:textId="77777777" w:rsidR="00073CCF" w:rsidRDefault="0064621C">
          <w:pPr>
            <w:pStyle w:val="Verzeichnis2"/>
            <w:tabs>
              <w:tab w:val="right" w:leader="dot" w:pos="10065"/>
            </w:tabs>
          </w:pPr>
          <w:hyperlink w:anchor="_Toc18344">
            <w:r>
              <w:t>1.2 Vorteile der low-Volume RPA hinsichtlich Mischzeitpunkt und Sensitivität</w:t>
            </w:r>
            <w:r>
              <w:tab/>
            </w:r>
            <w:r>
              <w:fldChar w:fldCharType="begin"/>
            </w:r>
            <w:r>
              <w:instrText>PAGEREF _Toc18344 \h</w:instrText>
            </w:r>
            <w:r>
              <w:fldChar w:fldCharType="separate"/>
            </w:r>
            <w:r>
              <w:t>4</w:t>
            </w:r>
            <w:r>
              <w:fldChar w:fldCharType="end"/>
            </w:r>
          </w:hyperlink>
        </w:p>
        <w:p w14:paraId="3F60A61B" w14:textId="77777777" w:rsidR="00073CCF" w:rsidRDefault="0064621C">
          <w:pPr>
            <w:pStyle w:val="Verzeichnis2"/>
            <w:tabs>
              <w:tab w:val="right" w:leader="dot" w:pos="10065"/>
            </w:tabs>
          </w:pPr>
          <w:hyperlink w:anchor="_Toc18345">
            <w:r>
              <w:t>1.3 Vergleich der ermittelten Sensitivitäten mit PCR-Assays</w:t>
            </w:r>
            <w:r>
              <w:tab/>
            </w:r>
            <w:r>
              <w:fldChar w:fldCharType="begin"/>
            </w:r>
            <w:r>
              <w:instrText>PAGEREF _Toc18345 \h</w:instrText>
            </w:r>
            <w:r>
              <w:fldChar w:fldCharType="separate"/>
            </w:r>
            <w:r>
              <w:t>5</w:t>
            </w:r>
            <w:r>
              <w:fldChar w:fldCharType="end"/>
            </w:r>
          </w:hyperlink>
        </w:p>
        <w:p w14:paraId="79D12376" w14:textId="77777777" w:rsidR="00073CCF" w:rsidRDefault="0064621C">
          <w:pPr>
            <w:pStyle w:val="Verzeichnis2"/>
            <w:tabs>
              <w:tab w:val="right" w:leader="dot" w:pos="10065"/>
            </w:tabs>
          </w:pPr>
          <w:hyperlink w:anchor="_Toc18346">
            <w:r>
              <w:t xml:space="preserve">1.4 Entwicklung der asymmetrischen </w:t>
            </w:r>
            <w:r>
              <w:rPr>
                <w:i/>
              </w:rPr>
              <w:t xml:space="preserve">real time </w:t>
            </w:r>
            <w:r>
              <w:t>RT-RPA</w:t>
            </w:r>
            <w:r>
              <w:tab/>
            </w:r>
            <w:r>
              <w:fldChar w:fldCharType="begin"/>
            </w:r>
            <w:r>
              <w:instrText>PAGEREF _Toc18346 \h</w:instrText>
            </w:r>
            <w:r>
              <w:fldChar w:fldCharType="separate"/>
            </w:r>
            <w:r>
              <w:t>7</w:t>
            </w:r>
            <w:r>
              <w:fldChar w:fldCharType="end"/>
            </w:r>
          </w:hyperlink>
        </w:p>
        <w:p w14:paraId="674A54E9" w14:textId="77777777" w:rsidR="00073CCF" w:rsidRDefault="0064621C">
          <w:pPr>
            <w:pStyle w:val="Verzeichnis2"/>
            <w:tabs>
              <w:tab w:val="right" w:leader="dot" w:pos="10065"/>
            </w:tabs>
          </w:pPr>
          <w:hyperlink w:anchor="_Toc18347">
            <w:r>
              <w:t>1.5 Einfluss der Exo-Sondenmodifikation auf die RT-RPA</w:t>
            </w:r>
            <w:r>
              <w:tab/>
            </w:r>
            <w:r>
              <w:fldChar w:fldCharType="begin"/>
            </w:r>
            <w:r>
              <w:instrText>PAGEREF _Toc18347 \h</w:instrText>
            </w:r>
            <w:r>
              <w:fldChar w:fldCharType="separate"/>
            </w:r>
            <w:r>
              <w:t>8</w:t>
            </w:r>
            <w:r>
              <w:fldChar w:fldCharType="end"/>
            </w:r>
          </w:hyperlink>
        </w:p>
        <w:p w14:paraId="29A84FFA" w14:textId="77777777" w:rsidR="00073CCF" w:rsidRDefault="0064621C">
          <w:pPr>
            <w:pStyle w:val="Verzeichnis2"/>
            <w:tabs>
              <w:tab w:val="right" w:leader="dot" w:pos="10065"/>
            </w:tabs>
          </w:pPr>
          <w:hyperlink w:anchor="_Toc18348">
            <w:r>
              <w:t>1.6 Das Ditching innerhalb der RT-RPA</w:t>
            </w:r>
            <w:r>
              <w:tab/>
            </w:r>
            <w:r>
              <w:fldChar w:fldCharType="begin"/>
            </w:r>
            <w:r>
              <w:instrText>PAGEREF _Toc</w:instrText>
            </w:r>
            <w:r>
              <w:instrText>18348 \h</w:instrText>
            </w:r>
            <w:r>
              <w:fldChar w:fldCharType="separate"/>
            </w:r>
            <w:r>
              <w:t>9</w:t>
            </w:r>
            <w:r>
              <w:fldChar w:fldCharType="end"/>
            </w:r>
          </w:hyperlink>
        </w:p>
        <w:p w14:paraId="391101C9" w14:textId="77777777" w:rsidR="00073CCF" w:rsidRDefault="0064621C">
          <w:pPr>
            <w:pStyle w:val="Verzeichnis2"/>
            <w:tabs>
              <w:tab w:val="right" w:leader="dot" w:pos="10065"/>
            </w:tabs>
          </w:pPr>
          <w:hyperlink w:anchor="_Toc18349">
            <w:r>
              <w:t>1.7 Automatische Auswertung der Amplifikationen mittels Statistik</w:t>
            </w:r>
            <w:r>
              <w:tab/>
            </w:r>
            <w:r>
              <w:fldChar w:fldCharType="begin"/>
            </w:r>
            <w:r>
              <w:instrText>PAGEREF _Toc18349 \h</w:instrText>
            </w:r>
            <w:r>
              <w:fldChar w:fldCharType="separate"/>
            </w:r>
            <w:r>
              <w:t>10</w:t>
            </w:r>
            <w:r>
              <w:fldChar w:fldCharType="end"/>
            </w:r>
          </w:hyperlink>
        </w:p>
        <w:p w14:paraId="5C7E5F4C" w14:textId="77777777" w:rsidR="00073CCF" w:rsidRDefault="0064621C">
          <w:pPr>
            <w:pStyle w:val="Verzeichnis1"/>
            <w:tabs>
              <w:tab w:val="right" w:leader="dot" w:pos="10065"/>
            </w:tabs>
          </w:pPr>
          <w:hyperlink w:anchor="_Toc18350">
            <w:r>
              <w:t>2 Zusammenfassung und Ausblick</w:t>
            </w:r>
            <w:r>
              <w:tab/>
            </w:r>
            <w:r>
              <w:fldChar w:fldCharType="begin"/>
            </w:r>
            <w:r>
              <w:instrText>PAGEREF _Toc18350 \h</w:instrText>
            </w:r>
            <w:r>
              <w:fldChar w:fldCharType="separate"/>
            </w:r>
            <w:r>
              <w:t>11</w:t>
            </w:r>
            <w:r>
              <w:fldChar w:fldCharType="end"/>
            </w:r>
          </w:hyperlink>
        </w:p>
        <w:p w14:paraId="771ADA4C" w14:textId="77777777" w:rsidR="00073CCF" w:rsidRDefault="0064621C">
          <w:r>
            <w:fldChar w:fldCharType="end"/>
          </w:r>
        </w:p>
      </w:sdtContent>
    </w:sdt>
    <w:p w14:paraId="5C3580D5" w14:textId="77777777" w:rsidR="00073CCF" w:rsidRDefault="0064621C">
      <w:pPr>
        <w:spacing w:after="61" w:line="259" w:lineRule="auto"/>
        <w:ind w:left="18" w:hanging="10"/>
        <w:jc w:val="left"/>
      </w:pPr>
      <w:r>
        <w:br w:type="page"/>
      </w:r>
    </w:p>
    <w:p w14:paraId="0B9C4286" w14:textId="77777777" w:rsidR="00073CCF" w:rsidRDefault="0064621C">
      <w:pPr>
        <w:pStyle w:val="berschrift1"/>
        <w:ind w:left="456" w:hanging="448"/>
      </w:pPr>
      <w:bookmarkStart w:id="0" w:name="_Toc18342"/>
      <w:r>
        <w:lastRenderedPageBreak/>
        <w:t>Diskussion</w:t>
      </w:r>
      <w:bookmarkEnd w:id="0"/>
    </w:p>
    <w:p w14:paraId="04B0CBAD" w14:textId="77777777" w:rsidR="00073CCF" w:rsidRDefault="0064621C">
      <w:pPr>
        <w:spacing w:after="0"/>
        <w:ind w:left="11" w:right="640"/>
      </w:pPr>
      <w:r>
        <w:t>Influenza Viren sind eine der bedeutendsten viralen Atemwegs-Infektionserkrankungen mit mehr als 300.000 jährlichen Todesfällen weltweit. Die Antivirale Therapie unterliegt einer starken Zeitanhängigkeit und muss spezifisch für die verschiedenen Subtypen a</w:t>
      </w:r>
      <w:r>
        <w:t>ngepasst werden, was eine frühzeitige Detektion für den Behandlungserfolg unerlässlich macht.</w:t>
      </w:r>
    </w:p>
    <w:p w14:paraId="0D8259C8" w14:textId="77777777" w:rsidR="00073CCF" w:rsidRDefault="0064621C">
      <w:pPr>
        <w:spacing w:after="0"/>
        <w:ind w:left="11" w:right="640"/>
      </w:pPr>
      <w:r>
        <w:t>Ziel der Arbeit ist es jeweils ein RT-RPA Nachweissystem zur Detektion der Influenza A und B Viren für die Point-</w:t>
      </w:r>
      <w:proofErr w:type="spellStart"/>
      <w:r>
        <w:t>of</w:t>
      </w:r>
      <w:proofErr w:type="spellEnd"/>
      <w:r>
        <w:t>-care Diagnostik zu Entwickeln und dieses zu Op</w:t>
      </w:r>
      <w:r>
        <w:t xml:space="preserve">timieren. Zusätzlich sollte der Einfluss einer </w:t>
      </w:r>
      <w:proofErr w:type="spellStart"/>
      <w:r>
        <w:t>Primerasymmetrie</w:t>
      </w:r>
      <w:proofErr w:type="spellEnd"/>
      <w:r>
        <w:t xml:space="preserve"> und verschiedener </w:t>
      </w:r>
      <w:proofErr w:type="spellStart"/>
      <w:r>
        <w:t>Sondenmodifikationen</w:t>
      </w:r>
      <w:proofErr w:type="spellEnd"/>
      <w:r>
        <w:t xml:space="preserve"> auf die RT-RPA untersucht werden.</w:t>
      </w:r>
    </w:p>
    <w:p w14:paraId="5CBB0E65" w14:textId="77777777" w:rsidR="00073CCF" w:rsidRDefault="0064621C">
      <w:pPr>
        <w:spacing w:after="0"/>
        <w:ind w:left="11" w:right="640"/>
      </w:pPr>
      <w:r>
        <w:t>Es konnten RT-</w:t>
      </w:r>
      <w:proofErr w:type="spellStart"/>
      <w:r>
        <w:t>RPA’s</w:t>
      </w:r>
      <w:proofErr w:type="spellEnd"/>
      <w:r>
        <w:t xml:space="preserve"> für die Detektion der Influenza A und B Viren entwickelt werden, wobei die Influenza B RT-RPA als P</w:t>
      </w:r>
      <w:r>
        <w:t>an-Influenza B Nachweis dient und die Influenza A RT-RPA die Subtypen H1N1 und H3N2</w:t>
      </w:r>
    </w:p>
    <w:p w14:paraId="0F241023" w14:textId="77777777" w:rsidR="00073CCF" w:rsidRDefault="0064621C">
      <w:pPr>
        <w:spacing w:after="332"/>
        <w:ind w:left="11" w:right="640"/>
      </w:pPr>
      <w:r>
        <w:t xml:space="preserve">Detektieren kann. Des Weiteren konnte ein positiver Effekt einer </w:t>
      </w:r>
      <w:proofErr w:type="spellStart"/>
      <w:r>
        <w:t>Primerasymmetrie</w:t>
      </w:r>
      <w:proofErr w:type="spellEnd"/>
      <w:r>
        <w:t xml:space="preserve"> auf die RPA festgestellt werden, welcher jedoch im Zusammenhang mit der Hybridisierungspos</w:t>
      </w:r>
      <w:r>
        <w:t xml:space="preserve">ition der Sonde steht. Ebenfalls konnte anhand der Influenza A RT-RPA ein Einfluss des </w:t>
      </w:r>
      <w:proofErr w:type="spellStart"/>
      <w:r>
        <w:t>Sondendesings</w:t>
      </w:r>
      <w:proofErr w:type="spellEnd"/>
      <w:r>
        <w:t xml:space="preserve"> hinsichtlich </w:t>
      </w:r>
      <w:proofErr w:type="spellStart"/>
      <w:r>
        <w:rPr>
          <w:i/>
        </w:rPr>
        <w:t>dt-Quenched</w:t>
      </w:r>
      <w:proofErr w:type="spellEnd"/>
      <w:r>
        <w:rPr>
          <w:i/>
        </w:rPr>
        <w:t xml:space="preserve"> </w:t>
      </w:r>
      <w:r>
        <w:t xml:space="preserve">und </w:t>
      </w:r>
      <w:proofErr w:type="spellStart"/>
      <w:r>
        <w:rPr>
          <w:i/>
        </w:rPr>
        <w:t>internally</w:t>
      </w:r>
      <w:proofErr w:type="spellEnd"/>
      <w:r>
        <w:rPr>
          <w:i/>
        </w:rPr>
        <w:t xml:space="preserve"> </w:t>
      </w:r>
      <w:proofErr w:type="spellStart"/>
      <w:r>
        <w:rPr>
          <w:i/>
        </w:rPr>
        <w:t>Quenched</w:t>
      </w:r>
      <w:proofErr w:type="spellEnd"/>
      <w:r>
        <w:rPr>
          <w:i/>
        </w:rPr>
        <w:t xml:space="preserve"> </w:t>
      </w:r>
      <w:r>
        <w:t xml:space="preserve">festgestellt werden, wobei die </w:t>
      </w:r>
      <w:proofErr w:type="spellStart"/>
      <w:r>
        <w:rPr>
          <w:i/>
        </w:rPr>
        <w:t>dt-Quenched</w:t>
      </w:r>
      <w:proofErr w:type="spellEnd"/>
      <w:r>
        <w:rPr>
          <w:i/>
        </w:rPr>
        <w:t xml:space="preserve"> </w:t>
      </w:r>
      <w:r>
        <w:t xml:space="preserve">Sonde zu einer erhöhten Sensitivität im Vergleich zu der </w:t>
      </w:r>
      <w:proofErr w:type="spellStart"/>
      <w:r>
        <w:rPr>
          <w:i/>
        </w:rPr>
        <w:t>intern</w:t>
      </w:r>
      <w:r>
        <w:rPr>
          <w:i/>
        </w:rPr>
        <w:t>ally</w:t>
      </w:r>
      <w:proofErr w:type="spellEnd"/>
      <w:r>
        <w:rPr>
          <w:i/>
        </w:rPr>
        <w:t xml:space="preserve"> </w:t>
      </w:r>
      <w:proofErr w:type="spellStart"/>
      <w:r>
        <w:rPr>
          <w:i/>
        </w:rPr>
        <w:t>Quenched</w:t>
      </w:r>
      <w:proofErr w:type="spellEnd"/>
      <w:r>
        <w:rPr>
          <w:i/>
        </w:rPr>
        <w:t xml:space="preserve"> </w:t>
      </w:r>
      <w:r>
        <w:t>Sonde führt.</w:t>
      </w:r>
    </w:p>
    <w:p w14:paraId="758BC137" w14:textId="77777777" w:rsidR="00073CCF" w:rsidRDefault="0064621C">
      <w:pPr>
        <w:pStyle w:val="berschrift2"/>
        <w:ind w:left="591" w:hanging="583"/>
      </w:pPr>
      <w:bookmarkStart w:id="1" w:name="_Toc18343"/>
      <w:r>
        <w:t>Design der Primer und deren Einfluss auf die RT-RPA</w:t>
      </w:r>
      <w:bookmarkEnd w:id="1"/>
    </w:p>
    <w:p w14:paraId="0D804528" w14:textId="77777777" w:rsidR="00073CCF" w:rsidRDefault="0064621C">
      <w:pPr>
        <w:spacing w:after="52" w:line="259" w:lineRule="auto"/>
        <w:ind w:left="11" w:right="640"/>
      </w:pPr>
      <w:r>
        <w:t>Bei der Wahl des Amplifikationsbereiches für die Influenza B RT-RPA wurde sich für das Genomsegment</w:t>
      </w:r>
    </w:p>
    <w:p w14:paraId="0CE9D1D9" w14:textId="77777777" w:rsidR="00073CCF" w:rsidRDefault="0064621C">
      <w:pPr>
        <w:spacing w:after="3"/>
        <w:ind w:left="11" w:right="640"/>
      </w:pPr>
      <w:r>
        <w:t>8 entschieden. Dabei wurde sich an der Literatur von RT-PCR Systemen orientiert (</w:t>
      </w:r>
      <w:proofErr w:type="spellStart"/>
      <w:r>
        <w:rPr>
          <w:color w:val="4169E1"/>
        </w:rPr>
        <w:t>Goffard</w:t>
      </w:r>
      <w:proofErr w:type="spellEnd"/>
      <w:r>
        <w:rPr>
          <w:color w:val="4169E1"/>
        </w:rPr>
        <w:t xml:space="preserve"> </w:t>
      </w:r>
      <w:r>
        <w:rPr>
          <w:i/>
          <w:color w:val="4169E1"/>
        </w:rPr>
        <w:t xml:space="preserve">et al. </w:t>
      </w:r>
      <w:r>
        <w:rPr>
          <w:color w:val="4169E1"/>
        </w:rPr>
        <w:t>2008</w:t>
      </w:r>
      <w:r>
        <w:t xml:space="preserve">; </w:t>
      </w:r>
      <w:r>
        <w:rPr>
          <w:color w:val="4169E1"/>
        </w:rPr>
        <w:t>NCIRD 2021</w:t>
      </w:r>
      <w:r>
        <w:t>). Da bei Influenza B im Gegensatz zu Influe</w:t>
      </w:r>
      <w:r>
        <w:t>nza A eine geringere Mutationsrate vorliegt und zusätzlich keine großen Antigenen Veränderungen der Oberflächenproteine beobachtet wurden (</w:t>
      </w:r>
      <w:r>
        <w:rPr>
          <w:color w:val="4169E1"/>
        </w:rPr>
        <w:t xml:space="preserve">Paterson </w:t>
      </w:r>
      <w:r>
        <w:rPr>
          <w:i/>
          <w:color w:val="4169E1"/>
        </w:rPr>
        <w:t>et</w:t>
      </w:r>
    </w:p>
    <w:p w14:paraId="01241BCC" w14:textId="77777777" w:rsidR="00073CCF" w:rsidRDefault="0064621C">
      <w:pPr>
        <w:spacing w:after="0"/>
        <w:ind w:left="11" w:right="640"/>
      </w:pPr>
      <w:r>
        <w:rPr>
          <w:i/>
          <w:color w:val="4169E1"/>
        </w:rPr>
        <w:t xml:space="preserve">al. </w:t>
      </w:r>
      <w:r>
        <w:rPr>
          <w:color w:val="4169E1"/>
        </w:rPr>
        <w:t>2003</w:t>
      </w:r>
      <w:r>
        <w:t xml:space="preserve">; </w:t>
      </w:r>
      <w:r>
        <w:rPr>
          <w:color w:val="4169E1"/>
        </w:rPr>
        <w:t>Chen &amp; Holmes 2008</w:t>
      </w:r>
      <w:r>
        <w:t xml:space="preserve">) konnten wie in Kapitel </w:t>
      </w:r>
      <w:r>
        <w:rPr>
          <w:b/>
        </w:rPr>
        <w:t xml:space="preserve">?? </w:t>
      </w:r>
      <w:r>
        <w:t>angegeben keine Differenzen zwischen verschiedene</w:t>
      </w:r>
      <w:r>
        <w:t>n Stämmen in dem entsprechenden Genomsegment festgestellt werden. Dementsprechend kann davon ausgegangen werden, dass der gewählte Amplifikationsbereich geeignet ist alle Viruslinien zu Detektieren. Für eine Differenzierung zwischen den Influenza B Virusli</w:t>
      </w:r>
      <w:r>
        <w:t xml:space="preserve">nien wird hingegen, wie von </w:t>
      </w:r>
      <w:proofErr w:type="spellStart"/>
      <w:r>
        <w:t>Nakauchi</w:t>
      </w:r>
      <w:proofErr w:type="spellEnd"/>
      <w:r>
        <w:t xml:space="preserve"> </w:t>
      </w:r>
      <w:r>
        <w:rPr>
          <w:i/>
        </w:rPr>
        <w:t xml:space="preserve">et al. </w:t>
      </w:r>
      <w:r>
        <w:t>(</w:t>
      </w:r>
      <w:r>
        <w:rPr>
          <w:color w:val="4169E1"/>
        </w:rPr>
        <w:t>2014</w:t>
      </w:r>
      <w:r>
        <w:t>) beschrieben, das HA-Protein auf dem Genomsegment 4 verwendet (</w:t>
      </w:r>
      <w:proofErr w:type="spellStart"/>
      <w:r>
        <w:rPr>
          <w:color w:val="4169E1"/>
        </w:rPr>
        <w:t>Nakauchi</w:t>
      </w:r>
      <w:proofErr w:type="spellEnd"/>
      <w:r>
        <w:rPr>
          <w:color w:val="4169E1"/>
        </w:rPr>
        <w:t xml:space="preserve"> </w:t>
      </w:r>
      <w:r>
        <w:rPr>
          <w:i/>
          <w:color w:val="4169E1"/>
        </w:rPr>
        <w:t xml:space="preserve">et al. </w:t>
      </w:r>
      <w:r>
        <w:rPr>
          <w:color w:val="4169E1"/>
        </w:rPr>
        <w:t>2014</w:t>
      </w:r>
      <w:r>
        <w:t xml:space="preserve">). Als Amplifikationsbereich für die Influenza A RT-RPA wurde das M1-Gen auf dem Genomsegment 7 gewählt, da es durch seine </w:t>
      </w:r>
      <w:r>
        <w:t>Funktion das am stärksten Konservierte Gen ist (</w:t>
      </w:r>
      <w:r>
        <w:rPr>
          <w:color w:val="4169E1"/>
        </w:rPr>
        <w:t xml:space="preserve">McCauley &amp; </w:t>
      </w:r>
      <w:proofErr w:type="spellStart"/>
      <w:r>
        <w:rPr>
          <w:color w:val="4169E1"/>
        </w:rPr>
        <w:t>Mahy</w:t>
      </w:r>
      <w:proofErr w:type="spellEnd"/>
      <w:r>
        <w:rPr>
          <w:color w:val="4169E1"/>
        </w:rPr>
        <w:t xml:space="preserve"> 1983</w:t>
      </w:r>
      <w:r>
        <w:t>). Zusätzlich wurde sich an der</w:t>
      </w:r>
    </w:p>
    <w:p w14:paraId="614B09CB" w14:textId="77777777" w:rsidR="00073CCF" w:rsidRDefault="0064621C">
      <w:pPr>
        <w:ind w:left="11" w:right="640"/>
      </w:pPr>
      <w:r>
        <w:t>Literatur für RT-PCR Systeme orientiert welche ebenfalls das M1-Gen zur Detektion Amplifizieren (</w:t>
      </w:r>
      <w:r>
        <w:rPr>
          <w:color w:val="4169E1"/>
        </w:rPr>
        <w:t xml:space="preserve">Daum </w:t>
      </w:r>
      <w:r>
        <w:rPr>
          <w:i/>
          <w:color w:val="4169E1"/>
        </w:rPr>
        <w:t xml:space="preserve">et al. </w:t>
      </w:r>
      <w:r>
        <w:rPr>
          <w:color w:val="4169E1"/>
        </w:rPr>
        <w:t>2007</w:t>
      </w:r>
      <w:r>
        <w:t xml:space="preserve">; </w:t>
      </w:r>
      <w:proofErr w:type="spellStart"/>
      <w:r>
        <w:rPr>
          <w:color w:val="4169E1"/>
        </w:rPr>
        <w:t>Suwannakarn</w:t>
      </w:r>
      <w:proofErr w:type="spellEnd"/>
      <w:r>
        <w:rPr>
          <w:color w:val="4169E1"/>
        </w:rPr>
        <w:t xml:space="preserve"> </w:t>
      </w:r>
      <w:r>
        <w:rPr>
          <w:i/>
          <w:color w:val="4169E1"/>
        </w:rPr>
        <w:t xml:space="preserve">et al. </w:t>
      </w:r>
      <w:r>
        <w:rPr>
          <w:color w:val="4169E1"/>
        </w:rPr>
        <w:t>2008</w:t>
      </w:r>
      <w:r>
        <w:t xml:space="preserve">; </w:t>
      </w:r>
      <w:r>
        <w:rPr>
          <w:color w:val="4169E1"/>
        </w:rPr>
        <w:t>NCIRD 2021</w:t>
      </w:r>
      <w:r>
        <w:t>). Tro</w:t>
      </w:r>
      <w:r>
        <w:t xml:space="preserve">tz der </w:t>
      </w:r>
      <w:proofErr w:type="spellStart"/>
      <w:r>
        <w:t>Konserviertheit</w:t>
      </w:r>
      <w:proofErr w:type="spellEnd"/>
      <w:r>
        <w:t xml:space="preserve"> des Gens besitzt das Alignement zwischen den Subtypen H1N1 und H3N2 etliche Basenfehlpaarungen, wobei die größte Homologie im Bereich zwischen 10 bp und 250 bp zu beobachten ist (siehe Abbildung </w:t>
      </w:r>
      <w:r>
        <w:rPr>
          <w:color w:val="4169E1"/>
        </w:rPr>
        <w:t>1</w:t>
      </w:r>
      <w:r>
        <w:t>). Aus diesem Grund befinden sich all</w:t>
      </w:r>
      <w:r>
        <w:t xml:space="preserve">e vom </w:t>
      </w:r>
      <w:proofErr w:type="spellStart"/>
      <w:r>
        <w:t>PrimedRPA</w:t>
      </w:r>
      <w:proofErr w:type="spellEnd"/>
      <w:r>
        <w:t xml:space="preserve"> designten und von </w:t>
      </w:r>
      <w:proofErr w:type="spellStart"/>
      <w:r>
        <w:t>Ehnts</w:t>
      </w:r>
      <w:proofErr w:type="spellEnd"/>
      <w:r>
        <w:t xml:space="preserve"> (</w:t>
      </w:r>
      <w:r>
        <w:rPr>
          <w:color w:val="4169E1"/>
        </w:rPr>
        <w:t>2013</w:t>
      </w:r>
      <w:r>
        <w:t xml:space="preserve">) entwickelten Primer (siehe Tabelle </w:t>
      </w:r>
      <w:r>
        <w:rPr>
          <w:b/>
        </w:rPr>
        <w:t>??</w:t>
      </w:r>
      <w:r>
        <w:t>) in diesem Bereich.</w:t>
      </w:r>
    </w:p>
    <w:p w14:paraId="16C3A2CA" w14:textId="77777777" w:rsidR="00073CCF" w:rsidRDefault="0064621C">
      <w:pPr>
        <w:ind w:left="11" w:right="640"/>
      </w:pPr>
      <w:r>
        <w:t xml:space="preserve">Um die Basenfehlpaarungen auszugleichen, wurden wie in Kapitel </w:t>
      </w:r>
      <w:r>
        <w:rPr>
          <w:b/>
        </w:rPr>
        <w:t xml:space="preserve">?? </w:t>
      </w:r>
      <w:r>
        <w:t>degenerierte Basen in den Primern und Sonden eingeführt, welche die Hybridisierung er</w:t>
      </w:r>
      <w:r>
        <w:t>leichtern und somit die Amplifikation verbessern (</w:t>
      </w:r>
      <w:r>
        <w:rPr>
          <w:color w:val="4169E1"/>
        </w:rPr>
        <w:t xml:space="preserve">Linhart &amp; </w:t>
      </w:r>
      <w:proofErr w:type="spellStart"/>
      <w:r>
        <w:rPr>
          <w:color w:val="4169E1"/>
        </w:rPr>
        <w:t>Shamir</w:t>
      </w:r>
      <w:proofErr w:type="spellEnd"/>
      <w:r>
        <w:rPr>
          <w:color w:val="4169E1"/>
        </w:rPr>
        <w:t xml:space="preserve"> 2005</w:t>
      </w:r>
      <w:r>
        <w:t xml:space="preserve">). Einen anderen Ansatz verfolgte Liang </w:t>
      </w:r>
      <w:r>
        <w:rPr>
          <w:i/>
        </w:rPr>
        <w:t xml:space="preserve">et al. </w:t>
      </w:r>
      <w:r>
        <w:t>(</w:t>
      </w:r>
      <w:r>
        <w:rPr>
          <w:color w:val="4169E1"/>
        </w:rPr>
        <w:t>2022</w:t>
      </w:r>
      <w:r>
        <w:t>), welcher zur Detektion der beiden Subtypen innerhalb einer RT-RPA zwei verschiedene Genomsegmente wählte (</w:t>
      </w:r>
      <w:r>
        <w:rPr>
          <w:color w:val="4169E1"/>
        </w:rPr>
        <w:t xml:space="preserve">Liang </w:t>
      </w:r>
      <w:r>
        <w:rPr>
          <w:i/>
          <w:color w:val="4169E1"/>
        </w:rPr>
        <w:t xml:space="preserve">et al. </w:t>
      </w:r>
      <w:r>
        <w:rPr>
          <w:color w:val="4169E1"/>
        </w:rPr>
        <w:t>2022</w:t>
      </w:r>
      <w:r>
        <w:t xml:space="preserve">). Dies </w:t>
      </w:r>
      <w:r>
        <w:t xml:space="preserve">hat jedoch den Nachteil, dass Liang </w:t>
      </w:r>
      <w:r>
        <w:rPr>
          <w:i/>
        </w:rPr>
        <w:t xml:space="preserve">et al. </w:t>
      </w:r>
      <w:r>
        <w:t>(</w:t>
      </w:r>
      <w:r>
        <w:rPr>
          <w:color w:val="4169E1"/>
        </w:rPr>
        <w:t>2022</w:t>
      </w:r>
      <w:r>
        <w:t>) zwei getrennte Reaktionen zum Nachweis der Influenza A Viren benötig, während die in dieser Arbeit entwickelte Influenza A RT-RPA nur eine Reaktion für ein aussagekräftiges Ergebnis erfordert.</w:t>
      </w:r>
    </w:p>
    <w:p w14:paraId="6A48EFDB" w14:textId="77777777" w:rsidR="00073CCF" w:rsidRDefault="0064621C">
      <w:pPr>
        <w:spacing w:after="278" w:line="259" w:lineRule="auto"/>
        <w:ind w:left="23" w:firstLine="0"/>
        <w:jc w:val="left"/>
      </w:pPr>
      <w:r>
        <w:rPr>
          <w:noProof/>
        </w:rPr>
        <w:lastRenderedPageBreak/>
        <w:drawing>
          <wp:inline distT="0" distB="0" distL="0" distR="0" wp14:anchorId="051872AA" wp14:editId="15F3A28D">
            <wp:extent cx="5943453" cy="905094"/>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7"/>
                    <a:stretch>
                      <a:fillRect/>
                    </a:stretch>
                  </pic:blipFill>
                  <pic:spPr>
                    <a:xfrm>
                      <a:off x="0" y="0"/>
                      <a:ext cx="5943453" cy="905094"/>
                    </a:xfrm>
                    <a:prstGeom prst="rect">
                      <a:avLst/>
                    </a:prstGeom>
                  </pic:spPr>
                </pic:pic>
              </a:graphicData>
            </a:graphic>
          </wp:inline>
        </w:drawing>
      </w:r>
    </w:p>
    <w:p w14:paraId="0B26818C" w14:textId="77777777" w:rsidR="00073CCF" w:rsidRDefault="0064621C">
      <w:pPr>
        <w:spacing w:after="398" w:line="252" w:lineRule="auto"/>
        <w:ind w:left="11" w:right="640"/>
      </w:pPr>
      <w:r>
        <w:t xml:space="preserve">Abbildung 1: </w:t>
      </w:r>
      <w:r>
        <w:rPr>
          <w:b/>
        </w:rPr>
        <w:t>Alignment zwischen den Influenza A H1N1- und H</w:t>
      </w:r>
      <w:r>
        <w:rPr>
          <w:b/>
        </w:rPr>
        <w:t xml:space="preserve">3N2-Subtyp: </w:t>
      </w:r>
      <w:r>
        <w:t>Alignement des Genomsegmentes 7 zwischen dem H1N1-Subtyp und dem H3N2-Subtyp. Der unterste Balken gibt die Sequenzlänge in bp an. Die roten Striche stehen für Basenfehlpaarungen zwischen den beiden Genomsegmenten. Der orange markierte Bereich g</w:t>
      </w:r>
      <w:r>
        <w:t>ibt den Sequenzabschnitt mit der größten Homologie an.</w:t>
      </w:r>
    </w:p>
    <w:p w14:paraId="5F449B4B" w14:textId="77777777" w:rsidR="00073CCF" w:rsidRDefault="0064621C">
      <w:pPr>
        <w:spacing w:after="59" w:line="259" w:lineRule="auto"/>
        <w:ind w:left="11" w:right="640"/>
      </w:pPr>
      <w:r>
        <w:t xml:space="preserve">Wie in Abbildung </w:t>
      </w:r>
      <w:r>
        <w:rPr>
          <w:b/>
        </w:rPr>
        <w:t xml:space="preserve">?? </w:t>
      </w:r>
      <w:r>
        <w:t xml:space="preserve">zu erkennen ist, sind die vom </w:t>
      </w:r>
      <w:proofErr w:type="spellStart"/>
      <w:r>
        <w:t>PrimedRPA</w:t>
      </w:r>
      <w:proofErr w:type="spellEnd"/>
      <w:r>
        <w:t xml:space="preserve"> Programm designten Primer für das Influenza</w:t>
      </w:r>
    </w:p>
    <w:p w14:paraId="6606785E" w14:textId="77777777" w:rsidR="00073CCF" w:rsidRDefault="0064621C">
      <w:pPr>
        <w:spacing w:after="0"/>
        <w:ind w:left="11" w:right="640"/>
      </w:pPr>
      <w:r>
        <w:t xml:space="preserve">A Virus aufgrund ihrer niedrigen Fluoreszenz und ihres späten Anstiegs </w:t>
      </w:r>
      <w:proofErr w:type="spellStart"/>
      <w:r>
        <w:t>unfunktionell</w:t>
      </w:r>
      <w:proofErr w:type="spellEnd"/>
      <w:r>
        <w:t xml:space="preserve">. Betrachtet </w:t>
      </w:r>
      <w:r>
        <w:t xml:space="preserve">man hingegen das </w:t>
      </w:r>
      <w:proofErr w:type="spellStart"/>
      <w:r>
        <w:t>Primerscreening</w:t>
      </w:r>
      <w:proofErr w:type="spellEnd"/>
      <w:r>
        <w:t xml:space="preserve"> für die Influenza B RT-RPA (siehe Abbildung </w:t>
      </w:r>
      <w:r>
        <w:rPr>
          <w:b/>
        </w:rPr>
        <w:t>??</w:t>
      </w:r>
      <w:r>
        <w:t>) zeigen alle entwickelten Primer-Sonden-Kombination eine Amplifikation und sind theoretisch funktionell. Somit ist eine deutliche</w:t>
      </w:r>
    </w:p>
    <w:p w14:paraId="21448C1C" w14:textId="77777777" w:rsidR="00073CCF" w:rsidRDefault="0064621C">
      <w:pPr>
        <w:spacing w:after="0"/>
        <w:ind w:left="11" w:right="640"/>
      </w:pPr>
      <w:r>
        <w:t xml:space="preserve">Differenz hinsichtlich der Funktionalität des </w:t>
      </w:r>
      <w:proofErr w:type="spellStart"/>
      <w:r>
        <w:t>PrimedRPA</w:t>
      </w:r>
      <w:proofErr w:type="spellEnd"/>
      <w:r>
        <w:t xml:space="preserve"> Programms für die Entwicklung von Primer-</w:t>
      </w:r>
      <w:proofErr w:type="spellStart"/>
      <w:r>
        <w:t>SondenKombinationen</w:t>
      </w:r>
      <w:proofErr w:type="spellEnd"/>
      <w:r>
        <w:t xml:space="preserve"> zu beobachten. Dies könnte an den verwendeten Sequenzvorlagen liegen, da bei Influenza A im Gegensatz zu Influenza B zwei nicht vollständig Homologe Sequenzen als Vorlage verwendet wurd</w:t>
      </w:r>
      <w:r>
        <w:t xml:space="preserve">en. Dies führte dazu, dass die entwickelten Primer und Sonden bis zu 3 Basenfehlpaarungen je nach Subtyp aufweisen. Jedoch konnte in der Literatur gezeigt werden, dass bis zu 6 Fehlpaarungen in den Primer die RPA nicht </w:t>
      </w:r>
      <w:proofErr w:type="spellStart"/>
      <w:r>
        <w:t>unfunktionell</w:t>
      </w:r>
      <w:proofErr w:type="spellEnd"/>
      <w:r>
        <w:t xml:space="preserve"> werden lassen (</w:t>
      </w:r>
      <w:r>
        <w:rPr>
          <w:color w:val="4169E1"/>
        </w:rPr>
        <w:t xml:space="preserve">Boyle </w:t>
      </w:r>
      <w:r>
        <w:rPr>
          <w:i/>
          <w:color w:val="4169E1"/>
        </w:rPr>
        <w:t>et</w:t>
      </w:r>
      <w:r>
        <w:rPr>
          <w:i/>
          <w:color w:val="4169E1"/>
        </w:rPr>
        <w:t xml:space="preserve"> al. </w:t>
      </w:r>
      <w:r>
        <w:rPr>
          <w:color w:val="4169E1"/>
        </w:rPr>
        <w:t>2013</w:t>
      </w:r>
      <w:r>
        <w:t xml:space="preserve">). Des Weiteren wurde durch Higgins </w:t>
      </w:r>
      <w:r>
        <w:rPr>
          <w:i/>
        </w:rPr>
        <w:t xml:space="preserve">et al. </w:t>
      </w:r>
      <w:r>
        <w:t>(</w:t>
      </w:r>
      <w:r>
        <w:rPr>
          <w:color w:val="4169E1"/>
        </w:rPr>
        <w:t>2022</w:t>
      </w:r>
      <w:r>
        <w:t xml:space="preserve">) und Daher </w:t>
      </w:r>
      <w:r>
        <w:rPr>
          <w:i/>
        </w:rPr>
        <w:t xml:space="preserve">et al. </w:t>
      </w:r>
      <w:r>
        <w:t>(</w:t>
      </w:r>
      <w:r>
        <w:rPr>
          <w:color w:val="4169E1"/>
        </w:rPr>
        <w:t>2015</w:t>
      </w:r>
      <w:r>
        <w:t xml:space="preserve">) gezeigt, dass vor allem </w:t>
      </w:r>
      <w:proofErr w:type="spellStart"/>
      <w:r>
        <w:t>Missmatches</w:t>
      </w:r>
      <w:proofErr w:type="spellEnd"/>
      <w:r>
        <w:t xml:space="preserve"> am 3’ und 5’-Ende des Primers die RPA inhibieren, welche nur bei dem Forward 1 Primer auftrat und durch eine degenerierte Base teilweise </w:t>
      </w:r>
      <w:r>
        <w:t>vermieden wurde (</w:t>
      </w:r>
      <w:r>
        <w:rPr>
          <w:color w:val="4169E1"/>
        </w:rPr>
        <w:t xml:space="preserve">Daher </w:t>
      </w:r>
      <w:r>
        <w:rPr>
          <w:i/>
          <w:color w:val="4169E1"/>
        </w:rPr>
        <w:t xml:space="preserve">et al. </w:t>
      </w:r>
      <w:r>
        <w:rPr>
          <w:color w:val="4169E1"/>
        </w:rPr>
        <w:t>2015</w:t>
      </w:r>
      <w:r>
        <w:t xml:space="preserve">; </w:t>
      </w:r>
      <w:r>
        <w:rPr>
          <w:color w:val="4169E1"/>
        </w:rPr>
        <w:t xml:space="preserve">Higgins </w:t>
      </w:r>
      <w:r>
        <w:rPr>
          <w:i/>
          <w:color w:val="4169E1"/>
        </w:rPr>
        <w:t xml:space="preserve">et al. </w:t>
      </w:r>
      <w:r>
        <w:rPr>
          <w:color w:val="4169E1"/>
        </w:rPr>
        <w:t>2022</w:t>
      </w:r>
      <w:r>
        <w:t xml:space="preserve">). Interessanterweise besitzt das von </w:t>
      </w:r>
      <w:proofErr w:type="spellStart"/>
      <w:r>
        <w:t>Ehnts</w:t>
      </w:r>
      <w:proofErr w:type="spellEnd"/>
      <w:r>
        <w:t xml:space="preserve"> (</w:t>
      </w:r>
      <w:r>
        <w:rPr>
          <w:color w:val="4169E1"/>
        </w:rPr>
        <w:t>2013</w:t>
      </w:r>
      <w:r>
        <w:t>) entwickelte RPA-System am 3’-Ende eine Basenfehlpaarung, welche ebenfalls durch eine degenerierte Base ausgeglichen wurde. Jedoch besitzt diese Primer</w:t>
      </w:r>
      <w:r>
        <w:t xml:space="preserve">-Sonden-Kombination von allen getestet Kombinationen die beste Amplifikation. Durch die alternativen </w:t>
      </w:r>
      <w:proofErr w:type="spellStart"/>
      <w:r>
        <w:t>forward</w:t>
      </w:r>
      <w:proofErr w:type="spellEnd"/>
      <w:r>
        <w:t xml:space="preserve"> Primer (E.2 und E.3) wurde versucht, diese Fehlpaarung zu gänzlich zu vermeiden, jedoch liegt die Amplifikation nahezu gleich bzw. leicht hinter de</w:t>
      </w:r>
      <w:r>
        <w:t xml:space="preserve">n von </w:t>
      </w:r>
      <w:proofErr w:type="spellStart"/>
      <w:r>
        <w:t>Ehnts</w:t>
      </w:r>
      <w:proofErr w:type="spellEnd"/>
      <w:r>
        <w:t xml:space="preserve"> (</w:t>
      </w:r>
      <w:r>
        <w:rPr>
          <w:color w:val="4169E1"/>
        </w:rPr>
        <w:t>2013</w:t>
      </w:r>
      <w:r>
        <w:t xml:space="preserve">) entwickelten Primern und Sonde. Dies Spricht gegen die Beobachtungen Higgins </w:t>
      </w:r>
      <w:r>
        <w:rPr>
          <w:i/>
        </w:rPr>
        <w:t xml:space="preserve">et al. </w:t>
      </w:r>
      <w:r>
        <w:t>(</w:t>
      </w:r>
      <w:r>
        <w:rPr>
          <w:color w:val="4169E1"/>
        </w:rPr>
        <w:t>2022</w:t>
      </w:r>
      <w:r>
        <w:t xml:space="preserve">) und Daher </w:t>
      </w:r>
      <w:r>
        <w:rPr>
          <w:i/>
        </w:rPr>
        <w:t xml:space="preserve">et al. </w:t>
      </w:r>
      <w:r>
        <w:t>(</w:t>
      </w:r>
      <w:r>
        <w:rPr>
          <w:color w:val="4169E1"/>
        </w:rPr>
        <w:t>2015</w:t>
      </w:r>
      <w:r>
        <w:t>) jedoch wurden in den beiden Studien nur Fehlpaarungen in den Primer untersucht (</w:t>
      </w:r>
      <w:r>
        <w:rPr>
          <w:color w:val="4169E1"/>
        </w:rPr>
        <w:t xml:space="preserve">Daher </w:t>
      </w:r>
      <w:r>
        <w:rPr>
          <w:i/>
          <w:color w:val="4169E1"/>
        </w:rPr>
        <w:t xml:space="preserve">et al. </w:t>
      </w:r>
      <w:r>
        <w:rPr>
          <w:color w:val="4169E1"/>
        </w:rPr>
        <w:t>2015</w:t>
      </w:r>
      <w:r>
        <w:t xml:space="preserve">; </w:t>
      </w:r>
      <w:r>
        <w:rPr>
          <w:color w:val="4169E1"/>
        </w:rPr>
        <w:t xml:space="preserve">Higgins </w:t>
      </w:r>
      <w:r>
        <w:rPr>
          <w:i/>
          <w:color w:val="4169E1"/>
        </w:rPr>
        <w:t xml:space="preserve">et al. </w:t>
      </w:r>
      <w:r>
        <w:rPr>
          <w:color w:val="4169E1"/>
        </w:rPr>
        <w:t>2022</w:t>
      </w:r>
      <w:r>
        <w:t>). L</w:t>
      </w:r>
      <w:r>
        <w:t xml:space="preserve">iu </w:t>
      </w:r>
      <w:r>
        <w:rPr>
          <w:i/>
        </w:rPr>
        <w:t xml:space="preserve">et al. </w:t>
      </w:r>
      <w:r>
        <w:t>(</w:t>
      </w:r>
      <w:r>
        <w:rPr>
          <w:color w:val="4169E1"/>
        </w:rPr>
        <w:t>2019</w:t>
      </w:r>
      <w:r>
        <w:t xml:space="preserve">) konnte zeigen, dass </w:t>
      </w:r>
      <w:proofErr w:type="spellStart"/>
      <w:r>
        <w:t>Missmatches</w:t>
      </w:r>
      <w:proofErr w:type="spellEnd"/>
      <w:r>
        <w:t xml:space="preserve"> in der Sonde zu einer vollständigen Inhibierung und sogar zu falsch positiven Amplifikationen der RPA führen können (</w:t>
      </w:r>
      <w:r>
        <w:rPr>
          <w:color w:val="4169E1"/>
        </w:rPr>
        <w:t xml:space="preserve">Liu </w:t>
      </w:r>
      <w:r>
        <w:rPr>
          <w:i/>
          <w:color w:val="4169E1"/>
        </w:rPr>
        <w:t xml:space="preserve">et al. </w:t>
      </w:r>
      <w:r>
        <w:rPr>
          <w:color w:val="4169E1"/>
        </w:rPr>
        <w:t>2019</w:t>
      </w:r>
      <w:r>
        <w:t xml:space="preserve">). Das könnte eine Erklärung zur großen Diskrepanz, zwischen dem von </w:t>
      </w:r>
      <w:proofErr w:type="spellStart"/>
      <w:r>
        <w:t>Ehnts</w:t>
      </w:r>
      <w:proofErr w:type="spellEnd"/>
      <w:r>
        <w:t xml:space="preserve"> </w:t>
      </w:r>
      <w:r>
        <w:t>(</w:t>
      </w:r>
      <w:r>
        <w:rPr>
          <w:color w:val="4169E1"/>
        </w:rPr>
        <w:t>2013</w:t>
      </w:r>
      <w:r>
        <w:t xml:space="preserve">) entwickelten RPA-System und dem mit </w:t>
      </w:r>
      <w:proofErr w:type="spellStart"/>
      <w:r>
        <w:t>PrimedRPA</w:t>
      </w:r>
      <w:proofErr w:type="spellEnd"/>
      <w:r>
        <w:t xml:space="preserve"> designten Primer-Sonden-Kombinationen sein. Eventuell führt die Verteilung der Basenfehlpaarungen in den </w:t>
      </w:r>
      <w:proofErr w:type="spellStart"/>
      <w:r>
        <w:t>PrimedRPA</w:t>
      </w:r>
      <w:proofErr w:type="spellEnd"/>
      <w:r>
        <w:t xml:space="preserve">-Sonden zu einer </w:t>
      </w:r>
      <w:proofErr w:type="spellStart"/>
      <w:r>
        <w:t>unfunktionellen</w:t>
      </w:r>
      <w:proofErr w:type="spellEnd"/>
      <w:r>
        <w:t xml:space="preserve"> RT-</w:t>
      </w:r>
      <w:proofErr w:type="gramStart"/>
      <w:r>
        <w:t>RPA</w:t>
      </w:r>
      <w:proofErr w:type="gramEnd"/>
      <w:r>
        <w:t xml:space="preserve"> während die von </w:t>
      </w:r>
      <w:proofErr w:type="spellStart"/>
      <w:r>
        <w:t>Ehnts</w:t>
      </w:r>
      <w:proofErr w:type="spellEnd"/>
      <w:r>
        <w:t xml:space="preserve"> (</w:t>
      </w:r>
      <w:r>
        <w:rPr>
          <w:color w:val="4169E1"/>
        </w:rPr>
        <w:t>2013</w:t>
      </w:r>
      <w:r>
        <w:t>) entworfene Sonde nur</w:t>
      </w:r>
      <w:r>
        <w:t xml:space="preserve"> bedingt inhibierende Fehlpaarungen aufweist. Des Weiteren ist bei dem </w:t>
      </w:r>
      <w:proofErr w:type="spellStart"/>
      <w:r>
        <w:t>Primerscreening</w:t>
      </w:r>
      <w:proofErr w:type="spellEnd"/>
      <w:r>
        <w:t xml:space="preserve"> der Influenza B RT-RPA (siehe Abbildung </w:t>
      </w:r>
      <w:r>
        <w:rPr>
          <w:b/>
        </w:rPr>
        <w:t>??</w:t>
      </w:r>
      <w:r>
        <w:t xml:space="preserve">) am Beispiel der beiden getesteten Sonden zu erkennen, dass nicht nur </w:t>
      </w:r>
      <w:proofErr w:type="gramStart"/>
      <w:r>
        <w:t>Basenfehlpaarungen</w:t>
      </w:r>
      <w:proofErr w:type="gramEnd"/>
      <w:r>
        <w:t xml:space="preserve"> sondern auch andere Einflüsse zu unte</w:t>
      </w:r>
      <w:r>
        <w:t>rschiedlicher RPA-Performance führen. So kann</w:t>
      </w:r>
    </w:p>
    <w:p w14:paraId="5DBFDF78" w14:textId="77777777" w:rsidR="00073CCF" w:rsidRDefault="0064621C">
      <w:pPr>
        <w:spacing w:after="52" w:line="259" w:lineRule="auto"/>
        <w:ind w:left="11" w:right="640"/>
      </w:pPr>
      <w:r>
        <w:t>Einerseits die Hybridisierungsposition der Sonde im gleichen Amplifikationsbereich zu einer signifikanten</w:t>
      </w:r>
    </w:p>
    <w:p w14:paraId="24ECDB82" w14:textId="77777777" w:rsidR="00073CCF" w:rsidRDefault="0064621C">
      <w:pPr>
        <w:spacing w:after="61" w:line="259" w:lineRule="auto"/>
        <w:ind w:left="11" w:right="640"/>
      </w:pPr>
      <w:r>
        <w:t>Veränderung der Amplifikation führen (</w:t>
      </w:r>
      <w:r>
        <w:rPr>
          <w:color w:val="4169E1"/>
        </w:rPr>
        <w:t xml:space="preserve">Liu </w:t>
      </w:r>
      <w:r>
        <w:rPr>
          <w:i/>
          <w:color w:val="4169E1"/>
        </w:rPr>
        <w:t xml:space="preserve">et al. </w:t>
      </w:r>
      <w:r>
        <w:rPr>
          <w:color w:val="4169E1"/>
        </w:rPr>
        <w:t>2019</w:t>
      </w:r>
      <w:r>
        <w:t>). Andererseits kann die zu detektierende RNA, durch</w:t>
      </w:r>
    </w:p>
    <w:p w14:paraId="2DADC6B2" w14:textId="77777777" w:rsidR="00073CCF" w:rsidRDefault="0064621C">
      <w:pPr>
        <w:spacing w:after="61" w:line="259" w:lineRule="auto"/>
        <w:ind w:left="11" w:right="640"/>
      </w:pPr>
      <w:r>
        <w:t>Bildung von Sekundärstrukturen die Amplifikation behindern (</w:t>
      </w:r>
      <w:proofErr w:type="spellStart"/>
      <w:r>
        <w:rPr>
          <w:color w:val="4169E1"/>
        </w:rPr>
        <w:t>Saisuk</w:t>
      </w:r>
      <w:proofErr w:type="spellEnd"/>
      <w:r>
        <w:rPr>
          <w:color w:val="4169E1"/>
        </w:rPr>
        <w:t xml:space="preserve"> </w:t>
      </w:r>
      <w:r>
        <w:rPr>
          <w:i/>
          <w:color w:val="4169E1"/>
        </w:rPr>
        <w:t xml:space="preserve">et al. </w:t>
      </w:r>
      <w:r>
        <w:rPr>
          <w:color w:val="4169E1"/>
        </w:rPr>
        <w:t>2019</w:t>
      </w:r>
      <w:r>
        <w:t>). So konnte Beispielweise</w:t>
      </w:r>
    </w:p>
    <w:p w14:paraId="7EAC648A" w14:textId="77777777" w:rsidR="00073CCF" w:rsidRDefault="0064621C">
      <w:pPr>
        <w:spacing w:after="1"/>
        <w:ind w:left="11" w:right="640"/>
      </w:pPr>
      <w:r>
        <w:t xml:space="preserve">Wei &amp; </w:t>
      </w:r>
      <w:proofErr w:type="spellStart"/>
      <w:r>
        <w:t>To</w:t>
      </w:r>
      <w:proofErr w:type="spellEnd"/>
      <w:r>
        <w:t xml:space="preserve"> (</w:t>
      </w:r>
      <w:r>
        <w:rPr>
          <w:color w:val="4169E1"/>
        </w:rPr>
        <w:t>2003</w:t>
      </w:r>
      <w:r>
        <w:t>) innerhalb einer PCR zeigen, dass eine RNA-Sekundärstruktur trotz der hohen Tempera</w:t>
      </w:r>
      <w:r>
        <w:t>turen in der PCR die Amplifikation inhibierte (</w:t>
      </w:r>
      <w:r>
        <w:rPr>
          <w:color w:val="4169E1"/>
        </w:rPr>
        <w:t xml:space="preserve">Wei &amp; </w:t>
      </w:r>
      <w:proofErr w:type="spellStart"/>
      <w:r>
        <w:rPr>
          <w:color w:val="4169E1"/>
        </w:rPr>
        <w:t>To</w:t>
      </w:r>
      <w:proofErr w:type="spellEnd"/>
      <w:r>
        <w:rPr>
          <w:color w:val="4169E1"/>
        </w:rPr>
        <w:t xml:space="preserve"> 2003</w:t>
      </w:r>
      <w:r>
        <w:t>).</w:t>
      </w:r>
    </w:p>
    <w:p w14:paraId="369A0615" w14:textId="77777777" w:rsidR="00073CCF" w:rsidRDefault="0064621C">
      <w:pPr>
        <w:ind w:left="11" w:right="640"/>
      </w:pPr>
      <w:r>
        <w:lastRenderedPageBreak/>
        <w:t xml:space="preserve">Betrachtet man die Hybridisierungsposition, der für die Influenza A RT-RPA entwickelten Primer und Sonden liegen diese am Anfang der der Genomsequenz bei ~50 bp bis ~ 200 bp (siehe Tabelle </w:t>
      </w:r>
      <w:r>
        <w:rPr>
          <w:b/>
        </w:rPr>
        <w:t>??</w:t>
      </w:r>
      <w:r>
        <w:t>).</w:t>
      </w:r>
      <w:r>
        <w:t xml:space="preserve"> Wie in Kapitel </w:t>
      </w:r>
      <w:r>
        <w:rPr>
          <w:b/>
        </w:rPr>
        <w:t xml:space="preserve">?? </w:t>
      </w:r>
      <w:r>
        <w:t>erwähnt sind die jeweiligen Enden eines Genomsegmentes komplementär zueinander und bilden im Virion eine Loop-Struktur aus (</w:t>
      </w:r>
      <w:r>
        <w:rPr>
          <w:color w:val="4169E1"/>
        </w:rPr>
        <w:t xml:space="preserve">Modrow </w:t>
      </w:r>
      <w:r>
        <w:rPr>
          <w:i/>
          <w:color w:val="4169E1"/>
        </w:rPr>
        <w:t xml:space="preserve">et al. </w:t>
      </w:r>
      <w:r>
        <w:rPr>
          <w:color w:val="4169E1"/>
        </w:rPr>
        <w:t>2010</w:t>
      </w:r>
      <w:r>
        <w:t xml:space="preserve">). Somit kann diese Loop-Struktur </w:t>
      </w:r>
      <w:r>
        <w:rPr>
          <w:i/>
        </w:rPr>
        <w:t xml:space="preserve">in vitro </w:t>
      </w:r>
      <w:r>
        <w:t>eventuell die Amplifikation der Influenza A RT-RPA i</w:t>
      </w:r>
      <w:r>
        <w:t xml:space="preserve">nhibieren, da der Amplifikationsbereich am Anfang der </w:t>
      </w:r>
      <w:proofErr w:type="spellStart"/>
      <w:r>
        <w:t>Genomseqeunz</w:t>
      </w:r>
      <w:proofErr w:type="spellEnd"/>
      <w:r>
        <w:t xml:space="preserve"> liegt. Damit lässt sich der Unterschied zwischen der Influenza A RT-RPA und der Influenza B RT-RPA erklären, da bei der Influenza B RT-RPA der Amplifikationsbereich mittig in der Genomseque</w:t>
      </w:r>
      <w:r>
        <w:t>nz zwischen ~650 bp und ~730 bp liegt und ist somit von der Loop-Struktur nicht beeinflusst wird.</w:t>
      </w:r>
    </w:p>
    <w:p w14:paraId="4DE82886" w14:textId="77777777" w:rsidR="00073CCF" w:rsidRDefault="0064621C">
      <w:pPr>
        <w:spacing w:after="62" w:line="259" w:lineRule="auto"/>
        <w:ind w:left="23" w:firstLine="0"/>
        <w:jc w:val="left"/>
      </w:pPr>
      <w:commentRangeStart w:id="2"/>
      <w:r>
        <w:rPr>
          <w:rFonts w:ascii="Courier New" w:eastAsia="Courier New" w:hAnsi="Courier New" w:cs="Courier New"/>
        </w:rPr>
        <w:t xml:space="preserve">Ausblick </w:t>
      </w:r>
      <w:proofErr w:type="spellStart"/>
      <w:r>
        <w:rPr>
          <w:rFonts w:ascii="Courier New" w:eastAsia="Courier New" w:hAnsi="Courier New" w:cs="Courier New"/>
        </w:rPr>
        <w:t>Primerdesign</w:t>
      </w:r>
      <w:proofErr w:type="spellEnd"/>
    </w:p>
    <w:p w14:paraId="5E676ECD" w14:textId="77777777" w:rsidR="00073CCF" w:rsidRDefault="0064621C">
      <w:pPr>
        <w:spacing w:after="66" w:line="259" w:lineRule="auto"/>
        <w:ind w:left="128" w:firstLine="0"/>
        <w:jc w:val="center"/>
      </w:pPr>
      <w:r>
        <w:rPr>
          <w:rFonts w:ascii="Courier New" w:eastAsia="Courier New" w:hAnsi="Courier New" w:cs="Courier New"/>
        </w:rPr>
        <w:t xml:space="preserve">-&gt; </w:t>
      </w:r>
      <w:proofErr w:type="spellStart"/>
      <w:r>
        <w:rPr>
          <w:rFonts w:ascii="Courier New" w:eastAsia="Courier New" w:hAnsi="Courier New" w:cs="Courier New"/>
        </w:rPr>
        <w:t>missmatches</w:t>
      </w:r>
      <w:proofErr w:type="spellEnd"/>
      <w:r>
        <w:rPr>
          <w:rFonts w:ascii="Courier New" w:eastAsia="Courier New" w:hAnsi="Courier New" w:cs="Courier New"/>
        </w:rPr>
        <w:t xml:space="preserve"> durch H1N1 und H3N2 (evtl. anderes Target diskutieren, </w:t>
      </w:r>
      <w:proofErr w:type="spellStart"/>
      <w:r>
        <w:rPr>
          <w:rFonts w:ascii="Courier New" w:eastAsia="Courier New" w:hAnsi="Courier New" w:cs="Courier New"/>
        </w:rPr>
        <w:t>polymerase</w:t>
      </w:r>
      <w:proofErr w:type="spellEnd"/>
      <w:r>
        <w:rPr>
          <w:rFonts w:ascii="Courier New" w:eastAsia="Courier New" w:hAnsi="Courier New" w:cs="Courier New"/>
        </w:rPr>
        <w:t xml:space="preserve"> oder so)</w:t>
      </w:r>
    </w:p>
    <w:p w14:paraId="41128B4F" w14:textId="77777777" w:rsidR="00073CCF" w:rsidRDefault="0064621C">
      <w:pPr>
        <w:spacing w:after="988" w:line="259" w:lineRule="auto"/>
        <w:ind w:left="0" w:firstLine="0"/>
        <w:jc w:val="right"/>
      </w:pPr>
      <w:r>
        <w:rPr>
          <w:rFonts w:ascii="Courier New" w:eastAsia="Courier New" w:hAnsi="Courier New" w:cs="Courier New"/>
        </w:rPr>
        <w:t xml:space="preserve">-&gt; alternativen diskutieren (gleiche </w:t>
      </w:r>
      <w:proofErr w:type="spellStart"/>
      <w:r>
        <w:rPr>
          <w:rFonts w:ascii="Courier New" w:eastAsia="Courier New" w:hAnsi="Courier New" w:cs="Courier New"/>
        </w:rPr>
        <w:t>sonde</w:t>
      </w:r>
      <w:proofErr w:type="spellEnd"/>
      <w:r>
        <w:rPr>
          <w:rFonts w:ascii="Courier New" w:eastAsia="Courier New" w:hAnsi="Courier New" w:cs="Courier New"/>
        </w:rPr>
        <w:t xml:space="preserve"> aber 2 Primer paare, wie die PCR das gemacht hat)</w:t>
      </w:r>
      <w:commentRangeEnd w:id="2"/>
      <w:r>
        <w:rPr>
          <w:rStyle w:val="Kommentarzeichen"/>
        </w:rPr>
        <w:commentReference w:id="2"/>
      </w:r>
    </w:p>
    <w:p w14:paraId="7F77318F" w14:textId="77777777" w:rsidR="00073CCF" w:rsidRDefault="0064621C">
      <w:pPr>
        <w:pStyle w:val="berschrift2"/>
        <w:ind w:left="591" w:hanging="583"/>
      </w:pPr>
      <w:bookmarkStart w:id="3" w:name="_Toc18344"/>
      <w:r>
        <w:t xml:space="preserve">Vorteile der </w:t>
      </w:r>
      <w:proofErr w:type="spellStart"/>
      <w:r>
        <w:t>low</w:t>
      </w:r>
      <w:proofErr w:type="spellEnd"/>
      <w:r>
        <w:t>-Volume RPA hinsichtlich Mischzeitpunkt und Sensitivität</w:t>
      </w:r>
      <w:bookmarkEnd w:id="3"/>
    </w:p>
    <w:p w14:paraId="1AB52F51" w14:textId="77777777" w:rsidR="00073CCF" w:rsidRDefault="0064621C">
      <w:pPr>
        <w:spacing w:after="0"/>
        <w:ind w:left="11" w:right="640"/>
      </w:pPr>
      <w:r>
        <w:t xml:space="preserve">Wie in </w:t>
      </w:r>
      <w:r>
        <w:rPr>
          <w:b/>
        </w:rPr>
        <w:t xml:space="preserve">?? </w:t>
      </w:r>
      <w:r>
        <w:t xml:space="preserve">erwähnt kommt es, während der RPA durch geringe Thermische Konfektion und durch den </w:t>
      </w:r>
      <w:proofErr w:type="spellStart"/>
      <w:r>
        <w:t>crowding</w:t>
      </w:r>
      <w:proofErr w:type="spellEnd"/>
      <w:r>
        <w:t xml:space="preserve"> Agent erschwerte Diffusion zu lokaler Reagenzien-Knappheit. Um dem </w:t>
      </w:r>
      <w:proofErr w:type="gramStart"/>
      <w:r>
        <w:t>entgegen zu wirken</w:t>
      </w:r>
      <w:proofErr w:type="gramEnd"/>
      <w:r>
        <w:t>, wird ein zusätzlicher Mischschritt während der Reaktion durchgefüh</w:t>
      </w:r>
      <w:r>
        <w:t>rt, welcher zu einer erneuten Homogenisierung der Reaktion führt (</w:t>
      </w:r>
      <w:r>
        <w:rPr>
          <w:color w:val="4169E1"/>
        </w:rPr>
        <w:t xml:space="preserve">Lillis </w:t>
      </w:r>
      <w:r>
        <w:rPr>
          <w:i/>
          <w:color w:val="4169E1"/>
        </w:rPr>
        <w:t xml:space="preserve">et al. </w:t>
      </w:r>
      <w:r>
        <w:rPr>
          <w:color w:val="4169E1"/>
        </w:rPr>
        <w:t>2016</w:t>
      </w:r>
      <w:r>
        <w:t xml:space="preserve">). Lillis </w:t>
      </w:r>
      <w:r>
        <w:rPr>
          <w:i/>
        </w:rPr>
        <w:t xml:space="preserve">et al. </w:t>
      </w:r>
      <w:r>
        <w:t>(</w:t>
      </w:r>
      <w:r>
        <w:rPr>
          <w:color w:val="4169E1"/>
        </w:rPr>
        <w:t>2016</w:t>
      </w:r>
      <w:r>
        <w:t>) konnte jedoch zeigen, dass eine Reduktion des Reaktionsvolumens auf 5 µl die Notwendigkeit des zusätzlichen Mischschrittes minimiert (</w:t>
      </w:r>
      <w:r>
        <w:rPr>
          <w:color w:val="4169E1"/>
        </w:rPr>
        <w:t xml:space="preserve">Lillis </w:t>
      </w:r>
      <w:r>
        <w:rPr>
          <w:i/>
          <w:color w:val="4169E1"/>
        </w:rPr>
        <w:t xml:space="preserve">et al. </w:t>
      </w:r>
      <w:r>
        <w:rPr>
          <w:color w:val="4169E1"/>
        </w:rPr>
        <w:t>2016</w:t>
      </w:r>
      <w:r>
        <w:t xml:space="preserve">). Wie in </w:t>
      </w:r>
      <w:r>
        <w:rPr>
          <w:b/>
        </w:rPr>
        <w:t xml:space="preserve">?? </w:t>
      </w:r>
      <w:r>
        <w:t xml:space="preserve">gezeigt, konnte ein ähnliches Verhalten mit der </w:t>
      </w:r>
      <w:proofErr w:type="spellStart"/>
      <w:r>
        <w:t>low</w:t>
      </w:r>
      <w:proofErr w:type="spellEnd"/>
      <w:r>
        <w:t xml:space="preserve">-Volume RPA anhand der Influenza B RT-RPA beobachtet werden. Hier wurde das Reaktionsvolumen auf 6,5 µl angepasst was einem leicht höheren Volumen als dem von Lillis </w:t>
      </w:r>
      <w:r>
        <w:rPr>
          <w:i/>
        </w:rPr>
        <w:t xml:space="preserve">et al. </w:t>
      </w:r>
      <w:r>
        <w:t>(</w:t>
      </w:r>
      <w:r>
        <w:rPr>
          <w:color w:val="4169E1"/>
        </w:rPr>
        <w:t>2016</w:t>
      </w:r>
      <w:r>
        <w:t>) entspric</w:t>
      </w:r>
      <w:r>
        <w:t xml:space="preserve">ht. Jedoch stellt sich im Vergleich zwischen den Mischzeiten des 50 µl Ansatzes und der </w:t>
      </w:r>
      <w:proofErr w:type="spellStart"/>
      <w:r>
        <w:t>low</w:t>
      </w:r>
      <w:proofErr w:type="spellEnd"/>
      <w:r>
        <w:t xml:space="preserve">-volume RPA heraus, dass der Mischschritt bei der </w:t>
      </w:r>
      <w:proofErr w:type="spellStart"/>
      <w:r>
        <w:t>low</w:t>
      </w:r>
      <w:proofErr w:type="spellEnd"/>
      <w:r>
        <w:t>-volume RPA erst einen deutlichen Einfluss bei 10</w:t>
      </w:r>
      <w:r>
        <w:rPr>
          <w:vertAlign w:val="superscript"/>
        </w:rPr>
        <w:t xml:space="preserve">1 </w:t>
      </w:r>
      <w:r>
        <w:t xml:space="preserve">RNA-Kopien ausübt (siehe Abbildung </w:t>
      </w:r>
      <w:r>
        <w:rPr>
          <w:b/>
        </w:rPr>
        <w:t>??</w:t>
      </w:r>
      <w:r>
        <w:t>) und die maximale Fluor</w:t>
      </w:r>
      <w:r>
        <w:t>eszenz und die Anzahl der positiven Amplifikationen deutlich verbessert. Im 50 µl Ansatz hingegen kann schon eine deutliche Verbesserung der Fluoreszenz und eine große Verbesserung des TT-Wertes bei 10</w:t>
      </w:r>
      <w:r>
        <w:rPr>
          <w:vertAlign w:val="superscript"/>
        </w:rPr>
        <w:t xml:space="preserve">4 </w:t>
      </w:r>
      <w:r>
        <w:t>RNA-Kopien beobachtet werden. Diese Beobachtung stimm</w:t>
      </w:r>
      <w:r>
        <w:t xml:space="preserve">en mit den von Lillis </w:t>
      </w:r>
      <w:r>
        <w:rPr>
          <w:i/>
        </w:rPr>
        <w:t xml:space="preserve">et al. </w:t>
      </w:r>
      <w:r>
        <w:t>(</w:t>
      </w:r>
      <w:r>
        <w:rPr>
          <w:color w:val="4169E1"/>
        </w:rPr>
        <w:t>2016</w:t>
      </w:r>
      <w:r>
        <w:t>) überein. Eine mögliche Begründung liegt darin, dass einerseits durch das verringerte Volumen ein größeres Verhältnis zwischen hinzugefügter Probe und Reaktionsmix besteht und dadurch eine bessere Diffusion zwischen den b</w:t>
      </w:r>
      <w:r>
        <w:t>eiden Komponenten stattfindet. Andererseits führt das geringere Volumen zu einem größeren Oberflächen-Volumen Verhältnis, welches zu einer besseren Wärmeübertragung und dementsprechend einer stärkeren Konvektion führt (</w:t>
      </w:r>
      <w:proofErr w:type="spellStart"/>
      <w:r>
        <w:rPr>
          <w:color w:val="4169E1"/>
        </w:rPr>
        <w:t>Böckh</w:t>
      </w:r>
      <w:proofErr w:type="spellEnd"/>
      <w:r>
        <w:rPr>
          <w:color w:val="4169E1"/>
        </w:rPr>
        <w:t xml:space="preserve"> &amp; Wetzel 2017</w:t>
      </w:r>
      <w:r>
        <w:t>).</w:t>
      </w:r>
    </w:p>
    <w:p w14:paraId="33E4ED59" w14:textId="77777777" w:rsidR="00073CCF" w:rsidRDefault="0064621C">
      <w:pPr>
        <w:spacing w:after="0"/>
        <w:ind w:left="11" w:right="640"/>
      </w:pPr>
      <w:r>
        <w:t>Des Weiteren ko</w:t>
      </w:r>
      <w:r>
        <w:t xml:space="preserve">nnte anhand der Influenza B RT-RPA beobachtet werden, dass eine Reduktion des Reaktionsvolumens zu einer deutlichen Sensitivitätserhöhung von über 50 % führt. Der gleiche Effekt konnte, wenn auch nicht so stark konnte ebenfalls durch Lillis </w:t>
      </w:r>
      <w:r>
        <w:rPr>
          <w:i/>
        </w:rPr>
        <w:t xml:space="preserve">et al. </w:t>
      </w:r>
      <w:r>
        <w:t>(</w:t>
      </w:r>
      <w:r>
        <w:rPr>
          <w:color w:val="4169E1"/>
        </w:rPr>
        <w:t>2016</w:t>
      </w:r>
      <w:r>
        <w:t>) n</w:t>
      </w:r>
      <w:r>
        <w:t xml:space="preserve">achgewiesen werden. Ob es sich hierbei um eine signifikante Änderung handelt, muss in einer weiteren Versuchsreihe bestätigt werden, da das Detektionslimit in dieser Arbeit für den 50 µl Ansatz nur in Dreifachbestimmung durchgeführt wurde. Dieses Phänomen </w:t>
      </w:r>
      <w:r>
        <w:t>der Sensitivitätsverbesserung lässt sich ebenfalls durch das erhöhte Verhältnis zwischen eingesetzter Probe und RPA-Reaktion und der erhöhten Konvektion erklären.</w:t>
      </w:r>
    </w:p>
    <w:p w14:paraId="70724EA3" w14:textId="77777777" w:rsidR="00073CCF" w:rsidRDefault="0064621C">
      <w:pPr>
        <w:spacing w:after="5"/>
        <w:ind w:left="11" w:right="640"/>
      </w:pPr>
      <w:r>
        <w:t xml:space="preserve">Zusätzlich bietet die </w:t>
      </w:r>
      <w:proofErr w:type="spellStart"/>
      <w:r>
        <w:t>low</w:t>
      </w:r>
      <w:proofErr w:type="spellEnd"/>
      <w:r>
        <w:t>-volume RPA den Vorteil der Kostenreduzierung, da aus einer kommerzi</w:t>
      </w:r>
      <w:r>
        <w:t xml:space="preserve">ell erhältlichen Reaktion acht Tests durchgeführt werden können (siehe </w:t>
      </w:r>
      <w:r>
        <w:rPr>
          <w:b/>
        </w:rPr>
        <w:t>??</w:t>
      </w:r>
      <w:r>
        <w:t xml:space="preserve">). Dies macht die </w:t>
      </w:r>
      <w:proofErr w:type="spellStart"/>
      <w:r>
        <w:t>low</w:t>
      </w:r>
      <w:proofErr w:type="spellEnd"/>
      <w:r>
        <w:t xml:space="preserve">-volume RPA gerade für Ressourcen </w:t>
      </w:r>
      <w:r>
        <w:lastRenderedPageBreak/>
        <w:t xml:space="preserve">limitierte Umgebungen attraktiv, da sie geringe Kosten pro Test zusammen mit einfacher </w:t>
      </w:r>
      <w:r>
        <w:t>Handhabung, durch die gesteigerte Unabhängigkeit des Mischschrittes, hoher Sensitivität sowie robusten Reagenzien (</w:t>
      </w:r>
      <w:r>
        <w:rPr>
          <w:color w:val="4169E1"/>
        </w:rPr>
        <w:t xml:space="preserve">Lillis </w:t>
      </w:r>
      <w:r>
        <w:rPr>
          <w:i/>
          <w:color w:val="4169E1"/>
        </w:rPr>
        <w:t xml:space="preserve">et al. </w:t>
      </w:r>
      <w:r>
        <w:rPr>
          <w:color w:val="4169E1"/>
        </w:rPr>
        <w:t>2016</w:t>
      </w:r>
      <w:r>
        <w:t>) kombiniert (</w:t>
      </w:r>
      <w:r>
        <w:rPr>
          <w:color w:val="4169E1"/>
        </w:rPr>
        <w:t xml:space="preserve">Jiang </w:t>
      </w:r>
      <w:r>
        <w:rPr>
          <w:i/>
          <w:color w:val="4169E1"/>
        </w:rPr>
        <w:t xml:space="preserve">et al. </w:t>
      </w:r>
      <w:r>
        <w:rPr>
          <w:color w:val="4169E1"/>
        </w:rPr>
        <w:t>2021</w:t>
      </w:r>
      <w:r>
        <w:t>).</w:t>
      </w:r>
    </w:p>
    <w:p w14:paraId="6C3FC537" w14:textId="77777777" w:rsidR="00073CCF" w:rsidRDefault="0064621C">
      <w:pPr>
        <w:spacing w:after="52" w:line="259" w:lineRule="auto"/>
        <w:ind w:left="11" w:right="640"/>
      </w:pPr>
      <w:r>
        <w:t xml:space="preserve">Durch das verringerte Reaktionsvolumen von 6,5 µl eignet sich die </w:t>
      </w:r>
      <w:proofErr w:type="spellStart"/>
      <w:r>
        <w:t>low</w:t>
      </w:r>
      <w:proofErr w:type="spellEnd"/>
      <w:r>
        <w:t xml:space="preserve">-Volume RPA für den </w:t>
      </w:r>
      <w:r>
        <w:t>Einsatz in der</w:t>
      </w:r>
    </w:p>
    <w:p w14:paraId="657DAE83" w14:textId="77777777" w:rsidR="00073CCF" w:rsidRDefault="0064621C">
      <w:pPr>
        <w:spacing w:after="59" w:line="259" w:lineRule="auto"/>
        <w:ind w:left="11" w:right="640"/>
      </w:pPr>
      <w:r>
        <w:t>Mikrofluidik, wo sie mit 3D-gedruckten Detektionschips kombiniert werden kann (</w:t>
      </w:r>
      <w:r>
        <w:rPr>
          <w:color w:val="4169E1"/>
        </w:rPr>
        <w:t xml:space="preserve">Behrmann, </w:t>
      </w:r>
      <w:proofErr w:type="spellStart"/>
      <w:r>
        <w:rPr>
          <w:color w:val="4169E1"/>
        </w:rPr>
        <w:t>Hügle</w:t>
      </w:r>
      <w:proofErr w:type="spellEnd"/>
      <w:r>
        <w:rPr>
          <w:color w:val="4169E1"/>
        </w:rPr>
        <w:t xml:space="preserve">, </w:t>
      </w:r>
      <w:r>
        <w:rPr>
          <w:i/>
          <w:color w:val="4169E1"/>
        </w:rPr>
        <w:t>et al.</w:t>
      </w:r>
    </w:p>
    <w:p w14:paraId="219CC836" w14:textId="77777777" w:rsidR="00073CCF" w:rsidRDefault="0064621C">
      <w:pPr>
        <w:spacing w:after="2"/>
        <w:ind w:left="11" w:right="640"/>
      </w:pPr>
      <w:r>
        <w:rPr>
          <w:color w:val="4169E1"/>
        </w:rPr>
        <w:t>2020</w:t>
      </w:r>
      <w:r>
        <w:t>). Dadurch erweitern sich ihre Applikationsmöglichkeiten in der POCT und Testsysteme können vereinfacht und verbessert werden (</w:t>
      </w:r>
      <w:r>
        <w:rPr>
          <w:color w:val="4169E1"/>
        </w:rPr>
        <w:t>Behrman</w:t>
      </w:r>
      <w:r>
        <w:rPr>
          <w:color w:val="4169E1"/>
        </w:rPr>
        <w:t xml:space="preserve">n, Bachmann, </w:t>
      </w:r>
      <w:r>
        <w:rPr>
          <w:i/>
          <w:color w:val="4169E1"/>
        </w:rPr>
        <w:t xml:space="preserve">et al. </w:t>
      </w:r>
      <w:r>
        <w:rPr>
          <w:color w:val="4169E1"/>
        </w:rPr>
        <w:t>2020</w:t>
      </w:r>
      <w:r>
        <w:t>).</w:t>
      </w:r>
    </w:p>
    <w:p w14:paraId="16B97352" w14:textId="77777777" w:rsidR="00073CCF" w:rsidRDefault="0064621C">
      <w:pPr>
        <w:spacing w:after="4"/>
        <w:ind w:left="11" w:right="640"/>
      </w:pPr>
      <w:r>
        <w:t>Es konnte beobachtet werden, dass große Mengen an DNA die RPA inhibieren (</w:t>
      </w:r>
      <w:proofErr w:type="spellStart"/>
      <w:r>
        <w:rPr>
          <w:color w:val="4169E1"/>
        </w:rPr>
        <w:t>Rohrman</w:t>
      </w:r>
      <w:proofErr w:type="spellEnd"/>
      <w:r>
        <w:rPr>
          <w:color w:val="4169E1"/>
        </w:rPr>
        <w:t xml:space="preserve"> &amp; Richards-</w:t>
      </w:r>
      <w:proofErr w:type="spellStart"/>
      <w:r>
        <w:rPr>
          <w:color w:val="4169E1"/>
        </w:rPr>
        <w:t>Kortum</w:t>
      </w:r>
      <w:proofErr w:type="spellEnd"/>
      <w:r>
        <w:rPr>
          <w:color w:val="4169E1"/>
        </w:rPr>
        <w:t xml:space="preserve"> 2015</w:t>
      </w:r>
      <w:r>
        <w:t xml:space="preserve">; </w:t>
      </w:r>
      <w:r>
        <w:rPr>
          <w:color w:val="4169E1"/>
        </w:rPr>
        <w:t xml:space="preserve">Li </w:t>
      </w:r>
      <w:r>
        <w:rPr>
          <w:i/>
          <w:color w:val="4169E1"/>
        </w:rPr>
        <w:t xml:space="preserve">et al. </w:t>
      </w:r>
      <w:r>
        <w:rPr>
          <w:color w:val="4169E1"/>
        </w:rPr>
        <w:t>2019</w:t>
      </w:r>
      <w:r>
        <w:t>) und diese Inhibierung konzentrationsabhängig von der DNA-Konzentration ist (</w:t>
      </w:r>
      <w:r>
        <w:rPr>
          <w:color w:val="4169E1"/>
        </w:rPr>
        <w:t xml:space="preserve">Clancy </w:t>
      </w:r>
      <w:r>
        <w:rPr>
          <w:i/>
          <w:color w:val="4169E1"/>
        </w:rPr>
        <w:t xml:space="preserve">et al. </w:t>
      </w:r>
      <w:r>
        <w:rPr>
          <w:color w:val="4169E1"/>
        </w:rPr>
        <w:t>2015</w:t>
      </w:r>
      <w:r>
        <w:t>). Dies könnt</w:t>
      </w:r>
      <w:r>
        <w:t xml:space="preserve">e die </w:t>
      </w:r>
      <w:proofErr w:type="spellStart"/>
      <w:r>
        <w:t>low</w:t>
      </w:r>
      <w:proofErr w:type="spellEnd"/>
      <w:r>
        <w:t xml:space="preserve">-volume RPA einschränken, da durch das erhöhte Proben/RPA-Verhältnis auch die Konzentration von humaner Hintergrund-DNA steigt und somit die RPA inhibiert. Zusätzlich konnten die positiven Effekte der </w:t>
      </w:r>
      <w:proofErr w:type="spellStart"/>
      <w:r>
        <w:t>low</w:t>
      </w:r>
      <w:proofErr w:type="spellEnd"/>
      <w:r>
        <w:t>-Volume RPA nur anhand der Influenza B RT-R</w:t>
      </w:r>
      <w:r>
        <w:t xml:space="preserve">PA beobachtet werden. Eine Adaption an die </w:t>
      </w:r>
      <w:proofErr w:type="spellStart"/>
      <w:r>
        <w:t>low</w:t>
      </w:r>
      <w:proofErr w:type="spellEnd"/>
      <w:r>
        <w:t xml:space="preserve">-volume RPA für die Influenza A RT-RPA konnte durch die höheren TT-Werte und linearen Amplifikationsverlauf, welcher auf eine schlechte Kinetik deutet, da keine exponentielle Amplifikation mehr vorliegt, nicht </w:t>
      </w:r>
      <w:r>
        <w:t xml:space="preserve">erreicht werden. Dementsprechend lässt sich sagen, dass die </w:t>
      </w:r>
      <w:proofErr w:type="spellStart"/>
      <w:r>
        <w:t>low</w:t>
      </w:r>
      <w:proofErr w:type="spellEnd"/>
      <w:r>
        <w:t>-volume RPA nicht für alle RPA-Assays adaptierbar ist und somit die Applikation eingeschränkt wird. Des Weiteren wurde eine Verringerung des Reaktionsvolumens nur bei RNA-Viren beschrieben (</w:t>
      </w:r>
      <w:r>
        <w:rPr>
          <w:color w:val="4169E1"/>
        </w:rPr>
        <w:t>Lil</w:t>
      </w:r>
      <w:r>
        <w:rPr>
          <w:color w:val="4169E1"/>
        </w:rPr>
        <w:t xml:space="preserve">lis </w:t>
      </w:r>
      <w:r>
        <w:rPr>
          <w:i/>
          <w:color w:val="4169E1"/>
        </w:rPr>
        <w:t xml:space="preserve">et al. </w:t>
      </w:r>
      <w:r>
        <w:rPr>
          <w:color w:val="4169E1"/>
        </w:rPr>
        <w:t>2016</w:t>
      </w:r>
      <w:r>
        <w:t xml:space="preserve">; </w:t>
      </w:r>
      <w:r>
        <w:rPr>
          <w:color w:val="4169E1"/>
        </w:rPr>
        <w:t>Behrmann, Bachmann,</w:t>
      </w:r>
    </w:p>
    <w:p w14:paraId="6389D100" w14:textId="77777777" w:rsidR="00073CCF" w:rsidRDefault="0064621C">
      <w:pPr>
        <w:spacing w:after="179" w:line="259" w:lineRule="auto"/>
        <w:ind w:left="11" w:right="640"/>
      </w:pPr>
      <w:r>
        <w:rPr>
          <w:i/>
          <w:color w:val="4169E1"/>
        </w:rPr>
        <w:t xml:space="preserve">et al. </w:t>
      </w:r>
      <w:r>
        <w:rPr>
          <w:color w:val="4169E1"/>
        </w:rPr>
        <w:t>2020</w:t>
      </w:r>
      <w:r>
        <w:t xml:space="preserve">), wodurch eine Adaption auf DNA basierte </w:t>
      </w:r>
      <w:proofErr w:type="spellStart"/>
      <w:r>
        <w:t>RPA’s</w:t>
      </w:r>
      <w:proofErr w:type="spellEnd"/>
      <w:r>
        <w:t xml:space="preserve"> noch unklar ist.</w:t>
      </w:r>
    </w:p>
    <w:p w14:paraId="3923E064" w14:textId="103EFE06" w:rsidR="00073CCF" w:rsidRDefault="0064621C">
      <w:pPr>
        <w:spacing w:after="331" w:line="311" w:lineRule="auto"/>
        <w:ind w:left="23" w:firstLine="0"/>
        <w:jc w:val="left"/>
      </w:pPr>
      <w:commentRangeStart w:id="4"/>
      <w:r>
        <w:rPr>
          <w:color w:val="FF0000"/>
        </w:rPr>
        <w:t xml:space="preserve">noch mal </w:t>
      </w:r>
      <w:proofErr w:type="spellStart"/>
      <w:r>
        <w:rPr>
          <w:color w:val="FF0000"/>
        </w:rPr>
        <w:t>nen</w:t>
      </w:r>
      <w:proofErr w:type="spellEnd"/>
      <w:r>
        <w:rPr>
          <w:color w:val="FF0000"/>
        </w:rPr>
        <w:t xml:space="preserve"> Abschluss </w:t>
      </w:r>
      <w:proofErr w:type="spellStart"/>
      <w:r>
        <w:rPr>
          <w:color w:val="FF0000"/>
        </w:rPr>
        <w:t>satz</w:t>
      </w:r>
      <w:proofErr w:type="spellEnd"/>
      <w:r>
        <w:rPr>
          <w:color w:val="FF0000"/>
        </w:rPr>
        <w:t xml:space="preserve"> schreiben ob jetzt </w:t>
      </w:r>
      <w:proofErr w:type="spellStart"/>
      <w:r>
        <w:rPr>
          <w:color w:val="FF0000"/>
        </w:rPr>
        <w:t>low</w:t>
      </w:r>
      <w:proofErr w:type="spellEnd"/>
      <w:r>
        <w:rPr>
          <w:color w:val="FF0000"/>
        </w:rPr>
        <w:t xml:space="preserve">-volume </w:t>
      </w:r>
      <w:proofErr w:type="gramStart"/>
      <w:r>
        <w:rPr>
          <w:color w:val="FF0000"/>
        </w:rPr>
        <w:t>Toll</w:t>
      </w:r>
      <w:proofErr w:type="gramEnd"/>
      <w:r>
        <w:rPr>
          <w:color w:val="FF0000"/>
        </w:rPr>
        <w:t xml:space="preserve"> oder nicht ist oder das lieber in der </w:t>
      </w:r>
      <w:proofErr w:type="spellStart"/>
      <w:r>
        <w:rPr>
          <w:color w:val="FF0000"/>
        </w:rPr>
        <w:t>Zusammfassung</w:t>
      </w:r>
      <w:proofErr w:type="spellEnd"/>
      <w:r>
        <w:rPr>
          <w:color w:val="FF0000"/>
        </w:rPr>
        <w:t>/</w:t>
      </w:r>
      <w:proofErr w:type="spellStart"/>
      <w:r>
        <w:rPr>
          <w:color w:val="FF0000"/>
        </w:rPr>
        <w:t>Ausblick</w:t>
      </w:r>
      <w:commentRangeEnd w:id="4"/>
      <w:r>
        <w:rPr>
          <w:rStyle w:val="Kommentarzeichen"/>
        </w:rPr>
        <w:commentReference w:id="4"/>
      </w:r>
      <w:r>
        <w:rPr>
          <w:color w:val="FF0000"/>
        </w:rPr>
        <w:t>j</w:t>
      </w:r>
      <w:proofErr w:type="spellEnd"/>
    </w:p>
    <w:p w14:paraId="30642BAE" w14:textId="77777777" w:rsidR="00073CCF" w:rsidRDefault="0064621C">
      <w:pPr>
        <w:pStyle w:val="berschrift2"/>
        <w:ind w:left="591" w:hanging="583"/>
      </w:pPr>
      <w:bookmarkStart w:id="5" w:name="_Toc18345"/>
      <w:r>
        <w:t>Vergleich der ermittelten Sensitivitäten mit PCR-Assays</w:t>
      </w:r>
      <w:bookmarkEnd w:id="5"/>
    </w:p>
    <w:p w14:paraId="0DEC7367" w14:textId="77777777" w:rsidR="00073CCF" w:rsidRDefault="0064621C">
      <w:pPr>
        <w:spacing w:after="1"/>
        <w:ind w:left="11" w:right="640"/>
      </w:pPr>
      <w:r>
        <w:t xml:space="preserve">Wie in Kapitel </w:t>
      </w:r>
      <w:r>
        <w:rPr>
          <w:b/>
        </w:rPr>
        <w:t xml:space="preserve">?? </w:t>
      </w:r>
      <w:r>
        <w:t xml:space="preserve">beschrieben liegt das Detektionslimit der optimierten </w:t>
      </w:r>
      <w:proofErr w:type="spellStart"/>
      <w:r>
        <w:t>low</w:t>
      </w:r>
      <w:proofErr w:type="spellEnd"/>
      <w:r>
        <w:t>-</w:t>
      </w:r>
      <w:r>
        <w:t>Volume RT-RPA für den Influenza B Virus bei 14,6 RNA-Kopien. Im Vergleich zu der getesteten RT-PCR vom NCIRD (</w:t>
      </w:r>
      <w:r>
        <w:rPr>
          <w:color w:val="4169E1"/>
        </w:rPr>
        <w:t>2021</w:t>
      </w:r>
      <w:r>
        <w:t xml:space="preserve">) konnte eine Differenz von nur 3 Kopien festgestellt werden, wobei die Unterschiede im Konzentrations-Bereich von </w:t>
      </w:r>
      <w:r>
        <w:t>2∗10</w:t>
      </w:r>
      <w:r>
        <w:rPr>
          <w:vertAlign w:val="superscript"/>
        </w:rPr>
        <w:t xml:space="preserve">0 </w:t>
      </w:r>
      <w:r>
        <w:t>RNA-Kopien liegen. In</w:t>
      </w:r>
      <w:r>
        <w:t xml:space="preserve"> diesen Sensitivitätsbereich spielt einerseits die zufällige Diffusion eine Rolle, welche bestimmt ob die einzelnen Reaktionskomponenten miteinander Interagieren sowie minimale Ungenauigkeiten bei der Verdünnung der RNA-standards, welche dazu führen, dass </w:t>
      </w:r>
      <w:r>
        <w:t>keine Nachweisbaren RNA-Kopien in dem eingesetzten Probenvolumen enthalten sind. Andererseits zeigen Nukleinsäuren eine Adsorption an die verwendeten Polypropylen-</w:t>
      </w:r>
      <w:proofErr w:type="spellStart"/>
      <w:r>
        <w:t>Tubes</w:t>
      </w:r>
      <w:proofErr w:type="spellEnd"/>
      <w:r>
        <w:t xml:space="preserve"> (</w:t>
      </w:r>
      <w:proofErr w:type="spellStart"/>
      <w:r>
        <w:rPr>
          <w:color w:val="4169E1"/>
        </w:rPr>
        <w:t>Zandieh</w:t>
      </w:r>
      <w:proofErr w:type="spellEnd"/>
      <w:r>
        <w:rPr>
          <w:color w:val="4169E1"/>
        </w:rPr>
        <w:t xml:space="preserve"> </w:t>
      </w:r>
      <w:r>
        <w:rPr>
          <w:i/>
          <w:color w:val="4169E1"/>
        </w:rPr>
        <w:t xml:space="preserve">et al. </w:t>
      </w:r>
      <w:r>
        <w:rPr>
          <w:color w:val="4169E1"/>
        </w:rPr>
        <w:t>2022</w:t>
      </w:r>
      <w:r>
        <w:t xml:space="preserve">), welches sie für die RPA-Reaktion unzugänglich machen und gerade </w:t>
      </w:r>
      <w:r>
        <w:t xml:space="preserve">bei geringen </w:t>
      </w:r>
      <w:proofErr w:type="spellStart"/>
      <w:r>
        <w:t>Kopienzahlen</w:t>
      </w:r>
      <w:proofErr w:type="spellEnd"/>
      <w:r>
        <w:t xml:space="preserve"> einen Einfluss haben. Veranschaulicht werden diese Effekte in Abbildung </w:t>
      </w:r>
      <w:r>
        <w:rPr>
          <w:b/>
        </w:rPr>
        <w:t>??</w:t>
      </w:r>
      <w:r>
        <w:t>D. Hier zeigt eine Messung, bei welcher durch zufällige Diffusion die Reaktionskomponenten miteinander interagieren konnten, einen deutlichen Anstieg, währe</w:t>
      </w:r>
      <w:r>
        <w:t>nd alle anderen Messungen keine Signalveränderung aufweisen. Dementsprechend lässt sich sagen, dass die entwickelte RT-RPA für das Influenza B Virus der PCR als Goldstandard ebenbürtig ist. Bei dem Sensitivitätsvergleich mit der Literatur liegt das Detekti</w:t>
      </w:r>
      <w:r>
        <w:t>onslimit der RT-RPA ebenfalls leicht unter dem von vergleichbaren PCR-Systemen (</w:t>
      </w:r>
      <w:r>
        <w:rPr>
          <w:color w:val="4169E1"/>
        </w:rPr>
        <w:t xml:space="preserve">Wu </w:t>
      </w:r>
      <w:r>
        <w:rPr>
          <w:i/>
          <w:color w:val="4169E1"/>
        </w:rPr>
        <w:t xml:space="preserve">et al. </w:t>
      </w:r>
      <w:r>
        <w:rPr>
          <w:color w:val="4169E1"/>
        </w:rPr>
        <w:t>2008</w:t>
      </w:r>
      <w:r>
        <w:t xml:space="preserve">; </w:t>
      </w:r>
      <w:r>
        <w:rPr>
          <w:color w:val="4169E1"/>
        </w:rPr>
        <w:t xml:space="preserve">Shu </w:t>
      </w:r>
      <w:r>
        <w:rPr>
          <w:i/>
          <w:color w:val="4169E1"/>
        </w:rPr>
        <w:t xml:space="preserve">et al. </w:t>
      </w:r>
      <w:r>
        <w:rPr>
          <w:color w:val="4169E1"/>
        </w:rPr>
        <w:t>2020</w:t>
      </w:r>
      <w:r>
        <w:t xml:space="preserve">; </w:t>
      </w:r>
      <w:r>
        <w:rPr>
          <w:color w:val="4169E1"/>
        </w:rPr>
        <w:t xml:space="preserve">Ni </w:t>
      </w:r>
      <w:r>
        <w:rPr>
          <w:i/>
          <w:color w:val="4169E1"/>
        </w:rPr>
        <w:t xml:space="preserve">et al. </w:t>
      </w:r>
      <w:r>
        <w:rPr>
          <w:color w:val="4169E1"/>
        </w:rPr>
        <w:t>2021</w:t>
      </w:r>
      <w:r>
        <w:t>) und ähnlich wie ein RPA-Vergleichssystem (</w:t>
      </w:r>
      <w:r>
        <w:rPr>
          <w:color w:val="4169E1"/>
        </w:rPr>
        <w:t xml:space="preserve">Liang </w:t>
      </w:r>
      <w:r>
        <w:rPr>
          <w:i/>
          <w:color w:val="4169E1"/>
        </w:rPr>
        <w:t xml:space="preserve">et al. </w:t>
      </w:r>
      <w:r>
        <w:rPr>
          <w:color w:val="4169E1"/>
        </w:rPr>
        <w:t>2022</w:t>
      </w:r>
      <w:r>
        <w:t>).</w:t>
      </w:r>
    </w:p>
    <w:p w14:paraId="4313EAF1" w14:textId="77777777" w:rsidR="00073CCF" w:rsidRDefault="0064621C">
      <w:pPr>
        <w:ind w:left="11" w:right="640"/>
      </w:pPr>
      <w:r>
        <w:t xml:space="preserve">Das Detektionslimit der optimierten Influenza A RT-RPA liegt im Gegensatz zur Influenza B RT-RPA weit hinter der Sensitivität der getesteten RT-PCR (siehe Tabelle </w:t>
      </w:r>
      <w:r>
        <w:rPr>
          <w:b/>
        </w:rPr>
        <w:t>??</w:t>
      </w:r>
      <w:r>
        <w:t>) und rund 10-100 mal über den Detektionslimits von PCR- und RPA-Assays in der Literatur (</w:t>
      </w:r>
      <w:r>
        <w:rPr>
          <w:color w:val="4169E1"/>
        </w:rPr>
        <w:t>W</w:t>
      </w:r>
      <w:r>
        <w:rPr>
          <w:color w:val="4169E1"/>
        </w:rPr>
        <w:t xml:space="preserve">u </w:t>
      </w:r>
      <w:r>
        <w:rPr>
          <w:i/>
          <w:color w:val="4169E1"/>
        </w:rPr>
        <w:t xml:space="preserve">et al. </w:t>
      </w:r>
      <w:r>
        <w:rPr>
          <w:color w:val="4169E1"/>
        </w:rPr>
        <w:t>2008</w:t>
      </w:r>
      <w:r>
        <w:t xml:space="preserve">; </w:t>
      </w:r>
      <w:r>
        <w:rPr>
          <w:color w:val="4169E1"/>
        </w:rPr>
        <w:t xml:space="preserve">Ni </w:t>
      </w:r>
      <w:r>
        <w:rPr>
          <w:i/>
          <w:color w:val="4169E1"/>
        </w:rPr>
        <w:t xml:space="preserve">et al. </w:t>
      </w:r>
      <w:r>
        <w:rPr>
          <w:color w:val="4169E1"/>
        </w:rPr>
        <w:t>2021</w:t>
      </w:r>
      <w:r>
        <w:t xml:space="preserve">; </w:t>
      </w:r>
      <w:r>
        <w:rPr>
          <w:color w:val="4169E1"/>
        </w:rPr>
        <w:t xml:space="preserve">Liang </w:t>
      </w:r>
      <w:r>
        <w:rPr>
          <w:i/>
          <w:color w:val="4169E1"/>
        </w:rPr>
        <w:t xml:space="preserve">et al. </w:t>
      </w:r>
      <w:r>
        <w:rPr>
          <w:color w:val="4169E1"/>
        </w:rPr>
        <w:t>2022</w:t>
      </w:r>
      <w:r>
        <w:t xml:space="preserve">). Das vergleichsweise hohe Detektionslimit der Influenza A RT-RPA lässt sich wie in </w:t>
      </w:r>
      <w:r>
        <w:rPr>
          <w:color w:val="4169E1"/>
        </w:rPr>
        <w:t xml:space="preserve">1.1 </w:t>
      </w:r>
      <w:r>
        <w:t>diskutiert durch die erhöhte Anzahl an Basenfehlpaarungen in Primern und Sonde sowie eventuelle Bildung von Sekundärstr</w:t>
      </w:r>
      <w:r>
        <w:t>ukturen erklären.</w:t>
      </w:r>
    </w:p>
    <w:p w14:paraId="6E29060D" w14:textId="77777777" w:rsidR="00073CCF" w:rsidRDefault="0064621C">
      <w:pPr>
        <w:spacing w:after="0"/>
        <w:ind w:left="11" w:right="640"/>
      </w:pPr>
      <w:r>
        <w:lastRenderedPageBreak/>
        <w:t xml:space="preserve">Wird das Detektionslimit in simulierten Kontrollproben für die Influenza A und B RT-RPA betrachtet fällt auf, dass es in Influenza B zu einer deutlichen Verschlechterung des Detektionslimits kommt (siehe Tabelle </w:t>
      </w:r>
      <w:r>
        <w:rPr>
          <w:b/>
        </w:rPr>
        <w:t>??</w:t>
      </w:r>
      <w:r>
        <w:t>), während Influenza A s</w:t>
      </w:r>
      <w:r>
        <w:t xml:space="preserve">cheinbar keine Beeinflussung erfährt (siehe Tabelle </w:t>
      </w:r>
      <w:r>
        <w:rPr>
          <w:b/>
        </w:rPr>
        <w:t>??</w:t>
      </w:r>
      <w:r>
        <w:t xml:space="preserve">). Dieses Phänomen könnte an den unterschiedlichen Reaktionsvolumen der verschiedenen RPA-Assays zusammen mit dem eingeführten humanen Hintergrund liegen. Wie in </w:t>
      </w:r>
      <w:r>
        <w:rPr>
          <w:color w:val="4169E1"/>
        </w:rPr>
        <w:t xml:space="preserve">1.2 </w:t>
      </w:r>
      <w:r>
        <w:t>erwähnt, können große Mengen an geno</w:t>
      </w:r>
      <w:r>
        <w:t>mischer DNA die RPA inhibieren. Dabei hänge die Inhibierung neben der Konzentration der genomischen DNA auch von der Konzentration des eingesetzten zu amplifizierenden Materials ab (</w:t>
      </w:r>
      <w:proofErr w:type="spellStart"/>
      <w:r>
        <w:rPr>
          <w:color w:val="4169E1"/>
        </w:rPr>
        <w:t>Rohrman</w:t>
      </w:r>
      <w:proofErr w:type="spellEnd"/>
      <w:r>
        <w:rPr>
          <w:color w:val="4169E1"/>
        </w:rPr>
        <w:t xml:space="preserve"> &amp; Richards-</w:t>
      </w:r>
      <w:proofErr w:type="spellStart"/>
      <w:r>
        <w:rPr>
          <w:color w:val="4169E1"/>
        </w:rPr>
        <w:t>Kortum</w:t>
      </w:r>
      <w:proofErr w:type="spellEnd"/>
      <w:r>
        <w:rPr>
          <w:color w:val="4169E1"/>
        </w:rPr>
        <w:t xml:space="preserve"> 2015</w:t>
      </w:r>
      <w:r>
        <w:t xml:space="preserve">). Da das verwendete </w:t>
      </w:r>
      <w:proofErr w:type="spellStart"/>
      <w:r>
        <w:t>QiAamp</w:t>
      </w:r>
      <w:proofErr w:type="spellEnd"/>
      <w:r>
        <w:t xml:space="preserve"> Viral RNA Mini K</w:t>
      </w:r>
      <w:r>
        <w:t>its zum Erhalt des humanen Probenhintergrunds keinen</w:t>
      </w:r>
    </w:p>
    <w:p w14:paraId="36DA0D25" w14:textId="77777777" w:rsidR="00073CCF" w:rsidRDefault="0064621C">
      <w:pPr>
        <w:spacing w:after="0"/>
        <w:ind w:left="11" w:right="640"/>
      </w:pPr>
      <w:proofErr w:type="spellStart"/>
      <w:r>
        <w:t>DNAse</w:t>
      </w:r>
      <w:proofErr w:type="spellEnd"/>
      <w:r>
        <w:t xml:space="preserve">-Verdau Schritt durchführt (siehe unten </w:t>
      </w:r>
      <w:r>
        <w:rPr>
          <w:b/>
        </w:rPr>
        <w:t>??</w:t>
      </w:r>
      <w:r>
        <w:t xml:space="preserve">) bleibt die genomische DNA in den Extrakten erhalten. Dementsprechend könnte durch das höhere Proben-Reaktion-Verhältnis im </w:t>
      </w:r>
      <w:proofErr w:type="spellStart"/>
      <w:r>
        <w:t>low</w:t>
      </w:r>
      <w:proofErr w:type="spellEnd"/>
      <w:r>
        <w:t>-volume Ansatz schon geringe</w:t>
      </w:r>
      <w:r>
        <w:t xml:space="preserve">re Mengen an genomischer DNA bei niedrigen Konzentrationen die beobachtete Inhibierung zur Folge haben, während der 50 µl Ansatz durch sein höheres Volumen keine Inhibierung aufweist. Der Arbeit von </w:t>
      </w:r>
      <w:proofErr w:type="spellStart"/>
      <w:r>
        <w:t>Rohrman</w:t>
      </w:r>
      <w:proofErr w:type="spellEnd"/>
      <w:r>
        <w:t xml:space="preserve"> &amp; Richards-</w:t>
      </w:r>
      <w:proofErr w:type="spellStart"/>
      <w:r>
        <w:t>Kortum</w:t>
      </w:r>
      <w:proofErr w:type="spellEnd"/>
      <w:r>
        <w:t xml:space="preserve"> (</w:t>
      </w:r>
      <w:r>
        <w:rPr>
          <w:color w:val="4169E1"/>
        </w:rPr>
        <w:t>2015</w:t>
      </w:r>
      <w:r>
        <w:t>) zufolge sorgt eine DNA-k</w:t>
      </w:r>
      <w:r>
        <w:t xml:space="preserve">onzentration von 500 </w:t>
      </w:r>
      <w:proofErr w:type="spellStart"/>
      <w:r>
        <w:t>ng</w:t>
      </w:r>
      <w:proofErr w:type="spellEnd"/>
      <w:r>
        <w:t xml:space="preserve"> bei Template-Konzentrationen von 10</w:t>
      </w:r>
      <w:r>
        <w:rPr>
          <w:vertAlign w:val="superscript"/>
        </w:rPr>
        <w:t xml:space="preserve">2 </w:t>
      </w:r>
      <w:r>
        <w:t xml:space="preserve">Kopien für eine komplette Inhibierung der RPA. Rechnet man die Konzentration der genomischen DNA auf den </w:t>
      </w:r>
      <w:proofErr w:type="spellStart"/>
      <w:r>
        <w:t>low</w:t>
      </w:r>
      <w:proofErr w:type="spellEnd"/>
      <w:r>
        <w:t xml:space="preserve">-volume Ansatz runter, würden 62,5 </w:t>
      </w:r>
      <w:proofErr w:type="spellStart"/>
      <w:r>
        <w:t>ng</w:t>
      </w:r>
      <w:proofErr w:type="spellEnd"/>
      <w:r>
        <w:t xml:space="preserve"> ausreichen, um eine vollständige Inhibierung ausz</w:t>
      </w:r>
      <w:r>
        <w:t xml:space="preserve">ulösen. Die ermittelte Konzentration der Kontrollproben liegt bei rund 45 </w:t>
      </w:r>
      <w:proofErr w:type="spellStart"/>
      <w:r>
        <w:t>ng</w:t>
      </w:r>
      <w:proofErr w:type="spellEnd"/>
      <w:r>
        <w:t xml:space="preserve">/µl (siehe Kapitel </w:t>
      </w:r>
      <w:r>
        <w:rPr>
          <w:b/>
        </w:rPr>
        <w:t>??</w:t>
      </w:r>
      <w:r>
        <w:t>) und somit in einem ähnlichen Konzentrationsbereich. Zusätzlich sorgt das erhöhte Proben-Reaktion-Verhältnis zu einem höheren genomischen DNA-Verhältnis im Ve</w:t>
      </w:r>
      <w:r>
        <w:t xml:space="preserve">rgleich zur RPA-Reaktion was die benötigte Konzentration zur Inhibierung abermals Senkt. Dementsprechend ist eine Inhibierung der RPA im </w:t>
      </w:r>
      <w:proofErr w:type="spellStart"/>
      <w:r>
        <w:t>low</w:t>
      </w:r>
      <w:proofErr w:type="spellEnd"/>
      <w:r>
        <w:t>-volume Ansatz bei niedrigen Kopien-Anzahlen plausibel.</w:t>
      </w:r>
    </w:p>
    <w:p w14:paraId="663717FC" w14:textId="77777777" w:rsidR="00073CCF" w:rsidRDefault="0064621C">
      <w:pPr>
        <w:spacing w:after="0"/>
        <w:ind w:left="11" w:right="640"/>
      </w:pPr>
      <w:r>
        <w:t>Eine mögliche Erklärung für die Inhibierung der RPA bei hohe</w:t>
      </w:r>
      <w:r>
        <w:t>n DNA-Konzentrationen könnten dabei bei illegitimen Primer- oder Sonden-Hybridisierungen liegen. Durch die vergleichsweise niedrige Temperatur der RPA können Fehlbildungen der Primer und Sonden an die genomische DNA vorkommen, wodurch sie für die eigentlic</w:t>
      </w:r>
      <w:r>
        <w:t>he Reaktion nicht mehr zur Verfügung stehen. Dieser Effekt würde dabei stark von der Konzentration der Ziel-DNA abhängig sein, da höhere Template-Konzentrationen bei gleichbleibenden genomischen Hintergrund zu einer höheren Wahrscheinlichkeit für eine spez</w:t>
      </w:r>
      <w:r>
        <w:t>ifische Primer-Bindung führen. Um dem entgegenzuwirken, müsste die genomische Hintergrund-DNA Verhältnismäßig erhöhte werden um die</w:t>
      </w:r>
    </w:p>
    <w:p w14:paraId="6AA00CB0" w14:textId="77777777" w:rsidR="00073CCF" w:rsidRDefault="0064621C">
      <w:pPr>
        <w:spacing w:after="52" w:line="259" w:lineRule="auto"/>
        <w:ind w:left="11" w:right="640"/>
      </w:pPr>
      <w:r>
        <w:t xml:space="preserve">Wahrscheinlichkeit für spezifische Bindungen zu reduzieren. Diese Verhältnismäßigkeit wurde von </w:t>
      </w:r>
      <w:proofErr w:type="spellStart"/>
      <w:r>
        <w:t>Rohrman</w:t>
      </w:r>
      <w:proofErr w:type="spellEnd"/>
    </w:p>
    <w:p w14:paraId="1913BC98" w14:textId="77777777" w:rsidR="00073CCF" w:rsidRDefault="0064621C">
      <w:pPr>
        <w:spacing w:after="0"/>
        <w:ind w:left="11" w:right="640"/>
      </w:pPr>
      <w:r>
        <w:t>&amp; Richards-</w:t>
      </w:r>
      <w:proofErr w:type="spellStart"/>
      <w:r>
        <w:t>Kortum</w:t>
      </w:r>
      <w:proofErr w:type="spellEnd"/>
      <w:r>
        <w:t xml:space="preserve"> (</w:t>
      </w:r>
      <w:r>
        <w:rPr>
          <w:color w:val="4169E1"/>
        </w:rPr>
        <w:t>2</w:t>
      </w:r>
      <w:r>
        <w:rPr>
          <w:color w:val="4169E1"/>
        </w:rPr>
        <w:t>015</w:t>
      </w:r>
      <w:r>
        <w:t xml:space="preserve">) beobachtet, welches die Hypothese bekräftigt. Jedoch konnte zum Zeitpunkt der vorliegenden Arbeit keine Bestätigung der Hypothese in der Literatur gefunden werden. Eine Erhöhung der Primer- bzw. Sonden-Konzentration könnte für spezifischere Bindungen </w:t>
      </w:r>
      <w:r>
        <w:t>und somit bessere Amplifikation auch in hohen genomischen DNA-Konzentration sorgen, jedoch müsst dies in einer weiteren Versuchsreihe untersucht werden und war nicht Teil dieser Arbeit.</w:t>
      </w:r>
    </w:p>
    <w:p w14:paraId="2536C1FA" w14:textId="77777777" w:rsidR="00073CCF" w:rsidRDefault="0064621C">
      <w:pPr>
        <w:spacing w:after="60"/>
        <w:ind w:left="11" w:right="640"/>
      </w:pPr>
      <w:r>
        <w:t>Die in der Literatur beschrieben Viruslasten für die Influenza A Subty</w:t>
      </w:r>
      <w:r>
        <w:t xml:space="preserve">pen liegen bei </w:t>
      </w:r>
      <w:proofErr w:type="spellStart"/>
      <w:r>
        <w:t>bei</w:t>
      </w:r>
      <w:proofErr w:type="spellEnd"/>
      <w:r>
        <w:t xml:space="preserve"> allen Altersgruppen im Mittelwert bei rund 10</w:t>
      </w:r>
      <w:r>
        <w:rPr>
          <w:vertAlign w:val="superscript"/>
        </w:rPr>
        <w:t xml:space="preserve">3,5 </w:t>
      </w:r>
      <w:r>
        <w:t>Virus Kopien/µl (H1N1) und 10</w:t>
      </w:r>
      <w:r>
        <w:rPr>
          <w:vertAlign w:val="superscript"/>
        </w:rPr>
        <w:t xml:space="preserve">3,3 </w:t>
      </w:r>
      <w:r>
        <w:t>Virus Kopien/µl (H3N2) (</w:t>
      </w:r>
      <w:proofErr w:type="spellStart"/>
      <w:r>
        <w:rPr>
          <w:color w:val="4169E1"/>
        </w:rPr>
        <w:t>Ngaosuwankul</w:t>
      </w:r>
      <w:proofErr w:type="spellEnd"/>
      <w:r>
        <w:rPr>
          <w:color w:val="4169E1"/>
        </w:rPr>
        <w:t xml:space="preserve"> </w:t>
      </w:r>
      <w:r>
        <w:rPr>
          <w:i/>
          <w:color w:val="4169E1"/>
        </w:rPr>
        <w:t>et</w:t>
      </w:r>
    </w:p>
    <w:p w14:paraId="40BC547C" w14:textId="77777777" w:rsidR="00073CCF" w:rsidRDefault="0064621C">
      <w:pPr>
        <w:spacing w:after="57"/>
        <w:ind w:left="11" w:right="640"/>
      </w:pPr>
      <w:r>
        <w:rPr>
          <w:i/>
          <w:color w:val="4169E1"/>
        </w:rPr>
        <w:t xml:space="preserve">al. </w:t>
      </w:r>
      <w:r>
        <w:rPr>
          <w:color w:val="4169E1"/>
        </w:rPr>
        <w:t>2010</w:t>
      </w:r>
      <w:r>
        <w:t xml:space="preserve">; </w:t>
      </w:r>
      <w:r>
        <w:rPr>
          <w:color w:val="4169E1"/>
        </w:rPr>
        <w:t xml:space="preserve">Alves </w:t>
      </w:r>
      <w:r>
        <w:rPr>
          <w:i/>
          <w:color w:val="4169E1"/>
        </w:rPr>
        <w:t xml:space="preserve">et al. </w:t>
      </w:r>
      <w:r>
        <w:rPr>
          <w:color w:val="4169E1"/>
        </w:rPr>
        <w:t>2020</w:t>
      </w:r>
      <w:r>
        <w:t>) wobei eine Ausnahme die Patientengruppe unter zwei Jahren mit 10</w:t>
      </w:r>
      <w:r>
        <w:rPr>
          <w:vertAlign w:val="superscript"/>
        </w:rPr>
        <w:t xml:space="preserve">2,67 </w:t>
      </w:r>
      <w:r>
        <w:t>Virus Kopien/µl (</w:t>
      </w:r>
      <w:r>
        <w:t>H1N1) bildet (</w:t>
      </w:r>
      <w:r>
        <w:rPr>
          <w:color w:val="4169E1"/>
        </w:rPr>
        <w:t xml:space="preserve">Alves </w:t>
      </w:r>
      <w:r>
        <w:rPr>
          <w:i/>
          <w:color w:val="4169E1"/>
        </w:rPr>
        <w:t xml:space="preserve">et al. </w:t>
      </w:r>
      <w:r>
        <w:rPr>
          <w:color w:val="4169E1"/>
        </w:rPr>
        <w:t>2020</w:t>
      </w:r>
      <w:r>
        <w:t xml:space="preserve">). Die beste Entnahmemethode sind dabei </w:t>
      </w:r>
      <w:proofErr w:type="spellStart"/>
      <w:r>
        <w:t>Nasopharyngeal</w:t>
      </w:r>
      <w:proofErr w:type="spellEnd"/>
      <w:r>
        <w:t>-Abstriche, welche im Durchschnitt 10</w:t>
      </w:r>
      <w:r>
        <w:rPr>
          <w:vertAlign w:val="superscript"/>
        </w:rPr>
        <w:t xml:space="preserve">5,0 </w:t>
      </w:r>
      <w:r>
        <w:t>Virus Kopien/µl Enthalten, während Nasal-Abstriche mit 10</w:t>
      </w:r>
      <w:r>
        <w:rPr>
          <w:vertAlign w:val="superscript"/>
        </w:rPr>
        <w:t xml:space="preserve">3,8 </w:t>
      </w:r>
      <w:r>
        <w:t>Virus Kopien/µl und Rachen-Abstriche mit 10</w:t>
      </w:r>
      <w:r>
        <w:rPr>
          <w:vertAlign w:val="superscript"/>
        </w:rPr>
        <w:t xml:space="preserve">3,4 </w:t>
      </w:r>
      <w:r>
        <w:t>Virus Kopien/µl deutli</w:t>
      </w:r>
      <w:r>
        <w:t>ch geringere Viruslasten aufweisen (</w:t>
      </w:r>
      <w:proofErr w:type="spellStart"/>
      <w:r>
        <w:rPr>
          <w:color w:val="4169E1"/>
        </w:rPr>
        <w:t>Ngaosuwankul</w:t>
      </w:r>
      <w:proofErr w:type="spellEnd"/>
      <w:r>
        <w:rPr>
          <w:color w:val="4169E1"/>
        </w:rPr>
        <w:t xml:space="preserve"> </w:t>
      </w:r>
      <w:r>
        <w:rPr>
          <w:i/>
          <w:color w:val="4169E1"/>
        </w:rPr>
        <w:t xml:space="preserve">et al. </w:t>
      </w:r>
      <w:r>
        <w:rPr>
          <w:color w:val="4169E1"/>
        </w:rPr>
        <w:t>2010</w:t>
      </w:r>
      <w:r>
        <w:t xml:space="preserve">). Die für die Influenza A ermittelte Sensitivität in den simulierten Kontrollproben kann mit einem Detektionslimit von 147,5 RNA-Kopien für beide Subtypen (siehe Tabelle </w:t>
      </w:r>
      <w:r>
        <w:rPr>
          <w:b/>
        </w:rPr>
        <w:t>??</w:t>
      </w:r>
      <w:r>
        <w:t>) im Durschnitt alle Pa</w:t>
      </w:r>
      <w:r>
        <w:t xml:space="preserve">tientenproben nachweisen. Eventuelle Komplikationen könnten bei Patienten unter zwei Jahren aufkommen, da die Viruslast nahe an der Detektionsgrenze </w:t>
      </w:r>
      <w:r>
        <w:lastRenderedPageBreak/>
        <w:t xml:space="preserve">liegt. Für eine sichere Detektion ist generell ein </w:t>
      </w:r>
      <w:proofErr w:type="spellStart"/>
      <w:r>
        <w:t>NasopharyngealAbstrich</w:t>
      </w:r>
      <w:proofErr w:type="spellEnd"/>
      <w:r>
        <w:t xml:space="preserve"> durchzuführen, da hier im Durchsc</w:t>
      </w:r>
      <w:r>
        <w:t>hnitt die größte Viruslast erlangt wird und somit ein eventuelle</w:t>
      </w:r>
    </w:p>
    <w:p w14:paraId="1401E986" w14:textId="77777777" w:rsidR="00073CCF" w:rsidRDefault="0064621C">
      <w:pPr>
        <w:spacing w:after="56" w:line="259" w:lineRule="auto"/>
        <w:ind w:left="11" w:right="640"/>
      </w:pPr>
      <w:r>
        <w:t>Annährung an das Detektionslimit vermieden werden kann. Für Influenza B konnte in einer Studie von</w:t>
      </w:r>
    </w:p>
    <w:p w14:paraId="2868704E" w14:textId="77777777" w:rsidR="00073CCF" w:rsidRDefault="0064621C">
      <w:pPr>
        <w:spacing w:after="6"/>
        <w:ind w:left="11" w:right="640"/>
      </w:pPr>
      <w:r>
        <w:t xml:space="preserve">Alves </w:t>
      </w:r>
      <w:r>
        <w:rPr>
          <w:i/>
        </w:rPr>
        <w:t xml:space="preserve">et al. </w:t>
      </w:r>
      <w:r>
        <w:t>(</w:t>
      </w:r>
      <w:r>
        <w:rPr>
          <w:color w:val="4169E1"/>
        </w:rPr>
        <w:t>2019</w:t>
      </w:r>
      <w:r>
        <w:t>) eine durchschnittliche Viruslast in allen Altersgruppen von rund 10</w:t>
      </w:r>
      <w:r>
        <w:rPr>
          <w:vertAlign w:val="superscript"/>
        </w:rPr>
        <w:t xml:space="preserve">3,5 </w:t>
      </w:r>
      <w:r>
        <w:t>Virus Kopien/µl festgestellt werden. Ausnahme bildeten dabei Patienten über 59 Jahren, da hier nur ein Datensatz verfügbar war und somit keine einheitliche Aussage getätigt werden kan</w:t>
      </w:r>
      <w:r>
        <w:t>n (</w:t>
      </w:r>
      <w:r>
        <w:rPr>
          <w:color w:val="4169E1"/>
        </w:rPr>
        <w:t xml:space="preserve">Alves </w:t>
      </w:r>
      <w:r>
        <w:rPr>
          <w:i/>
          <w:color w:val="4169E1"/>
        </w:rPr>
        <w:t xml:space="preserve">et al. </w:t>
      </w:r>
      <w:r>
        <w:rPr>
          <w:color w:val="4169E1"/>
        </w:rPr>
        <w:t>2019</w:t>
      </w:r>
      <w:r>
        <w:t>). Eine andere Studie von</w:t>
      </w:r>
    </w:p>
    <w:p w14:paraId="49A923C5" w14:textId="77777777" w:rsidR="00073CCF" w:rsidRDefault="0064621C">
      <w:pPr>
        <w:spacing w:after="59" w:line="259" w:lineRule="auto"/>
        <w:ind w:left="11" w:right="640"/>
      </w:pPr>
      <w:proofErr w:type="spellStart"/>
      <w:r>
        <w:t>Tsou</w:t>
      </w:r>
      <w:proofErr w:type="spellEnd"/>
      <w:r>
        <w:t xml:space="preserve"> </w:t>
      </w:r>
      <w:r>
        <w:rPr>
          <w:i/>
        </w:rPr>
        <w:t xml:space="preserve">et al. </w:t>
      </w:r>
      <w:r>
        <w:t>(</w:t>
      </w:r>
      <w:r>
        <w:rPr>
          <w:color w:val="4169E1"/>
        </w:rPr>
        <w:t>2012</w:t>
      </w:r>
      <w:r>
        <w:t>) untersuchte die Viruslast speziell bei Kindern und konnte im Durschnitt sehr geringe</w:t>
      </w:r>
    </w:p>
    <w:p w14:paraId="78CE28AF" w14:textId="77777777" w:rsidR="00073CCF" w:rsidRDefault="0064621C">
      <w:pPr>
        <w:spacing w:after="3"/>
        <w:ind w:left="11" w:right="640"/>
      </w:pPr>
      <w:r>
        <w:t>Werte von Durchschnittlich 3,9 Virus Kopien/µl feststellen. Jedoch wurden innerhalb dieser Studie große Sc</w:t>
      </w:r>
      <w:r>
        <w:t xml:space="preserve">hwankungen innerhalb der Viruslast festgestellt (zwischen </w:t>
      </w:r>
      <w:r>
        <w:t xml:space="preserve">45 </w:t>
      </w:r>
      <w:r>
        <w:t xml:space="preserve">und </w:t>
      </w:r>
      <w:r>
        <w:t>2 ∗ 10</w:t>
      </w:r>
      <w:r>
        <w:rPr>
          <w:vertAlign w:val="superscript"/>
        </w:rPr>
        <w:t xml:space="preserve">6 </w:t>
      </w:r>
      <w:r>
        <w:t>Virus Kopien/ml) sowie eine negative Korrelation zwischen Viruslast und Zeitpunkt der Probenentnahme (</w:t>
      </w:r>
      <w:proofErr w:type="spellStart"/>
      <w:r>
        <w:rPr>
          <w:color w:val="4169E1"/>
        </w:rPr>
        <w:t>Tsou</w:t>
      </w:r>
      <w:proofErr w:type="spellEnd"/>
      <w:r>
        <w:rPr>
          <w:color w:val="4169E1"/>
        </w:rPr>
        <w:t xml:space="preserve"> </w:t>
      </w:r>
      <w:r>
        <w:rPr>
          <w:i/>
          <w:color w:val="4169E1"/>
        </w:rPr>
        <w:t xml:space="preserve">et al. </w:t>
      </w:r>
      <w:r>
        <w:rPr>
          <w:color w:val="4169E1"/>
        </w:rPr>
        <w:t>2012</w:t>
      </w:r>
      <w:r>
        <w:t>). Das mit der reinen, artifiziellen Standard RNA ermittelte Dete</w:t>
      </w:r>
      <w:r>
        <w:t xml:space="preserve">ktionslimit für die Influenza B RT-RPA wäre mit 14,6 RNA-Kopien (siehe Tabelle </w:t>
      </w:r>
      <w:r>
        <w:rPr>
          <w:b/>
        </w:rPr>
        <w:t>??</w:t>
      </w:r>
      <w:r>
        <w:t>) in der Lage die meisten Patientenproben zu detektieren. Betrachtet man jedoch den starken Verlust der Sensitivität bei den simulierten Kontrollproben können Komplikationen g</w:t>
      </w:r>
      <w:r>
        <w:t xml:space="preserve">erade bei Kinderpatienten auftreten. Hier liegt das ermittelte Detektionslimit von 1397 RNA-Kopien (siehe Tabelle </w:t>
      </w:r>
      <w:r>
        <w:rPr>
          <w:b/>
        </w:rPr>
        <w:t>??</w:t>
      </w:r>
      <w:r>
        <w:t xml:space="preserve">) weit über der von </w:t>
      </w:r>
      <w:proofErr w:type="spellStart"/>
      <w:r>
        <w:t>Tsou</w:t>
      </w:r>
      <w:proofErr w:type="spellEnd"/>
      <w:r>
        <w:t xml:space="preserve"> </w:t>
      </w:r>
      <w:r>
        <w:rPr>
          <w:i/>
        </w:rPr>
        <w:t xml:space="preserve">et al. </w:t>
      </w:r>
      <w:r>
        <w:t>(</w:t>
      </w:r>
      <w:r>
        <w:rPr>
          <w:color w:val="4169E1"/>
        </w:rPr>
        <w:t>2012</w:t>
      </w:r>
      <w:r>
        <w:t xml:space="preserve">) ermittelten Viruslast. Nach Alves </w:t>
      </w:r>
      <w:r>
        <w:rPr>
          <w:i/>
        </w:rPr>
        <w:t xml:space="preserve">et al. </w:t>
      </w:r>
      <w:r>
        <w:t>(</w:t>
      </w:r>
      <w:r>
        <w:rPr>
          <w:color w:val="4169E1"/>
        </w:rPr>
        <w:t>2019</w:t>
      </w:r>
      <w:r>
        <w:t>) könnten zwar alle Patienten inklusive Patienten unter</w:t>
      </w:r>
      <w:r>
        <w:t xml:space="preserve"> zwei Jahren im Durchschnitt detektiert werden, jedoch befindet sich hier die Viruslast nahe am Detektionslimit. Generell lässt sich sagen, dass die entwickelte Influenza B RT-RPA ein zu hohes Detektionslimit besitzt um zuverlässig Influenza B Detektieren </w:t>
      </w:r>
      <w:r>
        <w:t>zu können. Eine eventuelle Verbesserung des Detektionslimits in einem humanen DNA-Hintergrund könnte durch die Verwendung des 50 µl Ansatzes oder durch die Erhöhung der Primer- oder Sonden-Konzentration erreicht werden, jedoch müsste dies in weiteren Versu</w:t>
      </w:r>
      <w:r>
        <w:t>chen bestätigt werden. Zusätzlich sollte, um eine möglichst zuverlässige Detektion zu ermöglichen eine zeitnahe Proben Entnahme erfolgen, um möglichst hohe Viruslasten zu erreichen (</w:t>
      </w:r>
      <w:proofErr w:type="spellStart"/>
      <w:r>
        <w:rPr>
          <w:color w:val="4169E1"/>
        </w:rPr>
        <w:t>Tsou</w:t>
      </w:r>
      <w:proofErr w:type="spellEnd"/>
      <w:r>
        <w:rPr>
          <w:color w:val="4169E1"/>
        </w:rPr>
        <w:t xml:space="preserve"> </w:t>
      </w:r>
      <w:r>
        <w:rPr>
          <w:i/>
          <w:color w:val="4169E1"/>
        </w:rPr>
        <w:t>et</w:t>
      </w:r>
    </w:p>
    <w:p w14:paraId="17FBC5E6" w14:textId="77777777" w:rsidR="00073CCF" w:rsidRDefault="0064621C">
      <w:pPr>
        <w:spacing w:after="386" w:line="265" w:lineRule="auto"/>
        <w:ind w:left="18" w:right="326" w:hanging="10"/>
        <w:jc w:val="left"/>
      </w:pPr>
      <w:r>
        <w:rPr>
          <w:i/>
          <w:color w:val="4169E1"/>
        </w:rPr>
        <w:t xml:space="preserve">al. </w:t>
      </w:r>
      <w:r>
        <w:rPr>
          <w:color w:val="4169E1"/>
        </w:rPr>
        <w:t>2012</w:t>
      </w:r>
      <w:r>
        <w:t>).</w:t>
      </w:r>
    </w:p>
    <w:p w14:paraId="30E3DA01" w14:textId="77777777" w:rsidR="00073CCF" w:rsidRDefault="0064621C">
      <w:pPr>
        <w:pStyle w:val="berschrift2"/>
        <w:ind w:left="591" w:hanging="583"/>
      </w:pPr>
      <w:bookmarkStart w:id="6" w:name="_Toc18346"/>
      <w:r>
        <w:t xml:space="preserve">Entwicklung der asymmetrischen </w:t>
      </w:r>
      <w:r>
        <w:rPr>
          <w:i/>
        </w:rPr>
        <w:t xml:space="preserve">real time </w:t>
      </w:r>
      <w:r>
        <w:t>RT-RPA</w:t>
      </w:r>
      <w:bookmarkEnd w:id="6"/>
    </w:p>
    <w:p w14:paraId="302F1CD9" w14:textId="77777777" w:rsidR="00073CCF" w:rsidRDefault="0064621C">
      <w:pPr>
        <w:spacing w:after="0"/>
        <w:ind w:left="11" w:right="640"/>
      </w:pPr>
      <w:r>
        <w:t>Wie den</w:t>
      </w:r>
      <w:r>
        <w:t xml:space="preserve"> Kapiteln </w:t>
      </w:r>
      <w:r>
        <w:rPr>
          <w:b/>
        </w:rPr>
        <w:t xml:space="preserve">?? </w:t>
      </w:r>
      <w:r>
        <w:t xml:space="preserve">und </w:t>
      </w:r>
      <w:r>
        <w:rPr>
          <w:b/>
        </w:rPr>
        <w:t xml:space="preserve">?? </w:t>
      </w:r>
      <w:r>
        <w:t>festgestellt, führt eine asymmetrische Erhöhung des reverse Primer zu einer erhöhten Fluoreszenz, wobei die Verteilung der Primer-Asymmetrie von der Hybridisierungsposition der Sonde (sense- oder antisense-Strang) abhängt. Wie in Kapite</w:t>
      </w:r>
      <w:r>
        <w:t xml:space="preserve">l </w:t>
      </w:r>
      <w:r>
        <w:rPr>
          <w:b/>
        </w:rPr>
        <w:t xml:space="preserve">?? </w:t>
      </w:r>
      <w:r>
        <w:t xml:space="preserve">beschrieben sorgt die ungleiche Verteilung der Primer dazu, dass im Verlauf der Reaktion einzelsträngige DNA entsteht. Dabei wurde die asymmetrische </w:t>
      </w:r>
      <w:proofErr w:type="spellStart"/>
      <w:r>
        <w:t>Primerverteilung</w:t>
      </w:r>
      <w:proofErr w:type="spellEnd"/>
      <w:r>
        <w:t xml:space="preserve"> innerhalb der RPA von Wang </w:t>
      </w:r>
      <w:r>
        <w:rPr>
          <w:i/>
        </w:rPr>
        <w:t xml:space="preserve">et al. </w:t>
      </w:r>
      <w:r>
        <w:t>(</w:t>
      </w:r>
      <w:r>
        <w:rPr>
          <w:color w:val="4169E1"/>
        </w:rPr>
        <w:t>2019</w:t>
      </w:r>
      <w:r>
        <w:t xml:space="preserve">) beschrieben um </w:t>
      </w:r>
      <w:r>
        <w:rPr>
          <w:i/>
        </w:rPr>
        <w:t xml:space="preserve">Fusarium </w:t>
      </w:r>
      <w:proofErr w:type="spellStart"/>
      <w:r>
        <w:rPr>
          <w:i/>
        </w:rPr>
        <w:t>proliferatum</w:t>
      </w:r>
      <w:proofErr w:type="spellEnd"/>
      <w:r>
        <w:rPr>
          <w:i/>
        </w:rPr>
        <w:t xml:space="preserve"> </w:t>
      </w:r>
      <w:r>
        <w:t>mittels</w:t>
      </w:r>
      <w:r>
        <w:t xml:space="preserve"> eines enzymkatalysiertem Farbumschlags nachzuweisen (</w:t>
      </w:r>
      <w:r>
        <w:rPr>
          <w:color w:val="4169E1"/>
        </w:rPr>
        <w:t xml:space="preserve">Wang </w:t>
      </w:r>
      <w:r>
        <w:rPr>
          <w:i/>
          <w:color w:val="4169E1"/>
        </w:rPr>
        <w:t xml:space="preserve">et al. </w:t>
      </w:r>
      <w:r>
        <w:rPr>
          <w:color w:val="4169E1"/>
        </w:rPr>
        <w:t>2019</w:t>
      </w:r>
      <w:r>
        <w:t xml:space="preserve">). </w:t>
      </w:r>
      <w:proofErr w:type="spellStart"/>
      <w:r>
        <w:t>Sollweck</w:t>
      </w:r>
      <w:proofErr w:type="spellEnd"/>
      <w:r>
        <w:t xml:space="preserve"> </w:t>
      </w:r>
      <w:r>
        <w:rPr>
          <w:i/>
        </w:rPr>
        <w:t xml:space="preserve">et al. </w:t>
      </w:r>
      <w:r>
        <w:t>(</w:t>
      </w:r>
      <w:r>
        <w:rPr>
          <w:color w:val="4169E1"/>
        </w:rPr>
        <w:t>2021</w:t>
      </w:r>
      <w:r>
        <w:t xml:space="preserve">) kombinierte die asymmetrische RPA um mit der entstandenen einzelsträngigen DNA ein Nachweis mittels </w:t>
      </w:r>
      <w:proofErr w:type="spellStart"/>
      <w:r>
        <w:t>Microarry</w:t>
      </w:r>
      <w:proofErr w:type="spellEnd"/>
      <w:r>
        <w:t xml:space="preserve"> durchzuführen (</w:t>
      </w:r>
      <w:proofErr w:type="spellStart"/>
      <w:r>
        <w:rPr>
          <w:color w:val="4169E1"/>
        </w:rPr>
        <w:t>Sollweck</w:t>
      </w:r>
      <w:proofErr w:type="spellEnd"/>
      <w:r>
        <w:rPr>
          <w:color w:val="4169E1"/>
        </w:rPr>
        <w:t xml:space="preserve"> </w:t>
      </w:r>
      <w:r>
        <w:rPr>
          <w:i/>
          <w:color w:val="4169E1"/>
        </w:rPr>
        <w:t xml:space="preserve">et al. </w:t>
      </w:r>
      <w:r>
        <w:rPr>
          <w:color w:val="4169E1"/>
        </w:rPr>
        <w:t>2021</w:t>
      </w:r>
      <w:r>
        <w:t xml:space="preserve">). Derzeit ist </w:t>
      </w:r>
      <w:r>
        <w:t xml:space="preserve">die Verwendung einer asymmetrischen </w:t>
      </w:r>
      <w:proofErr w:type="spellStart"/>
      <w:r>
        <w:t>Primerverteilung</w:t>
      </w:r>
      <w:proofErr w:type="spellEnd"/>
      <w:r>
        <w:t xml:space="preserve"> in Kombination mit fluoreszenzmarkierten Sonden in der Literatur nur innerhalb der qPCR bekannt. So konnte </w:t>
      </w:r>
      <w:proofErr w:type="spellStart"/>
      <w:r>
        <w:t>Poddar</w:t>
      </w:r>
      <w:proofErr w:type="spellEnd"/>
      <w:r>
        <w:t xml:space="preserve"> (</w:t>
      </w:r>
      <w:r>
        <w:rPr>
          <w:color w:val="4169E1"/>
        </w:rPr>
        <w:t>2000</w:t>
      </w:r>
      <w:r>
        <w:t xml:space="preserve">) mithilfe von </w:t>
      </w:r>
      <w:proofErr w:type="spellStart"/>
      <w:r>
        <w:t>Molecuar</w:t>
      </w:r>
      <w:proofErr w:type="spellEnd"/>
      <w:r>
        <w:t xml:space="preserve"> Beacons nachweisen, dass durch die </w:t>
      </w:r>
      <w:proofErr w:type="spellStart"/>
      <w:r>
        <w:t>Primerasymmetrie</w:t>
      </w:r>
      <w:proofErr w:type="spellEnd"/>
      <w:r>
        <w:t xml:space="preserve"> die zur Sonde komplementäre DNA-Sequenz zusätzlich als einzelsträngige DNA und somit vermehrt vorliegt. Dadurch konnten die </w:t>
      </w:r>
      <w:proofErr w:type="spellStart"/>
      <w:r>
        <w:t>Molecular</w:t>
      </w:r>
      <w:proofErr w:type="spellEnd"/>
      <w:r>
        <w:t xml:space="preserve"> Beacons häufiger hybridisieren und somit ein s</w:t>
      </w:r>
      <w:r>
        <w:t>tärkeres Fluoreszenzsignal erzeugen (</w:t>
      </w:r>
      <w:proofErr w:type="spellStart"/>
      <w:r>
        <w:rPr>
          <w:color w:val="4169E1"/>
        </w:rPr>
        <w:t>Poddar</w:t>
      </w:r>
      <w:proofErr w:type="spellEnd"/>
      <w:r>
        <w:rPr>
          <w:color w:val="4169E1"/>
        </w:rPr>
        <w:t xml:space="preserve"> 2000</w:t>
      </w:r>
      <w:r>
        <w:t xml:space="preserve">). In der hier vorliegenden Arbeit konnte gezeigt werden, dass das von </w:t>
      </w:r>
      <w:proofErr w:type="spellStart"/>
      <w:r>
        <w:t>Poddar</w:t>
      </w:r>
      <w:proofErr w:type="spellEnd"/>
      <w:r>
        <w:t xml:space="preserve"> (</w:t>
      </w:r>
      <w:r>
        <w:rPr>
          <w:color w:val="4169E1"/>
        </w:rPr>
        <w:t>2000</w:t>
      </w:r>
      <w:r>
        <w:t xml:space="preserve">) beschriebene Prinzip auf die RPA mittels </w:t>
      </w:r>
      <w:proofErr w:type="spellStart"/>
      <w:r>
        <w:t>Exo</w:t>
      </w:r>
      <w:proofErr w:type="spellEnd"/>
      <w:r>
        <w:t xml:space="preserve">-Sonden anwendbar ist. Dies wurde über die Experimente in Kapitel </w:t>
      </w:r>
      <w:r>
        <w:rPr>
          <w:b/>
        </w:rPr>
        <w:t xml:space="preserve">?? </w:t>
      </w:r>
      <w:r>
        <w:t>bestätigt.</w:t>
      </w:r>
      <w:r>
        <w:t xml:space="preserve"> Durch die Erhöhung des Forward Primer (siehe Abbildung </w:t>
      </w:r>
      <w:r>
        <w:rPr>
          <w:b/>
        </w:rPr>
        <w:t>??</w:t>
      </w:r>
      <w:r>
        <w:t>A) wurde die Asymmetrie wieder angeglichen, wodurch ein Rückgang an Fluoreszenz beobachtet werden konnte. Das beweist, dass die Asymmetrie mit der Fluoreszenzerhöhung zusammenhängt. Des Weiteren kon</w:t>
      </w:r>
      <w:r>
        <w:t xml:space="preserve">nte gezeigt werden, dass die Hybridisierungsposition der Sonde mit der Primer-Asymmetrie zusammenhängt (siehe Abbildung </w:t>
      </w:r>
      <w:r>
        <w:rPr>
          <w:b/>
        </w:rPr>
        <w:t>??</w:t>
      </w:r>
      <w:r>
        <w:t xml:space="preserve">B). Daraus lässt schließend, dass durch die </w:t>
      </w:r>
      <w:proofErr w:type="spellStart"/>
      <w:r>
        <w:lastRenderedPageBreak/>
        <w:t>Primerasymmetrie</w:t>
      </w:r>
      <w:proofErr w:type="spellEnd"/>
      <w:r>
        <w:t xml:space="preserve">, die zur </w:t>
      </w:r>
      <w:proofErr w:type="spellStart"/>
      <w:r>
        <w:t>Exo</w:t>
      </w:r>
      <w:proofErr w:type="spellEnd"/>
      <w:r>
        <w:t xml:space="preserve">-Sonde komplementäre DNA-Sequenz häufiger </w:t>
      </w:r>
      <w:proofErr w:type="gramStart"/>
      <w:r>
        <w:t>Amplifiziert</w:t>
      </w:r>
      <w:proofErr w:type="gramEnd"/>
      <w:r>
        <w:t xml:space="preserve"> wird, </w:t>
      </w:r>
      <w:r>
        <w:t xml:space="preserve">wodurch die Sonde an die entstandene einzelstränge DNA hybridisiert und von der </w:t>
      </w:r>
      <w:proofErr w:type="spellStart"/>
      <w:r>
        <w:t>Exonuclease</w:t>
      </w:r>
      <w:proofErr w:type="spellEnd"/>
      <w:r>
        <w:t xml:space="preserve"> gespalten wird. Dadurch wird mehr Sonde als bei einer Konventionellen RPA gespalten, wodurch mehr Fluoreszenzsignal detektierbar wird. Dieses Prinzip konnte ebenfal</w:t>
      </w:r>
      <w:r>
        <w:t>ls auf die Influenza A RTRPA übertragen werden, was beweist, dass die Asymmetrie nicht nur speziell Anhand der Influenza B RT-</w:t>
      </w:r>
    </w:p>
    <w:p w14:paraId="1A728B6C" w14:textId="77777777" w:rsidR="00073CCF" w:rsidRDefault="0064621C">
      <w:pPr>
        <w:spacing w:after="50" w:line="259" w:lineRule="auto"/>
        <w:ind w:left="11" w:right="640"/>
      </w:pPr>
      <w:r>
        <w:t>RPA nachweisbar ist, sondern allgemeiner angewandt werden kann. Jedoch wurde dieses Prinzip in dieser</w:t>
      </w:r>
    </w:p>
    <w:p w14:paraId="375B78DD" w14:textId="77777777" w:rsidR="00073CCF" w:rsidRDefault="0064621C">
      <w:pPr>
        <w:spacing w:after="323"/>
        <w:ind w:left="11" w:right="640"/>
      </w:pPr>
      <w:r>
        <w:t>Arbeit nur anhand der RT-RP</w:t>
      </w:r>
      <w:r>
        <w:t>A nachgewiesen. Eine Adaption auf eine DNA basierte RPA müsste noch untersucht werden, um allgemeingültige Aussagen treffen zu können.</w:t>
      </w:r>
    </w:p>
    <w:p w14:paraId="4B388CD4" w14:textId="77777777" w:rsidR="00073CCF" w:rsidRDefault="0064621C">
      <w:pPr>
        <w:pStyle w:val="berschrift2"/>
        <w:ind w:left="591" w:hanging="583"/>
      </w:pPr>
      <w:bookmarkStart w:id="7" w:name="_Toc18347"/>
      <w:r>
        <w:t xml:space="preserve">Einfluss der </w:t>
      </w:r>
      <w:proofErr w:type="spellStart"/>
      <w:r>
        <w:t>Exo-Sondenmodifikation</w:t>
      </w:r>
      <w:proofErr w:type="spellEnd"/>
      <w:r>
        <w:t xml:space="preserve"> auf die RT-RPA</w:t>
      </w:r>
      <w:bookmarkEnd w:id="7"/>
    </w:p>
    <w:p w14:paraId="537F72FC" w14:textId="77777777" w:rsidR="00073CCF" w:rsidRDefault="0064621C">
      <w:pPr>
        <w:spacing w:after="50" w:line="259" w:lineRule="auto"/>
        <w:ind w:left="11" w:right="640"/>
      </w:pPr>
      <w:r>
        <w:t xml:space="preserve">Die </w:t>
      </w:r>
      <w:proofErr w:type="spellStart"/>
      <w:r>
        <w:t>Sondenmodifikation</w:t>
      </w:r>
      <w:proofErr w:type="spellEnd"/>
      <w:r>
        <w:t xml:space="preserve"> innerhalb der RPA hinsichtlich Fluorophor- und </w:t>
      </w:r>
      <w:proofErr w:type="spellStart"/>
      <w:r>
        <w:t>Quencher</w:t>
      </w:r>
      <w:proofErr w:type="spellEnd"/>
      <w:r>
        <w:t>-Position unterliegt</w:t>
      </w:r>
    </w:p>
    <w:p w14:paraId="5B6B22CF" w14:textId="77777777" w:rsidR="00073CCF" w:rsidRDefault="0064621C">
      <w:pPr>
        <w:spacing w:after="50" w:line="259" w:lineRule="auto"/>
        <w:ind w:left="11" w:right="640"/>
      </w:pPr>
      <w:r>
        <w:t xml:space="preserve">Sequenz-Limitationen. So ist eine Kopplung des Fluorophors beziehungsweise des </w:t>
      </w:r>
      <w:proofErr w:type="spellStart"/>
      <w:r>
        <w:t>Quenchers</w:t>
      </w:r>
      <w:proofErr w:type="spellEnd"/>
      <w:r>
        <w:t xml:space="preserve"> an die</w:t>
      </w:r>
    </w:p>
    <w:p w14:paraId="3823434E" w14:textId="77777777" w:rsidR="00073CCF" w:rsidRDefault="0064621C">
      <w:pPr>
        <w:spacing w:after="0"/>
        <w:ind w:left="11" w:right="640"/>
      </w:pPr>
      <w:r>
        <w:t xml:space="preserve">Purin-Basen (Adenin A, Guanin G) ungünstig, da die Kopplung an der 8’-Position erfolgt und so das Nukleosid in eine </w:t>
      </w:r>
      <w:proofErr w:type="spellStart"/>
      <w:r>
        <w:t>Synkonformation</w:t>
      </w:r>
      <w:proofErr w:type="spellEnd"/>
      <w:r>
        <w:t xml:space="preserve"> gezwungen wird. Dadurch kommt es zu einer Störung der </w:t>
      </w:r>
      <w:proofErr w:type="spellStart"/>
      <w:r>
        <w:t>Watsen</w:t>
      </w:r>
      <w:proofErr w:type="spellEnd"/>
      <w:r>
        <w:t xml:space="preserve"> und Crick Basenpaarung, was die Hybridisation erschwert (</w:t>
      </w:r>
      <w:r>
        <w:rPr>
          <w:color w:val="4169E1"/>
        </w:rPr>
        <w:t>Wagenknecht 2008</w:t>
      </w:r>
      <w:r>
        <w:t xml:space="preserve">). Eine Kopplung an die Purin-Basen (Cytosin C, </w:t>
      </w:r>
      <w:proofErr w:type="spellStart"/>
      <w:r>
        <w:t>Thymin</w:t>
      </w:r>
      <w:proofErr w:type="spellEnd"/>
      <w:r>
        <w:t xml:space="preserve"> T) ist vorzuziehen, da es hier zu einer geringeren Beeinträchtigun</w:t>
      </w:r>
      <w:r>
        <w:t xml:space="preserve">g kommt. Hierbei erfolgt die Kopplung an die 5’-Position, wodurch die </w:t>
      </w:r>
      <w:proofErr w:type="spellStart"/>
      <w:r>
        <w:t>Konformation</w:t>
      </w:r>
      <w:proofErr w:type="spellEnd"/>
      <w:r>
        <w:t xml:space="preserve"> des Nukleosids weitestgehend nicht beeinträchtigt wird. Sterischen Behinderungen zwischen Fluorophor und DNA können jedoch bei beiden Kopplungspositionen nicht ausgeschlosse</w:t>
      </w:r>
      <w:r>
        <w:t>n werden (</w:t>
      </w:r>
      <w:r>
        <w:rPr>
          <w:color w:val="4169E1"/>
        </w:rPr>
        <w:t>Wagenknecht 2008</w:t>
      </w:r>
      <w:r>
        <w:t xml:space="preserve">). Der Stand der Technik beschränkt und sich dabei auf T-gekoppelte </w:t>
      </w:r>
      <w:proofErr w:type="spellStart"/>
      <w:r>
        <w:t>Quencher</w:t>
      </w:r>
      <w:proofErr w:type="spellEnd"/>
      <w:r>
        <w:t xml:space="preserve"> und Sonden (</w:t>
      </w:r>
      <w:proofErr w:type="spellStart"/>
      <w:r>
        <w:rPr>
          <w:color w:val="4169E1"/>
        </w:rPr>
        <w:t>TwistDx</w:t>
      </w:r>
      <w:proofErr w:type="spellEnd"/>
      <w:r>
        <w:rPr>
          <w:color w:val="4169E1"/>
        </w:rPr>
        <w:t xml:space="preserve"> 2018</w:t>
      </w:r>
      <w:r>
        <w:t xml:space="preserve">; </w:t>
      </w:r>
      <w:r>
        <w:rPr>
          <w:color w:val="4169E1"/>
        </w:rPr>
        <w:t xml:space="preserve">Faye </w:t>
      </w:r>
      <w:r>
        <w:rPr>
          <w:i/>
          <w:color w:val="4169E1"/>
        </w:rPr>
        <w:t xml:space="preserve">et al. </w:t>
      </w:r>
      <w:r>
        <w:rPr>
          <w:color w:val="4169E1"/>
        </w:rPr>
        <w:t>2021</w:t>
      </w:r>
      <w:r>
        <w:t xml:space="preserve">; </w:t>
      </w:r>
      <w:r>
        <w:rPr>
          <w:color w:val="4169E1"/>
        </w:rPr>
        <w:t xml:space="preserve">Guo </w:t>
      </w:r>
      <w:r>
        <w:rPr>
          <w:i/>
          <w:color w:val="4169E1"/>
        </w:rPr>
        <w:t xml:space="preserve">et al. </w:t>
      </w:r>
      <w:r>
        <w:rPr>
          <w:color w:val="4169E1"/>
        </w:rPr>
        <w:t>2022</w:t>
      </w:r>
      <w:r>
        <w:t>). Da der FRET-Mechanismus zur Detektion des Fluoreszenzsignales sehr stark von der Distanz zw</w:t>
      </w:r>
      <w:r>
        <w:t xml:space="preserve">ischen </w:t>
      </w:r>
      <w:proofErr w:type="spellStart"/>
      <w:r>
        <w:t>Quencher</w:t>
      </w:r>
      <w:proofErr w:type="spellEnd"/>
      <w:r>
        <w:t xml:space="preserve"> und Fluorophor abhängig ist (</w:t>
      </w:r>
      <w:r>
        <w:rPr>
          <w:color w:val="4169E1"/>
        </w:rPr>
        <w:t>Johansson &amp; Cook 2003</w:t>
      </w:r>
      <w:r>
        <w:t xml:space="preserve">) benötigt die </w:t>
      </w:r>
      <w:proofErr w:type="spellStart"/>
      <w:r>
        <w:t>Sondensequenz</w:t>
      </w:r>
      <w:proofErr w:type="spellEnd"/>
      <w:r>
        <w:t xml:space="preserve"> dementsprechend zwei dicht nebeneinander liegende T Basen. zusätzlich werden die Anforderungen an die </w:t>
      </w:r>
      <w:proofErr w:type="spellStart"/>
      <w:r>
        <w:t>Sondensequenz</w:t>
      </w:r>
      <w:proofErr w:type="spellEnd"/>
      <w:r>
        <w:t xml:space="preserve"> noch durch die a-basische Seite, welche von d</w:t>
      </w:r>
      <w:r>
        <w:t xml:space="preserve">er </w:t>
      </w:r>
      <w:proofErr w:type="spellStart"/>
      <w:r>
        <w:t>Exonuklease</w:t>
      </w:r>
      <w:proofErr w:type="spellEnd"/>
      <w:r>
        <w:t xml:space="preserve"> gespalten wird und der </w:t>
      </w:r>
      <w:proofErr w:type="spellStart"/>
      <w:r>
        <w:t>Fluorophorposition</w:t>
      </w:r>
      <w:proofErr w:type="spellEnd"/>
      <w:r>
        <w:t>, welche bei rund 30+ bp liegen sollte (</w:t>
      </w:r>
      <w:r>
        <w:rPr>
          <w:color w:val="4169E1"/>
        </w:rPr>
        <w:t xml:space="preserve">Lobato &amp; </w:t>
      </w:r>
      <w:proofErr w:type="spellStart"/>
      <w:r>
        <w:rPr>
          <w:color w:val="4169E1"/>
        </w:rPr>
        <w:t>OSullivan</w:t>
      </w:r>
      <w:proofErr w:type="spellEnd"/>
      <w:r>
        <w:rPr>
          <w:color w:val="4169E1"/>
        </w:rPr>
        <w:t xml:space="preserve"> 2018</w:t>
      </w:r>
      <w:r>
        <w:t xml:space="preserve">) erschwert. So benötigt die Sonde bei rund 30 bp eine T-X-T Sequenz (X = beliebiges Nukleotid), wodurch die </w:t>
      </w:r>
      <w:proofErr w:type="spellStart"/>
      <w:r>
        <w:t>Sondenposition</w:t>
      </w:r>
      <w:proofErr w:type="spellEnd"/>
      <w:r>
        <w:t xml:space="preserve"> in den meiste</w:t>
      </w:r>
      <w:r>
        <w:t xml:space="preserve">n Fällen deutlich eingeschränkt wird. Um diesem Problem zu entgehen entwickelten Behrmann, Bachmann, </w:t>
      </w:r>
      <w:r>
        <w:rPr>
          <w:i/>
        </w:rPr>
        <w:t xml:space="preserve">et al. </w:t>
      </w:r>
      <w:r>
        <w:t>(</w:t>
      </w:r>
      <w:r>
        <w:rPr>
          <w:color w:val="4169E1"/>
        </w:rPr>
        <w:t>2020</w:t>
      </w:r>
      <w:r>
        <w:t xml:space="preserve">) die </w:t>
      </w:r>
      <w:proofErr w:type="spellStart"/>
      <w:r>
        <w:rPr>
          <w:i/>
        </w:rPr>
        <w:t>internally</w:t>
      </w:r>
      <w:proofErr w:type="spellEnd"/>
      <w:r>
        <w:rPr>
          <w:i/>
        </w:rPr>
        <w:t xml:space="preserve"> </w:t>
      </w:r>
      <w:proofErr w:type="spellStart"/>
      <w:r>
        <w:rPr>
          <w:i/>
        </w:rPr>
        <w:t>quenched</w:t>
      </w:r>
      <w:proofErr w:type="spellEnd"/>
      <w:r>
        <w:rPr>
          <w:i/>
        </w:rPr>
        <w:t xml:space="preserve"> </w:t>
      </w:r>
      <w:r>
        <w:t xml:space="preserve">Sonde, bei welcher der </w:t>
      </w:r>
      <w:proofErr w:type="spellStart"/>
      <w:r>
        <w:t>Quencher</w:t>
      </w:r>
      <w:proofErr w:type="spellEnd"/>
      <w:r>
        <w:t xml:space="preserve"> an das Phosphat-Rückgrat der DNA gekoppelt wird (siehe Kapitel </w:t>
      </w:r>
      <w:r>
        <w:rPr>
          <w:b/>
        </w:rPr>
        <w:t>??</w:t>
      </w:r>
      <w:r>
        <w:t xml:space="preserve">) und so die starke </w:t>
      </w:r>
      <w:r>
        <w:t xml:space="preserve">Abhängigkeit der T-X-T Sequenz umgangen wird. Somit können </w:t>
      </w:r>
      <w:proofErr w:type="spellStart"/>
      <w:r>
        <w:t>Exo</w:t>
      </w:r>
      <w:proofErr w:type="spellEnd"/>
      <w:r>
        <w:t>-Sonden variabler an die Zielsequenz angepasst werden (</w:t>
      </w:r>
      <w:r>
        <w:rPr>
          <w:color w:val="4169E1"/>
        </w:rPr>
        <w:t>Behrmann, Bachmann,</w:t>
      </w:r>
    </w:p>
    <w:p w14:paraId="3BD9D496" w14:textId="77777777" w:rsidR="00073CCF" w:rsidRDefault="0064621C">
      <w:pPr>
        <w:spacing w:after="1"/>
        <w:ind w:left="11" w:right="640"/>
      </w:pPr>
      <w:r>
        <w:rPr>
          <w:i/>
          <w:color w:val="4169E1"/>
        </w:rPr>
        <w:t xml:space="preserve">et al. </w:t>
      </w:r>
      <w:r>
        <w:rPr>
          <w:color w:val="4169E1"/>
        </w:rPr>
        <w:t>2020</w:t>
      </w:r>
      <w:r>
        <w:t xml:space="preserve">). In dieser Arbeit konnten deutliche Unterschiede zwischen den beiden </w:t>
      </w:r>
      <w:proofErr w:type="spellStart"/>
      <w:r>
        <w:t>Sondentypen</w:t>
      </w:r>
      <w:proofErr w:type="spellEnd"/>
      <w:r>
        <w:t xml:space="preserve"> ermittelt werden (siehe A</w:t>
      </w:r>
      <w:r>
        <w:t xml:space="preserve">bbildung </w:t>
      </w:r>
      <w:r>
        <w:rPr>
          <w:b/>
        </w:rPr>
        <w:t>??</w:t>
      </w:r>
      <w:r>
        <w:t xml:space="preserve">) So führt die </w:t>
      </w:r>
      <w:proofErr w:type="spellStart"/>
      <w:r>
        <w:rPr>
          <w:i/>
        </w:rPr>
        <w:t>dT-Quenched</w:t>
      </w:r>
      <w:proofErr w:type="spellEnd"/>
      <w:r>
        <w:rPr>
          <w:i/>
        </w:rPr>
        <w:t xml:space="preserve"> </w:t>
      </w:r>
      <w:r>
        <w:t>Sonde zu einer höheren Sensitivität und zu einem niedrigeren Hintergrundsignal. Eine mögliche Hypothese für diese Beobachtung könnte im Zusammenhand mit der verwendeten Primer-Asymmetrie liegen. Durch die eingeführte P</w:t>
      </w:r>
      <w:r>
        <w:t xml:space="preserve">rimer-Asymmetrie liegt der zur Sonde komplementäre DNA-Strang einzelsträngig vor. Dementsprechend kann die Sonde unabhängig von der Strangverdrängungsaktivität der Polymerase hybridisieren. Nach der Spaltung durch die </w:t>
      </w:r>
      <w:proofErr w:type="spellStart"/>
      <w:r>
        <w:t>Exonuklease</w:t>
      </w:r>
      <w:proofErr w:type="spellEnd"/>
      <w:r>
        <w:t xml:space="preserve"> findet keine Verdrängung d</w:t>
      </w:r>
      <w:r>
        <w:t xml:space="preserve">urch die Polymerase statt und die Sonden-Fragmente müssen sich durch Diffusion voneinander trennen. Durch den </w:t>
      </w:r>
      <w:proofErr w:type="spellStart"/>
      <w:r>
        <w:t>dT</w:t>
      </w:r>
      <w:proofErr w:type="spellEnd"/>
      <w:r>
        <w:t xml:space="preserve"> gekoppelten </w:t>
      </w:r>
      <w:proofErr w:type="spellStart"/>
      <w:r>
        <w:t>Quencher</w:t>
      </w:r>
      <w:proofErr w:type="spellEnd"/>
      <w:r>
        <w:t xml:space="preserve"> besteht im hybridisierten Zustand der Sonde eine sterische Abstoßung zwischen </w:t>
      </w:r>
      <w:proofErr w:type="spellStart"/>
      <w:r>
        <w:t>Quecher</w:t>
      </w:r>
      <w:proofErr w:type="spellEnd"/>
      <w:r>
        <w:t>, Fluorophor und gegenüberliegender A</w:t>
      </w:r>
      <w:r>
        <w:t xml:space="preserve"> Base. Bei der Spaltung der Sonde sorgt diese sterische Abstoßung für eine bessere Diffusion des </w:t>
      </w:r>
      <w:proofErr w:type="spellStart"/>
      <w:r>
        <w:t>Quenchers</w:t>
      </w:r>
      <w:proofErr w:type="spellEnd"/>
      <w:r>
        <w:t xml:space="preserve"> </w:t>
      </w:r>
      <w:proofErr w:type="gramStart"/>
      <w:r>
        <w:t>von dem Fluorophor</w:t>
      </w:r>
      <w:proofErr w:type="gramEnd"/>
      <w:r>
        <w:t xml:space="preserve"> was zu einem erhöhtem Signal führt. Im Gegensatz dazu entsteht bei der von Behrmann, Bachmann, </w:t>
      </w:r>
      <w:r>
        <w:rPr>
          <w:i/>
        </w:rPr>
        <w:t xml:space="preserve">et al. </w:t>
      </w:r>
      <w:r>
        <w:t>(</w:t>
      </w:r>
      <w:r>
        <w:rPr>
          <w:color w:val="4169E1"/>
        </w:rPr>
        <w:t>2020</w:t>
      </w:r>
      <w:r>
        <w:t xml:space="preserve">) entwickelten </w:t>
      </w:r>
      <w:proofErr w:type="spellStart"/>
      <w:r>
        <w:rPr>
          <w:i/>
        </w:rPr>
        <w:t>internal</w:t>
      </w:r>
      <w:r>
        <w:rPr>
          <w:i/>
        </w:rPr>
        <w:t>ly</w:t>
      </w:r>
      <w:proofErr w:type="spellEnd"/>
      <w:r>
        <w:rPr>
          <w:i/>
        </w:rPr>
        <w:t xml:space="preserve"> </w:t>
      </w:r>
      <w:proofErr w:type="spellStart"/>
      <w:r>
        <w:rPr>
          <w:i/>
        </w:rPr>
        <w:t>quenched</w:t>
      </w:r>
      <w:proofErr w:type="spellEnd"/>
      <w:r>
        <w:rPr>
          <w:i/>
        </w:rPr>
        <w:t xml:space="preserve"> </w:t>
      </w:r>
      <w:r>
        <w:t xml:space="preserve">Sonde keine solche Abstoßung, da der </w:t>
      </w:r>
      <w:proofErr w:type="spellStart"/>
      <w:r>
        <w:t>Quencher</w:t>
      </w:r>
      <w:proofErr w:type="spellEnd"/>
      <w:r>
        <w:t xml:space="preserve"> über das Phosphat-Zucker-Rückgrat der DNA gekoppelt ist und somit außerhalb der Doppelhelix ragt. Betrachtet man die mittlere Schmelztemperatur (Tm) des Sonden-Fragments mit dem </w:t>
      </w:r>
      <w:proofErr w:type="spellStart"/>
      <w:r>
        <w:t>Quencher</w:t>
      </w:r>
      <w:proofErr w:type="spellEnd"/>
      <w:r>
        <w:t xml:space="preserve"> liegt diese</w:t>
      </w:r>
      <w:r>
        <w:t xml:space="preserve"> bei 53 °C (berechnet </w:t>
      </w:r>
      <w:r>
        <w:lastRenderedPageBreak/>
        <w:t>online</w:t>
      </w:r>
      <w:r>
        <w:rPr>
          <w:color w:val="4169E1"/>
          <w:vertAlign w:val="superscript"/>
        </w:rPr>
        <w:footnoteReference w:id="1"/>
      </w:r>
      <w:r>
        <w:t xml:space="preserve">). Dementsprechend würde nach der Spaltung der Sonde die Diffusion des </w:t>
      </w:r>
      <w:proofErr w:type="spellStart"/>
      <w:r>
        <w:t>Quencher</w:t>
      </w:r>
      <w:proofErr w:type="spellEnd"/>
      <w:r>
        <w:t>-Fragments ohne weitere Abstoßungseffekte bei der gewählten Reaktionstemperatur von 42 °C deutlich erschwert werden. Das beobachtete geringere Sign</w:t>
      </w:r>
      <w:r>
        <w:t xml:space="preserve">al-Rauschen der Negativkontrolle der </w:t>
      </w:r>
      <w:proofErr w:type="spellStart"/>
      <w:r>
        <w:rPr>
          <w:i/>
        </w:rPr>
        <w:t>dT-Quenched</w:t>
      </w:r>
      <w:proofErr w:type="spellEnd"/>
      <w:r>
        <w:rPr>
          <w:i/>
        </w:rPr>
        <w:t xml:space="preserve"> </w:t>
      </w:r>
      <w:r>
        <w:t xml:space="preserve">Sonde lässt sich auf den erhöhten Abstand zwischen Fluorophor und </w:t>
      </w:r>
      <w:proofErr w:type="spellStart"/>
      <w:r>
        <w:t>Quencher</w:t>
      </w:r>
      <w:proofErr w:type="spellEnd"/>
      <w:r>
        <w:t xml:space="preserve"> zurückführen.</w:t>
      </w:r>
    </w:p>
    <w:p w14:paraId="2EBD62BF" w14:textId="77777777" w:rsidR="00073CCF" w:rsidRDefault="0064621C">
      <w:pPr>
        <w:spacing w:after="94" w:line="259" w:lineRule="auto"/>
        <w:ind w:left="11" w:right="640"/>
      </w:pPr>
      <w:r>
        <w:t>Wie in der von Förster (</w:t>
      </w:r>
      <w:r>
        <w:rPr>
          <w:color w:val="4169E1"/>
        </w:rPr>
        <w:t>1948</w:t>
      </w:r>
      <w:r>
        <w:t>) entwickelten Formel zu sehen, ist die Energie-Übertragungsrate (</w:t>
      </w:r>
      <w:r>
        <w:t>𝐹</w:t>
      </w:r>
      <w:r>
        <w:rPr>
          <w:vertAlign w:val="subscript"/>
        </w:rPr>
        <w:t>𝑘𝑙</w:t>
      </w:r>
      <w:r>
        <w:t>) von der</w:t>
      </w:r>
    </w:p>
    <w:p w14:paraId="32821493" w14:textId="77777777" w:rsidR="00073CCF" w:rsidRDefault="0064621C">
      <w:pPr>
        <w:spacing w:after="92" w:line="259" w:lineRule="auto"/>
        <w:ind w:left="11" w:right="640"/>
      </w:pPr>
      <w:r>
        <w:t>Fluoreszenzabklingzeit (</w:t>
      </w:r>
      <w:r>
        <w:t>𝜏</w:t>
      </w:r>
      <w:r>
        <w:rPr>
          <w:vertAlign w:val="subscript"/>
        </w:rPr>
        <w:t>0</w:t>
      </w:r>
      <w:r>
        <w:t>), dem Förster-Radius (</w:t>
      </w:r>
      <w:r>
        <w:t>𝑅</w:t>
      </w:r>
      <w:r>
        <w:rPr>
          <w:vertAlign w:val="subscript"/>
        </w:rPr>
        <w:t>0</w:t>
      </w:r>
      <w:r>
        <w:t xml:space="preserve">) und dem Abstand zwischen Fluorophor und </w:t>
      </w:r>
      <w:proofErr w:type="spellStart"/>
      <w:r>
        <w:t>Quencher</w:t>
      </w:r>
      <w:proofErr w:type="spellEnd"/>
    </w:p>
    <w:p w14:paraId="435C276A" w14:textId="77777777" w:rsidR="00073CCF" w:rsidRDefault="0064621C">
      <w:pPr>
        <w:spacing w:after="27"/>
        <w:ind w:left="11" w:right="640"/>
      </w:pPr>
      <w:r>
        <w:t>(</w:t>
      </w:r>
      <w:r>
        <w:t>𝑅</w:t>
      </w:r>
      <w:r>
        <w:rPr>
          <w:vertAlign w:val="subscript"/>
        </w:rPr>
        <w:t>𝑘𝑙</w:t>
      </w:r>
      <w:r>
        <w:t>) abhängig (siehe Formel (</w:t>
      </w:r>
      <w:r>
        <w:rPr>
          <w:color w:val="4169E1"/>
        </w:rPr>
        <w:t>1</w:t>
      </w:r>
      <w:r>
        <w:t xml:space="preserve">)). </w:t>
      </w:r>
      <w:r>
        <w:t>𝑅</w:t>
      </w:r>
      <w:r>
        <w:rPr>
          <w:vertAlign w:val="subscript"/>
        </w:rPr>
        <w:t xml:space="preserve">0 </w:t>
      </w:r>
      <w:r>
        <w:t xml:space="preserve">ist dabei für verschiedene </w:t>
      </w:r>
      <w:proofErr w:type="spellStart"/>
      <w:r>
        <w:t>Fluorophorpaare</w:t>
      </w:r>
      <w:proofErr w:type="spellEnd"/>
      <w:r>
        <w:t xml:space="preserve"> unterschiedlich und wird zur Vereinfachung </w:t>
      </w:r>
      <w:r>
        <w:t>𝑅</w:t>
      </w:r>
      <w:r>
        <w:rPr>
          <w:vertAlign w:val="subscript"/>
        </w:rPr>
        <w:t xml:space="preserve">0 </w:t>
      </w:r>
      <w:r>
        <w:t xml:space="preserve">= 1 </w:t>
      </w:r>
      <w:r>
        <w:t>gesetzt (</w:t>
      </w:r>
      <w:r>
        <w:rPr>
          <w:color w:val="4169E1"/>
        </w:rPr>
        <w:t>Förster 1948</w:t>
      </w:r>
      <w:r>
        <w:t xml:space="preserve">). Dadurch wird die sehr starke Abhängigkeit von dem Abstand zwischen Fluorophor und </w:t>
      </w:r>
      <w:proofErr w:type="spellStart"/>
      <w:r>
        <w:t>Quencher</w:t>
      </w:r>
      <w:proofErr w:type="spellEnd"/>
      <w:r>
        <w:t xml:space="preserve"> deutlich. Dementsprechend können kleine Verände</w:t>
      </w:r>
      <w:r>
        <w:t>rungen des</w:t>
      </w:r>
    </w:p>
    <w:p w14:paraId="231FF990" w14:textId="32F322AC" w:rsidR="0064621C" w:rsidRDefault="0064621C" w:rsidP="0064621C">
      <w:pPr>
        <w:spacing w:after="325"/>
        <w:ind w:left="11" w:right="640"/>
      </w:pPr>
      <w:r>
        <w:t xml:space="preserve">Abstandes zu einem deutlich schlechteren Energietransfer, also zu einem schlechteren Fluoreszenz-Quenching führen. Da die </w:t>
      </w:r>
      <w:proofErr w:type="spellStart"/>
      <w:r>
        <w:rPr>
          <w:i/>
        </w:rPr>
        <w:t>dT-Quenched</w:t>
      </w:r>
      <w:proofErr w:type="spellEnd"/>
      <w:r>
        <w:rPr>
          <w:i/>
        </w:rPr>
        <w:t xml:space="preserve"> </w:t>
      </w:r>
      <w:r>
        <w:t xml:space="preserve">Sonde durch die </w:t>
      </w:r>
      <w:proofErr w:type="spellStart"/>
      <w:r>
        <w:t>dT</w:t>
      </w:r>
      <w:proofErr w:type="spellEnd"/>
      <w:r>
        <w:t xml:space="preserve">-Kopplung von Fluorophor und </w:t>
      </w:r>
      <w:proofErr w:type="spellStart"/>
      <w:r>
        <w:t>Quencher</w:t>
      </w:r>
      <w:proofErr w:type="spellEnd"/>
      <w:r>
        <w:t xml:space="preserve"> beide Moleküle näher zusammenbringt als es bei der </w:t>
      </w:r>
      <w:proofErr w:type="spellStart"/>
      <w:r>
        <w:rPr>
          <w:i/>
        </w:rPr>
        <w:t>inte</w:t>
      </w:r>
      <w:r>
        <w:rPr>
          <w:i/>
        </w:rPr>
        <w:t>rnally</w:t>
      </w:r>
      <w:proofErr w:type="spellEnd"/>
      <w:r>
        <w:rPr>
          <w:i/>
        </w:rPr>
        <w:t xml:space="preserve"> </w:t>
      </w:r>
      <w:proofErr w:type="spellStart"/>
      <w:r>
        <w:rPr>
          <w:i/>
        </w:rPr>
        <w:t>quenched</w:t>
      </w:r>
      <w:proofErr w:type="spellEnd"/>
      <w:r>
        <w:rPr>
          <w:i/>
        </w:rPr>
        <w:t xml:space="preserve"> </w:t>
      </w:r>
      <w:r>
        <w:t xml:space="preserve">Sonde der Fall ist, findet demnach eine besseres Quenching des Fluoreszenzsignals statt. Dieses drückt sich in dem in Abbildung </w:t>
      </w:r>
      <w:r>
        <w:rPr>
          <w:b/>
        </w:rPr>
        <w:t xml:space="preserve">?? </w:t>
      </w:r>
      <w:r>
        <w:t>beobachteten geringeren Hintergrund-Signal aus.</w:t>
      </w:r>
    </w:p>
    <w:p w14:paraId="424E79CD" w14:textId="31B97610" w:rsidR="0064621C" w:rsidRDefault="0064621C" w:rsidP="0064621C">
      <w:pPr>
        <w:spacing w:after="325"/>
        <w:ind w:left="11" w:right="640"/>
      </w:pPr>
      <w:r>
        <w:rPr>
          <w:noProof/>
        </w:rPr>
        <w:drawing>
          <wp:inline distT="0" distB="0" distL="0" distR="0" wp14:anchorId="511EC178" wp14:editId="2BFD5BDA">
            <wp:extent cx="6391275" cy="74549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275" cy="745490"/>
                    </a:xfrm>
                    <a:prstGeom prst="rect">
                      <a:avLst/>
                    </a:prstGeom>
                  </pic:spPr>
                </pic:pic>
              </a:graphicData>
            </a:graphic>
          </wp:inline>
        </w:drawing>
      </w:r>
    </w:p>
    <w:p w14:paraId="26BD8BB1" w14:textId="77777777" w:rsidR="00073CCF" w:rsidRDefault="0064621C">
      <w:pPr>
        <w:pStyle w:val="berschrift2"/>
        <w:ind w:left="591" w:hanging="583"/>
      </w:pPr>
      <w:bookmarkStart w:id="8" w:name="_Toc18348"/>
      <w:r>
        <w:t xml:space="preserve">Das </w:t>
      </w:r>
      <w:proofErr w:type="spellStart"/>
      <w:r>
        <w:t>Ditching</w:t>
      </w:r>
      <w:proofErr w:type="spellEnd"/>
      <w:r>
        <w:t xml:space="preserve"> innerhalb der RT-RPA</w:t>
      </w:r>
      <w:bookmarkEnd w:id="8"/>
    </w:p>
    <w:p w14:paraId="50A4CFC7" w14:textId="77777777" w:rsidR="00073CCF" w:rsidRDefault="0064621C">
      <w:pPr>
        <w:ind w:left="11" w:right="640"/>
      </w:pPr>
      <w:r>
        <w:t xml:space="preserve">Die spontane Abnahme des Fluoreszenzsignals im späteren Verlauf der Messung konnte an mehreren Stellen dieser Arbeit beobachtet werden (siehe Abbildungen </w:t>
      </w:r>
      <w:r>
        <w:rPr>
          <w:b/>
        </w:rPr>
        <w:t>??</w:t>
      </w:r>
      <w:r>
        <w:t xml:space="preserve">, </w:t>
      </w:r>
      <w:r>
        <w:rPr>
          <w:b/>
        </w:rPr>
        <w:t>??</w:t>
      </w:r>
      <w:r>
        <w:t xml:space="preserve">B, </w:t>
      </w:r>
      <w:r>
        <w:rPr>
          <w:b/>
        </w:rPr>
        <w:t>??</w:t>
      </w:r>
      <w:r>
        <w:t xml:space="preserve">A, </w:t>
      </w:r>
      <w:r>
        <w:rPr>
          <w:b/>
        </w:rPr>
        <w:t>??</w:t>
      </w:r>
      <w:r>
        <w:t xml:space="preserve">B, </w:t>
      </w:r>
      <w:r>
        <w:rPr>
          <w:b/>
        </w:rPr>
        <w:t>??</w:t>
      </w:r>
      <w:r>
        <w:t>B). Dabei scheint dieses Phänomen speziell innerhalb der RPA aufzutreten und wurd</w:t>
      </w:r>
      <w:r>
        <w:t xml:space="preserve">e weder innerhalb der PCR, noch innerhalb anderen isothermen Amplifikationen (LAMP, NASBA etc.) beobachtet. Lutz </w:t>
      </w:r>
      <w:r>
        <w:rPr>
          <w:i/>
        </w:rPr>
        <w:t xml:space="preserve">et al. </w:t>
      </w:r>
      <w:r>
        <w:t>(</w:t>
      </w:r>
      <w:r>
        <w:rPr>
          <w:color w:val="4169E1"/>
        </w:rPr>
        <w:t>2010</w:t>
      </w:r>
      <w:r>
        <w:t xml:space="preserve">) beschrieben dieses Phänomen innerhalb der RPA als </w:t>
      </w:r>
      <w:proofErr w:type="spellStart"/>
      <w:r>
        <w:t>Ditching</w:t>
      </w:r>
      <w:proofErr w:type="spellEnd"/>
      <w:r>
        <w:t>, lieferten jedoch keine weiteren Erklärungen zu dem Sachverhalt (</w:t>
      </w:r>
      <w:r>
        <w:rPr>
          <w:color w:val="4169E1"/>
        </w:rPr>
        <w:t xml:space="preserve">Lutz </w:t>
      </w:r>
      <w:r>
        <w:rPr>
          <w:i/>
          <w:color w:val="4169E1"/>
        </w:rPr>
        <w:t xml:space="preserve">et al. </w:t>
      </w:r>
      <w:r>
        <w:rPr>
          <w:color w:val="4169E1"/>
        </w:rPr>
        <w:t>2010</w:t>
      </w:r>
      <w:r>
        <w:t xml:space="preserve">). Das </w:t>
      </w:r>
      <w:proofErr w:type="spellStart"/>
      <w:r>
        <w:t>Ditching</w:t>
      </w:r>
      <w:proofErr w:type="spellEnd"/>
      <w:r>
        <w:t xml:space="preserve"> widerspricht dabei dem theoretisch ablaufendem Reaktionsverlauf. Durch die exponentielle Spaltung der Fluoreszenzsonden werden immer mehr </w:t>
      </w:r>
      <w:proofErr w:type="spellStart"/>
      <w:r>
        <w:t>Quencher</w:t>
      </w:r>
      <w:proofErr w:type="spellEnd"/>
      <w:r>
        <w:t>-Fragmente von den Fluorophor-Fragmenten getrennt und somit (exponentiell) mehr Flu</w:t>
      </w:r>
      <w:r>
        <w:t xml:space="preserve">oreszenz-Signal detektierbar. Nach einiger Zeit sind alle Fluoreszenzsonden gespalten und das Fluoreszenz-Signal erreicht ein Plateau. Beim </w:t>
      </w:r>
      <w:proofErr w:type="spellStart"/>
      <w:r>
        <w:t>Ditching</w:t>
      </w:r>
      <w:proofErr w:type="spellEnd"/>
      <w:r>
        <w:t xml:space="preserve"> hingegen wird das Fluoreszenz-Signal vermindert und steigt nach kurzer Zeit darauf wieder an. Eine mögliche</w:t>
      </w:r>
      <w:r>
        <w:t xml:space="preserve"> Erklärung für die Verminderung des Fluoreszenz-Signals könnten die erneute Zusammenlagerung von Fluorophor und </w:t>
      </w:r>
      <w:proofErr w:type="spellStart"/>
      <w:r>
        <w:t>Quencher</w:t>
      </w:r>
      <w:proofErr w:type="spellEnd"/>
      <w:r>
        <w:t xml:space="preserve"> sein, welche das Fluoreszenzsignal erneut </w:t>
      </w:r>
      <w:proofErr w:type="spellStart"/>
      <w:r>
        <w:t>Quenched</w:t>
      </w:r>
      <w:proofErr w:type="spellEnd"/>
      <w:r>
        <w:t xml:space="preserve">. Dies kann mithilfe in einer Dimer-Bildung zwischen und Fluorophor- und </w:t>
      </w:r>
      <w:proofErr w:type="spellStart"/>
      <w:r>
        <w:t>Quencher</w:t>
      </w:r>
      <w:proofErr w:type="spellEnd"/>
      <w:r>
        <w:t>-Fra</w:t>
      </w:r>
      <w:r>
        <w:t>gment erklärt werden. Jedoch besitzt dieses Dimer eine Bindungsenergie (</w:t>
      </w:r>
      <w:r>
        <w:t>Δ</w:t>
      </w:r>
      <w:r>
        <w:t>𝐺</w:t>
      </w:r>
      <w:r>
        <w:t>) von nur -2,48 kcal/</w:t>
      </w:r>
      <w:proofErr w:type="spellStart"/>
      <w:r>
        <w:t>mol</w:t>
      </w:r>
      <w:proofErr w:type="spellEnd"/>
      <w:r>
        <w:t xml:space="preserve"> bei 37 °C und ist demnach bei 40 °C nicht sonderlich stabil (siehe Abbildung </w:t>
      </w:r>
      <w:r>
        <w:rPr>
          <w:color w:val="4169E1"/>
        </w:rPr>
        <w:t>2</w:t>
      </w:r>
      <w:r>
        <w:t xml:space="preserve">). Des Weiteren liegen </w:t>
      </w:r>
      <w:proofErr w:type="spellStart"/>
      <w:r>
        <w:t>Quencher</w:t>
      </w:r>
      <w:proofErr w:type="spellEnd"/>
      <w:r>
        <w:t xml:space="preserve"> und Fluorophor innerhalb des Dimers etliche Nu</w:t>
      </w:r>
      <w:r>
        <w:t xml:space="preserve">kleotide voneinander entfernt, welches die Energie-Übertragungsrate durch die Entfernung immens verringert und somit das Quenching nahezu ausbleibt (siehe Kapitel </w:t>
      </w:r>
      <w:r>
        <w:rPr>
          <w:color w:val="4169E1"/>
        </w:rPr>
        <w:t>1.5</w:t>
      </w:r>
      <w:r>
        <w:t>).</w:t>
      </w:r>
    </w:p>
    <w:p w14:paraId="5DC3F443" w14:textId="77777777" w:rsidR="00073CCF" w:rsidRDefault="0064621C">
      <w:pPr>
        <w:ind w:left="11" w:right="640"/>
      </w:pPr>
      <w:r>
        <w:t>Ein weiteres Problem liegt in der erneuten Steigung der Fluoreszenz. Dies würde bedeute</w:t>
      </w:r>
      <w:r>
        <w:t xml:space="preserve">n, dass die Zusammenlagerung von </w:t>
      </w:r>
      <w:proofErr w:type="spellStart"/>
      <w:r>
        <w:t>Quencher</w:t>
      </w:r>
      <w:proofErr w:type="spellEnd"/>
      <w:r>
        <w:t xml:space="preserve"> und Fluorophor reversibel und </w:t>
      </w:r>
      <w:proofErr w:type="spellStart"/>
      <w:r>
        <w:t>zeitabhänig</w:t>
      </w:r>
      <w:proofErr w:type="spellEnd"/>
      <w:r>
        <w:t xml:space="preserve"> für einen kurzen Zeitraum stattfindet. Des Weiteren wurde das </w:t>
      </w:r>
      <w:proofErr w:type="spellStart"/>
      <w:r>
        <w:t>Ditching</w:t>
      </w:r>
      <w:proofErr w:type="spellEnd"/>
      <w:r>
        <w:t xml:space="preserve"> innerhalb der Optimierung bei der Reaktionstemperatur, Mischzeitpunkt und Primer-</w:t>
      </w:r>
      <w:r>
        <w:lastRenderedPageBreak/>
        <w:t>Konzentration beobac</w:t>
      </w:r>
      <w:r>
        <w:t xml:space="preserve">htet (siehe Kapitel </w:t>
      </w:r>
      <w:r>
        <w:rPr>
          <w:b/>
        </w:rPr>
        <w:t>??</w:t>
      </w:r>
      <w:r>
        <w:t xml:space="preserve">). Interessant ist dabei, dass es nur bei den optimalen Parametern, sprich bei der besten Amplifikation, beobachtet wurde. Gerade die eingeführte </w:t>
      </w:r>
      <w:proofErr w:type="spellStart"/>
      <w:r>
        <w:t>Primerasymme</w:t>
      </w:r>
      <w:proofErr w:type="spellEnd"/>
      <w:r>
        <w:t>-</w:t>
      </w:r>
    </w:p>
    <w:p w14:paraId="417E888E" w14:textId="77777777" w:rsidR="00073CCF" w:rsidRDefault="0064621C">
      <w:pPr>
        <w:spacing w:after="278" w:line="259" w:lineRule="auto"/>
        <w:ind w:left="1661" w:firstLine="0"/>
        <w:jc w:val="left"/>
      </w:pPr>
      <w:r>
        <w:rPr>
          <w:noProof/>
        </w:rPr>
        <w:drawing>
          <wp:inline distT="0" distB="0" distL="0" distR="0" wp14:anchorId="4E0B5E5E" wp14:editId="25302E31">
            <wp:extent cx="3863378" cy="1078241"/>
            <wp:effectExtent l="0" t="0" r="0" b="0"/>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13"/>
                    <a:stretch>
                      <a:fillRect/>
                    </a:stretch>
                  </pic:blipFill>
                  <pic:spPr>
                    <a:xfrm>
                      <a:off x="0" y="0"/>
                      <a:ext cx="3863378" cy="1078241"/>
                    </a:xfrm>
                    <a:prstGeom prst="rect">
                      <a:avLst/>
                    </a:prstGeom>
                  </pic:spPr>
                </pic:pic>
              </a:graphicData>
            </a:graphic>
          </wp:inline>
        </w:drawing>
      </w:r>
    </w:p>
    <w:p w14:paraId="2E497DBD" w14:textId="77777777" w:rsidR="00073CCF" w:rsidRDefault="0064621C">
      <w:pPr>
        <w:spacing w:after="408" w:line="261" w:lineRule="auto"/>
        <w:ind w:left="11" w:right="640"/>
      </w:pPr>
      <w:r>
        <w:t xml:space="preserve">Abbildung 2: </w:t>
      </w:r>
      <w:proofErr w:type="spellStart"/>
      <w:r>
        <w:rPr>
          <w:b/>
        </w:rPr>
        <w:t>Dimerbildung</w:t>
      </w:r>
      <w:proofErr w:type="spellEnd"/>
      <w:r>
        <w:rPr>
          <w:b/>
        </w:rPr>
        <w:t xml:space="preserve"> der Influenza B Sonden-Fragmente: </w:t>
      </w:r>
      <w:r>
        <w:t xml:space="preserve">Dimer des Fluorophor-Fragmentes mit dem </w:t>
      </w:r>
      <w:proofErr w:type="spellStart"/>
      <w:r>
        <w:t>Quencher</w:t>
      </w:r>
      <w:proofErr w:type="spellEnd"/>
      <w:r>
        <w:t>-Fragment der Influenza B Sonde. Die Bindungsenergie (</w:t>
      </w:r>
      <w:r>
        <w:t>Δ</w:t>
      </w:r>
      <w:r>
        <w:t>𝐺</w:t>
      </w:r>
      <w:r>
        <w:t xml:space="preserve">) bei 37 °C wurde mit dem Programm </w:t>
      </w:r>
      <w:proofErr w:type="spellStart"/>
      <w:r>
        <w:t>PerlPrimer</w:t>
      </w:r>
      <w:proofErr w:type="spellEnd"/>
      <w:r>
        <w:t xml:space="preserve"> (</w:t>
      </w:r>
      <w:r>
        <w:rPr>
          <w:color w:val="4169E1"/>
        </w:rPr>
        <w:t>Marshall 2004</w:t>
      </w:r>
      <w:r>
        <w:t xml:space="preserve">) berechnet. Fluorophor (F) und </w:t>
      </w:r>
      <w:proofErr w:type="spellStart"/>
      <w:r>
        <w:t>Quencher</w:t>
      </w:r>
      <w:proofErr w:type="spellEnd"/>
      <w:r>
        <w:t xml:space="preserve"> (Q)</w:t>
      </w:r>
      <w:r>
        <w:t xml:space="preserve"> sind grau hinterlegt.</w:t>
      </w:r>
    </w:p>
    <w:p w14:paraId="54698072" w14:textId="77777777" w:rsidR="00073CCF" w:rsidRDefault="0064621C">
      <w:pPr>
        <w:spacing w:after="323"/>
        <w:ind w:left="11" w:right="640"/>
      </w:pPr>
      <w:proofErr w:type="spellStart"/>
      <w:r>
        <w:t>trie</w:t>
      </w:r>
      <w:proofErr w:type="spellEnd"/>
      <w:r>
        <w:t xml:space="preserve"> führt, wie in Kapitel </w:t>
      </w:r>
      <w:r>
        <w:rPr>
          <w:color w:val="4169E1"/>
        </w:rPr>
        <w:t xml:space="preserve">1.4 </w:t>
      </w:r>
      <w:r>
        <w:t>erklärt, dazu, dass mehr Sonde gespalten wird. Eine Erhöhung der Temperatur führt generell zu einer besseren Enzymkinetik (</w:t>
      </w:r>
      <w:r>
        <w:rPr>
          <w:color w:val="4169E1"/>
        </w:rPr>
        <w:t xml:space="preserve">Jaeger </w:t>
      </w:r>
      <w:r>
        <w:rPr>
          <w:i/>
          <w:color w:val="4169E1"/>
        </w:rPr>
        <w:t xml:space="preserve">et </w:t>
      </w:r>
      <w:proofErr w:type="spellStart"/>
      <w:r>
        <w:rPr>
          <w:i/>
          <w:color w:val="4169E1"/>
        </w:rPr>
        <w:t>al.</w:t>
      </w:r>
      <w:r>
        <w:rPr>
          <w:color w:val="4169E1"/>
        </w:rPr>
        <w:t>Anon</w:t>
      </w:r>
      <w:proofErr w:type="spellEnd"/>
      <w:r>
        <w:rPr>
          <w:color w:val="4169E1"/>
        </w:rPr>
        <w:t>. 2018</w:t>
      </w:r>
      <w:r>
        <w:t>), somit ebenfalls zu einer schnelleren Amplifikation un</w:t>
      </w:r>
      <w:r>
        <w:t xml:space="preserve">d dementsprechend zu einer erhöhten Spaltung der Sonde. Der zusätzliche Mischschritt beschleunigt durch die Homogenisierung ebenfalls die Reaktion und führt wie die anderen Parameter zu einer schnelleren </w:t>
      </w:r>
      <w:proofErr w:type="spellStart"/>
      <w:r>
        <w:t>Sondenspaltung</w:t>
      </w:r>
      <w:proofErr w:type="spellEnd"/>
      <w:r>
        <w:t>. Dementsprechend scheint es einen Zus</w:t>
      </w:r>
      <w:r>
        <w:t xml:space="preserve">ammenhang zwischen der Menge der gespaltenen Sonde und </w:t>
      </w:r>
      <w:proofErr w:type="spellStart"/>
      <w:r>
        <w:t>Ditching</w:t>
      </w:r>
      <w:proofErr w:type="spellEnd"/>
      <w:r>
        <w:t xml:space="preserve"> zu geben. Jedoch müsste dies in weiteren Experimenten bestätigt werden und generell die Faktoren, welche das </w:t>
      </w:r>
      <w:proofErr w:type="spellStart"/>
      <w:r>
        <w:t>Ditching</w:t>
      </w:r>
      <w:proofErr w:type="spellEnd"/>
      <w:r>
        <w:t xml:space="preserve"> beeinflussen genauer untersucht werden. Ebenfalls stellt die Zusammenlager</w:t>
      </w:r>
      <w:r>
        <w:t xml:space="preserve">ung des Fluorophors und </w:t>
      </w:r>
      <w:proofErr w:type="spellStart"/>
      <w:r>
        <w:t>Qucheners</w:t>
      </w:r>
      <w:proofErr w:type="spellEnd"/>
      <w:r>
        <w:t xml:space="preserve"> nur eine Hypothese für das beobachtete Phänomen dar. Der genaue physikalische und molekulare Mechanismus bleibt weiterhin unbekannt und müsste weiter untersucht werden.</w:t>
      </w:r>
    </w:p>
    <w:p w14:paraId="6E716583" w14:textId="77777777" w:rsidR="00073CCF" w:rsidRDefault="0064621C">
      <w:pPr>
        <w:pStyle w:val="berschrift2"/>
        <w:ind w:left="591" w:hanging="583"/>
      </w:pPr>
      <w:bookmarkStart w:id="9" w:name="_Toc18349"/>
      <w:r>
        <w:t>Automatische Auswertung der Amplifikationen mittels S</w:t>
      </w:r>
      <w:r>
        <w:t>tatistik</w:t>
      </w:r>
      <w:bookmarkEnd w:id="9"/>
    </w:p>
    <w:p w14:paraId="0F50331A" w14:textId="77777777" w:rsidR="00073CCF" w:rsidRDefault="0064621C">
      <w:pPr>
        <w:spacing w:after="61" w:line="259" w:lineRule="auto"/>
        <w:ind w:left="11" w:right="640"/>
      </w:pPr>
      <w:r>
        <w:t xml:space="preserve">Wie am Beispiel vom dem Influenza A Primer-Screening (siehe Abbildung </w:t>
      </w:r>
      <w:r>
        <w:rPr>
          <w:b/>
        </w:rPr>
        <w:t>??</w:t>
      </w:r>
      <w:r>
        <w:t>) und der Influenza B</w:t>
      </w:r>
    </w:p>
    <w:p w14:paraId="12C51E20" w14:textId="77777777" w:rsidR="00073CCF" w:rsidRDefault="0064621C">
      <w:pPr>
        <w:spacing w:after="59" w:line="259" w:lineRule="auto"/>
        <w:ind w:left="11" w:right="640"/>
      </w:pPr>
      <w:r>
        <w:t xml:space="preserve">Mischschritt-Optimierung (siehe Abbildung </w:t>
      </w:r>
      <w:r>
        <w:rPr>
          <w:b/>
        </w:rPr>
        <w:t>??</w:t>
      </w:r>
      <w:r>
        <w:t>C) zu sehen, kann es schwierig werden Amplifikationen per</w:t>
      </w:r>
    </w:p>
    <w:p w14:paraId="2F217583" w14:textId="77777777" w:rsidR="00073CCF" w:rsidRDefault="0064621C">
      <w:pPr>
        <w:spacing w:after="0"/>
        <w:ind w:left="11" w:right="640"/>
      </w:pPr>
      <w:r>
        <w:t xml:space="preserve">Auge in positiv und negativ </w:t>
      </w:r>
      <w:proofErr w:type="gramStart"/>
      <w:r>
        <w:t>Einzuteilen</w:t>
      </w:r>
      <w:proofErr w:type="gramEnd"/>
      <w:r>
        <w:t>. Aus diesem</w:t>
      </w:r>
      <w:r>
        <w:t xml:space="preserve"> Grund ist eine automatisierte statistische Auswertung notwendig. Innerhalb der qPCR (und RPA (quelle)) wird dafür ein Schwellenwert verwendet, wobei Reaktionen als positiv gelten, wenn sie diesen Schwellenwert überschreiten (</w:t>
      </w:r>
      <w:proofErr w:type="spellStart"/>
      <w:r>
        <w:rPr>
          <w:color w:val="4169E1"/>
        </w:rPr>
        <w:t>Bustin</w:t>
      </w:r>
      <w:proofErr w:type="spellEnd"/>
      <w:r>
        <w:rPr>
          <w:color w:val="4169E1"/>
        </w:rPr>
        <w:t xml:space="preserve"> </w:t>
      </w:r>
      <w:r>
        <w:rPr>
          <w:i/>
          <w:color w:val="4169E1"/>
        </w:rPr>
        <w:t xml:space="preserve">et al. </w:t>
      </w:r>
      <w:r>
        <w:rPr>
          <w:color w:val="4169E1"/>
        </w:rPr>
        <w:t>2009</w:t>
      </w:r>
      <w:r>
        <w:t>). Jedoch hä</w:t>
      </w:r>
      <w:r>
        <w:t>ngt diese Auswertungsmethode stark von der Wahl des Schwellenwerts ab, welcher je nach verwendetem Gerät und Hersteller anders berechnet wird (</w:t>
      </w:r>
      <w:proofErr w:type="spellStart"/>
      <w:r>
        <w:rPr>
          <w:color w:val="4169E1"/>
        </w:rPr>
        <w:t>Waidi</w:t>
      </w:r>
      <w:proofErr w:type="spellEnd"/>
      <w:r>
        <w:rPr>
          <w:color w:val="4169E1"/>
        </w:rPr>
        <w:t xml:space="preserve"> </w:t>
      </w:r>
      <w:proofErr w:type="spellStart"/>
      <w:r>
        <w:rPr>
          <w:color w:val="4169E1"/>
        </w:rPr>
        <w:t>Folorusno</w:t>
      </w:r>
      <w:proofErr w:type="spellEnd"/>
      <w:r>
        <w:rPr>
          <w:color w:val="4169E1"/>
        </w:rPr>
        <w:t xml:space="preserve"> Sule 2020</w:t>
      </w:r>
      <w:r>
        <w:t>). Zusätzlich unterliegt die Fluoreszenzkurve einer Amplifikation weiteren Zufallsfaktor</w:t>
      </w:r>
      <w:r>
        <w:t>en wie beispielsweise verschieden starke Fluorophore oder Sensorfehler (</w:t>
      </w:r>
      <w:proofErr w:type="spellStart"/>
      <w:r>
        <w:rPr>
          <w:color w:val="4169E1"/>
        </w:rPr>
        <w:t>Spiess</w:t>
      </w:r>
      <w:proofErr w:type="spellEnd"/>
      <w:r>
        <w:rPr>
          <w:color w:val="4169E1"/>
        </w:rPr>
        <w:t xml:space="preserve"> </w:t>
      </w:r>
      <w:r>
        <w:rPr>
          <w:i/>
          <w:color w:val="4169E1"/>
        </w:rPr>
        <w:t xml:space="preserve">et al. </w:t>
      </w:r>
      <w:r>
        <w:rPr>
          <w:color w:val="4169E1"/>
        </w:rPr>
        <w:t>2015</w:t>
      </w:r>
      <w:r>
        <w:t>). Dies führt dazu, dass je nach Gerät und Test unterschiedliche Ergebnisse entstehen und keine Vergleichbarkeit der Daten gegeben ist. Aus diesem Grund wurde in dies</w:t>
      </w:r>
      <w:r>
        <w:t>er</w:t>
      </w:r>
    </w:p>
    <w:p w14:paraId="31A5EBCC" w14:textId="77777777" w:rsidR="00073CCF" w:rsidRDefault="0064621C">
      <w:pPr>
        <w:spacing w:after="50" w:line="259" w:lineRule="auto"/>
        <w:ind w:left="11" w:right="640"/>
      </w:pPr>
      <w:r>
        <w:t>Arbeit die automatische Auswertung der Fluoreszenzdaten mit weiteren statistischen Tests, unabhängig vom</w:t>
      </w:r>
    </w:p>
    <w:p w14:paraId="4553B658" w14:textId="77777777" w:rsidR="00073CCF" w:rsidRDefault="0064621C">
      <w:pPr>
        <w:spacing w:after="455"/>
        <w:ind w:left="11" w:right="640"/>
      </w:pPr>
      <w:r>
        <w:t xml:space="preserve">Schwellenwert ergänzt um eine einheitliche, vergleichbare und nachvollziehbare Auswertung zu ermöglichen. Dazu wurde das </w:t>
      </w:r>
      <w:proofErr w:type="spellStart"/>
      <w:r>
        <w:t>chipPCR</w:t>
      </w:r>
      <w:proofErr w:type="spellEnd"/>
      <w:r>
        <w:t xml:space="preserve"> </w:t>
      </w:r>
      <w:proofErr w:type="spellStart"/>
      <w:r>
        <w:t>package</w:t>
      </w:r>
      <w:proofErr w:type="spellEnd"/>
      <w:r>
        <w:t xml:space="preserve"> von Rödiger</w:t>
      </w:r>
      <w:r>
        <w:t xml:space="preserve"> </w:t>
      </w:r>
      <w:r>
        <w:rPr>
          <w:i/>
        </w:rPr>
        <w:t xml:space="preserve">et al. </w:t>
      </w:r>
      <w:r>
        <w:t>(</w:t>
      </w:r>
      <w:r>
        <w:rPr>
          <w:color w:val="4169E1"/>
        </w:rPr>
        <w:t>2015</w:t>
      </w:r>
      <w:r>
        <w:t>) verwendet, welches Ursprünglich für die qPCR entwickelt wurde, jedoch auch für isotherme Amplifikationen beschrieben ist (</w:t>
      </w:r>
      <w:r>
        <w:rPr>
          <w:color w:val="4169E1"/>
        </w:rPr>
        <w:t xml:space="preserve">Rödiger </w:t>
      </w:r>
      <w:r>
        <w:rPr>
          <w:i/>
          <w:color w:val="4169E1"/>
        </w:rPr>
        <w:t xml:space="preserve">et al. </w:t>
      </w:r>
      <w:r>
        <w:rPr>
          <w:color w:val="4169E1"/>
        </w:rPr>
        <w:t>2015</w:t>
      </w:r>
      <w:r>
        <w:t xml:space="preserve">). Jedoch konnten Moody </w:t>
      </w:r>
      <w:r>
        <w:rPr>
          <w:i/>
        </w:rPr>
        <w:t xml:space="preserve">et al. </w:t>
      </w:r>
      <w:r>
        <w:t>(</w:t>
      </w:r>
      <w:r>
        <w:rPr>
          <w:color w:val="4169E1"/>
        </w:rPr>
        <w:t>2016</w:t>
      </w:r>
      <w:r>
        <w:t>) feststellen, dass sich die Kinetik der RPA von der der PCR unterscheidet (</w:t>
      </w:r>
      <w:r>
        <w:rPr>
          <w:color w:val="4169E1"/>
        </w:rPr>
        <w:t>M</w:t>
      </w:r>
      <w:r>
        <w:rPr>
          <w:color w:val="4169E1"/>
        </w:rPr>
        <w:t xml:space="preserve">oody </w:t>
      </w:r>
      <w:r>
        <w:rPr>
          <w:i/>
          <w:color w:val="4169E1"/>
        </w:rPr>
        <w:t xml:space="preserve">et al. </w:t>
      </w:r>
      <w:r>
        <w:rPr>
          <w:color w:val="4169E1"/>
        </w:rPr>
        <w:t>2016</w:t>
      </w:r>
      <w:r>
        <w:t>). Demnach ist Kinetik der Fluoreszenzgenerierung ebenfalls unterschiedlich zur PCR und mathematische Modelle, angepasst auf die PCR, lassen sich nur bedingt auf die RPA adaptieren. So konnte die Berechnung des Hintergrundrauschens nicht mi</w:t>
      </w:r>
      <w:r>
        <w:t xml:space="preserve">t dem </w:t>
      </w:r>
      <w:proofErr w:type="spellStart"/>
      <w:r>
        <w:t>chipPCR</w:t>
      </w:r>
      <w:proofErr w:type="spellEnd"/>
      <w:r>
        <w:t xml:space="preserve"> </w:t>
      </w:r>
      <w:proofErr w:type="spellStart"/>
      <w:r>
        <w:t>package</w:t>
      </w:r>
      <w:proofErr w:type="spellEnd"/>
      <w:r>
        <w:t xml:space="preserve"> durchgeführt werden, da der zeitigere Anstieg der RPA bei hohen Template-Konzentrationen </w:t>
      </w:r>
      <w:r>
        <w:lastRenderedPageBreak/>
        <w:t xml:space="preserve">nicht in das mathematische Modell passte. Aus diesem Grund wurde die Methode von Ritz &amp; </w:t>
      </w:r>
      <w:proofErr w:type="spellStart"/>
      <w:r>
        <w:t>Spiess</w:t>
      </w:r>
      <w:proofErr w:type="spellEnd"/>
      <w:r>
        <w:t xml:space="preserve"> (</w:t>
      </w:r>
      <w:r>
        <w:rPr>
          <w:color w:val="4169E1"/>
        </w:rPr>
        <w:t>2008</w:t>
      </w:r>
      <w:r>
        <w:t>) als Alternative verwendet. Des Weiteren zei</w:t>
      </w:r>
      <w:r>
        <w:t xml:space="preserve">gte der im </w:t>
      </w:r>
      <w:proofErr w:type="spellStart"/>
      <w:r>
        <w:t>chipPCR</w:t>
      </w:r>
      <w:proofErr w:type="spellEnd"/>
      <w:r>
        <w:t xml:space="preserve"> </w:t>
      </w:r>
      <w:proofErr w:type="spellStart"/>
      <w:r>
        <w:t>package</w:t>
      </w:r>
      <w:proofErr w:type="spellEnd"/>
      <w:r>
        <w:t xml:space="preserve"> enthaltene </w:t>
      </w:r>
      <w:r>
        <w:rPr>
          <w:i/>
        </w:rPr>
        <w:t xml:space="preserve">lineare </w:t>
      </w:r>
      <w:proofErr w:type="spellStart"/>
      <w:r>
        <w:rPr>
          <w:i/>
        </w:rPr>
        <w:t>Regressions</w:t>
      </w:r>
      <w:proofErr w:type="spellEnd"/>
      <w:r>
        <w:rPr>
          <w:i/>
        </w:rPr>
        <w:t xml:space="preserve"> Test</w:t>
      </w:r>
      <w:r>
        <w:t>, welcher viele lineare Regressionen über die Amplifikationskurve spannt und diese Auswertet, fehlerhafte Ergebnisse und wurde nicht verwendet. Für die Berechnung eines geeigneten Schwellenwerte</w:t>
      </w:r>
      <w:r>
        <w:t xml:space="preserve">s wurde auf eine Methode aus dem </w:t>
      </w:r>
      <w:proofErr w:type="spellStart"/>
      <w:r>
        <w:t>Immunassay</w:t>
      </w:r>
      <w:proofErr w:type="spellEnd"/>
      <w:r>
        <w:t>-Bereich zurückgegriffen (</w:t>
      </w:r>
      <w:r>
        <w:rPr>
          <w:color w:val="4169E1"/>
        </w:rPr>
        <w:t xml:space="preserve">Frey </w:t>
      </w:r>
      <w:r>
        <w:rPr>
          <w:i/>
          <w:color w:val="4169E1"/>
        </w:rPr>
        <w:t xml:space="preserve">et al. </w:t>
      </w:r>
      <w:r>
        <w:rPr>
          <w:color w:val="4169E1"/>
        </w:rPr>
        <w:t>1998</w:t>
      </w:r>
      <w:r>
        <w:t xml:space="preserve">). Dadurch konnte das höhere Rauschen der </w:t>
      </w:r>
      <w:proofErr w:type="spellStart"/>
      <w:r>
        <w:rPr>
          <w:i/>
        </w:rPr>
        <w:t>internally</w:t>
      </w:r>
      <w:proofErr w:type="spellEnd"/>
      <w:r>
        <w:rPr>
          <w:i/>
        </w:rPr>
        <w:t xml:space="preserve"> </w:t>
      </w:r>
      <w:proofErr w:type="spellStart"/>
      <w:r>
        <w:rPr>
          <w:i/>
        </w:rPr>
        <w:t>Quenched</w:t>
      </w:r>
      <w:proofErr w:type="spellEnd"/>
      <w:r>
        <w:rPr>
          <w:i/>
        </w:rPr>
        <w:t xml:space="preserve"> </w:t>
      </w:r>
      <w:r>
        <w:t>Sonde mit einberechnet werden, da die Berechnung die gesamten Fluoreszenzdaten der Negativkontrolle verwendet</w:t>
      </w:r>
      <w:r>
        <w:t xml:space="preserve"> (</w:t>
      </w:r>
      <w:r>
        <w:rPr>
          <w:color w:val="4169E1"/>
        </w:rPr>
        <w:t xml:space="preserve">Frey </w:t>
      </w:r>
      <w:r>
        <w:rPr>
          <w:i/>
          <w:color w:val="4169E1"/>
        </w:rPr>
        <w:t xml:space="preserve">et al. </w:t>
      </w:r>
      <w:r>
        <w:rPr>
          <w:color w:val="4169E1"/>
        </w:rPr>
        <w:t>1998</w:t>
      </w:r>
      <w:r>
        <w:t>).</w:t>
      </w:r>
    </w:p>
    <w:p w14:paraId="12A1D6AC" w14:textId="3A5B05AE" w:rsidR="0064621C" w:rsidRDefault="0064621C">
      <w:pPr>
        <w:pStyle w:val="berschrift1"/>
        <w:ind w:left="456" w:hanging="448"/>
      </w:pPr>
      <w:bookmarkStart w:id="10" w:name="_Toc18350"/>
      <w:r>
        <w:t>Zusammenfassung und Ausblick</w:t>
      </w:r>
    </w:p>
    <w:p w14:paraId="50F5BA14" w14:textId="7EDB78D2" w:rsidR="0064621C" w:rsidRPr="0064621C" w:rsidRDefault="0064621C" w:rsidP="0064621C">
      <w:r>
        <w:t>Das ist das Einzige, was noch geschrieben werden muss</w:t>
      </w:r>
    </w:p>
    <w:p w14:paraId="37872184" w14:textId="5FCC4409" w:rsidR="00073CCF" w:rsidRDefault="0064621C" w:rsidP="0064621C">
      <w:pPr>
        <w:pStyle w:val="berschrift1"/>
        <w:numPr>
          <w:ilvl w:val="0"/>
          <w:numId w:val="0"/>
        </w:numPr>
        <w:ind w:left="8"/>
      </w:pPr>
      <w:r>
        <w:br w:type="page"/>
      </w:r>
      <w:bookmarkEnd w:id="10"/>
    </w:p>
    <w:p w14:paraId="561D8CBC" w14:textId="77777777" w:rsidR="00073CCF" w:rsidRDefault="0064621C">
      <w:pPr>
        <w:ind w:left="302" w:right="640" w:hanging="294"/>
      </w:pPr>
      <w:r w:rsidRPr="0064621C">
        <w:rPr>
          <w:lang w:val="en-US"/>
        </w:rPr>
        <w:lastRenderedPageBreak/>
        <w:t xml:space="preserve">Alves V.R.G., </w:t>
      </w:r>
      <w:proofErr w:type="spellStart"/>
      <w:r w:rsidRPr="0064621C">
        <w:rPr>
          <w:lang w:val="en-US"/>
        </w:rPr>
        <w:t>Perosa</w:t>
      </w:r>
      <w:proofErr w:type="spellEnd"/>
      <w:r w:rsidRPr="0064621C">
        <w:rPr>
          <w:lang w:val="en-US"/>
        </w:rPr>
        <w:t xml:space="preserve"> A.H., Souza Luna L.K. de, Cruz J.S., Conte D.D. &amp; </w:t>
      </w:r>
      <w:proofErr w:type="spellStart"/>
      <w:r w:rsidRPr="0064621C">
        <w:rPr>
          <w:lang w:val="en-US"/>
        </w:rPr>
        <w:t>Bellei</w:t>
      </w:r>
      <w:proofErr w:type="spellEnd"/>
      <w:r w:rsidRPr="0064621C">
        <w:rPr>
          <w:lang w:val="en-US"/>
        </w:rPr>
        <w:t xml:space="preserve"> N. 2020. Influenza a(H1N1)pdm09 infection and viral load analysis in patients with different clinical presentations. </w:t>
      </w:r>
      <w:proofErr w:type="spellStart"/>
      <w:r>
        <w:rPr>
          <w:i/>
        </w:rPr>
        <w:t>Memórias</w:t>
      </w:r>
      <w:proofErr w:type="spellEnd"/>
      <w:r>
        <w:rPr>
          <w:i/>
        </w:rPr>
        <w:t xml:space="preserve"> d</w:t>
      </w:r>
      <w:r>
        <w:rPr>
          <w:i/>
        </w:rPr>
        <w:t xml:space="preserve">o </w:t>
      </w:r>
      <w:proofErr w:type="spellStart"/>
      <w:r>
        <w:rPr>
          <w:i/>
        </w:rPr>
        <w:t>Instituto</w:t>
      </w:r>
      <w:proofErr w:type="spellEnd"/>
      <w:r>
        <w:rPr>
          <w:i/>
        </w:rPr>
        <w:t xml:space="preserve"> Oswaldo Cruz </w:t>
      </w:r>
      <w:r>
        <w:t xml:space="preserve">115. </w:t>
      </w:r>
      <w:hyperlink r:id="rId14">
        <w:r>
          <w:rPr>
            <w:color w:val="4169E1"/>
          </w:rPr>
          <w:t>https://doi.org/10.1590/0074-02760200009</w:t>
        </w:r>
      </w:hyperlink>
    </w:p>
    <w:p w14:paraId="46ACE296" w14:textId="77777777" w:rsidR="00073CCF" w:rsidRPr="0064621C" w:rsidRDefault="0064621C">
      <w:pPr>
        <w:ind w:left="314" w:right="640" w:hanging="306"/>
        <w:rPr>
          <w:lang w:val="en-US"/>
        </w:rPr>
      </w:pPr>
      <w:r w:rsidRPr="0064621C">
        <w:rPr>
          <w:lang w:val="en-US"/>
        </w:rPr>
        <w:t xml:space="preserve">Alves V.R.G., Souza Luna L.K. de, Cruz J.S., </w:t>
      </w:r>
      <w:proofErr w:type="spellStart"/>
      <w:r w:rsidRPr="0064621C">
        <w:rPr>
          <w:lang w:val="en-US"/>
        </w:rPr>
        <w:t>Perosa</w:t>
      </w:r>
      <w:proofErr w:type="spellEnd"/>
      <w:r w:rsidRPr="0064621C">
        <w:rPr>
          <w:lang w:val="en-US"/>
        </w:rPr>
        <w:t xml:space="preserve"> A.H. &amp; </w:t>
      </w:r>
      <w:proofErr w:type="spellStart"/>
      <w:r w:rsidRPr="0064621C">
        <w:rPr>
          <w:lang w:val="en-US"/>
        </w:rPr>
        <w:t>Bellei</w:t>
      </w:r>
      <w:proofErr w:type="spellEnd"/>
      <w:r w:rsidRPr="0064621C">
        <w:rPr>
          <w:lang w:val="en-US"/>
        </w:rPr>
        <w:t xml:space="preserve"> N. 2019. Influenza b viral load analysis in patients with acute respiratory infection from a tertiary hospital in </w:t>
      </w:r>
      <w:proofErr w:type="spellStart"/>
      <w:r w:rsidRPr="0064621C">
        <w:rPr>
          <w:lang w:val="en-US"/>
        </w:rPr>
        <w:t>brazil</w:t>
      </w:r>
      <w:proofErr w:type="spellEnd"/>
      <w:r w:rsidRPr="0064621C">
        <w:rPr>
          <w:lang w:val="en-US"/>
        </w:rPr>
        <w:t xml:space="preserve">. </w:t>
      </w:r>
      <w:r w:rsidRPr="0064621C">
        <w:rPr>
          <w:i/>
          <w:lang w:val="en-US"/>
        </w:rPr>
        <w:t xml:space="preserve">Journal of Medical Virology </w:t>
      </w:r>
      <w:r w:rsidRPr="0064621C">
        <w:rPr>
          <w:lang w:val="en-US"/>
        </w:rPr>
        <w:t xml:space="preserve">92 (8): 1350–1354. </w:t>
      </w:r>
      <w:hyperlink r:id="rId15">
        <w:r w:rsidRPr="0064621C">
          <w:rPr>
            <w:color w:val="4169E1"/>
            <w:lang w:val="en-US"/>
          </w:rPr>
          <w:t>https://doi.org/10.1002/jmv.25648</w:t>
        </w:r>
      </w:hyperlink>
    </w:p>
    <w:p w14:paraId="717D699C" w14:textId="77777777" w:rsidR="00073CCF" w:rsidRPr="0064621C" w:rsidRDefault="0064621C">
      <w:pPr>
        <w:spacing w:after="50" w:line="259" w:lineRule="auto"/>
        <w:ind w:left="11" w:right="640"/>
        <w:rPr>
          <w:lang w:val="en-US"/>
        </w:rPr>
      </w:pPr>
      <w:proofErr w:type="spellStart"/>
      <w:r w:rsidRPr="0064621C">
        <w:rPr>
          <w:lang w:val="en-US"/>
        </w:rPr>
        <w:t>Behrmann</w:t>
      </w:r>
      <w:proofErr w:type="spellEnd"/>
      <w:r w:rsidRPr="0064621C">
        <w:rPr>
          <w:lang w:val="en-US"/>
        </w:rPr>
        <w:t xml:space="preserve"> O., Bachmann I., Spiegel M., Schramm M., </w:t>
      </w:r>
      <w:proofErr w:type="spellStart"/>
      <w:r w:rsidRPr="0064621C">
        <w:rPr>
          <w:lang w:val="en-US"/>
        </w:rPr>
        <w:t>Wahed</w:t>
      </w:r>
      <w:proofErr w:type="spellEnd"/>
      <w:r w:rsidRPr="0064621C">
        <w:rPr>
          <w:lang w:val="en-US"/>
        </w:rPr>
        <w:t xml:space="preserve"> A.A.E., </w:t>
      </w:r>
      <w:proofErr w:type="spellStart"/>
      <w:r w:rsidRPr="0064621C">
        <w:rPr>
          <w:lang w:val="en-US"/>
        </w:rPr>
        <w:t>Dobler</w:t>
      </w:r>
      <w:proofErr w:type="spellEnd"/>
      <w:r w:rsidRPr="0064621C">
        <w:rPr>
          <w:lang w:val="en-US"/>
        </w:rPr>
        <w:t xml:space="preserve"> G., Dame G. &amp; Hufert F.T.</w:t>
      </w:r>
    </w:p>
    <w:p w14:paraId="73496CB2" w14:textId="77777777" w:rsidR="00073CCF" w:rsidRDefault="0064621C">
      <w:pPr>
        <w:ind w:left="304" w:right="640"/>
      </w:pPr>
      <w:r w:rsidRPr="0064621C">
        <w:rPr>
          <w:lang w:val="en-US"/>
        </w:rPr>
        <w:t>2020. Rapid detection of SARS-CoV-2 by low volume real-time</w:t>
      </w:r>
      <w:r w:rsidRPr="0064621C">
        <w:rPr>
          <w:lang w:val="en-US"/>
        </w:rPr>
        <w:t xml:space="preserve"> single tube reverse transcription recombinase polymerase amplification using an </w:t>
      </w:r>
      <w:proofErr w:type="spellStart"/>
      <w:r w:rsidRPr="0064621C">
        <w:rPr>
          <w:lang w:val="en-US"/>
        </w:rPr>
        <w:t>exo</w:t>
      </w:r>
      <w:proofErr w:type="spellEnd"/>
      <w:r w:rsidRPr="0064621C">
        <w:rPr>
          <w:lang w:val="en-US"/>
        </w:rPr>
        <w:t xml:space="preserve"> probe with an internally linked quencher (</w:t>
      </w:r>
      <w:proofErr w:type="spellStart"/>
      <w:r w:rsidRPr="0064621C">
        <w:rPr>
          <w:lang w:val="en-US"/>
        </w:rPr>
        <w:t>exo</w:t>
      </w:r>
      <w:proofErr w:type="spellEnd"/>
      <w:r w:rsidRPr="0064621C">
        <w:rPr>
          <w:lang w:val="en-US"/>
        </w:rPr>
        <w:t xml:space="preserve">-IQ). </w:t>
      </w:r>
      <w:r>
        <w:rPr>
          <w:i/>
        </w:rPr>
        <w:t xml:space="preserve">Clinical Chemistry </w:t>
      </w:r>
      <w:r>
        <w:t xml:space="preserve">66 (8): 1047–1054. </w:t>
      </w:r>
      <w:hyperlink r:id="rId16">
        <w:r>
          <w:rPr>
            <w:color w:val="4169E1"/>
          </w:rPr>
          <w:t>https://doi.org/10.1093/</w:t>
        </w:r>
        <w:r>
          <w:rPr>
            <w:color w:val="4169E1"/>
          </w:rPr>
          <w:t>clinchem/hvaa116</w:t>
        </w:r>
      </w:hyperlink>
    </w:p>
    <w:p w14:paraId="62DBDF93" w14:textId="77777777" w:rsidR="00073CCF" w:rsidRDefault="0064621C">
      <w:pPr>
        <w:ind w:left="287" w:right="640" w:hanging="279"/>
      </w:pPr>
      <w:r>
        <w:t xml:space="preserve">Behrmann O., </w:t>
      </w:r>
      <w:proofErr w:type="spellStart"/>
      <w:r>
        <w:t>Hügle</w:t>
      </w:r>
      <w:proofErr w:type="spellEnd"/>
      <w:r>
        <w:t xml:space="preserve"> M., Eckardt F., Bachmann I., Heller C., Schramm M., Turner C., Hufert F. &amp; Dame G. 2020. </w:t>
      </w:r>
      <w:r w:rsidRPr="0064621C">
        <w:rPr>
          <w:lang w:val="en-US"/>
        </w:rPr>
        <w:t>3D printed monolithic microreactors for real-time detection of klebsiella pneumoniae and the res</w:t>
      </w:r>
      <w:r w:rsidRPr="0064621C">
        <w:rPr>
          <w:lang w:val="en-US"/>
        </w:rPr>
        <w:t xml:space="preserve">istance gene blaNDM-1 by recombinase polymerase amplification. </w:t>
      </w:r>
      <w:proofErr w:type="spellStart"/>
      <w:r>
        <w:rPr>
          <w:i/>
        </w:rPr>
        <w:t>Micromachines</w:t>
      </w:r>
      <w:proofErr w:type="spellEnd"/>
      <w:r>
        <w:rPr>
          <w:i/>
        </w:rPr>
        <w:t xml:space="preserve"> </w:t>
      </w:r>
      <w:r>
        <w:t xml:space="preserve">11 (6): 595. </w:t>
      </w:r>
      <w:hyperlink r:id="rId17">
        <w:r>
          <w:rPr>
            <w:color w:val="4169E1"/>
          </w:rPr>
          <w:t xml:space="preserve">https: </w:t>
        </w:r>
      </w:hyperlink>
      <w:hyperlink r:id="rId18">
        <w:r>
          <w:rPr>
            <w:color w:val="4169E1"/>
          </w:rPr>
          <w:t>//doi.org/10.3390/m</w:t>
        </w:r>
        <w:r>
          <w:rPr>
            <w:color w:val="4169E1"/>
          </w:rPr>
          <w:t>i11060595</w:t>
        </w:r>
      </w:hyperlink>
    </w:p>
    <w:p w14:paraId="281CEE6F" w14:textId="77777777" w:rsidR="00073CCF" w:rsidRDefault="0064621C">
      <w:pPr>
        <w:ind w:left="307" w:right="640" w:hanging="299"/>
      </w:pPr>
      <w:proofErr w:type="spellStart"/>
      <w:r>
        <w:t>Böckh</w:t>
      </w:r>
      <w:proofErr w:type="spellEnd"/>
      <w:r>
        <w:t xml:space="preserve"> P. von &amp; Wetzel T. 2017. </w:t>
      </w:r>
      <w:hyperlink r:id="rId19">
        <w:r>
          <w:rPr>
            <w:color w:val="4169E1"/>
          </w:rPr>
          <w:t xml:space="preserve">Freie </w:t>
        </w:r>
        <w:proofErr w:type="spellStart"/>
        <w:r>
          <w:rPr>
            <w:color w:val="4169E1"/>
          </w:rPr>
          <w:t>konvektion</w:t>
        </w:r>
        <w:proofErr w:type="spellEnd"/>
      </w:hyperlink>
      <w:r>
        <w:t xml:space="preserve">. </w:t>
      </w:r>
      <w:r>
        <w:rPr>
          <w:i/>
        </w:rPr>
        <w:t>In</w:t>
      </w:r>
      <w:r>
        <w:t xml:space="preserve">: </w:t>
      </w:r>
      <w:r>
        <w:rPr>
          <w:i/>
        </w:rPr>
        <w:t>Wärmeübertragung</w:t>
      </w:r>
      <w:r>
        <w:t>: 141–154. Springer Berlin Heidelberg.</w:t>
      </w:r>
    </w:p>
    <w:p w14:paraId="78F3DE9B" w14:textId="77777777" w:rsidR="00073CCF" w:rsidRDefault="0064621C">
      <w:pPr>
        <w:ind w:left="307" w:right="640" w:hanging="299"/>
      </w:pPr>
      <w:r>
        <w:t xml:space="preserve">Boyle D.S., Lehman D.A., Lillis L., Peterson D., </w:t>
      </w:r>
      <w:proofErr w:type="spellStart"/>
      <w:r>
        <w:t>Singhal</w:t>
      </w:r>
      <w:proofErr w:type="spellEnd"/>
      <w:r>
        <w:t xml:space="preserve"> M., Armes N., Parker M., Piepenburg O. &amp; </w:t>
      </w:r>
      <w:proofErr w:type="spellStart"/>
      <w:r>
        <w:t>Overbaugh</w:t>
      </w:r>
      <w:proofErr w:type="spellEnd"/>
      <w:r>
        <w:t xml:space="preserve"> J. 2013. </w:t>
      </w:r>
      <w:r w:rsidRPr="0064621C">
        <w:rPr>
          <w:lang w:val="en-US"/>
        </w:rPr>
        <w:t xml:space="preserve">Rapid detection of HIV-1 </w:t>
      </w:r>
      <w:proofErr w:type="spellStart"/>
      <w:r w:rsidRPr="0064621C">
        <w:rPr>
          <w:lang w:val="en-US"/>
        </w:rPr>
        <w:t>proviral</w:t>
      </w:r>
      <w:proofErr w:type="spellEnd"/>
      <w:r w:rsidRPr="0064621C">
        <w:rPr>
          <w:lang w:val="en-US"/>
        </w:rPr>
        <w:t xml:space="preserve"> DNA for e</w:t>
      </w:r>
      <w:r w:rsidRPr="0064621C">
        <w:rPr>
          <w:lang w:val="en-US"/>
        </w:rPr>
        <w:t xml:space="preserve">arly infant diagnosis using recombinase polymerase amplification. </w:t>
      </w:r>
      <w:r w:rsidRPr="0064621C">
        <w:rPr>
          <w:i/>
          <w:lang w:val="en-US"/>
        </w:rPr>
        <w:t xml:space="preserve">mBio </w:t>
      </w:r>
      <w:r w:rsidRPr="0064621C">
        <w:rPr>
          <w:lang w:val="en-US"/>
        </w:rPr>
        <w:t xml:space="preserve">4 (2). </w:t>
      </w:r>
      <w:hyperlink r:id="rId20">
        <w:r>
          <w:rPr>
            <w:color w:val="4169E1"/>
          </w:rPr>
          <w:t>https://doi.org/10.1128/mbio.00135-13</w:t>
        </w:r>
      </w:hyperlink>
    </w:p>
    <w:p w14:paraId="3EAFC8AF" w14:textId="77777777" w:rsidR="00073CCF" w:rsidRPr="0064621C" w:rsidRDefault="0064621C">
      <w:pPr>
        <w:ind w:left="287" w:right="640" w:hanging="279"/>
        <w:rPr>
          <w:lang w:val="en-US"/>
        </w:rPr>
      </w:pPr>
      <w:proofErr w:type="spellStart"/>
      <w:r>
        <w:t>Bustin</w:t>
      </w:r>
      <w:proofErr w:type="spellEnd"/>
      <w:r>
        <w:t xml:space="preserve"> S.A., </w:t>
      </w:r>
      <w:proofErr w:type="spellStart"/>
      <w:r>
        <w:t>Benes</w:t>
      </w:r>
      <w:proofErr w:type="spellEnd"/>
      <w:r>
        <w:t xml:space="preserve"> V., Garson J.A., Hellemans J., </w:t>
      </w:r>
      <w:proofErr w:type="spellStart"/>
      <w:r>
        <w:t>Huggett</w:t>
      </w:r>
      <w:proofErr w:type="spellEnd"/>
      <w:r>
        <w:t xml:space="preserve"> J., Kubista M., Mueller R., Nolan T., Pfaffl M.W., Shipley G.L., </w:t>
      </w:r>
      <w:proofErr w:type="spellStart"/>
      <w:r>
        <w:t>Vandesompele</w:t>
      </w:r>
      <w:proofErr w:type="spellEnd"/>
      <w:r>
        <w:t xml:space="preserve"> J. &amp; Wittwer C.T. 2009. </w:t>
      </w:r>
      <w:r w:rsidRPr="0064621C">
        <w:rPr>
          <w:lang w:val="en-US"/>
        </w:rPr>
        <w:t xml:space="preserve">The MIQE guidelines: Minimum information for publication of quantitative real-time PCR experiments. </w:t>
      </w:r>
      <w:r w:rsidRPr="0064621C">
        <w:rPr>
          <w:i/>
          <w:lang w:val="en-US"/>
        </w:rPr>
        <w:t xml:space="preserve">Clinical Chemistry </w:t>
      </w:r>
      <w:r w:rsidRPr="0064621C">
        <w:rPr>
          <w:lang w:val="en-US"/>
        </w:rPr>
        <w:t xml:space="preserve">55 (4): 611–622. </w:t>
      </w:r>
      <w:hyperlink r:id="rId21">
        <w:r w:rsidRPr="0064621C">
          <w:rPr>
            <w:color w:val="4169E1"/>
            <w:lang w:val="en-US"/>
          </w:rPr>
          <w:t xml:space="preserve">https: </w:t>
        </w:r>
      </w:hyperlink>
      <w:hyperlink r:id="rId22">
        <w:r w:rsidRPr="0064621C">
          <w:rPr>
            <w:color w:val="4169E1"/>
            <w:lang w:val="en-US"/>
          </w:rPr>
          <w:t>//doi.org/10.1373/clinchem.2008.112797</w:t>
        </w:r>
      </w:hyperlink>
    </w:p>
    <w:p w14:paraId="78B2BC76" w14:textId="77777777" w:rsidR="00073CCF" w:rsidRPr="0064621C" w:rsidRDefault="0064621C">
      <w:pPr>
        <w:ind w:left="296" w:right="640" w:hanging="288"/>
        <w:rPr>
          <w:lang w:val="en-US"/>
        </w:rPr>
      </w:pPr>
      <w:r w:rsidRPr="0064621C">
        <w:rPr>
          <w:lang w:val="en-US"/>
        </w:rPr>
        <w:t>Chen R. &amp; Holmes E.C. 20</w:t>
      </w:r>
      <w:r w:rsidRPr="0064621C">
        <w:rPr>
          <w:lang w:val="en-US"/>
        </w:rPr>
        <w:t xml:space="preserve">08. The evolutionary dynamics of human influenza b virus. </w:t>
      </w:r>
      <w:r w:rsidRPr="0064621C">
        <w:rPr>
          <w:i/>
          <w:lang w:val="en-US"/>
        </w:rPr>
        <w:t xml:space="preserve">Journal of Molecular Evolution </w:t>
      </w:r>
      <w:r w:rsidRPr="0064621C">
        <w:rPr>
          <w:lang w:val="en-US"/>
        </w:rPr>
        <w:t xml:space="preserve">66 (6): 655–663. </w:t>
      </w:r>
      <w:hyperlink r:id="rId23">
        <w:r w:rsidRPr="0064621C">
          <w:rPr>
            <w:color w:val="4169E1"/>
            <w:lang w:val="en-US"/>
          </w:rPr>
          <w:t>https://doi.org/10.1007/s00239-008-9119-z</w:t>
        </w:r>
      </w:hyperlink>
    </w:p>
    <w:p w14:paraId="7BF4E15E" w14:textId="77777777" w:rsidR="00073CCF" w:rsidRPr="0064621C" w:rsidRDefault="0064621C">
      <w:pPr>
        <w:ind w:left="307" w:right="640" w:hanging="299"/>
        <w:rPr>
          <w:lang w:val="en-US"/>
        </w:rPr>
      </w:pPr>
      <w:r w:rsidRPr="0064621C">
        <w:rPr>
          <w:lang w:val="en-US"/>
        </w:rPr>
        <w:t>Clancy E., Hig</w:t>
      </w:r>
      <w:r w:rsidRPr="0064621C">
        <w:rPr>
          <w:lang w:val="en-US"/>
        </w:rPr>
        <w:t xml:space="preserve">gins O., Forrest M.S., Boo T.W., </w:t>
      </w:r>
      <w:proofErr w:type="spellStart"/>
      <w:r w:rsidRPr="0064621C">
        <w:rPr>
          <w:lang w:val="en-US"/>
        </w:rPr>
        <w:t>Cormican</w:t>
      </w:r>
      <w:proofErr w:type="spellEnd"/>
      <w:r w:rsidRPr="0064621C">
        <w:rPr>
          <w:lang w:val="en-US"/>
        </w:rPr>
        <w:t xml:space="preserve"> M., Barry T., </w:t>
      </w:r>
      <w:proofErr w:type="spellStart"/>
      <w:r w:rsidRPr="0064621C">
        <w:rPr>
          <w:lang w:val="en-US"/>
        </w:rPr>
        <w:t>Piepenburg</w:t>
      </w:r>
      <w:proofErr w:type="spellEnd"/>
      <w:r w:rsidRPr="0064621C">
        <w:rPr>
          <w:lang w:val="en-US"/>
        </w:rPr>
        <w:t xml:space="preserve"> O. &amp; Smith T.J. 2015. Development of a rapid recombinase polymerase amplification assay for the detection of streptococcus pneumoniae in whole blood. </w:t>
      </w:r>
      <w:r w:rsidRPr="0064621C">
        <w:rPr>
          <w:i/>
          <w:lang w:val="en-US"/>
        </w:rPr>
        <w:t xml:space="preserve">BMC Infectious Diseases </w:t>
      </w:r>
      <w:r w:rsidRPr="0064621C">
        <w:rPr>
          <w:lang w:val="en-US"/>
        </w:rPr>
        <w:t xml:space="preserve">15 (1). </w:t>
      </w:r>
      <w:hyperlink r:id="rId24">
        <w:r w:rsidRPr="0064621C">
          <w:rPr>
            <w:color w:val="4169E1"/>
            <w:lang w:val="en-US"/>
          </w:rPr>
          <w:t>https://doi.org/10.1186/s12879-015-1212-5</w:t>
        </w:r>
      </w:hyperlink>
    </w:p>
    <w:p w14:paraId="7C76BF91" w14:textId="77777777" w:rsidR="00073CCF" w:rsidRPr="0064621C" w:rsidRDefault="0064621C">
      <w:pPr>
        <w:ind w:left="296" w:right="640" w:hanging="288"/>
        <w:rPr>
          <w:lang w:val="en-US"/>
        </w:rPr>
      </w:pPr>
      <w:r w:rsidRPr="0064621C">
        <w:rPr>
          <w:lang w:val="en-US"/>
        </w:rPr>
        <w:t xml:space="preserve">Daher R.K., Stewart G., </w:t>
      </w:r>
      <w:proofErr w:type="spellStart"/>
      <w:r w:rsidRPr="0064621C">
        <w:rPr>
          <w:lang w:val="en-US"/>
        </w:rPr>
        <w:t>Boissinot</w:t>
      </w:r>
      <w:proofErr w:type="spellEnd"/>
      <w:r w:rsidRPr="0064621C">
        <w:rPr>
          <w:lang w:val="en-US"/>
        </w:rPr>
        <w:t xml:space="preserve"> M., Boudreau D.K. &amp; Bergeron M.G. 2015. Influence of sequence mismatches on the specificity </w:t>
      </w:r>
      <w:r w:rsidRPr="0064621C">
        <w:rPr>
          <w:lang w:val="en-US"/>
        </w:rPr>
        <w:t xml:space="preserve">of recombinase polymerase amplification technology. </w:t>
      </w:r>
      <w:r w:rsidRPr="0064621C">
        <w:rPr>
          <w:i/>
          <w:lang w:val="en-US"/>
        </w:rPr>
        <w:t xml:space="preserve">Molecular and Cellular Probes </w:t>
      </w:r>
      <w:r w:rsidRPr="0064621C">
        <w:rPr>
          <w:lang w:val="en-US"/>
        </w:rPr>
        <w:t xml:space="preserve">29 (2): 116–121. </w:t>
      </w:r>
      <w:hyperlink r:id="rId25">
        <w:r w:rsidRPr="0064621C">
          <w:rPr>
            <w:color w:val="4169E1"/>
            <w:lang w:val="en-US"/>
          </w:rPr>
          <w:t>https://doi.org/10.1016/j.mcp.2014.11.005</w:t>
        </w:r>
      </w:hyperlink>
    </w:p>
    <w:p w14:paraId="72A01795" w14:textId="77777777" w:rsidR="00073CCF" w:rsidRPr="0064621C" w:rsidRDefault="0064621C">
      <w:pPr>
        <w:spacing w:after="52" w:line="259" w:lineRule="auto"/>
        <w:ind w:left="11" w:right="640"/>
        <w:rPr>
          <w:lang w:val="en-US"/>
        </w:rPr>
      </w:pPr>
      <w:proofErr w:type="spellStart"/>
      <w:r w:rsidRPr="0064621C">
        <w:rPr>
          <w:lang w:val="en-US"/>
        </w:rPr>
        <w:t>Daum</w:t>
      </w:r>
      <w:proofErr w:type="spellEnd"/>
      <w:r w:rsidRPr="0064621C">
        <w:rPr>
          <w:lang w:val="en-US"/>
        </w:rPr>
        <w:t xml:space="preserve"> L.T., </w:t>
      </w:r>
      <w:proofErr w:type="spellStart"/>
      <w:r w:rsidRPr="0064621C">
        <w:rPr>
          <w:lang w:val="en-US"/>
        </w:rPr>
        <w:t>Canas</w:t>
      </w:r>
      <w:proofErr w:type="spellEnd"/>
      <w:r w:rsidRPr="0064621C">
        <w:rPr>
          <w:lang w:val="en-US"/>
        </w:rPr>
        <w:t xml:space="preserve"> L.C</w:t>
      </w:r>
      <w:r w:rsidRPr="0064621C">
        <w:rPr>
          <w:lang w:val="en-US"/>
        </w:rPr>
        <w:t>., Arulanandam B.P., Niemeyer D., Valdes J.J. &amp; Chambers J.P. 2007. Real-time RT-</w:t>
      </w:r>
    </w:p>
    <w:p w14:paraId="02B59D5A" w14:textId="77777777" w:rsidR="00073CCF" w:rsidRPr="0064621C" w:rsidRDefault="0064621C">
      <w:pPr>
        <w:ind w:left="287" w:right="640"/>
        <w:rPr>
          <w:lang w:val="en-US"/>
        </w:rPr>
      </w:pPr>
      <w:r w:rsidRPr="0064621C">
        <w:rPr>
          <w:lang w:val="en-US"/>
        </w:rPr>
        <w:t xml:space="preserve">PCR assays for type and subtype detection of influenza a and b viruses. </w:t>
      </w:r>
      <w:r w:rsidRPr="0064621C">
        <w:rPr>
          <w:i/>
          <w:lang w:val="en-US"/>
        </w:rPr>
        <w:t xml:space="preserve">Influenza and Other Respiratory Viruses </w:t>
      </w:r>
      <w:r w:rsidRPr="0064621C">
        <w:rPr>
          <w:lang w:val="en-US"/>
        </w:rPr>
        <w:t xml:space="preserve">1 (4): 167–175. </w:t>
      </w:r>
      <w:hyperlink r:id="rId26">
        <w:r w:rsidRPr="0064621C">
          <w:rPr>
            <w:color w:val="4169E1"/>
            <w:lang w:val="en-US"/>
          </w:rPr>
          <w:t>https://doi.org/10.1111/j.1750-2659.2007.00024.x</w:t>
        </w:r>
      </w:hyperlink>
    </w:p>
    <w:p w14:paraId="0C6240AB" w14:textId="77777777" w:rsidR="00073CCF" w:rsidRDefault="0064621C">
      <w:pPr>
        <w:ind w:left="283" w:right="640" w:hanging="275"/>
      </w:pPr>
      <w:proofErr w:type="spellStart"/>
      <w:r w:rsidRPr="0064621C">
        <w:rPr>
          <w:lang w:val="en-US"/>
        </w:rPr>
        <w:t>Ehnts</w:t>
      </w:r>
      <w:proofErr w:type="spellEnd"/>
      <w:r w:rsidRPr="0064621C">
        <w:rPr>
          <w:lang w:val="en-US"/>
        </w:rPr>
        <w:t xml:space="preserve"> K.I. 2013. </w:t>
      </w:r>
      <w:r>
        <w:t xml:space="preserve">Entwicklung von </w:t>
      </w:r>
      <w:proofErr w:type="spellStart"/>
      <w:r>
        <w:t>rekombinase</w:t>
      </w:r>
      <w:proofErr w:type="spellEnd"/>
      <w:r>
        <w:t>-</w:t>
      </w:r>
      <w:proofErr w:type="spellStart"/>
      <w:r>
        <w:t>polymerase</w:t>
      </w:r>
      <w:proofErr w:type="spellEnd"/>
      <w:r>
        <w:t xml:space="preserve">-amplifikations-nachweisverfahren für virale </w:t>
      </w:r>
      <w:proofErr w:type="spellStart"/>
      <w:r>
        <w:t>erreger</w:t>
      </w:r>
      <w:proofErr w:type="spellEnd"/>
      <w:r>
        <w:t xml:space="preserve"> </w:t>
      </w:r>
      <w:r>
        <w:t xml:space="preserve">von </w:t>
      </w:r>
      <w:proofErr w:type="spellStart"/>
      <w:r>
        <w:t>atemwegsinfektionen</w:t>
      </w:r>
      <w:proofErr w:type="spellEnd"/>
      <w:r>
        <w:t xml:space="preserve">. </w:t>
      </w:r>
      <w:r>
        <w:rPr>
          <w:i/>
        </w:rPr>
        <w:t>Dissertation der Medizinischen Fakultät der Georg-August-Universität zu Göttingen</w:t>
      </w:r>
      <w:r>
        <w:t xml:space="preserve">. </w:t>
      </w:r>
      <w:hyperlink r:id="rId27">
        <w:r>
          <w:rPr>
            <w:color w:val="4169E1"/>
          </w:rPr>
          <w:t>https://doi.org/10.53846/goediss-3943</w:t>
        </w:r>
      </w:hyperlink>
    </w:p>
    <w:p w14:paraId="305791BA" w14:textId="77777777" w:rsidR="00073CCF" w:rsidRDefault="0064621C">
      <w:pPr>
        <w:spacing w:after="59" w:line="259" w:lineRule="auto"/>
        <w:ind w:left="11" w:right="640"/>
      </w:pPr>
      <w:r>
        <w:t xml:space="preserve">Faye M., Wahed A.A.E., Faye O., Kissenkötter J., Hoffmann B., Sall A.A. &amp; Faye O. 2021. </w:t>
      </w:r>
      <w:r w:rsidRPr="0064621C">
        <w:rPr>
          <w:lang w:val="en-US"/>
        </w:rPr>
        <w:t xml:space="preserve">A recombinase polymerase amplification assay for rapid detection of rabies virus. </w:t>
      </w:r>
      <w:r>
        <w:rPr>
          <w:i/>
        </w:rPr>
        <w:t xml:space="preserve">Scientific Reports </w:t>
      </w:r>
      <w:r>
        <w:t xml:space="preserve">11 (1). </w:t>
      </w:r>
      <w:hyperlink r:id="rId28">
        <w:r>
          <w:rPr>
            <w:color w:val="4169E1"/>
          </w:rPr>
          <w:t>https://doi.</w:t>
        </w:r>
      </w:hyperlink>
    </w:p>
    <w:p w14:paraId="2A7E607B" w14:textId="77777777" w:rsidR="00073CCF" w:rsidRDefault="0064621C">
      <w:pPr>
        <w:spacing w:after="169" w:line="265" w:lineRule="auto"/>
        <w:ind w:left="317" w:right="326" w:hanging="10"/>
        <w:jc w:val="left"/>
      </w:pPr>
      <w:hyperlink r:id="rId29">
        <w:proofErr w:type="spellStart"/>
        <w:r>
          <w:rPr>
            <w:color w:val="4169E1"/>
          </w:rPr>
          <w:t>org</w:t>
        </w:r>
        <w:proofErr w:type="spellEnd"/>
        <w:r>
          <w:rPr>
            <w:color w:val="4169E1"/>
          </w:rPr>
          <w:t>/10.1038/s41598-021-82479-8</w:t>
        </w:r>
      </w:hyperlink>
    </w:p>
    <w:p w14:paraId="4D482A0F" w14:textId="77777777" w:rsidR="00073CCF" w:rsidRDefault="0064621C">
      <w:pPr>
        <w:ind w:left="307" w:right="640" w:hanging="299"/>
      </w:pPr>
      <w:r>
        <w:lastRenderedPageBreak/>
        <w:t xml:space="preserve">Förster Th. 1948. Zwischenmolekulare </w:t>
      </w:r>
      <w:proofErr w:type="spellStart"/>
      <w:r>
        <w:t>energiewanderung</w:t>
      </w:r>
      <w:proofErr w:type="spellEnd"/>
      <w:r>
        <w:t xml:space="preserve"> und </w:t>
      </w:r>
      <w:proofErr w:type="spellStart"/>
      <w:r>
        <w:t>fluoreszenz</w:t>
      </w:r>
      <w:proofErr w:type="spellEnd"/>
      <w:r>
        <w:t xml:space="preserve">. </w:t>
      </w:r>
      <w:r>
        <w:rPr>
          <w:i/>
        </w:rPr>
        <w:t>Annalen d</w:t>
      </w:r>
      <w:r>
        <w:rPr>
          <w:i/>
        </w:rPr>
        <w:t xml:space="preserve">er Physik </w:t>
      </w:r>
      <w:r>
        <w:t xml:space="preserve">437 (1-2): 55–75. </w:t>
      </w:r>
      <w:hyperlink r:id="rId30">
        <w:r>
          <w:rPr>
            <w:color w:val="4169E1"/>
          </w:rPr>
          <w:t>https://doi.org/10.1002/andp.19484370105</w:t>
        </w:r>
      </w:hyperlink>
    </w:p>
    <w:p w14:paraId="64825BB3" w14:textId="77777777" w:rsidR="00073CCF" w:rsidRPr="0064621C" w:rsidRDefault="0064621C">
      <w:pPr>
        <w:ind w:left="297" w:right="640" w:hanging="289"/>
        <w:rPr>
          <w:lang w:val="en-US"/>
        </w:rPr>
      </w:pPr>
      <w:r>
        <w:t xml:space="preserve">Frey A., </w:t>
      </w:r>
      <w:proofErr w:type="spellStart"/>
      <w:r>
        <w:t>Canzio</w:t>
      </w:r>
      <w:proofErr w:type="spellEnd"/>
      <w:r>
        <w:t xml:space="preserve"> J.D. &amp; </w:t>
      </w:r>
      <w:proofErr w:type="spellStart"/>
      <w:r>
        <w:t>Zurakowski</w:t>
      </w:r>
      <w:proofErr w:type="spellEnd"/>
      <w:r>
        <w:t xml:space="preserve"> D. 1998. </w:t>
      </w:r>
      <w:r w:rsidRPr="0064621C">
        <w:rPr>
          <w:lang w:val="en-US"/>
        </w:rPr>
        <w:t>A statistically defined endpoint titer determinatio</w:t>
      </w:r>
      <w:r w:rsidRPr="0064621C">
        <w:rPr>
          <w:lang w:val="en-US"/>
        </w:rPr>
        <w:t xml:space="preserve">n method for immunoassays. </w:t>
      </w:r>
      <w:r w:rsidRPr="0064621C">
        <w:rPr>
          <w:i/>
          <w:lang w:val="en-US"/>
        </w:rPr>
        <w:t xml:space="preserve">Journal of Immunological Methods </w:t>
      </w:r>
      <w:r w:rsidRPr="0064621C">
        <w:rPr>
          <w:lang w:val="en-US"/>
        </w:rPr>
        <w:t xml:space="preserve">221 (1-2): 35–41. </w:t>
      </w:r>
      <w:hyperlink r:id="rId31">
        <w:r w:rsidRPr="0064621C">
          <w:rPr>
            <w:color w:val="4169E1"/>
            <w:lang w:val="en-US"/>
          </w:rPr>
          <w:t>https://doi.org/10.1016/s0022</w:t>
        </w:r>
      </w:hyperlink>
      <w:hyperlink r:id="rId32">
        <w:r w:rsidRPr="0064621C">
          <w:rPr>
            <w:color w:val="4169E1"/>
            <w:lang w:val="en-US"/>
          </w:rPr>
          <w:t>1759(98)00170-7</w:t>
        </w:r>
      </w:hyperlink>
    </w:p>
    <w:p w14:paraId="7804C6E1" w14:textId="77777777" w:rsidR="00073CCF" w:rsidRDefault="0064621C">
      <w:pPr>
        <w:ind w:left="307" w:right="640" w:hanging="299"/>
      </w:pPr>
      <w:proofErr w:type="spellStart"/>
      <w:r w:rsidRPr="0064621C">
        <w:rPr>
          <w:lang w:val="en-US"/>
        </w:rPr>
        <w:t>Goffard</w:t>
      </w:r>
      <w:proofErr w:type="spellEnd"/>
      <w:r w:rsidRPr="0064621C">
        <w:rPr>
          <w:lang w:val="en-US"/>
        </w:rPr>
        <w:t xml:space="preserve"> A., </w:t>
      </w:r>
      <w:proofErr w:type="spellStart"/>
      <w:r w:rsidRPr="0064621C">
        <w:rPr>
          <w:lang w:val="en-US"/>
        </w:rPr>
        <w:t>Beugin</w:t>
      </w:r>
      <w:proofErr w:type="spellEnd"/>
      <w:r w:rsidRPr="0064621C">
        <w:rPr>
          <w:lang w:val="en-US"/>
        </w:rPr>
        <w:t xml:space="preserve"> A.-S., </w:t>
      </w:r>
      <w:proofErr w:type="spellStart"/>
      <w:r w:rsidRPr="0064621C">
        <w:rPr>
          <w:lang w:val="en-US"/>
        </w:rPr>
        <w:t>Hober</w:t>
      </w:r>
      <w:proofErr w:type="spellEnd"/>
      <w:r w:rsidRPr="0064621C">
        <w:rPr>
          <w:lang w:val="en-US"/>
        </w:rPr>
        <w:t xml:space="preserve"> D., </w:t>
      </w:r>
      <w:proofErr w:type="spellStart"/>
      <w:r w:rsidRPr="0064621C">
        <w:rPr>
          <w:lang w:val="en-US"/>
        </w:rPr>
        <w:t>Ogiez</w:t>
      </w:r>
      <w:proofErr w:type="spellEnd"/>
      <w:r w:rsidRPr="0064621C">
        <w:rPr>
          <w:lang w:val="en-US"/>
        </w:rPr>
        <w:t xml:space="preserve"> J. &amp; </w:t>
      </w:r>
      <w:proofErr w:type="spellStart"/>
      <w:r w:rsidRPr="0064621C">
        <w:rPr>
          <w:lang w:val="en-US"/>
        </w:rPr>
        <w:t>Dewilde</w:t>
      </w:r>
      <w:proofErr w:type="spellEnd"/>
      <w:r w:rsidRPr="0064621C">
        <w:rPr>
          <w:lang w:val="en-US"/>
        </w:rPr>
        <w:t xml:space="preserve"> A. 2008. Mise au point </w:t>
      </w:r>
      <w:proofErr w:type="spellStart"/>
      <w:r w:rsidRPr="0064621C">
        <w:rPr>
          <w:lang w:val="en-US"/>
        </w:rPr>
        <w:t>d’une</w:t>
      </w:r>
      <w:proofErr w:type="spellEnd"/>
      <w:r w:rsidRPr="0064621C">
        <w:rPr>
          <w:lang w:val="en-US"/>
        </w:rPr>
        <w:t xml:space="preserve"> technique de RT-PCR duplex </w:t>
      </w:r>
      <w:proofErr w:type="spellStart"/>
      <w:r w:rsidRPr="0064621C">
        <w:rPr>
          <w:lang w:val="en-US"/>
        </w:rPr>
        <w:t>en</w:t>
      </w:r>
      <w:proofErr w:type="spellEnd"/>
      <w:r w:rsidRPr="0064621C">
        <w:rPr>
          <w:lang w:val="en-US"/>
        </w:rPr>
        <w:t xml:space="preserve"> temps </w:t>
      </w:r>
      <w:proofErr w:type="spellStart"/>
      <w:r w:rsidRPr="0064621C">
        <w:rPr>
          <w:lang w:val="en-US"/>
        </w:rPr>
        <w:t>réel</w:t>
      </w:r>
      <w:proofErr w:type="spellEnd"/>
      <w:r w:rsidRPr="0064621C">
        <w:rPr>
          <w:lang w:val="en-US"/>
        </w:rPr>
        <w:t xml:space="preserve"> pour la </w:t>
      </w:r>
      <w:proofErr w:type="spellStart"/>
      <w:r w:rsidRPr="0064621C">
        <w:rPr>
          <w:lang w:val="en-US"/>
        </w:rPr>
        <w:t>détection</w:t>
      </w:r>
      <w:proofErr w:type="spellEnd"/>
      <w:r w:rsidRPr="0064621C">
        <w:rPr>
          <w:lang w:val="en-US"/>
        </w:rPr>
        <w:t xml:space="preserve"> des virus influenza </w:t>
      </w:r>
      <w:proofErr w:type="gramStart"/>
      <w:r w:rsidRPr="0064621C">
        <w:rPr>
          <w:lang w:val="en-US"/>
        </w:rPr>
        <w:t>a</w:t>
      </w:r>
      <w:proofErr w:type="gramEnd"/>
      <w:r w:rsidRPr="0064621C">
        <w:rPr>
          <w:lang w:val="en-US"/>
        </w:rPr>
        <w:t xml:space="preserve"> et b. </w:t>
      </w:r>
      <w:proofErr w:type="spellStart"/>
      <w:r w:rsidRPr="0064621C">
        <w:rPr>
          <w:i/>
          <w:lang w:val="en-US"/>
        </w:rPr>
        <w:t>Pathologie</w:t>
      </w:r>
      <w:proofErr w:type="spellEnd"/>
      <w:r w:rsidRPr="0064621C">
        <w:rPr>
          <w:i/>
          <w:lang w:val="en-US"/>
        </w:rPr>
        <w:t xml:space="preserve"> </w:t>
      </w:r>
      <w:proofErr w:type="spellStart"/>
      <w:r w:rsidRPr="0064621C">
        <w:rPr>
          <w:i/>
          <w:lang w:val="en-US"/>
        </w:rPr>
        <w:t>Biologie</w:t>
      </w:r>
      <w:proofErr w:type="spellEnd"/>
      <w:r w:rsidRPr="0064621C">
        <w:rPr>
          <w:i/>
          <w:lang w:val="en-US"/>
        </w:rPr>
        <w:t xml:space="preserve"> </w:t>
      </w:r>
      <w:r w:rsidRPr="0064621C">
        <w:rPr>
          <w:lang w:val="en-US"/>
        </w:rPr>
        <w:t>5</w:t>
      </w:r>
      <w:r w:rsidRPr="0064621C">
        <w:rPr>
          <w:lang w:val="en-US"/>
        </w:rPr>
        <w:t xml:space="preserve">6 (7-8): 482–486. </w:t>
      </w:r>
      <w:hyperlink r:id="rId33">
        <w:r>
          <w:rPr>
            <w:color w:val="4169E1"/>
          </w:rPr>
          <w:t>https://doi.org/10.1016/j.patbio.2008.07.030</w:t>
        </w:r>
      </w:hyperlink>
    </w:p>
    <w:p w14:paraId="6A4E924F" w14:textId="77777777" w:rsidR="00073CCF" w:rsidRPr="0064621C" w:rsidRDefault="0064621C">
      <w:pPr>
        <w:ind w:left="294" w:right="640" w:hanging="286"/>
        <w:rPr>
          <w:lang w:val="en-US"/>
        </w:rPr>
      </w:pPr>
      <w:r>
        <w:t xml:space="preserve">Guo M., Feng P., Zhang L., Feng C., Fu J., Pu X. &amp; Liu F. 2022. </w:t>
      </w:r>
      <w:r w:rsidRPr="0064621C">
        <w:rPr>
          <w:lang w:val="en-US"/>
        </w:rPr>
        <w:t xml:space="preserve">Rapid detection of </w:t>
      </w:r>
      <w:r w:rsidRPr="0064621C">
        <w:rPr>
          <w:lang w:val="en-US"/>
        </w:rPr>
        <w:t>&lt;</w:t>
      </w:r>
      <w:proofErr w:type="spellStart"/>
      <w:r w:rsidRPr="0064621C">
        <w:rPr>
          <w:lang w:val="en-US"/>
        </w:rPr>
        <w:t>i</w:t>
      </w:r>
      <w:proofErr w:type="spellEnd"/>
      <w:r w:rsidRPr="0064621C">
        <w:rPr>
          <w:lang w:val="en-US"/>
        </w:rPr>
        <w:t>&gt;</w:t>
      </w:r>
      <w:r w:rsidRPr="0064621C">
        <w:rPr>
          <w:lang w:val="en-US"/>
        </w:rPr>
        <w:t>clostridium tetani</w:t>
      </w:r>
      <w:r w:rsidRPr="0064621C">
        <w:rPr>
          <w:lang w:val="en-US"/>
        </w:rPr>
        <w:t>&lt;</w:t>
      </w:r>
      <w:r w:rsidRPr="0064621C">
        <w:rPr>
          <w:lang w:val="en-US"/>
        </w:rPr>
        <w:t>/</w:t>
      </w:r>
      <w:proofErr w:type="spellStart"/>
      <w:r w:rsidRPr="0064621C">
        <w:rPr>
          <w:lang w:val="en-US"/>
        </w:rPr>
        <w:t>i</w:t>
      </w:r>
      <w:proofErr w:type="spellEnd"/>
      <w:r w:rsidRPr="0064621C">
        <w:rPr>
          <w:lang w:val="en-US"/>
        </w:rPr>
        <w:t xml:space="preserve">&gt; </w:t>
      </w:r>
      <w:r w:rsidRPr="0064621C">
        <w:rPr>
          <w:lang w:val="en-US"/>
        </w:rPr>
        <w:t xml:space="preserve">by recombinase polymerase amplification using an </w:t>
      </w:r>
      <w:proofErr w:type="spellStart"/>
      <w:r w:rsidRPr="0064621C">
        <w:rPr>
          <w:lang w:val="en-US"/>
        </w:rPr>
        <w:t>exo</w:t>
      </w:r>
      <w:proofErr w:type="spellEnd"/>
      <w:r w:rsidRPr="0064621C">
        <w:rPr>
          <w:lang w:val="en-US"/>
        </w:rPr>
        <w:t xml:space="preserve"> probe. </w:t>
      </w:r>
      <w:r w:rsidRPr="0064621C">
        <w:rPr>
          <w:i/>
          <w:lang w:val="en-US"/>
        </w:rPr>
        <w:t xml:space="preserve">Journal of Microbiology and Biotechnology </w:t>
      </w:r>
      <w:r w:rsidRPr="0064621C">
        <w:rPr>
          <w:lang w:val="en-US"/>
        </w:rPr>
        <w:t xml:space="preserve">32 (1): 91–98. </w:t>
      </w:r>
      <w:hyperlink r:id="rId34">
        <w:r w:rsidRPr="0064621C">
          <w:rPr>
            <w:color w:val="4169E1"/>
            <w:lang w:val="en-US"/>
          </w:rPr>
          <w:t>https://doi.org/10.4014/jmb.2109.09022</w:t>
        </w:r>
      </w:hyperlink>
    </w:p>
    <w:p w14:paraId="634FC22E" w14:textId="77777777" w:rsidR="00073CCF" w:rsidRPr="0064621C" w:rsidRDefault="0064621C">
      <w:pPr>
        <w:spacing w:after="4"/>
        <w:ind w:left="307" w:right="640" w:hanging="299"/>
        <w:rPr>
          <w:lang w:val="en-US"/>
        </w:rPr>
      </w:pPr>
      <w:r w:rsidRPr="0064621C">
        <w:rPr>
          <w:lang w:val="en-US"/>
        </w:rPr>
        <w:t xml:space="preserve">Higgins M., Stringer O.W., Ward D., Andrews J.M., Forrest M.S., </w:t>
      </w:r>
      <w:proofErr w:type="spellStart"/>
      <w:r w:rsidRPr="0064621C">
        <w:rPr>
          <w:lang w:val="en-US"/>
        </w:rPr>
        <w:t>Campino</w:t>
      </w:r>
      <w:proofErr w:type="spellEnd"/>
      <w:r w:rsidRPr="0064621C">
        <w:rPr>
          <w:lang w:val="en-US"/>
        </w:rPr>
        <w:t xml:space="preserve"> S. &amp; Clark T.G. 2022. Characterizing the impact of primer-template mismatches on recombinase polymerase amplification. </w:t>
      </w:r>
      <w:r w:rsidRPr="0064621C">
        <w:rPr>
          <w:i/>
          <w:lang w:val="en-US"/>
        </w:rPr>
        <w:t>The Journal</w:t>
      </w:r>
    </w:p>
    <w:p w14:paraId="05D9449E" w14:textId="77777777" w:rsidR="00073CCF" w:rsidRPr="0064621C" w:rsidRDefault="0064621C">
      <w:pPr>
        <w:spacing w:after="169" w:line="265" w:lineRule="auto"/>
        <w:ind w:left="317" w:right="326" w:hanging="10"/>
        <w:jc w:val="left"/>
        <w:rPr>
          <w:lang w:val="en-US"/>
        </w:rPr>
      </w:pPr>
      <w:r w:rsidRPr="0064621C">
        <w:rPr>
          <w:i/>
          <w:lang w:val="en-US"/>
        </w:rPr>
        <w:t xml:space="preserve">of Molecular Diagnostics </w:t>
      </w:r>
      <w:r w:rsidRPr="0064621C">
        <w:rPr>
          <w:lang w:val="en-US"/>
        </w:rPr>
        <w:t>24 (11): 1207–</w:t>
      </w:r>
      <w:r w:rsidRPr="0064621C">
        <w:rPr>
          <w:lang w:val="en-US"/>
        </w:rPr>
        <w:t xml:space="preserve">1216. </w:t>
      </w:r>
      <w:hyperlink r:id="rId35">
        <w:r w:rsidRPr="0064621C">
          <w:rPr>
            <w:color w:val="4169E1"/>
            <w:lang w:val="en-US"/>
          </w:rPr>
          <w:t>https://doi.org/10.1016/j.jmoldx.2022.08.005</w:t>
        </w:r>
      </w:hyperlink>
    </w:p>
    <w:p w14:paraId="7B2A1612" w14:textId="77777777" w:rsidR="00073CCF" w:rsidRDefault="0064621C">
      <w:pPr>
        <w:ind w:left="312" w:right="640" w:hanging="304"/>
      </w:pPr>
      <w:r>
        <w:t xml:space="preserve">Jaeger K.-E., Liese A. &amp; </w:t>
      </w:r>
      <w:proofErr w:type="spellStart"/>
      <w:r>
        <w:t>Syldatk</w:t>
      </w:r>
      <w:proofErr w:type="spellEnd"/>
      <w:r>
        <w:t xml:space="preserve"> C. (</w:t>
      </w:r>
      <w:proofErr w:type="spellStart"/>
      <w:r>
        <w:t>eds</w:t>
      </w:r>
      <w:proofErr w:type="spellEnd"/>
      <w:r>
        <w:t xml:space="preserve">)Anon. 2018. </w:t>
      </w:r>
      <w:hyperlink r:id="rId36">
        <w:r>
          <w:rPr>
            <w:i/>
            <w:color w:val="4169E1"/>
          </w:rPr>
          <w:t xml:space="preserve">Einführung in die </w:t>
        </w:r>
        <w:proofErr w:type="spellStart"/>
        <w:r>
          <w:rPr>
            <w:i/>
            <w:color w:val="4169E1"/>
          </w:rPr>
          <w:t>enzymtechnologie</w:t>
        </w:r>
        <w:proofErr w:type="spellEnd"/>
      </w:hyperlink>
      <w:r>
        <w:t>. Springer Berlin Heidelberg.</w:t>
      </w:r>
    </w:p>
    <w:p w14:paraId="189DA4FB" w14:textId="77777777" w:rsidR="00073CCF" w:rsidRDefault="0064621C">
      <w:pPr>
        <w:spacing w:after="52" w:line="259" w:lineRule="auto"/>
        <w:ind w:left="11" w:right="640"/>
      </w:pPr>
      <w:r>
        <w:t xml:space="preserve">Jiang N., </w:t>
      </w:r>
      <w:proofErr w:type="spellStart"/>
      <w:r>
        <w:t>Tansukawat</w:t>
      </w:r>
      <w:proofErr w:type="spellEnd"/>
      <w:r>
        <w:t xml:space="preserve"> N.D., Gonzalez-</w:t>
      </w:r>
      <w:proofErr w:type="spellStart"/>
      <w:r>
        <w:t>Macia</w:t>
      </w:r>
      <w:proofErr w:type="spellEnd"/>
      <w:r>
        <w:t xml:space="preserve"> L., Ates H.C., Dincer C., </w:t>
      </w:r>
      <w:proofErr w:type="spellStart"/>
      <w:r>
        <w:t>Güder</w:t>
      </w:r>
      <w:proofErr w:type="spellEnd"/>
      <w:r>
        <w:t xml:space="preserve"> F., </w:t>
      </w:r>
      <w:proofErr w:type="spellStart"/>
      <w:r>
        <w:t>Tasoglu</w:t>
      </w:r>
      <w:proofErr w:type="spellEnd"/>
      <w:r>
        <w:t xml:space="preserve"> S. &amp; </w:t>
      </w:r>
      <w:proofErr w:type="spellStart"/>
      <w:r>
        <w:t>Yetisen</w:t>
      </w:r>
      <w:proofErr w:type="spellEnd"/>
      <w:r>
        <w:t xml:space="preserve"> A.K.</w:t>
      </w:r>
    </w:p>
    <w:p w14:paraId="72CEEF26" w14:textId="77777777" w:rsidR="00073CCF" w:rsidRPr="0064621C" w:rsidRDefault="0064621C">
      <w:pPr>
        <w:ind w:left="320" w:right="640"/>
        <w:rPr>
          <w:lang w:val="en-US"/>
        </w:rPr>
      </w:pPr>
      <w:r w:rsidRPr="0064621C">
        <w:rPr>
          <w:lang w:val="en-US"/>
        </w:rPr>
        <w:t>2021. Low-cost optical assays for point-of-care d</w:t>
      </w:r>
      <w:r w:rsidRPr="0064621C">
        <w:rPr>
          <w:lang w:val="en-US"/>
        </w:rPr>
        <w:t xml:space="preserve">iagnosis in resource-limited settings. </w:t>
      </w:r>
      <w:r w:rsidRPr="0064621C">
        <w:rPr>
          <w:i/>
          <w:lang w:val="en-US"/>
        </w:rPr>
        <w:t xml:space="preserve">ACS Sensors </w:t>
      </w:r>
      <w:r w:rsidRPr="0064621C">
        <w:rPr>
          <w:lang w:val="en-US"/>
        </w:rPr>
        <w:t xml:space="preserve">6 (6): 2108–2124. </w:t>
      </w:r>
      <w:hyperlink r:id="rId37">
        <w:r w:rsidRPr="0064621C">
          <w:rPr>
            <w:color w:val="4169E1"/>
            <w:lang w:val="en-US"/>
          </w:rPr>
          <w:t>https://doi.org/10.1021/acssensors.1c00669</w:t>
        </w:r>
      </w:hyperlink>
    </w:p>
    <w:p w14:paraId="07B966F7" w14:textId="77777777" w:rsidR="00073CCF" w:rsidRPr="0064621C" w:rsidRDefault="0064621C">
      <w:pPr>
        <w:ind w:left="312" w:right="640" w:hanging="304"/>
        <w:rPr>
          <w:lang w:val="en-US"/>
        </w:rPr>
      </w:pPr>
      <w:r w:rsidRPr="0064621C">
        <w:rPr>
          <w:lang w:val="en-US"/>
        </w:rPr>
        <w:t xml:space="preserve">Johansson M.K. &amp; Cook R.M. 2003. Intramolecular </w:t>
      </w:r>
      <w:r w:rsidRPr="0064621C">
        <w:rPr>
          <w:lang w:val="en-US"/>
        </w:rPr>
        <w:t xml:space="preserve">dimers: A new design strategy for fluorescence-quenched probes. </w:t>
      </w:r>
      <w:r w:rsidRPr="0064621C">
        <w:rPr>
          <w:i/>
          <w:lang w:val="en-US"/>
        </w:rPr>
        <w:t xml:space="preserve">Chemistry - A European Journal </w:t>
      </w:r>
      <w:r w:rsidRPr="0064621C">
        <w:rPr>
          <w:lang w:val="en-US"/>
        </w:rPr>
        <w:t xml:space="preserve">9 (15): 3466–3471. </w:t>
      </w:r>
      <w:hyperlink r:id="rId38">
        <w:r w:rsidRPr="0064621C">
          <w:rPr>
            <w:color w:val="4169E1"/>
            <w:lang w:val="en-US"/>
          </w:rPr>
          <w:t>https://doi.org/10.1002/chem.200304941</w:t>
        </w:r>
      </w:hyperlink>
    </w:p>
    <w:p w14:paraId="6EAFC368" w14:textId="77777777" w:rsidR="00073CCF" w:rsidRPr="0064621C" w:rsidRDefault="0064621C">
      <w:pPr>
        <w:ind w:left="307" w:right="640" w:hanging="299"/>
        <w:rPr>
          <w:lang w:val="en-US"/>
        </w:rPr>
      </w:pPr>
      <w:r w:rsidRPr="0064621C">
        <w:rPr>
          <w:lang w:val="en-US"/>
        </w:rPr>
        <w:t>Li J., Macdo</w:t>
      </w:r>
      <w:r w:rsidRPr="0064621C">
        <w:rPr>
          <w:lang w:val="en-US"/>
        </w:rPr>
        <w:t xml:space="preserve">nald J. &amp; </w:t>
      </w:r>
      <w:proofErr w:type="spellStart"/>
      <w:r w:rsidRPr="0064621C">
        <w:rPr>
          <w:lang w:val="en-US"/>
        </w:rPr>
        <w:t>Stetten</w:t>
      </w:r>
      <w:proofErr w:type="spellEnd"/>
      <w:r w:rsidRPr="0064621C">
        <w:rPr>
          <w:lang w:val="en-US"/>
        </w:rPr>
        <w:t xml:space="preserve"> F. von 2019. Review: A comprehensive summary of a decade development of the recombinase polymerase amplification. </w:t>
      </w:r>
      <w:r w:rsidRPr="0064621C">
        <w:rPr>
          <w:i/>
          <w:lang w:val="en-US"/>
        </w:rPr>
        <w:t xml:space="preserve">The Analyst </w:t>
      </w:r>
      <w:r w:rsidRPr="0064621C">
        <w:rPr>
          <w:lang w:val="en-US"/>
        </w:rPr>
        <w:t xml:space="preserve">144 (1): 31–67. </w:t>
      </w:r>
      <w:hyperlink r:id="rId39">
        <w:r w:rsidRPr="0064621C">
          <w:rPr>
            <w:color w:val="4169E1"/>
            <w:lang w:val="en-US"/>
          </w:rPr>
          <w:t>https://doi.org/10.1039/c8an01621f</w:t>
        </w:r>
      </w:hyperlink>
    </w:p>
    <w:p w14:paraId="67E85707" w14:textId="77777777" w:rsidR="00073CCF" w:rsidRPr="0064621C" w:rsidRDefault="0064621C">
      <w:pPr>
        <w:ind w:left="307" w:right="640" w:hanging="299"/>
        <w:rPr>
          <w:lang w:val="en-US"/>
        </w:rPr>
      </w:pPr>
      <w:r w:rsidRPr="0064621C">
        <w:rPr>
          <w:lang w:val="en-US"/>
        </w:rPr>
        <w:t>Liang L.-G., Zhu M., He R., Shi D.-R., Luo R., Ji J., Cheng L.-F., Lu X.-Y., Lu W., Liu F.-M., Wu Z.G., Wu N.-P., Chen H., Chen Z. &amp; Yao H.-P. 2022. Development of a multi-recombinase polymerase amplification assay for rapid identification of COVID-19, inf</w:t>
      </w:r>
      <w:r w:rsidRPr="0064621C">
        <w:rPr>
          <w:lang w:val="en-US"/>
        </w:rPr>
        <w:t xml:space="preserve">luenza </w:t>
      </w:r>
      <w:proofErr w:type="gramStart"/>
      <w:r w:rsidRPr="0064621C">
        <w:rPr>
          <w:lang w:val="en-US"/>
        </w:rPr>
        <w:t>a and</w:t>
      </w:r>
      <w:proofErr w:type="gramEnd"/>
      <w:r w:rsidRPr="0064621C">
        <w:rPr>
          <w:lang w:val="en-US"/>
        </w:rPr>
        <w:t xml:space="preserve"> b. </w:t>
      </w:r>
      <w:r w:rsidRPr="0064621C">
        <w:rPr>
          <w:i/>
          <w:lang w:val="en-US"/>
        </w:rPr>
        <w:t xml:space="preserve">Journal of Medical Virology </w:t>
      </w:r>
      <w:r w:rsidRPr="0064621C">
        <w:rPr>
          <w:lang w:val="en-US"/>
        </w:rPr>
        <w:t xml:space="preserve">95 (1). </w:t>
      </w:r>
      <w:hyperlink r:id="rId40">
        <w:r w:rsidRPr="0064621C">
          <w:rPr>
            <w:color w:val="4169E1"/>
            <w:lang w:val="en-US"/>
          </w:rPr>
          <w:t>https://doi.org/10.1002/jmv.28139</w:t>
        </w:r>
      </w:hyperlink>
    </w:p>
    <w:p w14:paraId="575F9743" w14:textId="77777777" w:rsidR="00073CCF" w:rsidRPr="0064621C" w:rsidRDefault="0064621C">
      <w:pPr>
        <w:ind w:left="286" w:right="640" w:hanging="278"/>
        <w:rPr>
          <w:lang w:val="en-US"/>
        </w:rPr>
      </w:pPr>
      <w:r w:rsidRPr="0064621C">
        <w:rPr>
          <w:lang w:val="en-US"/>
        </w:rPr>
        <w:t xml:space="preserve">Lillis L., </w:t>
      </w:r>
      <w:proofErr w:type="spellStart"/>
      <w:r w:rsidRPr="0064621C">
        <w:rPr>
          <w:lang w:val="en-US"/>
        </w:rPr>
        <w:t>Siverson</w:t>
      </w:r>
      <w:proofErr w:type="spellEnd"/>
      <w:r w:rsidRPr="0064621C">
        <w:rPr>
          <w:lang w:val="en-US"/>
        </w:rPr>
        <w:t xml:space="preserve"> J., Lee A., Cantera J., Parker M., </w:t>
      </w:r>
      <w:proofErr w:type="spellStart"/>
      <w:r w:rsidRPr="0064621C">
        <w:rPr>
          <w:lang w:val="en-US"/>
        </w:rPr>
        <w:t>Piepenburg</w:t>
      </w:r>
      <w:proofErr w:type="spellEnd"/>
      <w:r w:rsidRPr="0064621C">
        <w:rPr>
          <w:lang w:val="en-US"/>
        </w:rPr>
        <w:t xml:space="preserve"> O., Lehman D.A. &amp; Boyle D.S. 2016. Factors influencing recombinase polymerase amplification (RPA) assay outcomes at point of care. </w:t>
      </w:r>
      <w:r w:rsidRPr="0064621C">
        <w:rPr>
          <w:i/>
          <w:lang w:val="en-US"/>
        </w:rPr>
        <w:t xml:space="preserve">Molecular and Cellular Probes </w:t>
      </w:r>
      <w:r w:rsidRPr="0064621C">
        <w:rPr>
          <w:lang w:val="en-US"/>
        </w:rPr>
        <w:t xml:space="preserve">30 (2): 74–78. </w:t>
      </w:r>
      <w:hyperlink r:id="rId41">
        <w:r w:rsidRPr="0064621C">
          <w:rPr>
            <w:color w:val="4169E1"/>
            <w:lang w:val="en-US"/>
          </w:rPr>
          <w:t>https://doi.org/10.1016/j.mcp.2016.01.009</w:t>
        </w:r>
      </w:hyperlink>
    </w:p>
    <w:p w14:paraId="093AB884" w14:textId="77777777" w:rsidR="00073CCF" w:rsidRPr="0064621C" w:rsidRDefault="0064621C">
      <w:pPr>
        <w:ind w:left="286" w:right="640" w:hanging="278"/>
        <w:rPr>
          <w:lang w:val="en-US"/>
        </w:rPr>
      </w:pPr>
      <w:proofErr w:type="spellStart"/>
      <w:r w:rsidRPr="0064621C">
        <w:rPr>
          <w:lang w:val="en-US"/>
        </w:rPr>
        <w:t>Linhart</w:t>
      </w:r>
      <w:proofErr w:type="spellEnd"/>
      <w:r w:rsidRPr="0064621C">
        <w:rPr>
          <w:lang w:val="en-US"/>
        </w:rPr>
        <w:t xml:space="preserve"> C. &amp; Shamir R. 2005. The degenerate primer design problem: Theory and applications. </w:t>
      </w:r>
      <w:r w:rsidRPr="0064621C">
        <w:rPr>
          <w:i/>
          <w:lang w:val="en-US"/>
        </w:rPr>
        <w:t xml:space="preserve">Journal of Computational Biology </w:t>
      </w:r>
      <w:r w:rsidRPr="0064621C">
        <w:rPr>
          <w:lang w:val="en-US"/>
        </w:rPr>
        <w:t>12 (4): 4</w:t>
      </w:r>
      <w:r w:rsidRPr="0064621C">
        <w:rPr>
          <w:lang w:val="en-US"/>
        </w:rPr>
        <w:t xml:space="preserve">31–456. </w:t>
      </w:r>
      <w:hyperlink r:id="rId42">
        <w:r w:rsidRPr="0064621C">
          <w:rPr>
            <w:color w:val="4169E1"/>
            <w:lang w:val="en-US"/>
          </w:rPr>
          <w:t>https://doi.org/10.1089/cmb.2005.12.431</w:t>
        </w:r>
      </w:hyperlink>
    </w:p>
    <w:p w14:paraId="2CC544E5" w14:textId="77777777" w:rsidR="00073CCF" w:rsidRPr="0064621C" w:rsidRDefault="0064621C">
      <w:pPr>
        <w:ind w:left="291" w:right="640" w:hanging="283"/>
        <w:rPr>
          <w:lang w:val="en-US"/>
        </w:rPr>
      </w:pPr>
      <w:r w:rsidRPr="0064621C">
        <w:rPr>
          <w:lang w:val="en-US"/>
        </w:rPr>
        <w:t>Liu X., Yan Q., Huang J., Chen J., Guo Z., Liu Z., Cai L., Li R., Wang Y., Yang G. &amp; Lan Q. 2019. Influence of desig</w:t>
      </w:r>
      <w:r w:rsidRPr="0064621C">
        <w:rPr>
          <w:lang w:val="en-US"/>
        </w:rPr>
        <w:t xml:space="preserve">n probe and sequence mismatches on the efficiency of fluorescent RPA. </w:t>
      </w:r>
      <w:r w:rsidRPr="0064621C">
        <w:rPr>
          <w:i/>
          <w:lang w:val="en-US"/>
        </w:rPr>
        <w:t xml:space="preserve">World Journal of Microbiology and Biotechnology </w:t>
      </w:r>
      <w:r w:rsidRPr="0064621C">
        <w:rPr>
          <w:lang w:val="en-US"/>
        </w:rPr>
        <w:t xml:space="preserve">35 (6). </w:t>
      </w:r>
      <w:hyperlink r:id="rId43">
        <w:r w:rsidRPr="0064621C">
          <w:rPr>
            <w:color w:val="4169E1"/>
            <w:lang w:val="en-US"/>
          </w:rPr>
          <w:t>https://doi.org/10.1007/s11274-019-2620-2</w:t>
        </w:r>
      </w:hyperlink>
    </w:p>
    <w:p w14:paraId="26F0CDB9" w14:textId="77777777" w:rsidR="00073CCF" w:rsidRPr="0064621C" w:rsidRDefault="0064621C">
      <w:pPr>
        <w:spacing w:after="179" w:line="259" w:lineRule="auto"/>
        <w:ind w:left="11" w:right="640"/>
        <w:rPr>
          <w:lang w:val="en-US"/>
        </w:rPr>
      </w:pPr>
      <w:r w:rsidRPr="0064621C">
        <w:rPr>
          <w:lang w:val="en-US"/>
        </w:rPr>
        <w:t xml:space="preserve">Lobato I.M. &amp; </w:t>
      </w:r>
      <w:proofErr w:type="spellStart"/>
      <w:r w:rsidRPr="0064621C">
        <w:rPr>
          <w:lang w:val="en-US"/>
        </w:rPr>
        <w:t>OSullivan</w:t>
      </w:r>
      <w:proofErr w:type="spellEnd"/>
      <w:r w:rsidRPr="0064621C">
        <w:rPr>
          <w:lang w:val="en-US"/>
        </w:rPr>
        <w:t xml:space="preserve"> C.K. 2018. Recombinase polymerase amplification: Basics, </w:t>
      </w:r>
      <w:proofErr w:type="gramStart"/>
      <w:r w:rsidRPr="0064621C">
        <w:rPr>
          <w:lang w:val="en-US"/>
        </w:rPr>
        <w:t>applications</w:t>
      </w:r>
      <w:proofErr w:type="gramEnd"/>
      <w:r w:rsidRPr="0064621C">
        <w:rPr>
          <w:lang w:val="en-US"/>
        </w:rPr>
        <w:t xml:space="preserve"> and recent advances. </w:t>
      </w:r>
      <w:proofErr w:type="spellStart"/>
      <w:r w:rsidRPr="0064621C">
        <w:rPr>
          <w:i/>
          <w:lang w:val="en-US"/>
        </w:rPr>
        <w:t>TrAC</w:t>
      </w:r>
      <w:proofErr w:type="spellEnd"/>
      <w:r w:rsidRPr="0064621C">
        <w:rPr>
          <w:i/>
          <w:lang w:val="en-US"/>
        </w:rPr>
        <w:t xml:space="preserve"> Trends in Analytical Chemistry </w:t>
      </w:r>
      <w:r w:rsidRPr="0064621C">
        <w:rPr>
          <w:lang w:val="en-US"/>
        </w:rPr>
        <w:t xml:space="preserve">98: 19–35. </w:t>
      </w:r>
      <w:hyperlink r:id="rId44">
        <w:r w:rsidRPr="0064621C">
          <w:rPr>
            <w:color w:val="4169E1"/>
            <w:lang w:val="en-US"/>
          </w:rPr>
          <w:t>https://doi.org/10.1016/j.tr</w:t>
        </w:r>
        <w:r w:rsidRPr="0064621C">
          <w:rPr>
            <w:color w:val="4169E1"/>
            <w:lang w:val="en-US"/>
          </w:rPr>
          <w:t>ac.2017.10.015</w:t>
        </w:r>
      </w:hyperlink>
    </w:p>
    <w:p w14:paraId="7F110573" w14:textId="77777777" w:rsidR="00073CCF" w:rsidRPr="0064621C" w:rsidRDefault="0064621C">
      <w:pPr>
        <w:ind w:left="287" w:right="640" w:hanging="279"/>
        <w:rPr>
          <w:lang w:val="en-US"/>
        </w:rPr>
      </w:pPr>
      <w:r>
        <w:lastRenderedPageBreak/>
        <w:t xml:space="preserve">Lutz S., Weber P., Focke M., Faltin B., Hoffmann J., Müller C., Mark D., Roth G., </w:t>
      </w:r>
      <w:proofErr w:type="spellStart"/>
      <w:r>
        <w:t>Munday</w:t>
      </w:r>
      <w:proofErr w:type="spellEnd"/>
      <w:r>
        <w:t xml:space="preserve"> P., Armes N., Piepenburg O., </w:t>
      </w:r>
      <w:proofErr w:type="spellStart"/>
      <w:r>
        <w:t>Zengerle</w:t>
      </w:r>
      <w:proofErr w:type="spellEnd"/>
      <w:r>
        <w:t xml:space="preserve"> R. &amp; Stetten F. von 2010. </w:t>
      </w:r>
      <w:r w:rsidRPr="0064621C">
        <w:rPr>
          <w:lang w:val="en-US"/>
        </w:rPr>
        <w:t xml:space="preserve">Microfluidic lab-on-a-foil for nucleic acid analysis </w:t>
      </w:r>
      <w:r w:rsidRPr="0064621C">
        <w:rPr>
          <w:lang w:val="en-US"/>
        </w:rPr>
        <w:t xml:space="preserve">based on isothermal recombinase polymerase amplification (RPA). </w:t>
      </w:r>
      <w:r w:rsidRPr="0064621C">
        <w:rPr>
          <w:i/>
          <w:lang w:val="en-US"/>
        </w:rPr>
        <w:t xml:space="preserve">Lab on a Chip </w:t>
      </w:r>
      <w:r w:rsidRPr="0064621C">
        <w:rPr>
          <w:lang w:val="en-US"/>
        </w:rPr>
        <w:t xml:space="preserve">10 (7): 887. </w:t>
      </w:r>
      <w:hyperlink r:id="rId45">
        <w:r w:rsidRPr="0064621C">
          <w:rPr>
            <w:color w:val="4169E1"/>
            <w:lang w:val="en-US"/>
          </w:rPr>
          <w:t xml:space="preserve">https: </w:t>
        </w:r>
      </w:hyperlink>
      <w:hyperlink r:id="rId46">
        <w:r w:rsidRPr="0064621C">
          <w:rPr>
            <w:color w:val="4169E1"/>
            <w:lang w:val="en-US"/>
          </w:rPr>
          <w:t>//doi.org/10.1039/b9211</w:t>
        </w:r>
        <w:r w:rsidRPr="0064621C">
          <w:rPr>
            <w:color w:val="4169E1"/>
            <w:lang w:val="en-US"/>
          </w:rPr>
          <w:t>40c</w:t>
        </w:r>
      </w:hyperlink>
    </w:p>
    <w:p w14:paraId="4B0B0569" w14:textId="77777777" w:rsidR="00073CCF" w:rsidRPr="0064621C" w:rsidRDefault="0064621C">
      <w:pPr>
        <w:ind w:left="307" w:right="640" w:hanging="299"/>
        <w:rPr>
          <w:lang w:val="en-US"/>
        </w:rPr>
      </w:pPr>
      <w:r w:rsidRPr="0064621C">
        <w:rPr>
          <w:lang w:val="en-US"/>
        </w:rPr>
        <w:t xml:space="preserve">Marshall O.J. 2004. </w:t>
      </w:r>
      <w:proofErr w:type="spellStart"/>
      <w:r w:rsidRPr="0064621C">
        <w:rPr>
          <w:lang w:val="en-US"/>
        </w:rPr>
        <w:t>PerlPrimer</w:t>
      </w:r>
      <w:proofErr w:type="spellEnd"/>
      <w:r w:rsidRPr="0064621C">
        <w:rPr>
          <w:lang w:val="en-US"/>
        </w:rPr>
        <w:t xml:space="preserve">: Cross-platform, graphical primer design for standard, </w:t>
      </w:r>
      <w:proofErr w:type="spellStart"/>
      <w:r w:rsidRPr="0064621C">
        <w:rPr>
          <w:lang w:val="en-US"/>
        </w:rPr>
        <w:t>bisulphite</w:t>
      </w:r>
      <w:proofErr w:type="spellEnd"/>
      <w:r w:rsidRPr="0064621C">
        <w:rPr>
          <w:lang w:val="en-US"/>
        </w:rPr>
        <w:t xml:space="preserve"> and </w:t>
      </w:r>
      <w:proofErr w:type="spellStart"/>
      <w:r w:rsidRPr="0064621C">
        <w:rPr>
          <w:lang w:val="en-US"/>
        </w:rPr>
        <w:t>realtime</w:t>
      </w:r>
      <w:proofErr w:type="spellEnd"/>
      <w:r w:rsidRPr="0064621C">
        <w:rPr>
          <w:lang w:val="en-US"/>
        </w:rPr>
        <w:t xml:space="preserve"> PCR. </w:t>
      </w:r>
      <w:r w:rsidRPr="0064621C">
        <w:rPr>
          <w:i/>
          <w:lang w:val="en-US"/>
        </w:rPr>
        <w:t xml:space="preserve">Bioinformatics </w:t>
      </w:r>
      <w:r w:rsidRPr="0064621C">
        <w:rPr>
          <w:lang w:val="en-US"/>
        </w:rPr>
        <w:t xml:space="preserve">20 (15): 2471–2472. </w:t>
      </w:r>
      <w:hyperlink r:id="rId47">
        <w:r w:rsidRPr="0064621C">
          <w:rPr>
            <w:color w:val="4169E1"/>
            <w:lang w:val="en-US"/>
          </w:rPr>
          <w:t>https://doi.org/10.1093/bioinformatics/bth254</w:t>
        </w:r>
      </w:hyperlink>
    </w:p>
    <w:p w14:paraId="00DB7812" w14:textId="77777777" w:rsidR="00073CCF" w:rsidRDefault="0064621C">
      <w:pPr>
        <w:ind w:left="293" w:right="640" w:hanging="285"/>
      </w:pPr>
      <w:r w:rsidRPr="0064621C">
        <w:rPr>
          <w:lang w:val="en-US"/>
        </w:rPr>
        <w:t xml:space="preserve">McCauley J.W. &amp; </w:t>
      </w:r>
      <w:proofErr w:type="spellStart"/>
      <w:r w:rsidRPr="0064621C">
        <w:rPr>
          <w:lang w:val="en-US"/>
        </w:rPr>
        <w:t>Mahy</w:t>
      </w:r>
      <w:proofErr w:type="spellEnd"/>
      <w:r w:rsidRPr="0064621C">
        <w:rPr>
          <w:lang w:val="en-US"/>
        </w:rPr>
        <w:t xml:space="preserve"> B.W.J. 1983. Structure and function of the influenza virus genome. </w:t>
      </w:r>
      <w:proofErr w:type="spellStart"/>
      <w:r>
        <w:rPr>
          <w:i/>
        </w:rPr>
        <w:t>Biochemical</w:t>
      </w:r>
      <w:proofErr w:type="spellEnd"/>
      <w:r>
        <w:rPr>
          <w:i/>
        </w:rPr>
        <w:t xml:space="preserve"> Journal </w:t>
      </w:r>
      <w:r>
        <w:t xml:space="preserve">211 (2): 281–294. </w:t>
      </w:r>
      <w:hyperlink r:id="rId48">
        <w:r>
          <w:rPr>
            <w:color w:val="4169E1"/>
          </w:rPr>
          <w:t>https://doi.org/10.1042/bj2110281</w:t>
        </w:r>
      </w:hyperlink>
    </w:p>
    <w:p w14:paraId="7E9A05BB" w14:textId="77777777" w:rsidR="00073CCF" w:rsidRDefault="0064621C">
      <w:pPr>
        <w:spacing w:after="179" w:line="259" w:lineRule="auto"/>
        <w:ind w:left="11" w:right="640"/>
      </w:pPr>
      <w:r>
        <w:t xml:space="preserve">Modrow S., Falke D., </w:t>
      </w:r>
      <w:proofErr w:type="spellStart"/>
      <w:r>
        <w:t>Truyen</w:t>
      </w:r>
      <w:proofErr w:type="spellEnd"/>
      <w:r>
        <w:t xml:space="preserve"> U. &amp; Schätzl H. 2010. </w:t>
      </w:r>
      <w:hyperlink r:id="rId49">
        <w:r>
          <w:rPr>
            <w:i/>
            <w:color w:val="4169E1"/>
          </w:rPr>
          <w:t xml:space="preserve">Molekulare </w:t>
        </w:r>
        <w:proofErr w:type="spellStart"/>
        <w:r>
          <w:rPr>
            <w:i/>
            <w:color w:val="4169E1"/>
          </w:rPr>
          <w:t>virologie</w:t>
        </w:r>
        <w:proofErr w:type="spellEnd"/>
      </w:hyperlink>
      <w:r>
        <w:t>. Spektrum Akademis</w:t>
      </w:r>
      <w:r>
        <w:t>cher Verlag.</w:t>
      </w:r>
    </w:p>
    <w:p w14:paraId="75DAC3CD" w14:textId="77777777" w:rsidR="00073CCF" w:rsidRPr="0064621C" w:rsidRDefault="0064621C">
      <w:pPr>
        <w:spacing w:after="2"/>
        <w:ind w:left="307" w:right="640" w:hanging="299"/>
        <w:rPr>
          <w:lang w:val="en-US"/>
        </w:rPr>
      </w:pPr>
      <w:r w:rsidRPr="0064621C">
        <w:rPr>
          <w:lang w:val="en-US"/>
        </w:rPr>
        <w:t xml:space="preserve">Moody C., Newell H. &amp; Viljoen H. 2016. A mathematical model of recombinase polymerase amplification under continuously stirred conditions. </w:t>
      </w:r>
      <w:r w:rsidRPr="0064621C">
        <w:rPr>
          <w:i/>
          <w:lang w:val="en-US"/>
        </w:rPr>
        <w:t xml:space="preserve">Biochemical Engineering Journal </w:t>
      </w:r>
      <w:r w:rsidRPr="0064621C">
        <w:rPr>
          <w:lang w:val="en-US"/>
        </w:rPr>
        <w:t xml:space="preserve">112: 193–201. </w:t>
      </w:r>
      <w:hyperlink r:id="rId50">
        <w:r w:rsidRPr="0064621C">
          <w:rPr>
            <w:color w:val="4169E1"/>
            <w:lang w:val="en-US"/>
          </w:rPr>
          <w:t>https://doi.org/</w:t>
        </w:r>
      </w:hyperlink>
    </w:p>
    <w:p w14:paraId="6496985D" w14:textId="77777777" w:rsidR="00073CCF" w:rsidRPr="0064621C" w:rsidRDefault="0064621C">
      <w:pPr>
        <w:spacing w:after="169" w:line="265" w:lineRule="auto"/>
        <w:ind w:left="317" w:right="326" w:hanging="10"/>
        <w:jc w:val="left"/>
        <w:rPr>
          <w:lang w:val="en-US"/>
        </w:rPr>
      </w:pPr>
      <w:hyperlink r:id="rId51">
        <w:r w:rsidRPr="0064621C">
          <w:rPr>
            <w:color w:val="4169E1"/>
            <w:lang w:val="en-US"/>
          </w:rPr>
          <w:t>10.1016/j.bej.2016.04.017</w:t>
        </w:r>
      </w:hyperlink>
    </w:p>
    <w:p w14:paraId="00602299" w14:textId="77777777" w:rsidR="00073CCF" w:rsidRPr="0064621C" w:rsidRDefault="0064621C">
      <w:pPr>
        <w:ind w:left="291" w:right="640" w:hanging="283"/>
        <w:rPr>
          <w:lang w:val="en-US"/>
        </w:rPr>
      </w:pPr>
      <w:r w:rsidRPr="0064621C">
        <w:rPr>
          <w:lang w:val="en-US"/>
        </w:rPr>
        <w:t xml:space="preserve">Nakauchi M., Takayama I., Takahashi H., Oba K., Kubo H., </w:t>
      </w:r>
      <w:proofErr w:type="spellStart"/>
      <w:r w:rsidRPr="0064621C">
        <w:rPr>
          <w:lang w:val="en-US"/>
        </w:rPr>
        <w:t>Kaida</w:t>
      </w:r>
      <w:proofErr w:type="spellEnd"/>
      <w:r w:rsidRPr="0064621C">
        <w:rPr>
          <w:lang w:val="en-US"/>
        </w:rPr>
        <w:t xml:space="preserve"> A., Tashiro M. &amp; Ka</w:t>
      </w:r>
      <w:r w:rsidRPr="0064621C">
        <w:rPr>
          <w:lang w:val="en-US"/>
        </w:rPr>
        <w:t xml:space="preserve">geyama T. 2014. Real-time RT-PCR assays for discriminating influenza b virus </w:t>
      </w:r>
      <w:proofErr w:type="spellStart"/>
      <w:r w:rsidRPr="0064621C">
        <w:rPr>
          <w:lang w:val="en-US"/>
        </w:rPr>
        <w:t>yamagata</w:t>
      </w:r>
      <w:proofErr w:type="spellEnd"/>
      <w:r w:rsidRPr="0064621C">
        <w:rPr>
          <w:lang w:val="en-US"/>
        </w:rPr>
        <w:t xml:space="preserve"> and </w:t>
      </w:r>
      <w:proofErr w:type="spellStart"/>
      <w:r w:rsidRPr="0064621C">
        <w:rPr>
          <w:lang w:val="en-US"/>
        </w:rPr>
        <w:t>victoria</w:t>
      </w:r>
      <w:proofErr w:type="spellEnd"/>
      <w:r w:rsidRPr="0064621C">
        <w:rPr>
          <w:lang w:val="en-US"/>
        </w:rPr>
        <w:t xml:space="preserve"> lineages. </w:t>
      </w:r>
      <w:r w:rsidRPr="0064621C">
        <w:rPr>
          <w:i/>
          <w:lang w:val="en-US"/>
        </w:rPr>
        <w:t xml:space="preserve">Journal of Virological Methods </w:t>
      </w:r>
      <w:r w:rsidRPr="0064621C">
        <w:rPr>
          <w:lang w:val="en-US"/>
        </w:rPr>
        <w:t xml:space="preserve">205: 110–115. </w:t>
      </w:r>
      <w:hyperlink r:id="rId52">
        <w:r w:rsidRPr="0064621C">
          <w:rPr>
            <w:color w:val="4169E1"/>
            <w:lang w:val="en-US"/>
          </w:rPr>
          <w:t>https://doi.org/10.1016/j.jviromet.201</w:t>
        </w:r>
        <w:r w:rsidRPr="0064621C">
          <w:rPr>
            <w:color w:val="4169E1"/>
            <w:lang w:val="en-US"/>
          </w:rPr>
          <w:t>4.04.016</w:t>
        </w:r>
      </w:hyperlink>
    </w:p>
    <w:p w14:paraId="031BEFE6" w14:textId="77777777" w:rsidR="00073CCF" w:rsidRPr="0064621C" w:rsidRDefault="0064621C">
      <w:pPr>
        <w:spacing w:after="110" w:line="321" w:lineRule="auto"/>
        <w:ind w:left="312" w:right="326" w:hanging="289"/>
        <w:jc w:val="left"/>
        <w:rPr>
          <w:lang w:val="en-US"/>
        </w:rPr>
      </w:pPr>
      <w:r w:rsidRPr="0064621C">
        <w:rPr>
          <w:lang w:val="en-US"/>
        </w:rPr>
        <w:t xml:space="preserve">NCIRD 2021. </w:t>
      </w:r>
      <w:hyperlink r:id="rId53">
        <w:r w:rsidRPr="0064621C">
          <w:rPr>
            <w:color w:val="4169E1"/>
            <w:lang w:val="en-US"/>
          </w:rPr>
          <w:t>National center for immunization and respiratory diseases (</w:t>
        </w:r>
        <w:proofErr w:type="spellStart"/>
        <w:r w:rsidRPr="0064621C">
          <w:rPr>
            <w:color w:val="4169E1"/>
            <w:lang w:val="en-US"/>
          </w:rPr>
          <w:t>u.s.</w:t>
        </w:r>
        <w:proofErr w:type="spellEnd"/>
        <w:r w:rsidRPr="0064621C">
          <w:rPr>
            <w:color w:val="4169E1"/>
            <w:lang w:val="en-US"/>
          </w:rPr>
          <w:t>)</w:t>
        </w:r>
      </w:hyperlink>
      <w:r w:rsidRPr="0064621C">
        <w:rPr>
          <w:lang w:val="en-US"/>
        </w:rPr>
        <w:t xml:space="preserve">. </w:t>
      </w:r>
      <w:r w:rsidRPr="0064621C">
        <w:rPr>
          <w:i/>
          <w:lang w:val="en-US"/>
        </w:rPr>
        <w:t>Research use only CDC flu SC2 multiplex ass</w:t>
      </w:r>
      <w:r w:rsidRPr="0064621C">
        <w:rPr>
          <w:i/>
          <w:lang w:val="en-US"/>
        </w:rPr>
        <w:t>ay primers and probes</w:t>
      </w:r>
      <w:r w:rsidRPr="0064621C">
        <w:rPr>
          <w:lang w:val="en-US"/>
        </w:rPr>
        <w:t>.</w:t>
      </w:r>
    </w:p>
    <w:p w14:paraId="61CEF364" w14:textId="77777777" w:rsidR="00073CCF" w:rsidRPr="0064621C" w:rsidRDefault="0064621C">
      <w:pPr>
        <w:ind w:left="293" w:right="640" w:hanging="285"/>
        <w:rPr>
          <w:lang w:val="en-US"/>
        </w:rPr>
      </w:pPr>
      <w:proofErr w:type="spellStart"/>
      <w:r w:rsidRPr="0064621C">
        <w:rPr>
          <w:lang w:val="en-US"/>
        </w:rPr>
        <w:t>Ngaosuwankul</w:t>
      </w:r>
      <w:proofErr w:type="spellEnd"/>
      <w:r w:rsidRPr="0064621C">
        <w:rPr>
          <w:lang w:val="en-US"/>
        </w:rPr>
        <w:t xml:space="preserve"> N., </w:t>
      </w:r>
      <w:proofErr w:type="spellStart"/>
      <w:r w:rsidRPr="0064621C">
        <w:rPr>
          <w:lang w:val="en-US"/>
        </w:rPr>
        <w:t>Noisumdaeng</w:t>
      </w:r>
      <w:proofErr w:type="spellEnd"/>
      <w:r w:rsidRPr="0064621C">
        <w:rPr>
          <w:lang w:val="en-US"/>
        </w:rPr>
        <w:t xml:space="preserve"> P., </w:t>
      </w:r>
      <w:proofErr w:type="spellStart"/>
      <w:r w:rsidRPr="0064621C">
        <w:rPr>
          <w:lang w:val="en-US"/>
        </w:rPr>
        <w:t>Komolsiri</w:t>
      </w:r>
      <w:proofErr w:type="spellEnd"/>
      <w:r w:rsidRPr="0064621C">
        <w:rPr>
          <w:lang w:val="en-US"/>
        </w:rPr>
        <w:t xml:space="preserve"> P., </w:t>
      </w:r>
      <w:proofErr w:type="spellStart"/>
      <w:r w:rsidRPr="0064621C">
        <w:rPr>
          <w:lang w:val="en-US"/>
        </w:rPr>
        <w:t>Pooruk</w:t>
      </w:r>
      <w:proofErr w:type="spellEnd"/>
      <w:r w:rsidRPr="0064621C">
        <w:rPr>
          <w:lang w:val="en-US"/>
        </w:rPr>
        <w:t xml:space="preserve"> P., </w:t>
      </w:r>
      <w:proofErr w:type="spellStart"/>
      <w:r w:rsidRPr="0064621C">
        <w:rPr>
          <w:lang w:val="en-US"/>
        </w:rPr>
        <w:t>Chokephaibulkit</w:t>
      </w:r>
      <w:proofErr w:type="spellEnd"/>
      <w:r w:rsidRPr="0064621C">
        <w:rPr>
          <w:lang w:val="en-US"/>
        </w:rPr>
        <w:t xml:space="preserve"> K., </w:t>
      </w:r>
      <w:proofErr w:type="spellStart"/>
      <w:r w:rsidRPr="0064621C">
        <w:rPr>
          <w:lang w:val="en-US"/>
        </w:rPr>
        <w:t>Chotpitayasunondh</w:t>
      </w:r>
      <w:proofErr w:type="spellEnd"/>
      <w:r w:rsidRPr="0064621C">
        <w:rPr>
          <w:lang w:val="en-US"/>
        </w:rPr>
        <w:t xml:space="preserve"> T., </w:t>
      </w:r>
      <w:proofErr w:type="spellStart"/>
      <w:r w:rsidRPr="0064621C">
        <w:rPr>
          <w:lang w:val="en-US"/>
        </w:rPr>
        <w:t>Sangsajja</w:t>
      </w:r>
      <w:proofErr w:type="spellEnd"/>
      <w:r w:rsidRPr="0064621C">
        <w:rPr>
          <w:lang w:val="en-US"/>
        </w:rPr>
        <w:t xml:space="preserve"> C., </w:t>
      </w:r>
      <w:proofErr w:type="spellStart"/>
      <w:r w:rsidRPr="0064621C">
        <w:rPr>
          <w:lang w:val="en-US"/>
        </w:rPr>
        <w:t>Chuchottaworn</w:t>
      </w:r>
      <w:proofErr w:type="spellEnd"/>
      <w:r w:rsidRPr="0064621C">
        <w:rPr>
          <w:lang w:val="en-US"/>
        </w:rPr>
        <w:t xml:space="preserve"> C., Farrar J. &amp; </w:t>
      </w:r>
      <w:proofErr w:type="spellStart"/>
      <w:r w:rsidRPr="0064621C">
        <w:rPr>
          <w:lang w:val="en-US"/>
        </w:rPr>
        <w:t>Puthavathana</w:t>
      </w:r>
      <w:proofErr w:type="spellEnd"/>
      <w:r w:rsidRPr="0064621C">
        <w:rPr>
          <w:lang w:val="en-US"/>
        </w:rPr>
        <w:t xml:space="preserve"> P. 2010. Influenza a </w:t>
      </w:r>
      <w:proofErr w:type="gramStart"/>
      <w:r w:rsidRPr="0064621C">
        <w:rPr>
          <w:lang w:val="en-US"/>
        </w:rPr>
        <w:t>viral loads</w:t>
      </w:r>
      <w:proofErr w:type="gramEnd"/>
      <w:r w:rsidRPr="0064621C">
        <w:rPr>
          <w:lang w:val="en-US"/>
        </w:rPr>
        <w:t xml:space="preserve"> in respiratory samples collected from patients infected with pande</w:t>
      </w:r>
      <w:r w:rsidRPr="0064621C">
        <w:rPr>
          <w:lang w:val="en-US"/>
        </w:rPr>
        <w:t xml:space="preserve">mic H1N1, seasonal H1N1 and H3N2 viruses. </w:t>
      </w:r>
      <w:r w:rsidRPr="0064621C">
        <w:rPr>
          <w:i/>
          <w:lang w:val="en-US"/>
        </w:rPr>
        <w:t xml:space="preserve">Virology Journal </w:t>
      </w:r>
      <w:r w:rsidRPr="0064621C">
        <w:rPr>
          <w:lang w:val="en-US"/>
        </w:rPr>
        <w:t xml:space="preserve">7 (1). </w:t>
      </w:r>
      <w:hyperlink r:id="rId54">
        <w:r w:rsidRPr="0064621C">
          <w:rPr>
            <w:color w:val="4169E1"/>
            <w:lang w:val="en-US"/>
          </w:rPr>
          <w:t>https://doi.org/10.1186/1743-422x-7-75</w:t>
        </w:r>
      </w:hyperlink>
    </w:p>
    <w:p w14:paraId="5B5C2B51" w14:textId="77777777" w:rsidR="00073CCF" w:rsidRPr="0064621C" w:rsidRDefault="0064621C">
      <w:pPr>
        <w:ind w:left="307" w:right="640" w:hanging="299"/>
        <w:rPr>
          <w:lang w:val="en-US"/>
        </w:rPr>
      </w:pPr>
      <w:r w:rsidRPr="0064621C">
        <w:rPr>
          <w:lang w:val="en-US"/>
        </w:rPr>
        <w:t xml:space="preserve">Ni M., Xu H., Luo J., Liu W. &amp; Zhou D. 2021. Simultaneous detection and differentiation of SARS-CoV-2, influenza a virus and influenza b virus by one-step quadruplex real-time RT-PCR in patients with clinical manifestations. </w:t>
      </w:r>
      <w:r w:rsidRPr="0064621C">
        <w:rPr>
          <w:i/>
          <w:lang w:val="en-US"/>
        </w:rPr>
        <w:t>International Journal of Infect</w:t>
      </w:r>
      <w:r w:rsidRPr="0064621C">
        <w:rPr>
          <w:i/>
          <w:lang w:val="en-US"/>
        </w:rPr>
        <w:t xml:space="preserve">ious Diseases </w:t>
      </w:r>
      <w:r w:rsidRPr="0064621C">
        <w:rPr>
          <w:lang w:val="en-US"/>
        </w:rPr>
        <w:t xml:space="preserve">103: 517–524. </w:t>
      </w:r>
      <w:hyperlink r:id="rId55">
        <w:r w:rsidRPr="0064621C">
          <w:rPr>
            <w:color w:val="4169E1"/>
            <w:lang w:val="en-US"/>
          </w:rPr>
          <w:t xml:space="preserve">https://doi.org/10.1016/j.ijid </w:t>
        </w:r>
      </w:hyperlink>
      <w:hyperlink r:id="rId56">
        <w:r w:rsidRPr="0064621C">
          <w:rPr>
            <w:color w:val="4169E1"/>
            <w:lang w:val="en-US"/>
          </w:rPr>
          <w:t>.2020.12.027</w:t>
        </w:r>
      </w:hyperlink>
    </w:p>
    <w:p w14:paraId="79F6A0D5" w14:textId="77777777" w:rsidR="00073CCF" w:rsidRPr="0064621C" w:rsidRDefault="0064621C">
      <w:pPr>
        <w:ind w:left="287" w:right="640" w:hanging="279"/>
        <w:rPr>
          <w:lang w:val="en-US"/>
        </w:rPr>
      </w:pPr>
      <w:r w:rsidRPr="0064621C">
        <w:rPr>
          <w:lang w:val="en-US"/>
        </w:rPr>
        <w:t xml:space="preserve">Paterson R.G., Takeda M., </w:t>
      </w:r>
      <w:proofErr w:type="spellStart"/>
      <w:r w:rsidRPr="0064621C">
        <w:rPr>
          <w:lang w:val="en-US"/>
        </w:rPr>
        <w:t>Ohigashi</w:t>
      </w:r>
      <w:proofErr w:type="spellEnd"/>
      <w:r w:rsidRPr="0064621C">
        <w:rPr>
          <w:lang w:val="en-US"/>
        </w:rPr>
        <w:t xml:space="preserve"> Y., Pinto L.H. &amp; Lamb R.A. 2003. Influenza b virus BM2 protein is an oligomeric integral membrane protein expressed at the cell surface. </w:t>
      </w:r>
      <w:r w:rsidRPr="0064621C">
        <w:rPr>
          <w:i/>
          <w:lang w:val="en-US"/>
        </w:rPr>
        <w:t xml:space="preserve">Virology </w:t>
      </w:r>
      <w:r w:rsidRPr="0064621C">
        <w:rPr>
          <w:lang w:val="en-US"/>
        </w:rPr>
        <w:t xml:space="preserve">306 (1): 7–17. </w:t>
      </w:r>
      <w:hyperlink r:id="rId57">
        <w:r w:rsidRPr="0064621C">
          <w:rPr>
            <w:color w:val="4169E1"/>
            <w:lang w:val="en-US"/>
          </w:rPr>
          <w:t xml:space="preserve">https: </w:t>
        </w:r>
      </w:hyperlink>
      <w:hyperlink r:id="rId58">
        <w:proofErr w:type="gramStart"/>
        <w:r w:rsidRPr="0064621C">
          <w:rPr>
            <w:color w:val="4169E1"/>
            <w:lang w:val="en-US"/>
          </w:rPr>
          <w:t>//doi.org/10.1016/s0042-6822(</w:t>
        </w:r>
        <w:proofErr w:type="gramEnd"/>
        <w:r w:rsidRPr="0064621C">
          <w:rPr>
            <w:color w:val="4169E1"/>
            <w:lang w:val="en-US"/>
          </w:rPr>
          <w:t>02)00083-1</w:t>
        </w:r>
      </w:hyperlink>
    </w:p>
    <w:p w14:paraId="0585067D" w14:textId="77777777" w:rsidR="00073CCF" w:rsidRPr="0064621C" w:rsidRDefault="0064621C">
      <w:pPr>
        <w:ind w:left="307" w:right="640" w:hanging="299"/>
        <w:rPr>
          <w:lang w:val="en-US"/>
        </w:rPr>
      </w:pPr>
      <w:r w:rsidRPr="0064621C">
        <w:rPr>
          <w:lang w:val="en-US"/>
        </w:rPr>
        <w:t>Poddar S. 2000. Symmetric vs asymmetric PCR and molecular beacon</w:t>
      </w:r>
      <w:r w:rsidRPr="0064621C">
        <w:rPr>
          <w:lang w:val="en-US"/>
        </w:rPr>
        <w:t xml:space="preserve"> probe in the detection of a target gene of adenovirus. </w:t>
      </w:r>
      <w:r w:rsidRPr="0064621C">
        <w:rPr>
          <w:i/>
          <w:lang w:val="en-US"/>
        </w:rPr>
        <w:t xml:space="preserve">Molecular and Cellular Probes </w:t>
      </w:r>
      <w:r w:rsidRPr="0064621C">
        <w:rPr>
          <w:lang w:val="en-US"/>
        </w:rPr>
        <w:t xml:space="preserve">14 (1): 25–32. </w:t>
      </w:r>
      <w:hyperlink r:id="rId59">
        <w:r w:rsidRPr="0064621C">
          <w:rPr>
            <w:color w:val="4169E1"/>
            <w:lang w:val="en-US"/>
          </w:rPr>
          <w:t>https://doi.org/10.1006/mcpr.1999.0278</w:t>
        </w:r>
      </w:hyperlink>
    </w:p>
    <w:p w14:paraId="5B56ADAB" w14:textId="77777777" w:rsidR="00073CCF" w:rsidRPr="0064621C" w:rsidRDefault="0064621C">
      <w:pPr>
        <w:ind w:left="307" w:right="640" w:hanging="299"/>
        <w:rPr>
          <w:lang w:val="en-US"/>
        </w:rPr>
      </w:pPr>
      <w:r w:rsidRPr="0064621C">
        <w:rPr>
          <w:lang w:val="en-US"/>
        </w:rPr>
        <w:t xml:space="preserve">Ritz C. &amp; </w:t>
      </w:r>
      <w:proofErr w:type="spellStart"/>
      <w:r w:rsidRPr="0064621C">
        <w:rPr>
          <w:lang w:val="en-US"/>
        </w:rPr>
        <w:t>Spiess</w:t>
      </w:r>
      <w:proofErr w:type="spellEnd"/>
      <w:r w:rsidRPr="0064621C">
        <w:rPr>
          <w:lang w:val="en-US"/>
        </w:rPr>
        <w:t xml:space="preserve"> A.-N. 2</w:t>
      </w:r>
      <w:r w:rsidRPr="0064621C">
        <w:rPr>
          <w:lang w:val="en-US"/>
        </w:rPr>
        <w:t xml:space="preserve">008. </w:t>
      </w:r>
      <w:proofErr w:type="spellStart"/>
      <w:r w:rsidRPr="0064621C">
        <w:rPr>
          <w:lang w:val="en-US"/>
        </w:rPr>
        <w:t>qpcR</w:t>
      </w:r>
      <w:proofErr w:type="spellEnd"/>
      <w:r w:rsidRPr="0064621C">
        <w:rPr>
          <w:lang w:val="en-US"/>
        </w:rPr>
        <w:t xml:space="preserve">: An r package for sigmoidal model selection in quantitative real-time polymerase chain reaction analysis. </w:t>
      </w:r>
      <w:r w:rsidRPr="0064621C">
        <w:rPr>
          <w:i/>
          <w:lang w:val="en-US"/>
        </w:rPr>
        <w:t xml:space="preserve">Bioinformatics </w:t>
      </w:r>
      <w:r w:rsidRPr="0064621C">
        <w:rPr>
          <w:lang w:val="en-US"/>
        </w:rPr>
        <w:t xml:space="preserve">24 (13): 1549–1551. </w:t>
      </w:r>
      <w:hyperlink r:id="rId60">
        <w:r w:rsidRPr="0064621C">
          <w:rPr>
            <w:color w:val="4169E1"/>
            <w:lang w:val="en-US"/>
          </w:rPr>
          <w:t xml:space="preserve">https://doi.org/10.1093/bioinfor </w:t>
        </w:r>
      </w:hyperlink>
      <w:hyperlink r:id="rId61">
        <w:proofErr w:type="spellStart"/>
        <w:r w:rsidRPr="0064621C">
          <w:rPr>
            <w:color w:val="4169E1"/>
            <w:lang w:val="en-US"/>
          </w:rPr>
          <w:t>matics</w:t>
        </w:r>
        <w:proofErr w:type="spellEnd"/>
        <w:r w:rsidRPr="0064621C">
          <w:rPr>
            <w:color w:val="4169E1"/>
            <w:lang w:val="en-US"/>
          </w:rPr>
          <w:t>/btn227</w:t>
        </w:r>
      </w:hyperlink>
    </w:p>
    <w:p w14:paraId="2751652B" w14:textId="77777777" w:rsidR="00073CCF" w:rsidRPr="0064621C" w:rsidRDefault="0064621C">
      <w:pPr>
        <w:ind w:left="287" w:right="640" w:hanging="279"/>
        <w:rPr>
          <w:lang w:val="en-US"/>
        </w:rPr>
      </w:pPr>
      <w:proofErr w:type="spellStart"/>
      <w:r w:rsidRPr="0064621C">
        <w:rPr>
          <w:lang w:val="en-US"/>
        </w:rPr>
        <w:t>Rödiger</w:t>
      </w:r>
      <w:proofErr w:type="spellEnd"/>
      <w:r w:rsidRPr="0064621C">
        <w:rPr>
          <w:lang w:val="en-US"/>
        </w:rPr>
        <w:t xml:space="preserve"> S., </w:t>
      </w:r>
      <w:proofErr w:type="spellStart"/>
      <w:r w:rsidRPr="0064621C">
        <w:rPr>
          <w:lang w:val="en-US"/>
        </w:rPr>
        <w:t>Burdukiewicz</w:t>
      </w:r>
      <w:proofErr w:type="spellEnd"/>
      <w:r w:rsidRPr="0064621C">
        <w:rPr>
          <w:lang w:val="en-US"/>
        </w:rPr>
        <w:t xml:space="preserve"> M. &amp; </w:t>
      </w:r>
      <w:proofErr w:type="spellStart"/>
      <w:r w:rsidRPr="0064621C">
        <w:rPr>
          <w:lang w:val="en-US"/>
        </w:rPr>
        <w:t>Schierack</w:t>
      </w:r>
      <w:proofErr w:type="spellEnd"/>
      <w:r w:rsidRPr="0064621C">
        <w:rPr>
          <w:lang w:val="en-US"/>
        </w:rPr>
        <w:t xml:space="preserve"> P. 2015. </w:t>
      </w:r>
      <w:proofErr w:type="spellStart"/>
      <w:r w:rsidRPr="0064621C">
        <w:rPr>
          <w:lang w:val="en-US"/>
        </w:rPr>
        <w:t>chipPCR</w:t>
      </w:r>
      <w:proofErr w:type="spellEnd"/>
      <w:r w:rsidRPr="0064621C">
        <w:rPr>
          <w:lang w:val="en-US"/>
        </w:rPr>
        <w:t>: An r package to pre-process raw data of amplification curv</w:t>
      </w:r>
      <w:r w:rsidRPr="0064621C">
        <w:rPr>
          <w:lang w:val="en-US"/>
        </w:rPr>
        <w:t xml:space="preserve">es: Fig. 1. </w:t>
      </w:r>
      <w:r w:rsidRPr="0064621C">
        <w:rPr>
          <w:i/>
          <w:lang w:val="en-US"/>
        </w:rPr>
        <w:t xml:space="preserve">Bioinformatics </w:t>
      </w:r>
      <w:r w:rsidRPr="0064621C">
        <w:rPr>
          <w:lang w:val="en-US"/>
        </w:rPr>
        <w:t xml:space="preserve">31 (17): 2900–2902. </w:t>
      </w:r>
      <w:hyperlink r:id="rId62">
        <w:r w:rsidRPr="0064621C">
          <w:rPr>
            <w:color w:val="4169E1"/>
            <w:lang w:val="en-US"/>
          </w:rPr>
          <w:t xml:space="preserve">https://doi.org/10.1093/bioinformatics </w:t>
        </w:r>
      </w:hyperlink>
      <w:hyperlink r:id="rId63">
        <w:r w:rsidRPr="0064621C">
          <w:rPr>
            <w:color w:val="4169E1"/>
            <w:lang w:val="en-US"/>
          </w:rPr>
          <w:t>/btv205</w:t>
        </w:r>
      </w:hyperlink>
    </w:p>
    <w:p w14:paraId="78A2F99C" w14:textId="77777777" w:rsidR="00073CCF" w:rsidRPr="0064621C" w:rsidRDefault="0064621C">
      <w:pPr>
        <w:ind w:left="11" w:right="640"/>
        <w:rPr>
          <w:lang w:val="en-US"/>
        </w:rPr>
      </w:pPr>
      <w:proofErr w:type="spellStart"/>
      <w:r w:rsidRPr="0064621C">
        <w:rPr>
          <w:lang w:val="en-US"/>
        </w:rPr>
        <w:t>Rohrman</w:t>
      </w:r>
      <w:proofErr w:type="spellEnd"/>
      <w:r w:rsidRPr="0064621C">
        <w:rPr>
          <w:lang w:val="en-US"/>
        </w:rPr>
        <w:t xml:space="preserve"> B. &amp; Richards-</w:t>
      </w:r>
      <w:proofErr w:type="spellStart"/>
      <w:r w:rsidRPr="0064621C">
        <w:rPr>
          <w:lang w:val="en-US"/>
        </w:rPr>
        <w:t>Kortum</w:t>
      </w:r>
      <w:proofErr w:type="spellEnd"/>
      <w:r w:rsidRPr="0064621C">
        <w:rPr>
          <w:lang w:val="en-US"/>
        </w:rPr>
        <w:t xml:space="preserve"> R. 2015. Inhibition of recombinase polymerase amplification by background DNA: A lateral flow-based method for enriching target DNA. </w:t>
      </w:r>
      <w:r w:rsidRPr="0064621C">
        <w:rPr>
          <w:i/>
          <w:lang w:val="en-US"/>
        </w:rPr>
        <w:t xml:space="preserve">Analytical Chemistry </w:t>
      </w:r>
      <w:r w:rsidRPr="0064621C">
        <w:rPr>
          <w:lang w:val="en-US"/>
        </w:rPr>
        <w:t xml:space="preserve">87 (3): 1963–1967. </w:t>
      </w:r>
      <w:hyperlink r:id="rId64">
        <w:r w:rsidRPr="0064621C">
          <w:rPr>
            <w:color w:val="4169E1"/>
            <w:lang w:val="en-US"/>
          </w:rPr>
          <w:t>https://doi.org/10.1021/ac504365v</w:t>
        </w:r>
      </w:hyperlink>
    </w:p>
    <w:p w14:paraId="1F4ED175" w14:textId="77777777" w:rsidR="00073CCF" w:rsidRPr="0064621C" w:rsidRDefault="0064621C">
      <w:pPr>
        <w:ind w:left="307" w:right="640" w:hanging="299"/>
        <w:rPr>
          <w:lang w:val="en-US"/>
        </w:rPr>
      </w:pPr>
      <w:proofErr w:type="spellStart"/>
      <w:r w:rsidRPr="0064621C">
        <w:rPr>
          <w:lang w:val="en-US"/>
        </w:rPr>
        <w:lastRenderedPageBreak/>
        <w:t>Saisuk</w:t>
      </w:r>
      <w:proofErr w:type="spellEnd"/>
      <w:r w:rsidRPr="0064621C">
        <w:rPr>
          <w:lang w:val="en-US"/>
        </w:rPr>
        <w:t xml:space="preserve"> W., </w:t>
      </w:r>
      <w:proofErr w:type="spellStart"/>
      <w:r w:rsidRPr="0064621C">
        <w:rPr>
          <w:lang w:val="en-US"/>
        </w:rPr>
        <w:t>Srisawat</w:t>
      </w:r>
      <w:proofErr w:type="spellEnd"/>
      <w:r w:rsidRPr="0064621C">
        <w:rPr>
          <w:lang w:val="en-US"/>
        </w:rPr>
        <w:t xml:space="preserve"> C., </w:t>
      </w:r>
      <w:proofErr w:type="spellStart"/>
      <w:r w:rsidRPr="0064621C">
        <w:rPr>
          <w:lang w:val="en-US"/>
        </w:rPr>
        <w:t>Yoksan</w:t>
      </w:r>
      <w:proofErr w:type="spellEnd"/>
      <w:r w:rsidRPr="0064621C">
        <w:rPr>
          <w:lang w:val="en-US"/>
        </w:rPr>
        <w:t xml:space="preserve"> S. &amp; </w:t>
      </w:r>
      <w:proofErr w:type="spellStart"/>
      <w:r w:rsidRPr="0064621C">
        <w:rPr>
          <w:lang w:val="en-US"/>
        </w:rPr>
        <w:t>Dharakul</w:t>
      </w:r>
      <w:proofErr w:type="spellEnd"/>
      <w:r w:rsidRPr="0064621C">
        <w:rPr>
          <w:lang w:val="en-US"/>
        </w:rPr>
        <w:t xml:space="preserve"> T. 2019. Hybridization cascade plus strand-displacement isothermal amplification of RNA target with s</w:t>
      </w:r>
      <w:r w:rsidRPr="0064621C">
        <w:rPr>
          <w:lang w:val="en-US"/>
        </w:rPr>
        <w:t xml:space="preserve">econdary structure motifs and its application for detecting dengue and zika viruses. </w:t>
      </w:r>
      <w:r w:rsidRPr="0064621C">
        <w:rPr>
          <w:i/>
          <w:lang w:val="en-US"/>
        </w:rPr>
        <w:t xml:space="preserve">Analytical Chemistry </w:t>
      </w:r>
      <w:r w:rsidRPr="0064621C">
        <w:rPr>
          <w:lang w:val="en-US"/>
        </w:rPr>
        <w:t xml:space="preserve">91 (5): 3286–3293. </w:t>
      </w:r>
      <w:hyperlink r:id="rId65">
        <w:r w:rsidRPr="0064621C">
          <w:rPr>
            <w:color w:val="4169E1"/>
            <w:lang w:val="en-US"/>
          </w:rPr>
          <w:t xml:space="preserve">https://doi.org/10.1021/acs.analchem </w:t>
        </w:r>
      </w:hyperlink>
      <w:hyperlink r:id="rId66">
        <w:r w:rsidRPr="0064621C">
          <w:rPr>
            <w:color w:val="4169E1"/>
            <w:lang w:val="en-US"/>
          </w:rPr>
          <w:t>.8b03736</w:t>
        </w:r>
      </w:hyperlink>
    </w:p>
    <w:p w14:paraId="2DC62BAE" w14:textId="77777777" w:rsidR="00073CCF" w:rsidRPr="0064621C" w:rsidRDefault="0064621C">
      <w:pPr>
        <w:spacing w:after="50" w:line="259" w:lineRule="auto"/>
        <w:ind w:left="11" w:right="640"/>
        <w:rPr>
          <w:lang w:val="en-US"/>
        </w:rPr>
      </w:pPr>
      <w:r w:rsidRPr="0064621C">
        <w:rPr>
          <w:lang w:val="en-US"/>
        </w:rPr>
        <w:t>Shu B., Kirby M.K., Warnes C., Sessions W.M., Davis W.G., Liu J., Wilson M.M., Lindstrom S., Wentworth</w:t>
      </w:r>
    </w:p>
    <w:p w14:paraId="26867234" w14:textId="77777777" w:rsidR="00073CCF" w:rsidRDefault="0064621C">
      <w:pPr>
        <w:ind w:left="318" w:right="640"/>
      </w:pPr>
      <w:r w:rsidRPr="0064621C">
        <w:rPr>
          <w:lang w:val="en-US"/>
        </w:rPr>
        <w:t>D.E. &amp; Barnes J.R. 2020. Detection and disc</w:t>
      </w:r>
      <w:r w:rsidRPr="0064621C">
        <w:rPr>
          <w:lang w:val="en-US"/>
        </w:rPr>
        <w:t xml:space="preserve">rimination of influenza b </w:t>
      </w:r>
      <w:proofErr w:type="spellStart"/>
      <w:r w:rsidRPr="0064621C">
        <w:rPr>
          <w:lang w:val="en-US"/>
        </w:rPr>
        <w:t>victoria</w:t>
      </w:r>
      <w:proofErr w:type="spellEnd"/>
      <w:r w:rsidRPr="0064621C">
        <w:rPr>
          <w:lang w:val="en-US"/>
        </w:rPr>
        <w:t xml:space="preserve"> lineage deletion variant viruses by real-time RT-PCR. </w:t>
      </w:r>
      <w:proofErr w:type="spellStart"/>
      <w:r>
        <w:rPr>
          <w:i/>
        </w:rPr>
        <w:t>Eurosurveillance</w:t>
      </w:r>
      <w:proofErr w:type="spellEnd"/>
      <w:r>
        <w:rPr>
          <w:i/>
        </w:rPr>
        <w:t xml:space="preserve"> </w:t>
      </w:r>
      <w:r>
        <w:t xml:space="preserve">25 (41). </w:t>
      </w:r>
      <w:hyperlink r:id="rId67">
        <w:r>
          <w:rPr>
            <w:color w:val="4169E1"/>
          </w:rPr>
          <w:t xml:space="preserve">https://doi.org/10.2807/1560-7917.es.2020.25. </w:t>
        </w:r>
      </w:hyperlink>
      <w:hyperlink r:id="rId68">
        <w:r>
          <w:rPr>
            <w:color w:val="4169E1"/>
          </w:rPr>
          <w:t>41.1900652</w:t>
        </w:r>
      </w:hyperlink>
    </w:p>
    <w:p w14:paraId="0ED7ED04" w14:textId="77777777" w:rsidR="00073CCF" w:rsidRDefault="0064621C">
      <w:pPr>
        <w:ind w:left="297" w:right="640" w:hanging="289"/>
      </w:pPr>
      <w:proofErr w:type="spellStart"/>
      <w:r>
        <w:t>Sollweck</w:t>
      </w:r>
      <w:proofErr w:type="spellEnd"/>
      <w:r>
        <w:t xml:space="preserve"> K., Schwaiger G. &amp; Seidel M. 2021. </w:t>
      </w:r>
      <w:r w:rsidRPr="0064621C">
        <w:rPr>
          <w:lang w:val="en-US"/>
        </w:rPr>
        <w:t>A chemiluminescence-based heterogeneous asymmetric recombinase polymerase amplif</w:t>
      </w:r>
      <w:r w:rsidRPr="0064621C">
        <w:rPr>
          <w:lang w:val="en-US"/>
        </w:rPr>
        <w:t xml:space="preserve">ication assay for the molecular detection of mycotoxin producers. </w:t>
      </w:r>
      <w:r>
        <w:rPr>
          <w:i/>
        </w:rPr>
        <w:t xml:space="preserve">The Analyst </w:t>
      </w:r>
      <w:r>
        <w:t xml:space="preserve">146 (3): 1074–1083. </w:t>
      </w:r>
      <w:hyperlink r:id="rId69">
        <w:r>
          <w:rPr>
            <w:color w:val="4169E1"/>
          </w:rPr>
          <w:t>https://doi.org/10.1039/d0an02000a</w:t>
        </w:r>
      </w:hyperlink>
    </w:p>
    <w:p w14:paraId="0CAC67CE" w14:textId="77777777" w:rsidR="00073CCF" w:rsidRDefault="0064621C">
      <w:pPr>
        <w:spacing w:after="52" w:line="259" w:lineRule="auto"/>
        <w:ind w:left="11" w:right="640"/>
      </w:pPr>
      <w:proofErr w:type="spellStart"/>
      <w:r>
        <w:t>Spiess</w:t>
      </w:r>
      <w:proofErr w:type="spellEnd"/>
      <w:r>
        <w:t xml:space="preserve"> A.-N., Deutschmann C., </w:t>
      </w:r>
      <w:proofErr w:type="spellStart"/>
      <w:r>
        <w:t>Burduk</w:t>
      </w:r>
      <w:r>
        <w:t>iewicz</w:t>
      </w:r>
      <w:proofErr w:type="spellEnd"/>
      <w:r>
        <w:t xml:space="preserve"> M., Himmelreich R., </w:t>
      </w:r>
      <w:proofErr w:type="spellStart"/>
      <w:r>
        <w:t>Klat</w:t>
      </w:r>
      <w:proofErr w:type="spellEnd"/>
      <w:r>
        <w:t xml:space="preserve"> K., Schierack P. &amp; Rödiger S. 2015.</w:t>
      </w:r>
    </w:p>
    <w:p w14:paraId="4D1709E6" w14:textId="77777777" w:rsidR="00073CCF" w:rsidRPr="0064621C" w:rsidRDefault="0064621C">
      <w:pPr>
        <w:ind w:left="304" w:right="640"/>
        <w:rPr>
          <w:lang w:val="en-US"/>
        </w:rPr>
      </w:pPr>
      <w:r w:rsidRPr="0064621C">
        <w:rPr>
          <w:lang w:val="en-US"/>
        </w:rPr>
        <w:t xml:space="preserve">Impact of smoothing on parameter estimation in quantitative DNA amplification experiments. </w:t>
      </w:r>
      <w:r w:rsidRPr="0064621C">
        <w:rPr>
          <w:i/>
          <w:lang w:val="en-US"/>
        </w:rPr>
        <w:t xml:space="preserve">Clinical Chemistry </w:t>
      </w:r>
      <w:r w:rsidRPr="0064621C">
        <w:rPr>
          <w:lang w:val="en-US"/>
        </w:rPr>
        <w:t xml:space="preserve">61 (2): 379–388. </w:t>
      </w:r>
      <w:hyperlink r:id="rId70">
        <w:r w:rsidRPr="0064621C">
          <w:rPr>
            <w:color w:val="4169E1"/>
            <w:lang w:val="en-US"/>
          </w:rPr>
          <w:t>https://doi.org/10.1373/clinchem.2014.230656</w:t>
        </w:r>
      </w:hyperlink>
    </w:p>
    <w:p w14:paraId="07E3A203" w14:textId="77777777" w:rsidR="00073CCF" w:rsidRPr="0064621C" w:rsidRDefault="0064621C">
      <w:pPr>
        <w:ind w:left="268" w:right="640" w:hanging="260"/>
        <w:rPr>
          <w:lang w:val="en-US"/>
        </w:rPr>
      </w:pPr>
      <w:proofErr w:type="spellStart"/>
      <w:r w:rsidRPr="0064621C">
        <w:rPr>
          <w:lang w:val="en-US"/>
        </w:rPr>
        <w:t>Suwannakarn</w:t>
      </w:r>
      <w:proofErr w:type="spellEnd"/>
      <w:r w:rsidRPr="0064621C">
        <w:rPr>
          <w:lang w:val="en-US"/>
        </w:rPr>
        <w:t xml:space="preserve"> K., </w:t>
      </w:r>
      <w:proofErr w:type="spellStart"/>
      <w:r w:rsidRPr="0064621C">
        <w:rPr>
          <w:lang w:val="en-US"/>
        </w:rPr>
        <w:t>Payungporn</w:t>
      </w:r>
      <w:proofErr w:type="spellEnd"/>
      <w:r w:rsidRPr="0064621C">
        <w:rPr>
          <w:lang w:val="en-US"/>
        </w:rPr>
        <w:t xml:space="preserve"> S., </w:t>
      </w:r>
      <w:proofErr w:type="spellStart"/>
      <w:r w:rsidRPr="0064621C">
        <w:rPr>
          <w:lang w:val="en-US"/>
        </w:rPr>
        <w:t>Chieochansin</w:t>
      </w:r>
      <w:proofErr w:type="spellEnd"/>
      <w:r w:rsidRPr="0064621C">
        <w:rPr>
          <w:lang w:val="en-US"/>
        </w:rPr>
        <w:t xml:space="preserve"> T., </w:t>
      </w:r>
      <w:proofErr w:type="spellStart"/>
      <w:r w:rsidRPr="0064621C">
        <w:rPr>
          <w:lang w:val="en-US"/>
        </w:rPr>
        <w:t>Samransamruajkit</w:t>
      </w:r>
      <w:proofErr w:type="spellEnd"/>
      <w:r w:rsidRPr="0064621C">
        <w:rPr>
          <w:lang w:val="en-US"/>
        </w:rPr>
        <w:t xml:space="preserve"> R., </w:t>
      </w:r>
      <w:proofErr w:type="spellStart"/>
      <w:r w:rsidRPr="0064621C">
        <w:rPr>
          <w:lang w:val="en-US"/>
        </w:rPr>
        <w:t>Amonsin</w:t>
      </w:r>
      <w:proofErr w:type="spellEnd"/>
      <w:r w:rsidRPr="0064621C">
        <w:rPr>
          <w:lang w:val="en-US"/>
        </w:rPr>
        <w:t xml:space="preserve"> A., </w:t>
      </w:r>
      <w:proofErr w:type="spellStart"/>
      <w:r w:rsidRPr="0064621C">
        <w:rPr>
          <w:lang w:val="en-US"/>
        </w:rPr>
        <w:t>Songserm</w:t>
      </w:r>
      <w:proofErr w:type="spellEnd"/>
      <w:r w:rsidRPr="0064621C">
        <w:rPr>
          <w:lang w:val="en-US"/>
        </w:rPr>
        <w:t xml:space="preserve"> T., </w:t>
      </w:r>
      <w:proofErr w:type="spellStart"/>
      <w:r w:rsidRPr="0064621C">
        <w:rPr>
          <w:lang w:val="en-US"/>
        </w:rPr>
        <w:t>Chaisingh</w:t>
      </w:r>
      <w:proofErr w:type="spellEnd"/>
      <w:r w:rsidRPr="0064621C">
        <w:rPr>
          <w:lang w:val="en-US"/>
        </w:rPr>
        <w:t xml:space="preserve"> A., </w:t>
      </w:r>
      <w:proofErr w:type="spellStart"/>
      <w:r w:rsidRPr="0064621C">
        <w:rPr>
          <w:lang w:val="en-US"/>
        </w:rPr>
        <w:t>Chamnanpood</w:t>
      </w:r>
      <w:proofErr w:type="spellEnd"/>
      <w:r w:rsidRPr="0064621C">
        <w:rPr>
          <w:lang w:val="en-US"/>
        </w:rPr>
        <w:t xml:space="preserve"> P., </w:t>
      </w:r>
      <w:proofErr w:type="spellStart"/>
      <w:r w:rsidRPr="0064621C">
        <w:rPr>
          <w:lang w:val="en-US"/>
        </w:rPr>
        <w:t>Chutinimitkul</w:t>
      </w:r>
      <w:proofErr w:type="spellEnd"/>
      <w:r w:rsidRPr="0064621C">
        <w:rPr>
          <w:lang w:val="en-US"/>
        </w:rPr>
        <w:t xml:space="preserve"> S., </w:t>
      </w:r>
      <w:proofErr w:type="spellStart"/>
      <w:r w:rsidRPr="0064621C">
        <w:rPr>
          <w:lang w:val="en-US"/>
        </w:rPr>
        <w:t>Theamboonlers</w:t>
      </w:r>
      <w:proofErr w:type="spellEnd"/>
      <w:r w:rsidRPr="0064621C">
        <w:rPr>
          <w:lang w:val="en-US"/>
        </w:rPr>
        <w:t xml:space="preserve"> A. &amp; </w:t>
      </w:r>
      <w:proofErr w:type="spellStart"/>
      <w:r w:rsidRPr="0064621C">
        <w:rPr>
          <w:lang w:val="en-US"/>
        </w:rPr>
        <w:t>Poovorawan</w:t>
      </w:r>
      <w:proofErr w:type="spellEnd"/>
      <w:r w:rsidRPr="0064621C">
        <w:rPr>
          <w:lang w:val="en-US"/>
        </w:rPr>
        <w:t xml:space="preserve"> Y.</w:t>
      </w:r>
      <w:r w:rsidRPr="0064621C">
        <w:rPr>
          <w:lang w:val="en-US"/>
        </w:rPr>
        <w:t xml:space="preserve"> 2008. Typing (a/b) and subtyping (H1/H3/H5) of influenza a </w:t>
      </w:r>
      <w:proofErr w:type="gramStart"/>
      <w:r w:rsidRPr="0064621C">
        <w:rPr>
          <w:lang w:val="en-US"/>
        </w:rPr>
        <w:t>viruses</w:t>
      </w:r>
      <w:proofErr w:type="gramEnd"/>
      <w:r w:rsidRPr="0064621C">
        <w:rPr>
          <w:lang w:val="en-US"/>
        </w:rPr>
        <w:t xml:space="preserve"> by multiplex real-time RT-PCR assays. </w:t>
      </w:r>
      <w:r w:rsidRPr="0064621C">
        <w:rPr>
          <w:i/>
          <w:lang w:val="en-US"/>
        </w:rPr>
        <w:t xml:space="preserve">Journal of Virological Methods </w:t>
      </w:r>
      <w:r w:rsidRPr="0064621C">
        <w:rPr>
          <w:lang w:val="en-US"/>
        </w:rPr>
        <w:t xml:space="preserve">152 (1-2): 25–31. </w:t>
      </w:r>
      <w:hyperlink r:id="rId71">
        <w:r w:rsidRPr="0064621C">
          <w:rPr>
            <w:color w:val="4169E1"/>
            <w:lang w:val="en-US"/>
          </w:rPr>
          <w:t>https://doi.org/10.1016/j.jviromet.2008.06.002</w:t>
        </w:r>
      </w:hyperlink>
    </w:p>
    <w:p w14:paraId="42CAFE51" w14:textId="77777777" w:rsidR="00073CCF" w:rsidRPr="0064621C" w:rsidRDefault="0064621C">
      <w:pPr>
        <w:ind w:left="298" w:right="640" w:hanging="290"/>
        <w:rPr>
          <w:lang w:val="en-US"/>
        </w:rPr>
      </w:pPr>
      <w:r w:rsidRPr="0064621C">
        <w:rPr>
          <w:lang w:val="en-US"/>
        </w:rPr>
        <w:t xml:space="preserve">Tsou T.-P., Shao P.-L., Lu C.-Y., Chang L.-Y., Kao C.-L., Lee P.-I., Yang P.-C., Lee C.-Y. &amp; Huang L.-M. 2012. Viral load and clinical features in children infected with seasonal influenza b in 2006/2007. </w:t>
      </w:r>
      <w:r w:rsidRPr="0064621C">
        <w:rPr>
          <w:i/>
          <w:lang w:val="en-US"/>
        </w:rPr>
        <w:t xml:space="preserve">Journal of the Formosan Medical Association </w:t>
      </w:r>
      <w:r w:rsidRPr="0064621C">
        <w:rPr>
          <w:lang w:val="en-US"/>
        </w:rPr>
        <w:t>111 (2)</w:t>
      </w:r>
      <w:r w:rsidRPr="0064621C">
        <w:rPr>
          <w:lang w:val="en-US"/>
        </w:rPr>
        <w:t xml:space="preserve">: 83–87. </w:t>
      </w:r>
      <w:hyperlink r:id="rId72">
        <w:r w:rsidRPr="0064621C">
          <w:rPr>
            <w:color w:val="4169E1"/>
            <w:lang w:val="en-US"/>
          </w:rPr>
          <w:t>https://doi.org/10.1016/j.jfma.2010.10.001</w:t>
        </w:r>
      </w:hyperlink>
    </w:p>
    <w:p w14:paraId="008B503B" w14:textId="77777777" w:rsidR="00073CCF" w:rsidRPr="0064621C" w:rsidRDefault="0064621C">
      <w:pPr>
        <w:spacing w:after="112" w:line="321" w:lineRule="auto"/>
        <w:ind w:left="307" w:hanging="291"/>
        <w:jc w:val="left"/>
        <w:rPr>
          <w:lang w:val="en-US"/>
        </w:rPr>
      </w:pPr>
      <w:proofErr w:type="spellStart"/>
      <w:r w:rsidRPr="0064621C">
        <w:rPr>
          <w:lang w:val="en-US"/>
        </w:rPr>
        <w:t>TwistDx</w:t>
      </w:r>
      <w:proofErr w:type="spellEnd"/>
      <w:r w:rsidRPr="0064621C">
        <w:rPr>
          <w:lang w:val="en-US"/>
        </w:rPr>
        <w:t xml:space="preserve"> 2018. </w:t>
      </w:r>
      <w:proofErr w:type="spellStart"/>
      <w:r w:rsidRPr="0064621C">
        <w:rPr>
          <w:lang w:val="en-US"/>
        </w:rPr>
        <w:t>TwistAmp</w:t>
      </w:r>
      <w:proofErr w:type="spellEnd"/>
      <w:r w:rsidRPr="0064621C">
        <w:rPr>
          <w:lang w:val="en-US"/>
        </w:rPr>
        <w:t xml:space="preserve"> assay </w:t>
      </w:r>
      <w:proofErr w:type="spellStart"/>
      <w:r w:rsidRPr="0064621C">
        <w:rPr>
          <w:lang w:val="en-US"/>
        </w:rPr>
        <w:t>desing</w:t>
      </w:r>
      <w:proofErr w:type="spellEnd"/>
      <w:r w:rsidRPr="0064621C">
        <w:rPr>
          <w:lang w:val="en-US"/>
        </w:rPr>
        <w:t xml:space="preserve"> manual. </w:t>
      </w:r>
      <w:r w:rsidRPr="0064621C">
        <w:rPr>
          <w:i/>
          <w:lang w:val="en-US"/>
        </w:rPr>
        <w:t xml:space="preserve">online </w:t>
      </w:r>
      <w:proofErr w:type="spellStart"/>
      <w:r w:rsidRPr="0064621C">
        <w:rPr>
          <w:i/>
          <w:lang w:val="en-US"/>
        </w:rPr>
        <w:t>Verfügbar</w:t>
      </w:r>
      <w:proofErr w:type="spellEnd"/>
      <w:r w:rsidRPr="0064621C">
        <w:rPr>
          <w:i/>
          <w:lang w:val="en-US"/>
        </w:rPr>
        <w:t xml:space="preserve"> </w:t>
      </w:r>
      <w:proofErr w:type="spellStart"/>
      <w:r w:rsidRPr="0064621C">
        <w:rPr>
          <w:i/>
          <w:lang w:val="en-US"/>
        </w:rPr>
        <w:t>unter</w:t>
      </w:r>
      <w:proofErr w:type="spellEnd"/>
      <w:r w:rsidRPr="0064621C">
        <w:rPr>
          <w:i/>
          <w:lang w:val="en-US"/>
        </w:rPr>
        <w:t>: https://www.twistdx.co.uk/support/manual</w:t>
      </w:r>
      <w:r w:rsidRPr="0064621C">
        <w:rPr>
          <w:i/>
          <w:lang w:val="en-US"/>
        </w:rPr>
        <w:t>sand-software/twistamp/twistamp-assay-design-manual-v2-5/</w:t>
      </w:r>
      <w:r w:rsidRPr="0064621C">
        <w:rPr>
          <w:lang w:val="en-US"/>
        </w:rPr>
        <w:t>.</w:t>
      </w:r>
    </w:p>
    <w:p w14:paraId="7B91A300" w14:textId="77777777" w:rsidR="00073CCF" w:rsidRPr="0064621C" w:rsidRDefault="0064621C">
      <w:pPr>
        <w:ind w:left="317" w:right="640" w:hanging="309"/>
        <w:rPr>
          <w:lang w:val="en-US"/>
        </w:rPr>
      </w:pPr>
      <w:proofErr w:type="spellStart"/>
      <w:r w:rsidRPr="0064621C">
        <w:rPr>
          <w:lang w:val="en-US"/>
        </w:rPr>
        <w:t>Wagenknecht</w:t>
      </w:r>
      <w:proofErr w:type="spellEnd"/>
      <w:r w:rsidRPr="0064621C">
        <w:rPr>
          <w:lang w:val="en-US"/>
        </w:rPr>
        <w:t xml:space="preserve"> H.-A. 2008. </w:t>
      </w:r>
      <w:r w:rsidRPr="0064621C">
        <w:rPr>
          <w:lang w:val="en-US"/>
        </w:rPr>
        <w:t>&lt;</w:t>
      </w:r>
      <w:r w:rsidRPr="0064621C">
        <w:rPr>
          <w:lang w:val="en-US"/>
        </w:rPr>
        <w:t>I</w:t>
      </w:r>
      <w:r w:rsidRPr="0064621C">
        <w:rPr>
          <w:lang w:val="en-US"/>
        </w:rPr>
        <w:t>&gt;</w:t>
      </w:r>
      <w:r w:rsidRPr="0064621C">
        <w:rPr>
          <w:lang w:val="en-US"/>
        </w:rPr>
        <w:t xml:space="preserve">fluorescent DNA base modifications and substitutes: Multiple </w:t>
      </w:r>
      <w:proofErr w:type="gramStart"/>
      <w:r w:rsidRPr="0064621C">
        <w:rPr>
          <w:lang w:val="en-US"/>
        </w:rPr>
        <w:t>fluorophore</w:t>
      </w:r>
      <w:proofErr w:type="gramEnd"/>
      <w:r w:rsidRPr="0064621C">
        <w:rPr>
          <w:lang w:val="en-US"/>
        </w:rPr>
        <w:t xml:space="preserve"> labeling and the DETEQ concept</w:t>
      </w:r>
      <w:r w:rsidRPr="0064621C">
        <w:rPr>
          <w:lang w:val="en-US"/>
        </w:rPr>
        <w:t>&lt;</w:t>
      </w:r>
      <w:r w:rsidRPr="0064621C">
        <w:rPr>
          <w:lang w:val="en-US"/>
        </w:rPr>
        <w:t>/</w:t>
      </w:r>
      <w:proofErr w:type="spellStart"/>
      <w:r w:rsidRPr="0064621C">
        <w:rPr>
          <w:lang w:val="en-US"/>
        </w:rPr>
        <w:t>i</w:t>
      </w:r>
      <w:proofErr w:type="spellEnd"/>
      <w:r w:rsidRPr="0064621C">
        <w:rPr>
          <w:lang w:val="en-US"/>
        </w:rPr>
        <w:t>&gt;</w:t>
      </w:r>
      <w:r w:rsidRPr="0064621C">
        <w:rPr>
          <w:lang w:val="en-US"/>
        </w:rPr>
        <w:t xml:space="preserve">. </w:t>
      </w:r>
      <w:r w:rsidRPr="0064621C">
        <w:rPr>
          <w:i/>
          <w:lang w:val="en-US"/>
        </w:rPr>
        <w:t xml:space="preserve">Annals of the New York Academy of Sciences </w:t>
      </w:r>
      <w:r w:rsidRPr="0064621C">
        <w:rPr>
          <w:lang w:val="en-US"/>
        </w:rPr>
        <w:t>1130 (1): 122–130.</w:t>
      </w:r>
      <w:r w:rsidRPr="0064621C">
        <w:rPr>
          <w:lang w:val="en-US"/>
        </w:rPr>
        <w:t xml:space="preserve"> </w:t>
      </w:r>
      <w:hyperlink r:id="rId73">
        <w:r w:rsidRPr="0064621C">
          <w:rPr>
            <w:color w:val="4169E1"/>
            <w:lang w:val="en-US"/>
          </w:rPr>
          <w:t>https://doi.org/10.1196/annals.1430.001</w:t>
        </w:r>
      </w:hyperlink>
    </w:p>
    <w:p w14:paraId="1D27205A" w14:textId="77777777" w:rsidR="00073CCF" w:rsidRPr="0064621C" w:rsidRDefault="0064621C">
      <w:pPr>
        <w:ind w:left="286" w:right="640" w:hanging="278"/>
        <w:rPr>
          <w:lang w:val="en-US"/>
        </w:rPr>
      </w:pPr>
      <w:proofErr w:type="spellStart"/>
      <w:r w:rsidRPr="0064621C">
        <w:rPr>
          <w:lang w:val="en-US"/>
        </w:rPr>
        <w:t>Waidi</w:t>
      </w:r>
      <w:proofErr w:type="spellEnd"/>
      <w:r w:rsidRPr="0064621C">
        <w:rPr>
          <w:lang w:val="en-US"/>
        </w:rPr>
        <w:t xml:space="preserve"> </w:t>
      </w:r>
      <w:proofErr w:type="spellStart"/>
      <w:r w:rsidRPr="0064621C">
        <w:rPr>
          <w:lang w:val="en-US"/>
        </w:rPr>
        <w:t>Folorusno</w:t>
      </w:r>
      <w:proofErr w:type="spellEnd"/>
      <w:r w:rsidRPr="0064621C">
        <w:rPr>
          <w:lang w:val="en-US"/>
        </w:rPr>
        <w:t xml:space="preserve"> </w:t>
      </w:r>
      <w:proofErr w:type="spellStart"/>
      <w:r w:rsidRPr="0064621C">
        <w:rPr>
          <w:lang w:val="en-US"/>
        </w:rPr>
        <w:t>Sule</w:t>
      </w:r>
      <w:proofErr w:type="spellEnd"/>
      <w:r w:rsidRPr="0064621C">
        <w:rPr>
          <w:lang w:val="en-US"/>
        </w:rPr>
        <w:t xml:space="preserve"> D.O.O. 2020. Real-time RT-PCR for COVID-19 diagnosis: Challenges and prospects. </w:t>
      </w:r>
      <w:r w:rsidRPr="0064621C">
        <w:rPr>
          <w:i/>
          <w:lang w:val="en-US"/>
        </w:rPr>
        <w:t>The Pan African Medic</w:t>
      </w:r>
      <w:r w:rsidRPr="0064621C">
        <w:rPr>
          <w:i/>
          <w:lang w:val="en-US"/>
        </w:rPr>
        <w:t>al Journal</w:t>
      </w:r>
      <w:r w:rsidRPr="0064621C">
        <w:rPr>
          <w:lang w:val="en-US"/>
        </w:rPr>
        <w:t xml:space="preserve">. </w:t>
      </w:r>
      <w:hyperlink r:id="rId74">
        <w:r w:rsidRPr="0064621C">
          <w:rPr>
            <w:color w:val="4169E1"/>
            <w:lang w:val="en-US"/>
          </w:rPr>
          <w:t>https://doi.org/10.11604/pamj.supp.2020.35.24258</w:t>
        </w:r>
      </w:hyperlink>
    </w:p>
    <w:p w14:paraId="0110EA8D" w14:textId="77777777" w:rsidR="00073CCF" w:rsidRPr="0064621C" w:rsidRDefault="0064621C">
      <w:pPr>
        <w:spacing w:after="2"/>
        <w:ind w:left="317" w:right="640" w:hanging="309"/>
        <w:rPr>
          <w:lang w:val="en-US"/>
        </w:rPr>
      </w:pPr>
      <w:r>
        <w:t xml:space="preserve">Wang Y., Li X., Xi D. &amp; Wang X. 2019. </w:t>
      </w:r>
      <w:r w:rsidRPr="0064621C">
        <w:rPr>
          <w:lang w:val="en-US"/>
        </w:rPr>
        <w:t xml:space="preserve">Visual detection of </w:t>
      </w:r>
      <w:r w:rsidRPr="0064621C">
        <w:rPr>
          <w:lang w:val="en-US"/>
        </w:rPr>
        <w:t>&lt;</w:t>
      </w:r>
      <w:proofErr w:type="spellStart"/>
      <w:r w:rsidRPr="0064621C">
        <w:rPr>
          <w:lang w:val="en-US"/>
        </w:rPr>
        <w:t>i</w:t>
      </w:r>
      <w:proofErr w:type="spellEnd"/>
      <w:r w:rsidRPr="0064621C">
        <w:rPr>
          <w:lang w:val="en-US"/>
        </w:rPr>
        <w:t>&gt;</w:t>
      </w:r>
      <w:r w:rsidRPr="0064621C">
        <w:rPr>
          <w:lang w:val="en-US"/>
        </w:rPr>
        <w:t xml:space="preserve">fusarium </w:t>
      </w:r>
      <w:proofErr w:type="spellStart"/>
      <w:r w:rsidRPr="0064621C">
        <w:rPr>
          <w:lang w:val="en-US"/>
        </w:rPr>
        <w:t>proliferatum</w:t>
      </w:r>
      <w:proofErr w:type="spellEnd"/>
      <w:r w:rsidRPr="0064621C">
        <w:rPr>
          <w:lang w:val="en-US"/>
        </w:rPr>
        <w:t>&lt;</w:t>
      </w:r>
      <w:r w:rsidRPr="0064621C">
        <w:rPr>
          <w:lang w:val="en-US"/>
        </w:rPr>
        <w:t>/</w:t>
      </w:r>
      <w:proofErr w:type="spellStart"/>
      <w:r w:rsidRPr="0064621C">
        <w:rPr>
          <w:lang w:val="en-US"/>
        </w:rPr>
        <w:t>i</w:t>
      </w:r>
      <w:proofErr w:type="spellEnd"/>
      <w:r w:rsidRPr="0064621C">
        <w:rPr>
          <w:lang w:val="en-US"/>
        </w:rPr>
        <w:t xml:space="preserve">&gt; </w:t>
      </w:r>
      <w:r w:rsidRPr="0064621C">
        <w:rPr>
          <w:lang w:val="en-US"/>
        </w:rPr>
        <w:t>based o</w:t>
      </w:r>
      <w:r w:rsidRPr="0064621C">
        <w:rPr>
          <w:lang w:val="en-US"/>
        </w:rPr>
        <w:t xml:space="preserve">n asymmetric recombinase polymerase amplification and hemin/g-quadruplex </w:t>
      </w:r>
      <w:proofErr w:type="spellStart"/>
      <w:r w:rsidRPr="0064621C">
        <w:rPr>
          <w:lang w:val="en-US"/>
        </w:rPr>
        <w:t>DNAzyme</w:t>
      </w:r>
      <w:proofErr w:type="spellEnd"/>
      <w:r w:rsidRPr="0064621C">
        <w:rPr>
          <w:lang w:val="en-US"/>
        </w:rPr>
        <w:t xml:space="preserve">. </w:t>
      </w:r>
      <w:r w:rsidRPr="0064621C">
        <w:rPr>
          <w:i/>
          <w:lang w:val="en-US"/>
        </w:rPr>
        <w:t xml:space="preserve">RSC Advances </w:t>
      </w:r>
      <w:r w:rsidRPr="0064621C">
        <w:rPr>
          <w:lang w:val="en-US"/>
        </w:rPr>
        <w:t>9</w:t>
      </w:r>
    </w:p>
    <w:p w14:paraId="0102CC23" w14:textId="77777777" w:rsidR="00073CCF" w:rsidRPr="0064621C" w:rsidRDefault="0064621C">
      <w:pPr>
        <w:spacing w:after="169" w:line="265" w:lineRule="auto"/>
        <w:ind w:left="317" w:right="326" w:hanging="10"/>
        <w:jc w:val="left"/>
        <w:rPr>
          <w:lang w:val="en-US"/>
        </w:rPr>
      </w:pPr>
      <w:r w:rsidRPr="0064621C">
        <w:rPr>
          <w:lang w:val="en-US"/>
        </w:rPr>
        <w:t xml:space="preserve">(64): 37144–37147. </w:t>
      </w:r>
      <w:hyperlink r:id="rId75">
        <w:r w:rsidRPr="0064621C">
          <w:rPr>
            <w:color w:val="4169E1"/>
            <w:lang w:val="en-US"/>
          </w:rPr>
          <w:t>https://doi.org/10.1039/c9ra05709a</w:t>
        </w:r>
      </w:hyperlink>
    </w:p>
    <w:p w14:paraId="635E14EF" w14:textId="77777777" w:rsidR="00073CCF" w:rsidRPr="0064621C" w:rsidRDefault="0064621C">
      <w:pPr>
        <w:ind w:left="297" w:right="640" w:hanging="289"/>
        <w:rPr>
          <w:lang w:val="en-US"/>
        </w:rPr>
      </w:pPr>
      <w:r w:rsidRPr="0064621C">
        <w:rPr>
          <w:lang w:val="en-US"/>
        </w:rPr>
        <w:t>Wei S. &amp; To S.S.T.</w:t>
      </w:r>
      <w:r w:rsidRPr="0064621C">
        <w:rPr>
          <w:lang w:val="en-US"/>
        </w:rPr>
        <w:t xml:space="preserve"> 2003. Influence of RNA secondary structure on HEV gene amplification using </w:t>
      </w:r>
      <w:proofErr w:type="spellStart"/>
      <w:r w:rsidRPr="0064621C">
        <w:rPr>
          <w:lang w:val="en-US"/>
        </w:rPr>
        <w:t>reversetranscription</w:t>
      </w:r>
      <w:proofErr w:type="spellEnd"/>
      <w:r w:rsidRPr="0064621C">
        <w:rPr>
          <w:lang w:val="en-US"/>
        </w:rPr>
        <w:t xml:space="preserve"> and nested polymerase chain reaction. </w:t>
      </w:r>
      <w:r w:rsidRPr="0064621C">
        <w:rPr>
          <w:i/>
          <w:lang w:val="en-US"/>
        </w:rPr>
        <w:t xml:space="preserve">Journal of Clinical Virology </w:t>
      </w:r>
      <w:r w:rsidRPr="0064621C">
        <w:rPr>
          <w:lang w:val="en-US"/>
        </w:rPr>
        <w:t xml:space="preserve">27 (2): 152–161. </w:t>
      </w:r>
      <w:hyperlink r:id="rId76">
        <w:r w:rsidRPr="0064621C">
          <w:rPr>
            <w:color w:val="4169E1"/>
            <w:lang w:val="en-US"/>
          </w:rPr>
          <w:t xml:space="preserve">https: </w:t>
        </w:r>
      </w:hyperlink>
      <w:hyperlink r:id="rId77">
        <w:r w:rsidRPr="0064621C">
          <w:rPr>
            <w:color w:val="4169E1"/>
            <w:lang w:val="en-US"/>
          </w:rPr>
          <w:t>//doi.org/10.1016/s1386-6532(02)00170-1</w:t>
        </w:r>
      </w:hyperlink>
    </w:p>
    <w:p w14:paraId="2B55FF56" w14:textId="77777777" w:rsidR="00073CCF" w:rsidRPr="0064621C" w:rsidRDefault="0064621C">
      <w:pPr>
        <w:spacing w:after="173"/>
        <w:ind w:left="317" w:right="640" w:hanging="309"/>
        <w:rPr>
          <w:lang w:val="en-US"/>
        </w:rPr>
      </w:pPr>
      <w:r w:rsidRPr="0064621C">
        <w:rPr>
          <w:lang w:val="en-US"/>
        </w:rPr>
        <w:t xml:space="preserve">Wu C., Cheng X., He J., </w:t>
      </w:r>
      <w:proofErr w:type="spellStart"/>
      <w:r w:rsidRPr="0064621C">
        <w:rPr>
          <w:lang w:val="en-US"/>
        </w:rPr>
        <w:t>Lv</w:t>
      </w:r>
      <w:proofErr w:type="spellEnd"/>
      <w:r w:rsidRPr="0064621C">
        <w:rPr>
          <w:lang w:val="en-US"/>
        </w:rPr>
        <w:t xml:space="preserve"> X., Wang J., Deng R., Long Q. &amp; Wang X. 2008. A multiplex real-time RT-PCR for detection and identification of influenza virus types a and b and subtypes H5 and N1. </w:t>
      </w:r>
      <w:r w:rsidRPr="0064621C">
        <w:rPr>
          <w:i/>
          <w:lang w:val="en-US"/>
        </w:rPr>
        <w:t>Journal of Virological Metho</w:t>
      </w:r>
      <w:r w:rsidRPr="0064621C">
        <w:rPr>
          <w:i/>
          <w:lang w:val="en-US"/>
        </w:rPr>
        <w:t xml:space="preserve">ds </w:t>
      </w:r>
      <w:r w:rsidRPr="0064621C">
        <w:rPr>
          <w:lang w:val="en-US"/>
        </w:rPr>
        <w:t xml:space="preserve">148 (1-2): 81–88. </w:t>
      </w:r>
      <w:hyperlink r:id="rId78">
        <w:r w:rsidRPr="0064621C">
          <w:rPr>
            <w:color w:val="4169E1"/>
            <w:lang w:val="en-US"/>
          </w:rPr>
          <w:t>https://doi.org/10.1016/j.jviromet.2007.10.023</w:t>
        </w:r>
      </w:hyperlink>
    </w:p>
    <w:p w14:paraId="1D313DB1" w14:textId="77777777" w:rsidR="00073CCF" w:rsidRDefault="0064621C">
      <w:pPr>
        <w:ind w:left="307" w:right="640" w:hanging="299"/>
      </w:pPr>
      <w:proofErr w:type="spellStart"/>
      <w:r w:rsidRPr="0064621C">
        <w:rPr>
          <w:lang w:val="en-US"/>
        </w:rPr>
        <w:t>Zandieh</w:t>
      </w:r>
      <w:proofErr w:type="spellEnd"/>
      <w:r w:rsidRPr="0064621C">
        <w:rPr>
          <w:lang w:val="en-US"/>
        </w:rPr>
        <w:t xml:space="preserve"> M., Patel K. &amp; Liu J. 2022. Adsorption of linear and spherical DNA oligonucleoti</w:t>
      </w:r>
      <w:r w:rsidRPr="0064621C">
        <w:rPr>
          <w:lang w:val="en-US"/>
        </w:rPr>
        <w:t xml:space="preserve">des onto microplastics. </w:t>
      </w:r>
      <w:r>
        <w:rPr>
          <w:i/>
        </w:rPr>
        <w:t xml:space="preserve">Langmuir </w:t>
      </w:r>
      <w:r>
        <w:t xml:space="preserve">38 (5): 1915–1922. </w:t>
      </w:r>
      <w:hyperlink r:id="rId79">
        <w:r>
          <w:rPr>
            <w:color w:val="4169E1"/>
          </w:rPr>
          <w:t>https://doi.org/10.1021/acs.langmuir.1c03190</w:t>
        </w:r>
      </w:hyperlink>
    </w:p>
    <w:sectPr w:rsidR="00073CCF">
      <w:footerReference w:type="even" r:id="rId80"/>
      <w:footerReference w:type="default" r:id="rId81"/>
      <w:footerReference w:type="first" r:id="rId82"/>
      <w:footnotePr>
        <w:numRestart w:val="eachPage"/>
      </w:footnotePr>
      <w:pgSz w:w="12240" w:h="15840"/>
      <w:pgMar w:top="1408" w:right="758" w:bottom="1430" w:left="1417" w:header="720" w:footer="80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ulius Rublack" w:date="2023-03-07T08:43:00Z" w:initials="JR">
    <w:p w14:paraId="6DDCA74C" w14:textId="77777777" w:rsidR="0064621C" w:rsidRDefault="0064621C" w:rsidP="003B57CA">
      <w:pPr>
        <w:pStyle w:val="Kommentartext"/>
        <w:ind w:left="0" w:firstLine="0"/>
        <w:jc w:val="left"/>
      </w:pPr>
      <w:r>
        <w:rPr>
          <w:rStyle w:val="Kommentarzeichen"/>
        </w:rPr>
        <w:annotationRef/>
      </w:r>
      <w:r>
        <w:t>Das kommt in den Ausblick oder?</w:t>
      </w:r>
    </w:p>
  </w:comment>
  <w:comment w:id="4" w:author="Julius Rublack" w:date="2023-03-07T08:43:00Z" w:initials="JR">
    <w:p w14:paraId="5BA3D8E9" w14:textId="77777777" w:rsidR="0064621C" w:rsidRDefault="0064621C" w:rsidP="008E448D">
      <w:pPr>
        <w:pStyle w:val="Kommentartext"/>
        <w:ind w:left="0" w:firstLine="0"/>
        <w:jc w:val="left"/>
      </w:pPr>
      <w:r>
        <w:rPr>
          <w:rStyle w:val="Kommentarzeichen"/>
        </w:rPr>
        <w:annotationRef/>
      </w:r>
      <w:r>
        <w:t>Ja nein?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DCA74C" w15:done="0"/>
  <w15:commentEx w15:paraId="5BA3D8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77B0" w16cex:dateUtc="2023-03-07T07:43:00Z"/>
  <w16cex:commentExtensible w16cex:durableId="27B177BC" w16cex:dateUtc="2023-03-07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DCA74C" w16cid:durableId="27B177B0"/>
  <w16cid:commentId w16cid:paraId="5BA3D8E9" w16cid:durableId="27B177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8702" w14:textId="77777777" w:rsidR="00000000" w:rsidRDefault="0064621C">
      <w:pPr>
        <w:spacing w:after="0" w:line="240" w:lineRule="auto"/>
      </w:pPr>
      <w:r>
        <w:separator/>
      </w:r>
    </w:p>
  </w:endnote>
  <w:endnote w:type="continuationSeparator" w:id="0">
    <w:p w14:paraId="75F23C52" w14:textId="77777777" w:rsidR="00000000" w:rsidRDefault="00646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946EB" w14:textId="77777777" w:rsidR="00073CCF" w:rsidRDefault="0064621C">
    <w:pPr>
      <w:spacing w:after="0" w:line="259" w:lineRule="auto"/>
      <w:ind w:left="0" w:right="659"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252E" w14:textId="77777777" w:rsidR="00073CCF" w:rsidRDefault="0064621C">
    <w:pPr>
      <w:spacing w:after="0" w:line="259" w:lineRule="auto"/>
      <w:ind w:left="0" w:right="659"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22D0" w14:textId="77777777" w:rsidR="00073CCF" w:rsidRDefault="0064621C">
    <w:pPr>
      <w:spacing w:after="0" w:line="259" w:lineRule="auto"/>
      <w:ind w:left="0" w:right="659"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8D2CF" w14:textId="77777777" w:rsidR="00073CCF" w:rsidRDefault="0064621C">
      <w:pPr>
        <w:spacing w:after="0" w:line="259" w:lineRule="auto"/>
        <w:ind w:left="227" w:firstLine="0"/>
        <w:jc w:val="left"/>
      </w:pPr>
      <w:r>
        <w:separator/>
      </w:r>
    </w:p>
  </w:footnote>
  <w:footnote w:type="continuationSeparator" w:id="0">
    <w:p w14:paraId="461B8309" w14:textId="77777777" w:rsidR="00073CCF" w:rsidRDefault="0064621C">
      <w:pPr>
        <w:spacing w:after="0" w:line="259" w:lineRule="auto"/>
        <w:ind w:left="227" w:firstLine="0"/>
        <w:jc w:val="left"/>
      </w:pPr>
      <w:r>
        <w:continuationSeparator/>
      </w:r>
    </w:p>
  </w:footnote>
  <w:footnote w:id="1">
    <w:p w14:paraId="03309D05" w14:textId="77777777" w:rsidR="00073CCF" w:rsidRDefault="0064621C">
      <w:pPr>
        <w:pStyle w:val="footnotedescription"/>
      </w:pPr>
      <w:r>
        <w:rPr>
          <w:rStyle w:val="footnotemark"/>
        </w:rPr>
        <w:footnoteRef/>
      </w:r>
      <w:r>
        <w:t xml:space="preserve"> </w:t>
      </w:r>
      <w:hyperlink r:id="rId1">
        <w:r>
          <w:t>https://www.promega.de/resources/tools/biomath/tm-calculator/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F4DD1"/>
    <w:multiLevelType w:val="multilevel"/>
    <w:tmpl w:val="2EF8567A"/>
    <w:lvl w:ilvl="0">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4459287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us Rublack">
    <w15:presenceInfo w15:providerId="Windows Live" w15:userId="745d74a4dee6b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CCF"/>
    <w:rsid w:val="00073CCF"/>
    <w:rsid w:val="006462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8746"/>
  <w15:docId w15:val="{3D19F20B-81F8-4F58-9AB6-0322A729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8" w:line="320" w:lineRule="auto"/>
      <w:ind w:left="325" w:hanging="3"/>
      <w:jc w:val="both"/>
    </w:pPr>
    <w:rPr>
      <w:rFonts w:ascii="Times New Roman" w:eastAsia="Times New Roman" w:hAnsi="Times New Roman" w:cs="Times New Roman"/>
      <w:color w:val="000000"/>
      <w:sz w:val="20"/>
    </w:rPr>
  </w:style>
  <w:style w:type="paragraph" w:styleId="berschrift1">
    <w:name w:val="heading 1"/>
    <w:next w:val="Standard"/>
    <w:link w:val="berschrift1Zchn"/>
    <w:uiPriority w:val="9"/>
    <w:qFormat/>
    <w:pPr>
      <w:keepNext/>
      <w:keepLines/>
      <w:numPr>
        <w:numId w:val="1"/>
      </w:numPr>
      <w:spacing w:after="141"/>
      <w:ind w:left="33" w:hanging="10"/>
      <w:outlineLvl w:val="0"/>
    </w:pPr>
    <w:rPr>
      <w:rFonts w:ascii="Times New Roman" w:eastAsia="Times New Roman" w:hAnsi="Times New Roman" w:cs="Times New Roman"/>
      <w:b/>
      <w:color w:val="000000"/>
      <w:sz w:val="29"/>
    </w:rPr>
  </w:style>
  <w:style w:type="paragraph" w:styleId="berschrift2">
    <w:name w:val="heading 2"/>
    <w:next w:val="Standard"/>
    <w:link w:val="berschrift2Zchn"/>
    <w:uiPriority w:val="9"/>
    <w:unhideWhenUsed/>
    <w:qFormat/>
    <w:pPr>
      <w:keepNext/>
      <w:keepLines/>
      <w:numPr>
        <w:ilvl w:val="1"/>
        <w:numId w:val="1"/>
      </w:numPr>
      <w:spacing w:after="141"/>
      <w:ind w:left="33" w:hanging="10"/>
      <w:outlineLvl w:val="1"/>
    </w:pPr>
    <w:rPr>
      <w:rFonts w:ascii="Times New Roman" w:eastAsia="Times New Roman" w:hAnsi="Times New Roman" w:cs="Times New Roman"/>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Times New Roman" w:eastAsia="Times New Roman" w:hAnsi="Times New Roman" w:cs="Times New Roman"/>
      <w:b/>
      <w:color w:val="000000"/>
      <w:sz w:val="24"/>
    </w:rPr>
  </w:style>
  <w:style w:type="paragraph" w:customStyle="1" w:styleId="footnotedescription">
    <w:name w:val="footnote description"/>
    <w:next w:val="Standard"/>
    <w:link w:val="footnotedescriptionChar"/>
    <w:hidden/>
    <w:pPr>
      <w:spacing w:after="0"/>
      <w:ind w:left="227"/>
    </w:pPr>
    <w:rPr>
      <w:rFonts w:ascii="Times New Roman" w:eastAsia="Times New Roman" w:hAnsi="Times New Roman" w:cs="Times New Roman"/>
      <w:color w:val="4169E1"/>
      <w:sz w:val="16"/>
    </w:rPr>
  </w:style>
  <w:style w:type="character" w:customStyle="1" w:styleId="footnotedescriptionChar">
    <w:name w:val="footnote description Char"/>
    <w:link w:val="footnotedescription"/>
    <w:rPr>
      <w:rFonts w:ascii="Times New Roman" w:eastAsia="Times New Roman" w:hAnsi="Times New Roman" w:cs="Times New Roman"/>
      <w:color w:val="4169E1"/>
      <w:sz w:val="16"/>
    </w:rPr>
  </w:style>
  <w:style w:type="character" w:customStyle="1" w:styleId="berschrift1Zchn">
    <w:name w:val="Überschrift 1 Zchn"/>
    <w:link w:val="berschrift1"/>
    <w:rPr>
      <w:rFonts w:ascii="Times New Roman" w:eastAsia="Times New Roman" w:hAnsi="Times New Roman" w:cs="Times New Roman"/>
      <w:b/>
      <w:color w:val="000000"/>
      <w:sz w:val="29"/>
    </w:rPr>
  </w:style>
  <w:style w:type="paragraph" w:styleId="Verzeichnis1">
    <w:name w:val="toc 1"/>
    <w:hidden/>
    <w:pPr>
      <w:spacing w:after="61"/>
      <w:ind w:left="48" w:right="682" w:hanging="10"/>
    </w:pPr>
    <w:rPr>
      <w:rFonts w:ascii="Times New Roman" w:eastAsia="Times New Roman" w:hAnsi="Times New Roman" w:cs="Times New Roman"/>
      <w:b/>
      <w:color w:val="000000"/>
      <w:sz w:val="20"/>
    </w:rPr>
  </w:style>
  <w:style w:type="paragraph" w:styleId="Verzeichnis2">
    <w:name w:val="toc 2"/>
    <w:hidden/>
    <w:pPr>
      <w:spacing w:after="61"/>
      <w:ind w:left="340" w:right="656" w:hanging="3"/>
      <w:jc w:val="both"/>
    </w:pPr>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character" w:styleId="Kommentarzeichen">
    <w:name w:val="annotation reference"/>
    <w:basedOn w:val="Absatz-Standardschriftart"/>
    <w:uiPriority w:val="99"/>
    <w:semiHidden/>
    <w:unhideWhenUsed/>
    <w:rsid w:val="0064621C"/>
    <w:rPr>
      <w:sz w:val="16"/>
      <w:szCs w:val="16"/>
    </w:rPr>
  </w:style>
  <w:style w:type="paragraph" w:styleId="Kommentartext">
    <w:name w:val="annotation text"/>
    <w:basedOn w:val="Standard"/>
    <w:link w:val="KommentartextZchn"/>
    <w:uiPriority w:val="99"/>
    <w:unhideWhenUsed/>
    <w:rsid w:val="0064621C"/>
    <w:pPr>
      <w:spacing w:line="240" w:lineRule="auto"/>
    </w:pPr>
    <w:rPr>
      <w:szCs w:val="20"/>
    </w:rPr>
  </w:style>
  <w:style w:type="character" w:customStyle="1" w:styleId="KommentartextZchn">
    <w:name w:val="Kommentartext Zchn"/>
    <w:basedOn w:val="Absatz-Standardschriftart"/>
    <w:link w:val="Kommentartext"/>
    <w:uiPriority w:val="99"/>
    <w:rsid w:val="0064621C"/>
    <w:rPr>
      <w:rFonts w:ascii="Times New Roman" w:eastAsia="Times New Roman" w:hAnsi="Times New Roman" w:cs="Times New Roman"/>
      <w:color w:val="000000"/>
      <w:sz w:val="20"/>
      <w:szCs w:val="20"/>
    </w:rPr>
  </w:style>
  <w:style w:type="paragraph" w:styleId="Kommentarthema">
    <w:name w:val="annotation subject"/>
    <w:basedOn w:val="Kommentartext"/>
    <w:next w:val="Kommentartext"/>
    <w:link w:val="KommentarthemaZchn"/>
    <w:uiPriority w:val="99"/>
    <w:semiHidden/>
    <w:unhideWhenUsed/>
    <w:rsid w:val="0064621C"/>
    <w:rPr>
      <w:b/>
      <w:bCs/>
    </w:rPr>
  </w:style>
  <w:style w:type="character" w:customStyle="1" w:styleId="KommentarthemaZchn">
    <w:name w:val="Kommentarthema Zchn"/>
    <w:basedOn w:val="KommentartextZchn"/>
    <w:link w:val="Kommentarthema"/>
    <w:uiPriority w:val="99"/>
    <w:semiHidden/>
    <w:rsid w:val="0064621C"/>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doi.org/10.3390/mi11060595" TargetMode="External"/><Relationship Id="rId26" Type="http://schemas.openxmlformats.org/officeDocument/2006/relationships/hyperlink" Target="https://doi.org/10.1111/j.1750-2659.2007.00024.x" TargetMode="External"/><Relationship Id="rId39" Type="http://schemas.openxmlformats.org/officeDocument/2006/relationships/hyperlink" Target="https://doi.org/10.1039/c8an01621f" TargetMode="External"/><Relationship Id="rId21" Type="http://schemas.openxmlformats.org/officeDocument/2006/relationships/hyperlink" Target="https://doi.org/10.1373/clinchem.2008.112797" TargetMode="External"/><Relationship Id="rId34" Type="http://schemas.openxmlformats.org/officeDocument/2006/relationships/hyperlink" Target="https://doi.org/10.4014/jmb.2109.09022" TargetMode="External"/><Relationship Id="rId42" Type="http://schemas.openxmlformats.org/officeDocument/2006/relationships/hyperlink" Target="https://doi.org/10.1089/cmb.2005.12.431" TargetMode="External"/><Relationship Id="rId47" Type="http://schemas.openxmlformats.org/officeDocument/2006/relationships/hyperlink" Target="https://doi.org/10.1093/bioinformatics/bth254" TargetMode="External"/><Relationship Id="rId50" Type="http://schemas.openxmlformats.org/officeDocument/2006/relationships/hyperlink" Target="https://doi.org/10.1016/j.bej.2016.04.017" TargetMode="External"/><Relationship Id="rId55" Type="http://schemas.openxmlformats.org/officeDocument/2006/relationships/hyperlink" Target="https://doi.org/10.1016/j.ijid.2020.12.027" TargetMode="External"/><Relationship Id="rId63" Type="http://schemas.openxmlformats.org/officeDocument/2006/relationships/hyperlink" Target="https://doi.org/10.1093/bioinformatics/btv205" TargetMode="External"/><Relationship Id="rId68" Type="http://schemas.openxmlformats.org/officeDocument/2006/relationships/hyperlink" Target="https://doi.org/10.2807/1560-7917.es.2020.25.41.1900652" TargetMode="External"/><Relationship Id="rId76" Type="http://schemas.openxmlformats.org/officeDocument/2006/relationships/hyperlink" Target="https://doi.org/10.1016/s1386-6532(02)00170-1" TargetMode="External"/><Relationship Id="rId84" Type="http://schemas.microsoft.com/office/2011/relationships/people" Target="people.xml"/><Relationship Id="rId7" Type="http://schemas.openxmlformats.org/officeDocument/2006/relationships/image" Target="media/image1.jpg"/><Relationship Id="rId71" Type="http://schemas.openxmlformats.org/officeDocument/2006/relationships/hyperlink" Target="https://doi.org/10.1016/j.jviromet.2008.06.002" TargetMode="External"/><Relationship Id="rId2" Type="http://schemas.openxmlformats.org/officeDocument/2006/relationships/styles" Target="styles.xml"/><Relationship Id="rId16" Type="http://schemas.openxmlformats.org/officeDocument/2006/relationships/hyperlink" Target="https://doi.org/10.1093/clinchem/hvaa116" TargetMode="External"/><Relationship Id="rId29" Type="http://schemas.openxmlformats.org/officeDocument/2006/relationships/hyperlink" Target="https://doi.org/10.1038/s41598-021-82479-8" TargetMode="External"/><Relationship Id="rId11" Type="http://schemas.microsoft.com/office/2018/08/relationships/commentsExtensible" Target="commentsExtensible.xml"/><Relationship Id="rId24" Type="http://schemas.openxmlformats.org/officeDocument/2006/relationships/hyperlink" Target="https://doi.org/10.1186/s12879-015-1212-5" TargetMode="External"/><Relationship Id="rId32" Type="http://schemas.openxmlformats.org/officeDocument/2006/relationships/hyperlink" Target="https://doi.org/10.1016/s0022-1759(98)00170-7" TargetMode="External"/><Relationship Id="rId37" Type="http://schemas.openxmlformats.org/officeDocument/2006/relationships/hyperlink" Target="https://doi.org/10.1021/acssensors.1c00669" TargetMode="External"/><Relationship Id="rId40" Type="http://schemas.openxmlformats.org/officeDocument/2006/relationships/hyperlink" Target="https://doi.org/10.1002/jmv.28139" TargetMode="External"/><Relationship Id="rId45" Type="http://schemas.openxmlformats.org/officeDocument/2006/relationships/hyperlink" Target="https://doi.org/10.1039/b921140c" TargetMode="External"/><Relationship Id="rId53" Type="http://schemas.openxmlformats.org/officeDocument/2006/relationships/hyperlink" Target="https://stacks.cdc.gov/view/cdc/107944" TargetMode="External"/><Relationship Id="rId58" Type="http://schemas.openxmlformats.org/officeDocument/2006/relationships/hyperlink" Target="https://doi.org/10.1016/s0042-6822(02)00083-1" TargetMode="External"/><Relationship Id="rId66" Type="http://schemas.openxmlformats.org/officeDocument/2006/relationships/hyperlink" Target="https://doi.org/10.1021/acs.analchem.8b03736" TargetMode="External"/><Relationship Id="rId74" Type="http://schemas.openxmlformats.org/officeDocument/2006/relationships/hyperlink" Target="https://doi.org/10.11604/pamj.supp.2020.35.24258" TargetMode="External"/><Relationship Id="rId79" Type="http://schemas.openxmlformats.org/officeDocument/2006/relationships/hyperlink" Target="https://doi.org/10.1021/acs.langmuir.1c03190" TargetMode="External"/><Relationship Id="rId5" Type="http://schemas.openxmlformats.org/officeDocument/2006/relationships/footnotes" Target="footnotes.xml"/><Relationship Id="rId61" Type="http://schemas.openxmlformats.org/officeDocument/2006/relationships/hyperlink" Target="https://doi.org/10.1093/bioinformatics/btn227" TargetMode="External"/><Relationship Id="rId82" Type="http://schemas.openxmlformats.org/officeDocument/2006/relationships/footer" Target="footer3.xml"/><Relationship Id="rId19" Type="http://schemas.openxmlformats.org/officeDocument/2006/relationships/hyperlink" Target="https://doi.org/10.1007/978-3-662-55480-7_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590/0074-02760200009" TargetMode="External"/><Relationship Id="rId22" Type="http://schemas.openxmlformats.org/officeDocument/2006/relationships/hyperlink" Target="https://doi.org/10.1373/clinchem.2008.112797" TargetMode="External"/><Relationship Id="rId27" Type="http://schemas.openxmlformats.org/officeDocument/2006/relationships/hyperlink" Target="https://doi.org/10.53846/goediss-3943" TargetMode="External"/><Relationship Id="rId30" Type="http://schemas.openxmlformats.org/officeDocument/2006/relationships/hyperlink" Target="https://doi.org/10.1002/andp.19484370105" TargetMode="External"/><Relationship Id="rId35" Type="http://schemas.openxmlformats.org/officeDocument/2006/relationships/hyperlink" Target="https://doi.org/10.1016/j.jmoldx.2022.08.005" TargetMode="External"/><Relationship Id="rId43" Type="http://schemas.openxmlformats.org/officeDocument/2006/relationships/hyperlink" Target="https://doi.org/10.1007/s11274-019-2620-2" TargetMode="External"/><Relationship Id="rId48" Type="http://schemas.openxmlformats.org/officeDocument/2006/relationships/hyperlink" Target="https://doi.org/10.1042/bj2110281" TargetMode="External"/><Relationship Id="rId56" Type="http://schemas.openxmlformats.org/officeDocument/2006/relationships/hyperlink" Target="https://doi.org/10.1016/j.ijid.2020.12.027" TargetMode="External"/><Relationship Id="rId64" Type="http://schemas.openxmlformats.org/officeDocument/2006/relationships/hyperlink" Target="https://doi.org/10.1021/ac504365v" TargetMode="External"/><Relationship Id="rId69" Type="http://schemas.openxmlformats.org/officeDocument/2006/relationships/hyperlink" Target="https://doi.org/10.1039/d0an02000a" TargetMode="External"/><Relationship Id="rId77" Type="http://schemas.openxmlformats.org/officeDocument/2006/relationships/hyperlink" Target="https://doi.org/10.1016/s1386-6532(02)00170-1" TargetMode="External"/><Relationship Id="rId8" Type="http://schemas.openxmlformats.org/officeDocument/2006/relationships/comments" Target="comments.xml"/><Relationship Id="rId51" Type="http://schemas.openxmlformats.org/officeDocument/2006/relationships/hyperlink" Target="https://doi.org/10.1016/j.bej.2016.04.017" TargetMode="External"/><Relationship Id="rId72" Type="http://schemas.openxmlformats.org/officeDocument/2006/relationships/hyperlink" Target="https://doi.org/10.1016/j.jfma.2010.10.001"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3390/mi11060595" TargetMode="External"/><Relationship Id="rId25" Type="http://schemas.openxmlformats.org/officeDocument/2006/relationships/hyperlink" Target="https://doi.org/10.1016/j.mcp.2014.11.005" TargetMode="External"/><Relationship Id="rId33" Type="http://schemas.openxmlformats.org/officeDocument/2006/relationships/hyperlink" Target="https://doi.org/10.1016/j.patbio.2008.07.030" TargetMode="External"/><Relationship Id="rId38" Type="http://schemas.openxmlformats.org/officeDocument/2006/relationships/hyperlink" Target="https://doi.org/10.1002/chem.200304941" TargetMode="External"/><Relationship Id="rId46" Type="http://schemas.openxmlformats.org/officeDocument/2006/relationships/hyperlink" Target="https://doi.org/10.1039/b921140c" TargetMode="External"/><Relationship Id="rId59" Type="http://schemas.openxmlformats.org/officeDocument/2006/relationships/hyperlink" Target="https://doi.org/10.1006/mcpr.1999.0278" TargetMode="External"/><Relationship Id="rId67" Type="http://schemas.openxmlformats.org/officeDocument/2006/relationships/hyperlink" Target="https://doi.org/10.2807/1560-7917.es.2020.25.41.1900652" TargetMode="External"/><Relationship Id="rId20" Type="http://schemas.openxmlformats.org/officeDocument/2006/relationships/hyperlink" Target="https://doi.org/10.1128/mbio.00135-13" TargetMode="External"/><Relationship Id="rId41" Type="http://schemas.openxmlformats.org/officeDocument/2006/relationships/hyperlink" Target="https://doi.org/10.1016/j.mcp.2016.01.009" TargetMode="External"/><Relationship Id="rId54" Type="http://schemas.openxmlformats.org/officeDocument/2006/relationships/hyperlink" Target="https://doi.org/10.1186/1743-422x-7-75" TargetMode="External"/><Relationship Id="rId62" Type="http://schemas.openxmlformats.org/officeDocument/2006/relationships/hyperlink" Target="https://doi.org/10.1093/bioinformatics/btv205" TargetMode="External"/><Relationship Id="rId70" Type="http://schemas.openxmlformats.org/officeDocument/2006/relationships/hyperlink" Target="https://doi.org/10.1373/clinchem.2014.230656" TargetMode="External"/><Relationship Id="rId75" Type="http://schemas.openxmlformats.org/officeDocument/2006/relationships/hyperlink" Target="https://doi.org/10.1039/c9ra05709a"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2/jmv.25648" TargetMode="External"/><Relationship Id="rId23" Type="http://schemas.openxmlformats.org/officeDocument/2006/relationships/hyperlink" Target="https://doi.org/10.1007/s00239-008-9119-z" TargetMode="External"/><Relationship Id="rId28" Type="http://schemas.openxmlformats.org/officeDocument/2006/relationships/hyperlink" Target="https://doi.org/10.1038/s41598-021-82479-8" TargetMode="External"/><Relationship Id="rId36" Type="http://schemas.openxmlformats.org/officeDocument/2006/relationships/hyperlink" Target="https://doi.org/10.1007/978-3-662-57619-9" TargetMode="External"/><Relationship Id="rId49" Type="http://schemas.openxmlformats.org/officeDocument/2006/relationships/hyperlink" Target="https://doi.org/10.1007/978-3-8274-2241-5" TargetMode="External"/><Relationship Id="rId57" Type="http://schemas.openxmlformats.org/officeDocument/2006/relationships/hyperlink" Target="https://doi.org/10.1016/s0042-6822(02)00083-1" TargetMode="External"/><Relationship Id="rId10" Type="http://schemas.microsoft.com/office/2016/09/relationships/commentsIds" Target="commentsIds.xml"/><Relationship Id="rId31" Type="http://schemas.openxmlformats.org/officeDocument/2006/relationships/hyperlink" Target="https://doi.org/10.1016/s0022-1759(98)00170-7" TargetMode="External"/><Relationship Id="rId44" Type="http://schemas.openxmlformats.org/officeDocument/2006/relationships/hyperlink" Target="https://doi.org/10.1016/j.trac.2017.10.015" TargetMode="External"/><Relationship Id="rId52" Type="http://schemas.openxmlformats.org/officeDocument/2006/relationships/hyperlink" Target="https://doi.org/10.1016/j.jviromet.2014.04.016" TargetMode="External"/><Relationship Id="rId60" Type="http://schemas.openxmlformats.org/officeDocument/2006/relationships/hyperlink" Target="https://doi.org/10.1093/bioinformatics/btn227" TargetMode="External"/><Relationship Id="rId65" Type="http://schemas.openxmlformats.org/officeDocument/2006/relationships/hyperlink" Target="https://doi.org/10.1021/acs.analchem.8b03736" TargetMode="External"/><Relationship Id="rId73" Type="http://schemas.openxmlformats.org/officeDocument/2006/relationships/hyperlink" Target="https://doi.org/10.1196/annals.1430.001" TargetMode="External"/><Relationship Id="rId78" Type="http://schemas.openxmlformats.org/officeDocument/2006/relationships/hyperlink" Target="https://doi.org/10.1016/j.jviromet.2007.10.023" TargetMode="External"/><Relationship Id="rId81"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promega.de/resources/tools/biomath/tm-calcula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7356</Words>
  <Characters>46347</Characters>
  <Application>Microsoft Office Word</Application>
  <DocSecurity>0</DocSecurity>
  <Lines>386</Lines>
  <Paragraphs>107</Paragraphs>
  <ScaleCrop>false</ScaleCrop>
  <Company/>
  <LinksUpToDate>false</LinksUpToDate>
  <CharactersWithSpaces>53596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cp:lastModifiedBy>Julius Rublack</cp:lastModifiedBy>
  <cp:revision>2</cp:revision>
  <dcterms:created xsi:type="dcterms:W3CDTF">2023-03-07T07:50:00Z</dcterms:created>
  <dcterms:modified xsi:type="dcterms:W3CDTF">2023-03-07T07:50:00Z</dcterms:modified>
</cp:coreProperties>
</file>