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sz w:val="20"/>
        </w:rPr>
        <w:id w:val="675315535"/>
        <w:docPartObj>
          <w:docPartGallery w:val="Table of Contents"/>
        </w:docPartObj>
      </w:sdtPr>
      <w:sdtEndPr/>
      <w:sdtContent>
        <w:p w14:paraId="1E9FAEA0" w14:textId="77777777" w:rsidR="008C7A05" w:rsidRDefault="00866A07">
          <w:pPr>
            <w:pStyle w:val="Verzeichnis1"/>
            <w:tabs>
              <w:tab w:val="right" w:leader="dot" w:pos="9429"/>
            </w:tabs>
          </w:pPr>
          <w:r>
            <w:fldChar w:fldCharType="begin"/>
          </w:r>
          <w:r>
            <w:instrText xml:space="preserve"> TOC \o "1-3" \h \z \u </w:instrText>
          </w:r>
          <w:r>
            <w:fldChar w:fldCharType="separate"/>
          </w:r>
          <w:hyperlink w:anchor="_Toc30594">
            <w:r>
              <w:rPr>
                <w:rFonts w:ascii="Times New Roman" w:eastAsia="Times New Roman" w:hAnsi="Times New Roman" w:cs="Times New Roman"/>
                <w:b/>
                <w:sz w:val="29"/>
              </w:rPr>
              <w:t>Inhaltsverzeichnis</w:t>
            </w:r>
            <w:r>
              <w:rPr>
                <w:rFonts w:ascii="Times New Roman" w:eastAsia="Times New Roman" w:hAnsi="Times New Roman" w:cs="Times New Roman"/>
                <w:b/>
                <w:sz w:val="20"/>
              </w:rPr>
              <w:t>1 Einleitung</w:t>
            </w:r>
            <w:r>
              <w:tab/>
            </w:r>
            <w:r>
              <w:fldChar w:fldCharType="begin"/>
            </w:r>
            <w:r>
              <w:instrText>PAGEREF _Toc30594 \h</w:instrText>
            </w:r>
            <w:r>
              <w:fldChar w:fldCharType="separate"/>
            </w:r>
            <w:r>
              <w:rPr>
                <w:rFonts w:ascii="Times New Roman" w:eastAsia="Times New Roman" w:hAnsi="Times New Roman" w:cs="Times New Roman"/>
                <w:b/>
                <w:sz w:val="20"/>
              </w:rPr>
              <w:t>2</w:t>
            </w:r>
            <w:r>
              <w:fldChar w:fldCharType="end"/>
            </w:r>
          </w:hyperlink>
        </w:p>
        <w:p w14:paraId="6EFAF20F" w14:textId="77777777" w:rsidR="008C7A05" w:rsidRDefault="00866A07">
          <w:pPr>
            <w:pStyle w:val="Verzeichnis2"/>
            <w:tabs>
              <w:tab w:val="right" w:leader="dot" w:pos="9429"/>
            </w:tabs>
          </w:pPr>
          <w:hyperlink w:anchor="_Toc30595">
            <w:r>
              <w:rPr>
                <w:rFonts w:ascii="Times New Roman" w:eastAsia="Times New Roman" w:hAnsi="Times New Roman" w:cs="Times New Roman"/>
                <w:sz w:val="20"/>
              </w:rPr>
              <w:t>1.1 Viren - Die Gefahr aus dem nichts</w:t>
            </w:r>
            <w:r>
              <w:tab/>
            </w:r>
            <w:r>
              <w:fldChar w:fldCharType="begin"/>
            </w:r>
            <w:r>
              <w:instrText>PAGEREF _Toc30595 \h</w:instrText>
            </w:r>
            <w:r>
              <w:fldChar w:fldCharType="separate"/>
            </w:r>
            <w:r>
              <w:rPr>
                <w:rFonts w:ascii="Times New Roman" w:eastAsia="Times New Roman" w:hAnsi="Times New Roman" w:cs="Times New Roman"/>
                <w:sz w:val="20"/>
              </w:rPr>
              <w:t>2</w:t>
            </w:r>
            <w:r>
              <w:fldChar w:fldCharType="end"/>
            </w:r>
          </w:hyperlink>
        </w:p>
        <w:p w14:paraId="2C2523A9" w14:textId="77777777" w:rsidR="008C7A05" w:rsidRDefault="00866A07">
          <w:pPr>
            <w:pStyle w:val="Verzeichnis2"/>
            <w:tabs>
              <w:tab w:val="right" w:leader="dot" w:pos="9429"/>
            </w:tabs>
          </w:pPr>
          <w:hyperlink w:anchor="_Toc30596">
            <w:r>
              <w:rPr>
                <w:rFonts w:ascii="Times New Roman" w:eastAsia="Times New Roman" w:hAnsi="Times New Roman" w:cs="Times New Roman"/>
                <w:sz w:val="20"/>
              </w:rPr>
              <w:t>1.2 Die Influenza Viren - Pandemieverursacher Nr. 1</w:t>
            </w:r>
            <w:r>
              <w:tab/>
            </w:r>
            <w:r>
              <w:fldChar w:fldCharType="begin"/>
            </w:r>
            <w:r>
              <w:instrText>PAGEREF _Toc30596 \h</w:instrText>
            </w:r>
            <w:r>
              <w:fldChar w:fldCharType="separate"/>
            </w:r>
            <w:r>
              <w:rPr>
                <w:rFonts w:ascii="Times New Roman" w:eastAsia="Times New Roman" w:hAnsi="Times New Roman" w:cs="Times New Roman"/>
                <w:sz w:val="20"/>
              </w:rPr>
              <w:t>3</w:t>
            </w:r>
            <w:r>
              <w:fldChar w:fldCharType="end"/>
            </w:r>
          </w:hyperlink>
        </w:p>
        <w:p w14:paraId="27D5C7C3" w14:textId="77777777" w:rsidR="008C7A05" w:rsidRDefault="00866A07">
          <w:pPr>
            <w:pStyle w:val="Verzeichnis3"/>
            <w:tabs>
              <w:tab w:val="right" w:leader="dot" w:pos="9429"/>
            </w:tabs>
          </w:pPr>
          <w:hyperlink w:anchor="_Toc30597">
            <w:r>
              <w:rPr>
                <w:rFonts w:ascii="Times New Roman" w:eastAsia="Times New Roman" w:hAnsi="Times New Roman" w:cs="Times New Roman"/>
                <w:sz w:val="20"/>
              </w:rPr>
              <w:t>1.2.1 Influenza A</w:t>
            </w:r>
            <w:r>
              <w:tab/>
            </w:r>
            <w:r>
              <w:fldChar w:fldCharType="begin"/>
            </w:r>
            <w:r>
              <w:instrText>PAGEREF _Toc30597 \h</w:instrText>
            </w:r>
            <w:r>
              <w:fldChar w:fldCharType="separate"/>
            </w:r>
            <w:r>
              <w:rPr>
                <w:rFonts w:ascii="Times New Roman" w:eastAsia="Times New Roman" w:hAnsi="Times New Roman" w:cs="Times New Roman"/>
                <w:sz w:val="20"/>
              </w:rPr>
              <w:t>3</w:t>
            </w:r>
            <w:r>
              <w:fldChar w:fldCharType="end"/>
            </w:r>
          </w:hyperlink>
        </w:p>
        <w:p w14:paraId="4F5D549D" w14:textId="77777777" w:rsidR="008C7A05" w:rsidRDefault="00866A07">
          <w:pPr>
            <w:pStyle w:val="Verzeichnis3"/>
            <w:tabs>
              <w:tab w:val="right" w:leader="dot" w:pos="9429"/>
            </w:tabs>
          </w:pPr>
          <w:hyperlink w:anchor="_Toc30598">
            <w:r>
              <w:rPr>
                <w:rFonts w:ascii="Times New Roman" w:eastAsia="Times New Roman" w:hAnsi="Times New Roman" w:cs="Times New Roman"/>
                <w:sz w:val="20"/>
              </w:rPr>
              <w:t>1.2.2 Influenza B</w:t>
            </w:r>
            <w:r>
              <w:tab/>
            </w:r>
            <w:r>
              <w:fldChar w:fldCharType="begin"/>
            </w:r>
            <w:r>
              <w:instrText>PAGEREF _Toc30598 \h</w:instrText>
            </w:r>
            <w:r>
              <w:fldChar w:fldCharType="separate"/>
            </w:r>
            <w:r>
              <w:rPr>
                <w:rFonts w:ascii="Times New Roman" w:eastAsia="Times New Roman" w:hAnsi="Times New Roman" w:cs="Times New Roman"/>
                <w:sz w:val="20"/>
              </w:rPr>
              <w:t>5</w:t>
            </w:r>
            <w:r>
              <w:fldChar w:fldCharType="end"/>
            </w:r>
          </w:hyperlink>
        </w:p>
        <w:p w14:paraId="4A83DD88" w14:textId="77777777" w:rsidR="008C7A05" w:rsidRDefault="00866A07">
          <w:pPr>
            <w:pStyle w:val="Verzeichnis2"/>
            <w:tabs>
              <w:tab w:val="right" w:leader="dot" w:pos="9429"/>
            </w:tabs>
          </w:pPr>
          <w:hyperlink w:anchor="_Toc30599">
            <w:r>
              <w:rPr>
                <w:rFonts w:ascii="Times New Roman" w:eastAsia="Times New Roman" w:hAnsi="Times New Roman" w:cs="Times New Roman"/>
                <w:sz w:val="20"/>
              </w:rPr>
              <w:t>1.3 Nachweismethoden von Influenza</w:t>
            </w:r>
            <w:r>
              <w:tab/>
            </w:r>
            <w:r>
              <w:fldChar w:fldCharType="begin"/>
            </w:r>
            <w:r>
              <w:instrText>PAGEREF _Toc30599 \h</w:instrText>
            </w:r>
            <w:r>
              <w:fldChar w:fldCharType="separate"/>
            </w:r>
            <w:r>
              <w:rPr>
                <w:rFonts w:ascii="Times New Roman" w:eastAsia="Times New Roman" w:hAnsi="Times New Roman" w:cs="Times New Roman"/>
                <w:sz w:val="20"/>
              </w:rPr>
              <w:t>7</w:t>
            </w:r>
            <w:r>
              <w:fldChar w:fldCharType="end"/>
            </w:r>
          </w:hyperlink>
        </w:p>
        <w:p w14:paraId="3FD683B9" w14:textId="77777777" w:rsidR="008C7A05" w:rsidRDefault="00866A07">
          <w:pPr>
            <w:pStyle w:val="Verzeichnis2"/>
            <w:tabs>
              <w:tab w:val="right" w:leader="dot" w:pos="9429"/>
            </w:tabs>
          </w:pPr>
          <w:hyperlink w:anchor="_Toc30600">
            <w:r>
              <w:rPr>
                <w:rFonts w:ascii="Times New Roman" w:eastAsia="Times New Roman" w:hAnsi="Times New Roman" w:cs="Times New Roman"/>
                <w:sz w:val="20"/>
              </w:rPr>
              <w:t>1.4 Nukleinsäure amplifizierende Methoden - NAAT</w:t>
            </w:r>
            <w:r>
              <w:tab/>
            </w:r>
            <w:r>
              <w:fldChar w:fldCharType="begin"/>
            </w:r>
            <w:r>
              <w:instrText>PAGEREF _Toc30600 \h</w:instrText>
            </w:r>
            <w:r>
              <w:fldChar w:fldCharType="separate"/>
            </w:r>
            <w:r>
              <w:rPr>
                <w:rFonts w:ascii="Times New Roman" w:eastAsia="Times New Roman" w:hAnsi="Times New Roman" w:cs="Times New Roman"/>
                <w:sz w:val="20"/>
              </w:rPr>
              <w:t>7</w:t>
            </w:r>
            <w:r>
              <w:fldChar w:fldCharType="end"/>
            </w:r>
          </w:hyperlink>
        </w:p>
        <w:p w14:paraId="23881777" w14:textId="77777777" w:rsidR="008C7A05" w:rsidRDefault="00866A07">
          <w:pPr>
            <w:pStyle w:val="Verzeichnis3"/>
            <w:tabs>
              <w:tab w:val="right" w:leader="dot" w:pos="9429"/>
            </w:tabs>
          </w:pPr>
          <w:hyperlink w:anchor="_Toc30601">
            <w:r>
              <w:rPr>
                <w:rFonts w:ascii="Times New Roman" w:eastAsia="Times New Roman" w:hAnsi="Times New Roman" w:cs="Times New Roman"/>
                <w:sz w:val="20"/>
              </w:rPr>
              <w:t>1.4.1 Die Polymerase Kettenreaktion</w:t>
            </w:r>
            <w:r>
              <w:tab/>
            </w:r>
            <w:r>
              <w:fldChar w:fldCharType="begin"/>
            </w:r>
            <w:r>
              <w:instrText>PAGEREF _Toc30601 \h</w:instrText>
            </w:r>
            <w:r>
              <w:fldChar w:fldCharType="separate"/>
            </w:r>
            <w:r>
              <w:rPr>
                <w:rFonts w:ascii="Times New Roman" w:eastAsia="Times New Roman" w:hAnsi="Times New Roman" w:cs="Times New Roman"/>
                <w:sz w:val="20"/>
              </w:rPr>
              <w:t>8</w:t>
            </w:r>
            <w:r>
              <w:fldChar w:fldCharType="end"/>
            </w:r>
          </w:hyperlink>
        </w:p>
        <w:p w14:paraId="36F9001B" w14:textId="77777777" w:rsidR="008C7A05" w:rsidRDefault="00866A07">
          <w:pPr>
            <w:pStyle w:val="Verzeichnis3"/>
            <w:tabs>
              <w:tab w:val="right" w:leader="dot" w:pos="9429"/>
            </w:tabs>
          </w:pPr>
          <w:hyperlink w:anchor="_Toc30602">
            <w:r>
              <w:rPr>
                <w:rFonts w:ascii="Times New Roman" w:eastAsia="Times New Roman" w:hAnsi="Times New Roman" w:cs="Times New Roman"/>
                <w:sz w:val="20"/>
              </w:rPr>
              <w:t>1.4.2 Isotherme Amplifikation</w:t>
            </w:r>
            <w:r>
              <w:tab/>
            </w:r>
            <w:r>
              <w:fldChar w:fldCharType="begin"/>
            </w:r>
            <w:r>
              <w:instrText>PAGEREF _Toc30602 \h</w:instrText>
            </w:r>
            <w:r>
              <w:fldChar w:fldCharType="separate"/>
            </w:r>
            <w:r>
              <w:rPr>
                <w:rFonts w:ascii="Times New Roman" w:eastAsia="Times New Roman" w:hAnsi="Times New Roman" w:cs="Times New Roman"/>
                <w:sz w:val="20"/>
              </w:rPr>
              <w:t>9</w:t>
            </w:r>
            <w:r>
              <w:fldChar w:fldCharType="end"/>
            </w:r>
          </w:hyperlink>
        </w:p>
        <w:p w14:paraId="0985D76A" w14:textId="77777777" w:rsidR="008C7A05" w:rsidRDefault="00866A07">
          <w:pPr>
            <w:pStyle w:val="Verzeichnis3"/>
            <w:tabs>
              <w:tab w:val="right" w:leader="dot" w:pos="9429"/>
            </w:tabs>
          </w:pPr>
          <w:hyperlink w:anchor="_Toc30603">
            <w:r>
              <w:rPr>
                <w:rFonts w:ascii="Times New Roman" w:eastAsia="Times New Roman" w:hAnsi="Times New Roman" w:cs="Times New Roman"/>
                <w:sz w:val="20"/>
              </w:rPr>
              <w:t>1.4.3 Schleifenvermittelte isotherme Amplifikation</w:t>
            </w:r>
            <w:r>
              <w:tab/>
            </w:r>
            <w:r>
              <w:fldChar w:fldCharType="begin"/>
            </w:r>
            <w:r>
              <w:instrText>PAGEREF _Toc30603 \h</w:instrText>
            </w:r>
            <w:r>
              <w:fldChar w:fldCharType="separate"/>
            </w:r>
            <w:r>
              <w:rPr>
                <w:rFonts w:ascii="Times New Roman" w:eastAsia="Times New Roman" w:hAnsi="Times New Roman" w:cs="Times New Roman"/>
                <w:sz w:val="20"/>
              </w:rPr>
              <w:t>9</w:t>
            </w:r>
            <w:r>
              <w:fldChar w:fldCharType="end"/>
            </w:r>
          </w:hyperlink>
        </w:p>
        <w:p w14:paraId="6EA5BB8C" w14:textId="77777777" w:rsidR="008C7A05" w:rsidRDefault="00866A07">
          <w:pPr>
            <w:pStyle w:val="Verzeichnis3"/>
            <w:tabs>
              <w:tab w:val="right" w:leader="dot" w:pos="9429"/>
            </w:tabs>
          </w:pPr>
          <w:hyperlink w:anchor="_Toc30604">
            <w:r>
              <w:rPr>
                <w:rFonts w:ascii="Times New Roman" w:eastAsia="Times New Roman" w:hAnsi="Times New Roman" w:cs="Times New Roman"/>
                <w:sz w:val="20"/>
              </w:rPr>
              <w:t>1.4.4 Nukleinsäure sequenz-basierte Amplifikation</w:t>
            </w:r>
            <w:r>
              <w:tab/>
            </w:r>
            <w:r>
              <w:fldChar w:fldCharType="begin"/>
            </w:r>
            <w:r>
              <w:instrText>PAGEREF _Toc30604 \h</w:instrText>
            </w:r>
            <w:r>
              <w:fldChar w:fldCharType="separate"/>
            </w:r>
            <w:r>
              <w:rPr>
                <w:rFonts w:ascii="Times New Roman" w:eastAsia="Times New Roman" w:hAnsi="Times New Roman" w:cs="Times New Roman"/>
                <w:sz w:val="20"/>
              </w:rPr>
              <w:t>11</w:t>
            </w:r>
            <w:r>
              <w:fldChar w:fldCharType="end"/>
            </w:r>
          </w:hyperlink>
        </w:p>
        <w:p w14:paraId="6718D2FB" w14:textId="77777777" w:rsidR="008C7A05" w:rsidRDefault="00866A07">
          <w:pPr>
            <w:pStyle w:val="Verzeichnis3"/>
            <w:tabs>
              <w:tab w:val="right" w:leader="dot" w:pos="9429"/>
            </w:tabs>
          </w:pPr>
          <w:hyperlink w:anchor="_Toc30605">
            <w:r>
              <w:rPr>
                <w:rFonts w:ascii="Times New Roman" w:eastAsia="Times New Roman" w:hAnsi="Times New Roman" w:cs="Times New Roman"/>
                <w:sz w:val="20"/>
              </w:rPr>
              <w:t>1.4.5 Rekombinase Polymerase Amplifikation</w:t>
            </w:r>
            <w:r>
              <w:tab/>
            </w:r>
            <w:r>
              <w:fldChar w:fldCharType="begin"/>
            </w:r>
            <w:r>
              <w:instrText>PAGEREF _Toc30605 \h</w:instrText>
            </w:r>
            <w:r>
              <w:fldChar w:fldCharType="separate"/>
            </w:r>
            <w:r>
              <w:rPr>
                <w:rFonts w:ascii="Times New Roman" w:eastAsia="Times New Roman" w:hAnsi="Times New Roman" w:cs="Times New Roman"/>
                <w:sz w:val="20"/>
              </w:rPr>
              <w:t>12</w:t>
            </w:r>
            <w:r>
              <w:fldChar w:fldCharType="end"/>
            </w:r>
          </w:hyperlink>
        </w:p>
        <w:p w14:paraId="3E62E164" w14:textId="77777777" w:rsidR="008C7A05" w:rsidRDefault="00866A07">
          <w:pPr>
            <w:pStyle w:val="Verzeichnis2"/>
            <w:tabs>
              <w:tab w:val="right" w:leader="dot" w:pos="9429"/>
            </w:tabs>
          </w:pPr>
          <w:hyperlink w:anchor="_Toc30606">
            <w:r>
              <w:rPr>
                <w:rFonts w:ascii="Times New Roman" w:eastAsia="Times New Roman" w:hAnsi="Times New Roman" w:cs="Times New Roman"/>
                <w:sz w:val="20"/>
              </w:rPr>
              <w:t>1.5 Ziel der Arbeit</w:t>
            </w:r>
            <w:r>
              <w:tab/>
            </w:r>
            <w:r>
              <w:fldChar w:fldCharType="begin"/>
            </w:r>
            <w:r>
              <w:instrText>PAGEREF _Toc30606 \h</w:instrText>
            </w:r>
            <w:r>
              <w:fldChar w:fldCharType="separate"/>
            </w:r>
            <w:r>
              <w:rPr>
                <w:rFonts w:ascii="Times New Roman" w:eastAsia="Times New Roman" w:hAnsi="Times New Roman" w:cs="Times New Roman"/>
                <w:sz w:val="20"/>
              </w:rPr>
              <w:t>14</w:t>
            </w:r>
            <w:r>
              <w:fldChar w:fldCharType="end"/>
            </w:r>
          </w:hyperlink>
        </w:p>
        <w:p w14:paraId="726D9CFB" w14:textId="77777777" w:rsidR="008C7A05" w:rsidRDefault="00866A07">
          <w:r>
            <w:fldChar w:fldCharType="end"/>
          </w:r>
        </w:p>
      </w:sdtContent>
    </w:sdt>
    <w:p w14:paraId="646506DF" w14:textId="77777777" w:rsidR="00223662" w:rsidRDefault="00223662">
      <w:pPr>
        <w:tabs>
          <w:tab w:val="center" w:pos="1205"/>
        </w:tabs>
        <w:spacing w:after="204" w:line="259" w:lineRule="auto"/>
        <w:ind w:left="0" w:right="0" w:firstLine="0"/>
        <w:jc w:val="left"/>
        <w:rPr>
          <w:b/>
          <w:sz w:val="29"/>
        </w:rPr>
      </w:pPr>
    </w:p>
    <w:p w14:paraId="3ED92414" w14:textId="77777777" w:rsidR="00223662" w:rsidRDefault="00223662">
      <w:pPr>
        <w:tabs>
          <w:tab w:val="center" w:pos="1205"/>
        </w:tabs>
        <w:spacing w:after="204" w:line="259" w:lineRule="auto"/>
        <w:ind w:left="0" w:right="0" w:firstLine="0"/>
        <w:jc w:val="left"/>
        <w:rPr>
          <w:b/>
          <w:sz w:val="29"/>
        </w:rPr>
      </w:pPr>
    </w:p>
    <w:p w14:paraId="4EA11067" w14:textId="77777777" w:rsidR="00223662" w:rsidRDefault="00223662">
      <w:pPr>
        <w:tabs>
          <w:tab w:val="center" w:pos="1205"/>
        </w:tabs>
        <w:spacing w:after="204" w:line="259" w:lineRule="auto"/>
        <w:ind w:left="0" w:right="0" w:firstLine="0"/>
        <w:jc w:val="left"/>
        <w:rPr>
          <w:b/>
          <w:sz w:val="29"/>
        </w:rPr>
      </w:pPr>
    </w:p>
    <w:p w14:paraId="3C1FAEA8" w14:textId="77777777" w:rsidR="00223662" w:rsidRDefault="00223662">
      <w:pPr>
        <w:tabs>
          <w:tab w:val="center" w:pos="1205"/>
        </w:tabs>
        <w:spacing w:after="204" w:line="259" w:lineRule="auto"/>
        <w:ind w:left="0" w:right="0" w:firstLine="0"/>
        <w:jc w:val="left"/>
        <w:rPr>
          <w:b/>
          <w:sz w:val="29"/>
        </w:rPr>
      </w:pPr>
    </w:p>
    <w:p w14:paraId="090C939B" w14:textId="77777777" w:rsidR="00223662" w:rsidRDefault="00223662">
      <w:pPr>
        <w:tabs>
          <w:tab w:val="center" w:pos="1205"/>
        </w:tabs>
        <w:spacing w:after="204" w:line="259" w:lineRule="auto"/>
        <w:ind w:left="0" w:right="0" w:firstLine="0"/>
        <w:jc w:val="left"/>
        <w:rPr>
          <w:b/>
          <w:sz w:val="29"/>
        </w:rPr>
      </w:pPr>
    </w:p>
    <w:p w14:paraId="5F8CB501" w14:textId="77777777" w:rsidR="00223662" w:rsidRDefault="00223662">
      <w:pPr>
        <w:tabs>
          <w:tab w:val="center" w:pos="1205"/>
        </w:tabs>
        <w:spacing w:after="204" w:line="259" w:lineRule="auto"/>
        <w:ind w:left="0" w:right="0" w:firstLine="0"/>
        <w:jc w:val="left"/>
        <w:rPr>
          <w:b/>
          <w:sz w:val="29"/>
        </w:rPr>
      </w:pPr>
    </w:p>
    <w:p w14:paraId="52C2AD34" w14:textId="77777777" w:rsidR="00223662" w:rsidRDefault="00223662">
      <w:pPr>
        <w:tabs>
          <w:tab w:val="center" w:pos="1205"/>
        </w:tabs>
        <w:spacing w:after="204" w:line="259" w:lineRule="auto"/>
        <w:ind w:left="0" w:right="0" w:firstLine="0"/>
        <w:jc w:val="left"/>
        <w:rPr>
          <w:b/>
          <w:sz w:val="29"/>
        </w:rPr>
      </w:pPr>
    </w:p>
    <w:p w14:paraId="4A65172A" w14:textId="77777777" w:rsidR="00223662" w:rsidRDefault="00223662">
      <w:pPr>
        <w:tabs>
          <w:tab w:val="center" w:pos="1205"/>
        </w:tabs>
        <w:spacing w:after="204" w:line="259" w:lineRule="auto"/>
        <w:ind w:left="0" w:right="0" w:firstLine="0"/>
        <w:jc w:val="left"/>
        <w:rPr>
          <w:b/>
          <w:sz w:val="29"/>
        </w:rPr>
      </w:pPr>
    </w:p>
    <w:p w14:paraId="7DB4A70D" w14:textId="77777777" w:rsidR="00223662" w:rsidRDefault="00223662">
      <w:pPr>
        <w:tabs>
          <w:tab w:val="center" w:pos="1205"/>
        </w:tabs>
        <w:spacing w:after="204" w:line="259" w:lineRule="auto"/>
        <w:ind w:left="0" w:right="0" w:firstLine="0"/>
        <w:jc w:val="left"/>
        <w:rPr>
          <w:b/>
          <w:sz w:val="29"/>
        </w:rPr>
      </w:pPr>
    </w:p>
    <w:p w14:paraId="5247C34C" w14:textId="77777777" w:rsidR="00223662" w:rsidRDefault="00223662">
      <w:pPr>
        <w:tabs>
          <w:tab w:val="center" w:pos="1205"/>
        </w:tabs>
        <w:spacing w:after="204" w:line="259" w:lineRule="auto"/>
        <w:ind w:left="0" w:right="0" w:firstLine="0"/>
        <w:jc w:val="left"/>
        <w:rPr>
          <w:b/>
          <w:sz w:val="29"/>
        </w:rPr>
      </w:pPr>
    </w:p>
    <w:p w14:paraId="1CD68222" w14:textId="77777777" w:rsidR="00223662" w:rsidRDefault="00223662">
      <w:pPr>
        <w:tabs>
          <w:tab w:val="center" w:pos="1205"/>
        </w:tabs>
        <w:spacing w:after="204" w:line="259" w:lineRule="auto"/>
        <w:ind w:left="0" w:right="0" w:firstLine="0"/>
        <w:jc w:val="left"/>
        <w:rPr>
          <w:b/>
          <w:sz w:val="29"/>
        </w:rPr>
      </w:pPr>
    </w:p>
    <w:p w14:paraId="1A080FB1" w14:textId="77777777" w:rsidR="00223662" w:rsidRDefault="00223662">
      <w:pPr>
        <w:tabs>
          <w:tab w:val="center" w:pos="1205"/>
        </w:tabs>
        <w:spacing w:after="204" w:line="259" w:lineRule="auto"/>
        <w:ind w:left="0" w:right="0" w:firstLine="0"/>
        <w:jc w:val="left"/>
        <w:rPr>
          <w:b/>
          <w:sz w:val="29"/>
        </w:rPr>
      </w:pPr>
    </w:p>
    <w:p w14:paraId="62048068" w14:textId="77777777" w:rsidR="00223662" w:rsidRDefault="00223662">
      <w:pPr>
        <w:tabs>
          <w:tab w:val="center" w:pos="1205"/>
        </w:tabs>
        <w:spacing w:after="204" w:line="259" w:lineRule="auto"/>
        <w:ind w:left="0" w:right="0" w:firstLine="0"/>
        <w:jc w:val="left"/>
        <w:rPr>
          <w:b/>
          <w:sz w:val="29"/>
        </w:rPr>
      </w:pPr>
    </w:p>
    <w:p w14:paraId="797384F5" w14:textId="77777777" w:rsidR="00223662" w:rsidRDefault="00223662">
      <w:pPr>
        <w:tabs>
          <w:tab w:val="center" w:pos="1205"/>
        </w:tabs>
        <w:spacing w:after="204" w:line="259" w:lineRule="auto"/>
        <w:ind w:left="0" w:right="0" w:firstLine="0"/>
        <w:jc w:val="left"/>
        <w:rPr>
          <w:b/>
          <w:sz w:val="29"/>
        </w:rPr>
      </w:pPr>
    </w:p>
    <w:p w14:paraId="722C3959" w14:textId="61BF0D71" w:rsidR="008C7A05" w:rsidRDefault="00866A07">
      <w:pPr>
        <w:tabs>
          <w:tab w:val="center" w:pos="1205"/>
        </w:tabs>
        <w:spacing w:after="204" w:line="259" w:lineRule="auto"/>
        <w:ind w:left="0" w:right="0" w:firstLine="0"/>
        <w:jc w:val="left"/>
      </w:pPr>
      <w:r>
        <w:rPr>
          <w:b/>
          <w:sz w:val="29"/>
        </w:rPr>
        <w:t>1</w:t>
      </w:r>
      <w:r>
        <w:rPr>
          <w:b/>
          <w:sz w:val="29"/>
        </w:rPr>
        <w:tab/>
        <w:t>Einleitung</w:t>
      </w:r>
    </w:p>
    <w:p w14:paraId="25A10864" w14:textId="77777777" w:rsidR="008C7A05" w:rsidRDefault="00866A07">
      <w:pPr>
        <w:pStyle w:val="berschrift2"/>
        <w:tabs>
          <w:tab w:val="center" w:pos="2648"/>
        </w:tabs>
        <w:ind w:left="0" w:firstLine="0"/>
      </w:pPr>
      <w:bookmarkStart w:id="0" w:name="_Toc30595"/>
      <w:r>
        <w:t>1.1</w:t>
      </w:r>
      <w:r>
        <w:tab/>
        <w:t xml:space="preserve">Viren - Die Gefahr aus dem </w:t>
      </w:r>
      <w:r>
        <w:t>nichts</w:t>
      </w:r>
      <w:bookmarkEnd w:id="0"/>
    </w:p>
    <w:p w14:paraId="2DCB9DF3" w14:textId="77777777" w:rsidR="008C7A05" w:rsidRDefault="00866A07">
      <w:pPr>
        <w:spacing w:after="6"/>
        <w:ind w:left="17" w:right="4"/>
      </w:pPr>
      <w:r>
        <w:t>Infektionskrankheiten verursacht durch Viren oder multiresistente Keime sind eine ernstzunehmende Bedrohung für Menschen und staatliche Systeme. Dabei sorgen virale Epidemien und Pandemien wie die Spanische Grippe mit über 50 Millionen Toten (</w:t>
      </w:r>
      <w:proofErr w:type="spellStart"/>
      <w:r>
        <w:rPr>
          <w:color w:val="4169E1"/>
        </w:rPr>
        <w:t>Dharmapalan</w:t>
      </w:r>
      <w:proofErr w:type="spellEnd"/>
      <w:r>
        <w:rPr>
          <w:color w:val="4169E1"/>
        </w:rPr>
        <w:t xml:space="preserve"> 2020</w:t>
      </w:r>
      <w:r>
        <w:t>), das Chikungunya Virus mit mehr als 1,3 Millionen Infizierten (</w:t>
      </w:r>
      <w:proofErr w:type="spellStart"/>
      <w:r>
        <w:rPr>
          <w:color w:val="4169E1"/>
        </w:rPr>
        <w:t>Charrel</w:t>
      </w:r>
      <w:proofErr w:type="spellEnd"/>
      <w:r>
        <w:rPr>
          <w:color w:val="4169E1"/>
        </w:rPr>
        <w:t xml:space="preserve"> </w:t>
      </w:r>
      <w:r>
        <w:rPr>
          <w:i/>
          <w:color w:val="4169E1"/>
        </w:rPr>
        <w:t xml:space="preserve">et al. </w:t>
      </w:r>
      <w:r>
        <w:rPr>
          <w:color w:val="4169E1"/>
        </w:rPr>
        <w:t>2007</w:t>
      </w:r>
      <w:r>
        <w:t>), und die aktuelle SARS-CoV-2 Pandemie mit weit über 140 Millionen Infizierten (</w:t>
      </w:r>
      <w:r>
        <w:rPr>
          <w:color w:val="4169E1"/>
        </w:rPr>
        <w:t xml:space="preserve">Bai </w:t>
      </w:r>
      <w:r>
        <w:rPr>
          <w:i/>
          <w:color w:val="4169E1"/>
        </w:rPr>
        <w:t xml:space="preserve">et al. </w:t>
      </w:r>
      <w:r>
        <w:rPr>
          <w:color w:val="4169E1"/>
        </w:rPr>
        <w:t>2021</w:t>
      </w:r>
      <w:r>
        <w:t>) für weltweite Krisen und Milliardenschäden (</w:t>
      </w:r>
      <w:r>
        <w:rPr>
          <w:color w:val="4169E1"/>
        </w:rPr>
        <w:t xml:space="preserve">Louie </w:t>
      </w:r>
      <w:r>
        <w:rPr>
          <w:i/>
          <w:color w:val="4169E1"/>
        </w:rPr>
        <w:t xml:space="preserve">et al. </w:t>
      </w:r>
      <w:r>
        <w:rPr>
          <w:color w:val="4169E1"/>
        </w:rPr>
        <w:t>2</w:t>
      </w:r>
      <w:r>
        <w:rPr>
          <w:color w:val="4169E1"/>
        </w:rPr>
        <w:t>009</w:t>
      </w:r>
      <w:r>
        <w:t>).</w:t>
      </w:r>
    </w:p>
    <w:p w14:paraId="777740E6" w14:textId="77777777" w:rsidR="008C7A05" w:rsidRDefault="00866A07">
      <w:pPr>
        <w:spacing w:after="0"/>
        <w:ind w:left="17" w:right="4"/>
      </w:pPr>
      <w:r>
        <w:t xml:space="preserve">Viren lassen sich näherungsweise als ca. 16 </w:t>
      </w:r>
      <w:proofErr w:type="spellStart"/>
      <w:r>
        <w:t>nm</w:t>
      </w:r>
      <w:proofErr w:type="spellEnd"/>
      <w:r>
        <w:t xml:space="preserve"> bis 200 </w:t>
      </w:r>
      <w:proofErr w:type="spellStart"/>
      <w:r>
        <w:t>nm</w:t>
      </w:r>
      <w:proofErr w:type="spellEnd"/>
      <w:r>
        <w:t xml:space="preserve"> große infektiöse Einheiten, mit einem </w:t>
      </w:r>
      <w:r>
        <w:rPr>
          <w:color w:val="FF0000"/>
        </w:rPr>
        <w:t>DNA oder RNA</w:t>
      </w:r>
      <w:r>
        <w:t xml:space="preserve">-Genom beschreiben. Dieses ist von einer Virushülle umgeben, welche aus einer Proteinmatrix, dem sogenannten </w:t>
      </w:r>
      <w:proofErr w:type="spellStart"/>
      <w:r>
        <w:t>Capsid</w:t>
      </w:r>
      <w:proofErr w:type="spellEnd"/>
      <w:r>
        <w:t xml:space="preserve"> und je nach Virusart aus e</w:t>
      </w:r>
      <w:r>
        <w:t>iner zusätzlichen Phospholipid-Doppelschicht mit eingebetteten Hüllproteinen besteht.</w:t>
      </w:r>
    </w:p>
    <w:p w14:paraId="3501BEA7" w14:textId="77777777" w:rsidR="008C7A05" w:rsidRDefault="00866A07">
      <w:pPr>
        <w:spacing w:after="278" w:line="259" w:lineRule="auto"/>
        <w:ind w:left="2370" w:right="0" w:firstLine="0"/>
        <w:jc w:val="left"/>
      </w:pPr>
      <w:r>
        <w:rPr>
          <w:noProof/>
        </w:rPr>
        <w:drawing>
          <wp:inline distT="0" distB="0" distL="0" distR="0" wp14:anchorId="51ACF651" wp14:editId="73726F31">
            <wp:extent cx="2971768" cy="2074289"/>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
                    <a:stretch>
                      <a:fillRect/>
                    </a:stretch>
                  </pic:blipFill>
                  <pic:spPr>
                    <a:xfrm>
                      <a:off x="0" y="0"/>
                      <a:ext cx="2971768" cy="2074289"/>
                    </a:xfrm>
                    <a:prstGeom prst="rect">
                      <a:avLst/>
                    </a:prstGeom>
                  </pic:spPr>
                </pic:pic>
              </a:graphicData>
            </a:graphic>
          </wp:inline>
        </w:drawing>
      </w:r>
    </w:p>
    <w:p w14:paraId="1EFBD354" w14:textId="77777777" w:rsidR="008C7A05" w:rsidRDefault="00866A07">
      <w:pPr>
        <w:spacing w:after="314" w:line="255" w:lineRule="auto"/>
        <w:ind w:left="17" w:right="4"/>
      </w:pPr>
      <w:r>
        <w:t xml:space="preserve">Abbildung 1: </w:t>
      </w:r>
      <w:r>
        <w:rPr>
          <w:b/>
        </w:rPr>
        <w:t xml:space="preserve">Schematische Darstellung eines behüllten Virus </w:t>
      </w:r>
      <w:r>
        <w:t xml:space="preserve">Typischer Aufbau eines behüllten Virus mit </w:t>
      </w:r>
      <w:proofErr w:type="spellStart"/>
      <w:r>
        <w:t>Capsid</w:t>
      </w:r>
      <w:proofErr w:type="spellEnd"/>
      <w:r>
        <w:t xml:space="preserve">, Membranhülle und Hüllproteinen. Das Virus-Genom wird von angelagerten </w:t>
      </w:r>
      <w:proofErr w:type="spellStart"/>
      <w:r>
        <w:t>Nukleoproteinen</w:t>
      </w:r>
      <w:proofErr w:type="spellEnd"/>
      <w:r>
        <w:t xml:space="preserve"> stabilisiert (</w:t>
      </w:r>
      <w:r>
        <w:rPr>
          <w:color w:val="4169E1"/>
        </w:rPr>
        <w:t xml:space="preserve">Modrow </w:t>
      </w:r>
      <w:r>
        <w:rPr>
          <w:i/>
          <w:color w:val="4169E1"/>
        </w:rPr>
        <w:t xml:space="preserve">et al. </w:t>
      </w:r>
      <w:r>
        <w:rPr>
          <w:color w:val="4169E1"/>
        </w:rPr>
        <w:t>2010</w:t>
      </w:r>
      <w:r>
        <w:t>).</w:t>
      </w:r>
    </w:p>
    <w:p w14:paraId="3DE6FC02" w14:textId="7ECDD27A" w:rsidR="008C7A05" w:rsidRDefault="00866A07">
      <w:pPr>
        <w:ind w:left="17" w:right="4"/>
      </w:pPr>
      <w:r>
        <w:t>Da Viren keinen eigenen Reproduktionsmechanismus besitzen, sind sie auf die Infizier</w:t>
      </w:r>
      <w:r>
        <w:t xml:space="preserve">ung von Zellen angewiesen, damit sie mittels der Reproduktions-Maschinerie des Wirtes die viralen Komponenten vervielfältigen </w:t>
      </w:r>
      <w:proofErr w:type="gramStart"/>
      <w:r>
        <w:t>können(</w:t>
      </w:r>
      <w:proofErr w:type="gramEnd"/>
      <w:r>
        <w:rPr>
          <w:color w:val="4169E1"/>
        </w:rPr>
        <w:t xml:space="preserve">Modrow </w:t>
      </w:r>
      <w:r>
        <w:rPr>
          <w:i/>
          <w:color w:val="4169E1"/>
        </w:rPr>
        <w:t xml:space="preserve">et al. </w:t>
      </w:r>
      <w:r>
        <w:rPr>
          <w:color w:val="4169E1"/>
        </w:rPr>
        <w:t>2010</w:t>
      </w:r>
      <w:r>
        <w:t>). Eine beeindruckende Fähigkeit der Viren ist die Anpassung an neue Umgebungen und Wirte. Diese hängt in</w:t>
      </w:r>
      <w:r>
        <w:t xml:space="preserve"> von ihrer hohen genetischen </w:t>
      </w:r>
      <w:r w:rsidR="00223662">
        <w:t>Variabilität</w:t>
      </w:r>
      <w:r>
        <w:t xml:space="preserve"> und Mutationsrate ab, welche es ihnen erlaubt eine große Vielfalt zu erschaffen (</w:t>
      </w:r>
      <w:proofErr w:type="spellStart"/>
      <w:r>
        <w:rPr>
          <w:color w:val="4169E1"/>
        </w:rPr>
        <w:t>Sanjuán</w:t>
      </w:r>
      <w:proofErr w:type="spellEnd"/>
      <w:r>
        <w:rPr>
          <w:color w:val="4169E1"/>
        </w:rPr>
        <w:t xml:space="preserve"> &amp; Domingo-</w:t>
      </w:r>
      <w:proofErr w:type="spellStart"/>
      <w:r>
        <w:rPr>
          <w:color w:val="4169E1"/>
        </w:rPr>
        <w:t>Calap</w:t>
      </w:r>
      <w:proofErr w:type="spellEnd"/>
      <w:r>
        <w:rPr>
          <w:color w:val="4169E1"/>
        </w:rPr>
        <w:t xml:space="preserve"> 2016</w:t>
      </w:r>
      <w:r>
        <w:t>). Dadurch bilden einige Viren ständig neue Varianten, welche durch ihre veränderten Infektionsstruktur</w:t>
      </w:r>
      <w:r>
        <w:t>en Immunlücken besetzten und dadurch Infektionsherde und Pandemien hervorrufen (</w:t>
      </w:r>
      <w:r>
        <w:rPr>
          <w:color w:val="4169E1"/>
        </w:rPr>
        <w:t xml:space="preserve">Lyons &amp; </w:t>
      </w:r>
      <w:proofErr w:type="spellStart"/>
      <w:r>
        <w:rPr>
          <w:color w:val="4169E1"/>
        </w:rPr>
        <w:t>Lauring</w:t>
      </w:r>
      <w:proofErr w:type="spellEnd"/>
      <w:r>
        <w:rPr>
          <w:color w:val="4169E1"/>
        </w:rPr>
        <w:t xml:space="preserve"> 2018</w:t>
      </w:r>
      <w:r>
        <w:t xml:space="preserve">; </w:t>
      </w:r>
      <w:proofErr w:type="spellStart"/>
      <w:r>
        <w:rPr>
          <w:color w:val="4169E1"/>
        </w:rPr>
        <w:t>Cosar</w:t>
      </w:r>
      <w:proofErr w:type="spellEnd"/>
      <w:r>
        <w:rPr>
          <w:color w:val="4169E1"/>
        </w:rPr>
        <w:t xml:space="preserve"> </w:t>
      </w:r>
      <w:r>
        <w:rPr>
          <w:i/>
          <w:color w:val="4169E1"/>
        </w:rPr>
        <w:t xml:space="preserve">et al. </w:t>
      </w:r>
      <w:r>
        <w:rPr>
          <w:color w:val="4169E1"/>
        </w:rPr>
        <w:t>2022</w:t>
      </w:r>
      <w:r>
        <w:t>). Die vorherrschende SARS-Cov-2 Pandemie hat zeigt, dass eine frühzeitige, schnelle und effiziente Detektion von viralen Krankheiten not</w:t>
      </w:r>
      <w:r>
        <w:t>wendig ist, um Gesundheitssysteme zu entlasten und Infektionsketten schnell zu unterbrechen (</w:t>
      </w:r>
      <w:r>
        <w:rPr>
          <w:color w:val="4169E1"/>
        </w:rPr>
        <w:t xml:space="preserve">Valera </w:t>
      </w:r>
      <w:r>
        <w:rPr>
          <w:i/>
          <w:color w:val="4169E1"/>
        </w:rPr>
        <w:t xml:space="preserve">et al. </w:t>
      </w:r>
      <w:r>
        <w:rPr>
          <w:color w:val="4169E1"/>
        </w:rPr>
        <w:t>2021</w:t>
      </w:r>
      <w:r>
        <w:t xml:space="preserve">). Dabei ist die Polymerase Ketten Reaktion (engl.: </w:t>
      </w:r>
      <w:r>
        <w:rPr>
          <w:i/>
        </w:rPr>
        <w:t xml:space="preserve">Polymerase </w:t>
      </w:r>
      <w:proofErr w:type="spellStart"/>
      <w:r>
        <w:rPr>
          <w:i/>
        </w:rPr>
        <w:t>chain</w:t>
      </w:r>
      <w:proofErr w:type="spellEnd"/>
      <w:r>
        <w:rPr>
          <w:i/>
        </w:rPr>
        <w:t xml:space="preserve"> </w:t>
      </w:r>
      <w:proofErr w:type="spellStart"/>
      <w:r>
        <w:rPr>
          <w:i/>
        </w:rPr>
        <w:t>reaction</w:t>
      </w:r>
      <w:proofErr w:type="spellEnd"/>
      <w:r>
        <w:t>, PCR) die vorherrschende Testmethode in der medizinischen Diagnosti</w:t>
      </w:r>
      <w:r>
        <w:t>k, da sie durch die Amplifikation von Nukleinsäuren hohe Spezifitäten und Sensitivitäten erreicht. Jedoch benötigt die PCR spezialisierte Laboratorien und geschultes Personal (</w:t>
      </w:r>
      <w:proofErr w:type="spellStart"/>
      <w:r>
        <w:rPr>
          <w:color w:val="4169E1"/>
        </w:rPr>
        <w:t>Brendish</w:t>
      </w:r>
      <w:proofErr w:type="spellEnd"/>
      <w:r>
        <w:rPr>
          <w:color w:val="4169E1"/>
        </w:rPr>
        <w:t xml:space="preserve"> </w:t>
      </w:r>
      <w:r>
        <w:rPr>
          <w:i/>
          <w:color w:val="4169E1"/>
        </w:rPr>
        <w:t xml:space="preserve">et al. </w:t>
      </w:r>
      <w:r>
        <w:rPr>
          <w:color w:val="4169E1"/>
        </w:rPr>
        <w:t>2015</w:t>
      </w:r>
      <w:r>
        <w:t xml:space="preserve">), sowie energieintensive Gerätschaften wodurch eine </w:t>
      </w:r>
      <w:r>
        <w:lastRenderedPageBreak/>
        <w:t>dezentr</w:t>
      </w:r>
      <w:r>
        <w:t>ale Diagnostik erschwert wird (</w:t>
      </w:r>
      <w:r>
        <w:rPr>
          <w:color w:val="4169E1"/>
        </w:rPr>
        <w:t xml:space="preserve">Behrmann </w:t>
      </w:r>
      <w:r>
        <w:rPr>
          <w:i/>
          <w:color w:val="4169E1"/>
        </w:rPr>
        <w:t xml:space="preserve">et al. </w:t>
      </w:r>
      <w:r>
        <w:rPr>
          <w:color w:val="4169E1"/>
        </w:rPr>
        <w:t>2020</w:t>
      </w:r>
      <w:r>
        <w:t>). Durch Transportwege oder aufwendige Protokolle besitzt die PCR oft eine Turnaround-Zeit von mehr als 24 Stunden (</w:t>
      </w:r>
      <w:proofErr w:type="spellStart"/>
      <w:r>
        <w:rPr>
          <w:color w:val="4169E1"/>
        </w:rPr>
        <w:t>Brendish</w:t>
      </w:r>
      <w:proofErr w:type="spellEnd"/>
      <w:r>
        <w:rPr>
          <w:color w:val="4169E1"/>
        </w:rPr>
        <w:t xml:space="preserve"> </w:t>
      </w:r>
      <w:r>
        <w:rPr>
          <w:i/>
          <w:color w:val="4169E1"/>
        </w:rPr>
        <w:t xml:space="preserve">et al. </w:t>
      </w:r>
      <w:r>
        <w:rPr>
          <w:color w:val="4169E1"/>
        </w:rPr>
        <w:t>2015</w:t>
      </w:r>
      <w:r>
        <w:t xml:space="preserve">; </w:t>
      </w:r>
      <w:r>
        <w:rPr>
          <w:color w:val="4169E1"/>
        </w:rPr>
        <w:t xml:space="preserve">Augustine </w:t>
      </w:r>
      <w:r>
        <w:rPr>
          <w:i/>
          <w:color w:val="4169E1"/>
        </w:rPr>
        <w:t xml:space="preserve">et al. </w:t>
      </w:r>
      <w:r>
        <w:rPr>
          <w:color w:val="4169E1"/>
        </w:rPr>
        <w:t>2020</w:t>
      </w:r>
      <w:r>
        <w:t>).</w:t>
      </w:r>
    </w:p>
    <w:p w14:paraId="615E9EEF" w14:textId="77777777" w:rsidR="008C7A05" w:rsidRDefault="00866A07">
      <w:pPr>
        <w:spacing w:after="335"/>
        <w:ind w:left="17" w:right="4"/>
      </w:pPr>
      <w:r>
        <w:t>Dadurch kann es schwierig werden, die Infek</w:t>
      </w:r>
      <w:r>
        <w:t>tionsketten erfolgreich zu unterbrechen, da erkrankte Patienten binnen der 24h weitere Personen infizieren können (</w:t>
      </w:r>
      <w:r>
        <w:rPr>
          <w:color w:val="4169E1"/>
        </w:rPr>
        <w:t xml:space="preserve">Sharma </w:t>
      </w:r>
      <w:r>
        <w:rPr>
          <w:i/>
          <w:color w:val="4169E1"/>
        </w:rPr>
        <w:t xml:space="preserve">et al. </w:t>
      </w:r>
      <w:r>
        <w:rPr>
          <w:color w:val="4169E1"/>
        </w:rPr>
        <w:t>2021</w:t>
      </w:r>
      <w:r>
        <w:t xml:space="preserve">). Aus diesem Grund ist es wichtig, die Diagnostik mit sensitiven und kostengünstigen Alternativen zu ergänzen, welche vor </w:t>
      </w:r>
      <w:r>
        <w:t xml:space="preserve">Ort durchgeführt werden können mit das sogenanntem </w:t>
      </w:r>
      <w:r>
        <w:rPr>
          <w:i/>
        </w:rPr>
        <w:t xml:space="preserve">Point </w:t>
      </w:r>
      <w:proofErr w:type="spellStart"/>
      <w:r>
        <w:rPr>
          <w:i/>
        </w:rPr>
        <w:t>of</w:t>
      </w:r>
      <w:proofErr w:type="spellEnd"/>
      <w:r>
        <w:rPr>
          <w:i/>
        </w:rPr>
        <w:t xml:space="preserve"> care </w:t>
      </w:r>
      <w:proofErr w:type="spellStart"/>
      <w:r>
        <w:rPr>
          <w:i/>
        </w:rPr>
        <w:t>testing</w:t>
      </w:r>
      <w:proofErr w:type="spellEnd"/>
      <w:r>
        <w:rPr>
          <w:i/>
        </w:rPr>
        <w:t xml:space="preserve"> </w:t>
      </w:r>
      <w:r>
        <w:t>(POCT) (</w:t>
      </w:r>
      <w:proofErr w:type="spellStart"/>
      <w:r>
        <w:rPr>
          <w:color w:val="4169E1"/>
        </w:rPr>
        <w:t>Goble</w:t>
      </w:r>
      <w:proofErr w:type="spellEnd"/>
      <w:r>
        <w:rPr>
          <w:color w:val="4169E1"/>
        </w:rPr>
        <w:t xml:space="preserve"> &amp; </w:t>
      </w:r>
      <w:proofErr w:type="spellStart"/>
      <w:r>
        <w:rPr>
          <w:color w:val="4169E1"/>
        </w:rPr>
        <w:t>Rocafort</w:t>
      </w:r>
      <w:proofErr w:type="spellEnd"/>
      <w:r>
        <w:rPr>
          <w:color w:val="4169E1"/>
        </w:rPr>
        <w:t xml:space="preserve"> 2016</w:t>
      </w:r>
      <w:r>
        <w:t xml:space="preserve">). Für das POCT werden isotherme </w:t>
      </w:r>
      <w:proofErr w:type="spellStart"/>
      <w:r>
        <w:t>Nukleinsäureamplifikationstechniken</w:t>
      </w:r>
      <w:proofErr w:type="spellEnd"/>
      <w:r>
        <w:t xml:space="preserve"> zur Detektion der Erreger immer interessanter, da sie im Vergleich zur PCR keine komp</w:t>
      </w:r>
      <w:r>
        <w:t>lexen Geräte erfordern sowie kürzere Testzeiten anbieten. Diese werden dezentral für die Diagnostik verwendet, was zu einer schnelleren Detektion vor Ort und möglicherweise zu einer Unterbrechung von Infektionsketten führen kann (</w:t>
      </w:r>
      <w:proofErr w:type="spellStart"/>
      <w:r>
        <w:rPr>
          <w:color w:val="4169E1"/>
        </w:rPr>
        <w:t>Pumford</w:t>
      </w:r>
      <w:proofErr w:type="spellEnd"/>
      <w:r>
        <w:rPr>
          <w:color w:val="4169E1"/>
        </w:rPr>
        <w:t xml:space="preserve"> </w:t>
      </w:r>
      <w:r>
        <w:rPr>
          <w:i/>
          <w:color w:val="4169E1"/>
        </w:rPr>
        <w:t xml:space="preserve">et al. </w:t>
      </w:r>
      <w:r>
        <w:rPr>
          <w:color w:val="4169E1"/>
        </w:rPr>
        <w:t>2020</w:t>
      </w:r>
      <w:r>
        <w:t xml:space="preserve">; </w:t>
      </w:r>
      <w:r>
        <w:rPr>
          <w:color w:val="4169E1"/>
        </w:rPr>
        <w:t>Islam &amp; Koirala 2022</w:t>
      </w:r>
      <w:r>
        <w:t>).</w:t>
      </w:r>
    </w:p>
    <w:p w14:paraId="0604183C" w14:textId="77777777" w:rsidR="008C7A05" w:rsidRDefault="00866A07">
      <w:pPr>
        <w:pStyle w:val="berschrift2"/>
        <w:tabs>
          <w:tab w:val="center" w:pos="3513"/>
        </w:tabs>
        <w:ind w:left="0" w:firstLine="0"/>
      </w:pPr>
      <w:bookmarkStart w:id="1" w:name="_Toc30596"/>
      <w:r>
        <w:t>1.2</w:t>
      </w:r>
      <w:r>
        <w:tab/>
        <w:t>Die Influenza Viren - Pandemieverursacher Nr. 1</w:t>
      </w:r>
      <w:bookmarkEnd w:id="1"/>
    </w:p>
    <w:p w14:paraId="66226E5E" w14:textId="269868FF" w:rsidR="008C7A05" w:rsidRDefault="00866A07">
      <w:pPr>
        <w:spacing w:after="285"/>
        <w:ind w:left="17" w:right="4"/>
      </w:pPr>
      <w:r>
        <w:t xml:space="preserve">Die “echte” Grippe, verursacht durch die Influenza Viren, als bekannteste Vertreter der </w:t>
      </w:r>
      <w:proofErr w:type="spellStart"/>
      <w:r>
        <w:t>Orthomyxovieren</w:t>
      </w:r>
      <w:proofErr w:type="spellEnd"/>
      <w:r>
        <w:t>, ist eine der bedeutendsten Infektionskrankheiten mit mehr als 300000 Todesfä</w:t>
      </w:r>
      <w:r>
        <w:t>llen weltweit (</w:t>
      </w:r>
      <w:r>
        <w:rPr>
          <w:color w:val="4169E1"/>
        </w:rPr>
        <w:t>RKI 2019</w:t>
      </w:r>
      <w:r>
        <w:t xml:space="preserve">; </w:t>
      </w:r>
      <w:proofErr w:type="spellStart"/>
      <w:r>
        <w:rPr>
          <w:color w:val="4169E1"/>
        </w:rPr>
        <w:t>Uyeki</w:t>
      </w:r>
      <w:proofErr w:type="spellEnd"/>
      <w:r>
        <w:rPr>
          <w:color w:val="4169E1"/>
        </w:rPr>
        <w:t xml:space="preserve"> </w:t>
      </w:r>
      <w:r>
        <w:rPr>
          <w:i/>
          <w:color w:val="4169E1"/>
        </w:rPr>
        <w:t xml:space="preserve">et al. </w:t>
      </w:r>
      <w:r>
        <w:rPr>
          <w:color w:val="4169E1"/>
        </w:rPr>
        <w:t>2022</w:t>
      </w:r>
      <w:r>
        <w:t xml:space="preserve">). Die Influenza Viren lassen sich, aufgrund verschiedener molekularer Eigenschaften und ihrer serologischen Charakteristika in die </w:t>
      </w:r>
      <w:r w:rsidR="00223662">
        <w:t>Typen</w:t>
      </w:r>
      <w:r>
        <w:t xml:space="preserve"> A, B, C und D einteilen. Sie sind behüllte, einzelsträngige </w:t>
      </w:r>
      <w:proofErr w:type="spellStart"/>
      <w:r>
        <w:t>RNAViren</w:t>
      </w:r>
      <w:proofErr w:type="spellEnd"/>
      <w:r>
        <w:t>. Die ge</w:t>
      </w:r>
      <w:r>
        <w:t>nomische RNA, welche in negativer Strang-Orientierung, also entgegen der 5´-3´ Leserichtung der Ribosomen vorliegt, ist in 8 unterschiedlich große Abschnitte unterteilt (</w:t>
      </w:r>
      <w:r>
        <w:rPr>
          <w:color w:val="4169E1"/>
        </w:rPr>
        <w:t xml:space="preserve">Modrow </w:t>
      </w:r>
      <w:r>
        <w:rPr>
          <w:i/>
          <w:color w:val="4169E1"/>
        </w:rPr>
        <w:t xml:space="preserve">et al. </w:t>
      </w:r>
      <w:r>
        <w:rPr>
          <w:color w:val="4169E1"/>
        </w:rPr>
        <w:t>2010</w:t>
      </w:r>
      <w:r>
        <w:t>). Von diesen können alle außer D, welcher nur Rinder und Schweine a</w:t>
      </w:r>
      <w:r>
        <w:t>ls Wirt befällt (</w:t>
      </w:r>
      <w:proofErr w:type="spellStart"/>
      <w:r>
        <w:rPr>
          <w:color w:val="4169E1"/>
        </w:rPr>
        <w:t>Foni</w:t>
      </w:r>
      <w:proofErr w:type="spellEnd"/>
      <w:r>
        <w:rPr>
          <w:color w:val="4169E1"/>
        </w:rPr>
        <w:t xml:space="preserve"> </w:t>
      </w:r>
      <w:r>
        <w:rPr>
          <w:i/>
          <w:color w:val="4169E1"/>
        </w:rPr>
        <w:t xml:space="preserve">et al. </w:t>
      </w:r>
      <w:r>
        <w:rPr>
          <w:color w:val="4169E1"/>
        </w:rPr>
        <w:t>2017</w:t>
      </w:r>
      <w:r>
        <w:t>), Menschen infizieren und Krankheiten verursachen (</w:t>
      </w:r>
      <w:proofErr w:type="spellStart"/>
      <w:r>
        <w:rPr>
          <w:color w:val="4169E1"/>
        </w:rPr>
        <w:t>Javanian</w:t>
      </w:r>
      <w:proofErr w:type="spellEnd"/>
      <w:r>
        <w:rPr>
          <w:color w:val="4169E1"/>
        </w:rPr>
        <w:t xml:space="preserve"> </w:t>
      </w:r>
      <w:r>
        <w:rPr>
          <w:i/>
          <w:color w:val="4169E1"/>
        </w:rPr>
        <w:t xml:space="preserve">et al. </w:t>
      </w:r>
      <w:r>
        <w:rPr>
          <w:color w:val="4169E1"/>
        </w:rPr>
        <w:t>2021</w:t>
      </w:r>
      <w:r>
        <w:t>). Typ A besitzt von den vier die höchste Virulenz (</w:t>
      </w:r>
      <w:r>
        <w:rPr>
          <w:color w:val="4169E1"/>
        </w:rPr>
        <w:t xml:space="preserve">Yoo </w:t>
      </w:r>
      <w:r>
        <w:rPr>
          <w:i/>
          <w:color w:val="4169E1"/>
        </w:rPr>
        <w:t xml:space="preserve">et al. </w:t>
      </w:r>
      <w:r>
        <w:rPr>
          <w:color w:val="4169E1"/>
        </w:rPr>
        <w:t>2018</w:t>
      </w:r>
      <w:r>
        <w:t xml:space="preserve">) und ist für die meisten Infektionen </w:t>
      </w:r>
      <w:proofErr w:type="gramStart"/>
      <w:r>
        <w:t>bei Mensch</w:t>
      </w:r>
      <w:proofErr w:type="gramEnd"/>
      <w:r>
        <w:t xml:space="preserve"> und Tier verantwortlich. Dieser wir</w:t>
      </w:r>
      <w:r>
        <w:t>d abermals in viele Subtypen anhand von den Oberflächenproteinen Hämagglutinin (HA) und Neuraminidase (NA) unterteilt, wovon die beiden Subtypen H1N1 und H3N2 derzeit in der Bevölkerung kursieren (</w:t>
      </w:r>
      <w:proofErr w:type="spellStart"/>
      <w:r>
        <w:rPr>
          <w:color w:val="4169E1"/>
        </w:rPr>
        <w:t>Javanian</w:t>
      </w:r>
      <w:proofErr w:type="spellEnd"/>
      <w:r>
        <w:rPr>
          <w:color w:val="4169E1"/>
        </w:rPr>
        <w:t xml:space="preserve"> </w:t>
      </w:r>
      <w:r>
        <w:rPr>
          <w:i/>
          <w:color w:val="4169E1"/>
        </w:rPr>
        <w:t xml:space="preserve">et al. </w:t>
      </w:r>
      <w:r>
        <w:rPr>
          <w:color w:val="4169E1"/>
        </w:rPr>
        <w:t>2021</w:t>
      </w:r>
      <w:r>
        <w:t>). Influenza Typ B infiziert ausschließ</w:t>
      </w:r>
      <w:r>
        <w:t>lich Menschen und kann zu schweren Krankheitsverläufen führen. Jedoch ist die Pandemiegefahr eingeschränkt, da er kein tierisches Reservoir besitzt und somit die Verbreitung gezielter begrenz werden kann. Bei Influenza B findet keine Einteilung in Subtypen</w:t>
      </w:r>
      <w:r>
        <w:t xml:space="preserve"> statt, jedoch sind zwei genetisch differenzierbare Viruslinien (Victoria/2/1987-like und Yamagata/16/1988-like) bekannt (</w:t>
      </w:r>
      <w:proofErr w:type="spellStart"/>
      <w:r>
        <w:rPr>
          <w:color w:val="4169E1"/>
        </w:rPr>
        <w:t>Koutsakos</w:t>
      </w:r>
      <w:proofErr w:type="spellEnd"/>
      <w:r>
        <w:rPr>
          <w:color w:val="4169E1"/>
        </w:rPr>
        <w:t xml:space="preserve"> </w:t>
      </w:r>
      <w:r>
        <w:rPr>
          <w:i/>
          <w:color w:val="4169E1"/>
        </w:rPr>
        <w:t xml:space="preserve">et al. </w:t>
      </w:r>
      <w:r>
        <w:rPr>
          <w:color w:val="4169E1"/>
        </w:rPr>
        <w:t>2016</w:t>
      </w:r>
      <w:r>
        <w:t>). Influenza Typ C besitzt ähnlich wie Influenza B keine Pandemie-Gefahr und ruft eher milde Krankheitsverläufe h</w:t>
      </w:r>
      <w:r>
        <w:t>ervor. Bei Infektion von Kindern wurden jedoch Infektionen der unteren Atemwege beobachtet. Neben humanen Infektionen sind auch Schweine als Wirt bekannt (</w:t>
      </w:r>
      <w:r>
        <w:rPr>
          <w:color w:val="4169E1"/>
        </w:rPr>
        <w:t xml:space="preserve">Hause </w:t>
      </w:r>
      <w:r>
        <w:rPr>
          <w:i/>
          <w:color w:val="4169E1"/>
        </w:rPr>
        <w:t xml:space="preserve">et al. </w:t>
      </w:r>
      <w:r>
        <w:rPr>
          <w:color w:val="4169E1"/>
        </w:rPr>
        <w:t>2013</w:t>
      </w:r>
      <w:r>
        <w:t xml:space="preserve">; </w:t>
      </w:r>
      <w:proofErr w:type="spellStart"/>
      <w:r>
        <w:rPr>
          <w:color w:val="4169E1"/>
        </w:rPr>
        <w:t>Njouom</w:t>
      </w:r>
      <w:proofErr w:type="spellEnd"/>
      <w:r>
        <w:rPr>
          <w:color w:val="4169E1"/>
        </w:rPr>
        <w:t xml:space="preserve"> </w:t>
      </w:r>
      <w:r>
        <w:rPr>
          <w:i/>
          <w:color w:val="4169E1"/>
        </w:rPr>
        <w:t xml:space="preserve">et al. </w:t>
      </w:r>
      <w:r>
        <w:rPr>
          <w:color w:val="4169E1"/>
        </w:rPr>
        <w:t>2019</w:t>
      </w:r>
      <w:r>
        <w:t>).</w:t>
      </w:r>
    </w:p>
    <w:p w14:paraId="51F0EB4E" w14:textId="77777777" w:rsidR="008C7A05" w:rsidRDefault="00866A07">
      <w:pPr>
        <w:pStyle w:val="berschrift3"/>
        <w:tabs>
          <w:tab w:val="center" w:pos="1282"/>
        </w:tabs>
        <w:ind w:left="0" w:firstLine="0"/>
      </w:pPr>
      <w:bookmarkStart w:id="2" w:name="_Toc30597"/>
      <w:r>
        <w:t>1.2.1</w:t>
      </w:r>
      <w:r>
        <w:tab/>
        <w:t>Influenza A</w:t>
      </w:r>
      <w:bookmarkEnd w:id="2"/>
    </w:p>
    <w:p w14:paraId="22800367" w14:textId="10F8BF14" w:rsidR="008C7A05" w:rsidRDefault="00866A07">
      <w:pPr>
        <w:spacing w:after="0"/>
        <w:ind w:left="17" w:right="4"/>
      </w:pPr>
      <w:r>
        <w:t xml:space="preserve">Das Influenza A Virus Das ca. 13.5 </w:t>
      </w:r>
      <w:proofErr w:type="spellStart"/>
      <w:r>
        <w:t>kb</w:t>
      </w:r>
      <w:proofErr w:type="spellEnd"/>
      <w:r>
        <w:t xml:space="preserve"> große</w:t>
      </w:r>
      <w:r>
        <w:t>, segmentierte Genom codiert für mindestens 17 Proteine, wobei die 3´ und 5´ Regionen keine codogenen Bereiche enthalten, sondern komplementär zueinander sind. Dadurch bilden sie über eine kurze Distanz einen Doppelstrang aus, welcher als Signalsequenz bei</w:t>
      </w:r>
      <w:r>
        <w:t xml:space="preserve"> Transkription dient (</w:t>
      </w:r>
      <w:r>
        <w:rPr>
          <w:color w:val="4169E1"/>
        </w:rPr>
        <w:t xml:space="preserve">Modrow </w:t>
      </w:r>
      <w:r>
        <w:rPr>
          <w:i/>
          <w:color w:val="4169E1"/>
        </w:rPr>
        <w:t xml:space="preserve">et al. </w:t>
      </w:r>
      <w:r>
        <w:rPr>
          <w:color w:val="4169E1"/>
        </w:rPr>
        <w:t>2010</w:t>
      </w:r>
      <w:r>
        <w:t xml:space="preserve">; </w:t>
      </w:r>
      <w:r>
        <w:rPr>
          <w:color w:val="4169E1"/>
        </w:rPr>
        <w:t xml:space="preserve">Chen </w:t>
      </w:r>
      <w:r>
        <w:rPr>
          <w:i/>
          <w:color w:val="4169E1"/>
        </w:rPr>
        <w:t xml:space="preserve">et al. </w:t>
      </w:r>
      <w:r>
        <w:rPr>
          <w:color w:val="4169E1"/>
        </w:rPr>
        <w:t>2018</w:t>
      </w:r>
      <w:r>
        <w:t xml:space="preserve">). Von den 17 codierten Proteinen sind zehn essentiell, während der Rest als </w:t>
      </w:r>
      <w:r w:rsidR="00223662">
        <w:t>sogenannte</w:t>
      </w:r>
      <w:r>
        <w:t xml:space="preserve"> Accessoire-Proteine bezeichnet werden (</w:t>
      </w:r>
      <w:proofErr w:type="spellStart"/>
      <w:r>
        <w:rPr>
          <w:color w:val="4169E1"/>
        </w:rPr>
        <w:t>Vasin</w:t>
      </w:r>
      <w:proofErr w:type="spellEnd"/>
      <w:r>
        <w:rPr>
          <w:color w:val="4169E1"/>
        </w:rPr>
        <w:t xml:space="preserve"> </w:t>
      </w:r>
      <w:r>
        <w:rPr>
          <w:i/>
          <w:color w:val="4169E1"/>
        </w:rPr>
        <w:t xml:space="preserve">et al. </w:t>
      </w:r>
      <w:r>
        <w:rPr>
          <w:color w:val="4169E1"/>
        </w:rPr>
        <w:t>2014</w:t>
      </w:r>
      <w:r>
        <w:t xml:space="preserve">). Der Aufbau des Virus sowie die </w:t>
      </w:r>
      <w:proofErr w:type="gramStart"/>
      <w:r>
        <w:t>essentiellen</w:t>
      </w:r>
      <w:proofErr w:type="gramEnd"/>
      <w:r>
        <w:t xml:space="preserve"> Protein</w:t>
      </w:r>
      <w:r>
        <w:t xml:space="preserve">e sind in Abbildung </w:t>
      </w:r>
      <w:r>
        <w:rPr>
          <w:color w:val="4169E1"/>
        </w:rPr>
        <w:t xml:space="preserve">2 </w:t>
      </w:r>
      <w:r>
        <w:t xml:space="preserve">gezeigt. Die Accessoire-Proteinen sind, im Gegensatz zu den </w:t>
      </w:r>
      <w:proofErr w:type="gramStart"/>
      <w:r>
        <w:t>essentiellen</w:t>
      </w:r>
      <w:proofErr w:type="gramEnd"/>
      <w:r>
        <w:t xml:space="preserve"> Proteinen, auf alternativen offenen Leserahmen (engl.: </w:t>
      </w:r>
      <w:r>
        <w:rPr>
          <w:i/>
        </w:rPr>
        <w:t xml:space="preserve">open </w:t>
      </w:r>
      <w:proofErr w:type="spellStart"/>
      <w:r>
        <w:rPr>
          <w:i/>
        </w:rPr>
        <w:t>reading</w:t>
      </w:r>
      <w:proofErr w:type="spellEnd"/>
      <w:r>
        <w:rPr>
          <w:i/>
        </w:rPr>
        <w:t xml:space="preserve"> frame</w:t>
      </w:r>
      <w:r>
        <w:t>, ORF) codiert, welche es Viren erlauben eine größere Protein-Vielfalt auf engen genomis</w:t>
      </w:r>
      <w:r>
        <w:t>chen Raum, durch die “</w:t>
      </w:r>
      <w:proofErr w:type="spellStart"/>
      <w:r>
        <w:t>mehrfachverwendung</w:t>
      </w:r>
      <w:proofErr w:type="spellEnd"/>
      <w:r>
        <w:t xml:space="preserve">” einer Nukleotid-Sequenz, zu exprimieren. Die alternativen </w:t>
      </w:r>
      <w:proofErr w:type="spellStart"/>
      <w:proofErr w:type="gramStart"/>
      <w:r>
        <w:t>ORF’s</w:t>
      </w:r>
      <w:proofErr w:type="spellEnd"/>
      <w:proofErr w:type="gramEnd"/>
      <w:r>
        <w:t xml:space="preserve"> entstehen dabei durch verschiedene molekularbiologische Mechanismen, wie beispielsweise </w:t>
      </w:r>
      <w:r>
        <w:rPr>
          <w:i/>
        </w:rPr>
        <w:t xml:space="preserve">frame shifting </w:t>
      </w:r>
      <w:r>
        <w:t xml:space="preserve">bei welchem das Ribosom bei der </w:t>
      </w:r>
      <w:r w:rsidR="00223662">
        <w:t>Translation</w:t>
      </w:r>
      <w:r>
        <w:t xml:space="preserve"> ein</w:t>
      </w:r>
      <w:r>
        <w:t xml:space="preserve">e Base überspringt und somit den Leseramen ändert, </w:t>
      </w:r>
      <w:proofErr w:type="spellStart"/>
      <w:r>
        <w:rPr>
          <w:i/>
        </w:rPr>
        <w:lastRenderedPageBreak/>
        <w:t>readthrough</w:t>
      </w:r>
      <w:proofErr w:type="spellEnd"/>
      <w:r>
        <w:rPr>
          <w:i/>
        </w:rPr>
        <w:t xml:space="preserve"> </w:t>
      </w:r>
      <w:r>
        <w:t>bei dem das Ribosom ein Stopp-</w:t>
      </w:r>
      <w:proofErr w:type="spellStart"/>
      <w:r>
        <w:t>codon</w:t>
      </w:r>
      <w:proofErr w:type="spellEnd"/>
      <w:r>
        <w:t xml:space="preserve"> überspring, oder </w:t>
      </w:r>
      <w:r>
        <w:rPr>
          <w:i/>
        </w:rPr>
        <w:t xml:space="preserve">internal Ribosom Entry </w:t>
      </w:r>
      <w:r>
        <w:t xml:space="preserve">wobei das Ribosom an ein </w:t>
      </w:r>
      <w:r w:rsidR="00223662">
        <w:t>internes</w:t>
      </w:r>
      <w:r>
        <w:t xml:space="preserve"> Start-Codon </w:t>
      </w:r>
      <w:proofErr w:type="spellStart"/>
      <w:r>
        <w:t>druch</w:t>
      </w:r>
      <w:proofErr w:type="spellEnd"/>
      <w:r>
        <w:t xml:space="preserve"> eine sogenannte IRES (engl.: </w:t>
      </w:r>
      <w:r>
        <w:rPr>
          <w:i/>
        </w:rPr>
        <w:t xml:space="preserve">internal ribosomal </w:t>
      </w:r>
      <w:proofErr w:type="spellStart"/>
      <w:r>
        <w:rPr>
          <w:i/>
        </w:rPr>
        <w:t>entry</w:t>
      </w:r>
      <w:proofErr w:type="spellEnd"/>
      <w:r>
        <w:rPr>
          <w:i/>
        </w:rPr>
        <w:t xml:space="preserve"> </w:t>
      </w:r>
      <w:proofErr w:type="spellStart"/>
      <w:r>
        <w:rPr>
          <w:i/>
        </w:rPr>
        <w:t>site</w:t>
      </w:r>
      <w:proofErr w:type="spellEnd"/>
      <w:r>
        <w:t>) rekrut</w:t>
      </w:r>
      <w:r>
        <w:t>iert wird, sowie einige weitere (</w:t>
      </w:r>
      <w:r>
        <w:rPr>
          <w:color w:val="4169E1"/>
        </w:rPr>
        <w:t xml:space="preserve">Firth &amp; </w:t>
      </w:r>
      <w:proofErr w:type="spellStart"/>
      <w:r>
        <w:rPr>
          <w:color w:val="4169E1"/>
        </w:rPr>
        <w:t>Brierley</w:t>
      </w:r>
      <w:proofErr w:type="spellEnd"/>
      <w:r>
        <w:rPr>
          <w:color w:val="4169E1"/>
        </w:rPr>
        <w:t xml:space="preserve"> 2012</w:t>
      </w:r>
      <w:r>
        <w:t>). Die bekannten Accessoire-Proteinen, wie beispielsweise die dem PA zugehörigen Proteine PA-X, PA-N155 und PA-N182 (</w:t>
      </w:r>
      <w:r>
        <w:rPr>
          <w:color w:val="4169E1"/>
        </w:rPr>
        <w:t xml:space="preserve">Jagger </w:t>
      </w:r>
      <w:r>
        <w:rPr>
          <w:i/>
          <w:color w:val="4169E1"/>
        </w:rPr>
        <w:t xml:space="preserve">et al. </w:t>
      </w:r>
      <w:r>
        <w:rPr>
          <w:color w:val="4169E1"/>
        </w:rPr>
        <w:t>2012</w:t>
      </w:r>
      <w:r>
        <w:t xml:space="preserve">; </w:t>
      </w:r>
      <w:proofErr w:type="spellStart"/>
      <w:r>
        <w:rPr>
          <w:color w:val="4169E1"/>
        </w:rPr>
        <w:t>Muramoto</w:t>
      </w:r>
      <w:proofErr w:type="spellEnd"/>
      <w:r>
        <w:rPr>
          <w:color w:val="4169E1"/>
        </w:rPr>
        <w:t xml:space="preserve"> </w:t>
      </w:r>
      <w:r>
        <w:rPr>
          <w:i/>
          <w:color w:val="4169E1"/>
        </w:rPr>
        <w:t xml:space="preserve">et al. </w:t>
      </w:r>
      <w:r>
        <w:rPr>
          <w:color w:val="4169E1"/>
        </w:rPr>
        <w:t>2013</w:t>
      </w:r>
      <w:r>
        <w:t xml:space="preserve">) sind in Tabelle </w:t>
      </w:r>
      <w:r>
        <w:rPr>
          <w:color w:val="4169E1"/>
        </w:rPr>
        <w:t xml:space="preserve">1 </w:t>
      </w:r>
      <w:r>
        <w:t>angegeben.</w:t>
      </w:r>
    </w:p>
    <w:p w14:paraId="240F47C2" w14:textId="77777777" w:rsidR="008C7A05" w:rsidRDefault="00866A07">
      <w:pPr>
        <w:spacing w:after="278" w:line="259" w:lineRule="auto"/>
        <w:ind w:left="1434" w:right="0" w:firstLine="0"/>
        <w:jc w:val="left"/>
      </w:pPr>
      <w:r>
        <w:rPr>
          <w:noProof/>
        </w:rPr>
        <w:drawing>
          <wp:inline distT="0" distB="0" distL="0" distR="0" wp14:anchorId="0820AEFA" wp14:editId="68E5702E">
            <wp:extent cx="4160581" cy="3471796"/>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7"/>
                    <a:stretch>
                      <a:fillRect/>
                    </a:stretch>
                  </pic:blipFill>
                  <pic:spPr>
                    <a:xfrm>
                      <a:off x="0" y="0"/>
                      <a:ext cx="4160581" cy="3471796"/>
                    </a:xfrm>
                    <a:prstGeom prst="rect">
                      <a:avLst/>
                    </a:prstGeom>
                  </pic:spPr>
                </pic:pic>
              </a:graphicData>
            </a:graphic>
          </wp:inline>
        </w:drawing>
      </w:r>
    </w:p>
    <w:p w14:paraId="79409FEF" w14:textId="77777777" w:rsidR="008C7A05" w:rsidRDefault="00866A07">
      <w:pPr>
        <w:spacing w:after="0" w:line="259" w:lineRule="auto"/>
        <w:ind w:left="17" w:right="4"/>
      </w:pPr>
      <w:r>
        <w:t xml:space="preserve">Abbildung 2: </w:t>
      </w:r>
      <w:r>
        <w:rPr>
          <w:b/>
        </w:rPr>
        <w:t>Schematischer Aufbau eines Influenza A Virus</w:t>
      </w:r>
      <w:r>
        <w:t xml:space="preserve">: Schematische Darstellung </w:t>
      </w:r>
      <w:proofErr w:type="gramStart"/>
      <w:r>
        <w:t>eines Influenza</w:t>
      </w:r>
      <w:proofErr w:type="gramEnd"/>
    </w:p>
    <w:p w14:paraId="3F449873" w14:textId="77777777" w:rsidR="008C7A05" w:rsidRDefault="00866A07">
      <w:pPr>
        <w:spacing w:after="319" w:line="249" w:lineRule="auto"/>
        <w:ind w:left="17" w:right="4"/>
      </w:pPr>
      <w:r>
        <w:t xml:space="preserve">A Virus mit den acht Genom-Segmenten. Das ca. 13.5 </w:t>
      </w:r>
      <w:proofErr w:type="spellStart"/>
      <w:r>
        <w:t>kb</w:t>
      </w:r>
      <w:proofErr w:type="spellEnd"/>
      <w:r>
        <w:t xml:space="preserve"> große, segmentierte Genom codiert dabei für 10 </w:t>
      </w:r>
      <w:proofErr w:type="gramStart"/>
      <w:r>
        <w:t>essentielle</w:t>
      </w:r>
      <w:proofErr w:type="gramEnd"/>
      <w:r>
        <w:t xml:space="preserve"> Proteine. Zu diesen zählen die Neuraminidase (NA), welche im Verlauf der Infektion für die Freisetzung der Viruspartikel verantwortlich ist, da</w:t>
      </w:r>
      <w:r>
        <w:t xml:space="preserve">s Hämagglutinin (HA), welches bei der Infektion der Zelle eine Rolle spielt, </w:t>
      </w:r>
      <w:proofErr w:type="gramStart"/>
      <w:r>
        <w:t>das</w:t>
      </w:r>
      <w:proofErr w:type="gramEnd"/>
      <w:r>
        <w:t xml:space="preserve"> Matrixproteinen (M1), das Membranprotein (M2), die Nichtstrukturproteine NS1 und NS2, das </w:t>
      </w:r>
      <w:proofErr w:type="spellStart"/>
      <w:r>
        <w:t>nukleoprotein</w:t>
      </w:r>
      <w:proofErr w:type="spellEnd"/>
      <w:r>
        <w:t xml:space="preserve"> (NP), sowie die 3 Untereinheiten PA, Pb1 und Pb2 der RNA-Polymerase (</w:t>
      </w:r>
      <w:r>
        <w:rPr>
          <w:color w:val="4169E1"/>
        </w:rPr>
        <w:t>Lu</w:t>
      </w:r>
      <w:r>
        <w:rPr>
          <w:color w:val="4169E1"/>
        </w:rPr>
        <w:t>o 2011</w:t>
      </w:r>
      <w:r>
        <w:t xml:space="preserve">; </w:t>
      </w:r>
      <w:r>
        <w:rPr>
          <w:color w:val="4169E1"/>
        </w:rPr>
        <w:t xml:space="preserve">Krammer </w:t>
      </w:r>
      <w:r>
        <w:rPr>
          <w:i/>
          <w:color w:val="4169E1"/>
        </w:rPr>
        <w:t xml:space="preserve">et al. </w:t>
      </w:r>
      <w:r>
        <w:rPr>
          <w:color w:val="4169E1"/>
        </w:rPr>
        <w:t>2018</w:t>
      </w:r>
      <w:r>
        <w:t xml:space="preserve">). Modifizierte nach Krammer </w:t>
      </w:r>
      <w:r>
        <w:rPr>
          <w:i/>
        </w:rPr>
        <w:t xml:space="preserve">et al. </w:t>
      </w:r>
      <w:r>
        <w:t>(</w:t>
      </w:r>
      <w:r>
        <w:rPr>
          <w:color w:val="4169E1"/>
        </w:rPr>
        <w:t>2018</w:t>
      </w:r>
      <w:r>
        <w:t>).</w:t>
      </w:r>
    </w:p>
    <w:p w14:paraId="45993ABC" w14:textId="77777777" w:rsidR="008C7A05" w:rsidRDefault="00866A07">
      <w:pPr>
        <w:spacing w:after="61" w:line="259" w:lineRule="auto"/>
        <w:ind w:left="17" w:right="4"/>
      </w:pPr>
      <w:r>
        <w:t xml:space="preserve">Die RNA-abhängige </w:t>
      </w:r>
      <w:proofErr w:type="gramStart"/>
      <w:r>
        <w:t>RNA Polymerase</w:t>
      </w:r>
      <w:proofErr w:type="gramEnd"/>
      <w:r>
        <w:t xml:space="preserve"> des Influenza A Virus besteht wie in Abbildung </w:t>
      </w:r>
      <w:r>
        <w:rPr>
          <w:color w:val="4169E1"/>
        </w:rPr>
        <w:t xml:space="preserve">2 </w:t>
      </w:r>
      <w:r>
        <w:t>gezeigt aus den</w:t>
      </w:r>
    </w:p>
    <w:p w14:paraId="226F18AA" w14:textId="77777777" w:rsidR="008C7A05" w:rsidRDefault="00866A07">
      <w:pPr>
        <w:spacing w:after="6"/>
        <w:ind w:left="17" w:right="4"/>
      </w:pPr>
      <w:r>
        <w:t>3 Untereinheiten PA, PB1 und PB2, wobei die Gensequenz für PA auf dem Segment 3, für PB</w:t>
      </w:r>
      <w:r>
        <w:t>1 auf dem Segment 2 und PB2 auf dem Segment 1 codiert sind (</w:t>
      </w:r>
      <w:r>
        <w:rPr>
          <w:color w:val="4169E1"/>
        </w:rPr>
        <w:t xml:space="preserve">Krammer </w:t>
      </w:r>
      <w:r>
        <w:rPr>
          <w:i/>
          <w:color w:val="4169E1"/>
        </w:rPr>
        <w:t xml:space="preserve">et al. </w:t>
      </w:r>
      <w:r>
        <w:rPr>
          <w:color w:val="4169E1"/>
        </w:rPr>
        <w:t>2018</w:t>
      </w:r>
      <w:r>
        <w:t xml:space="preserve">). Das </w:t>
      </w:r>
      <w:proofErr w:type="spellStart"/>
      <w:r>
        <w:t>heterotrimer</w:t>
      </w:r>
      <w:proofErr w:type="spellEnd"/>
      <w:r>
        <w:t xml:space="preserve"> assoziiert innerhalb des Virus mit den komplementären Sequenzen an der einzelnen Genomsegmentenden. Die verbleibende RNA wird von </w:t>
      </w:r>
      <w:proofErr w:type="spellStart"/>
      <w:r>
        <w:t>oligomeren</w:t>
      </w:r>
      <w:proofErr w:type="spellEnd"/>
      <w:r>
        <w:t xml:space="preserve"> </w:t>
      </w:r>
      <w:proofErr w:type="spellStart"/>
      <w:proofErr w:type="gramStart"/>
      <w:r>
        <w:t>NP’s</w:t>
      </w:r>
      <w:proofErr w:type="spellEnd"/>
      <w:proofErr w:type="gramEnd"/>
      <w:r>
        <w:t xml:space="preserve"> gebunden, w</w:t>
      </w:r>
      <w:r>
        <w:t xml:space="preserve">elches auf Segment 5 codiert ist. Der resultierende RNA-Protein-Komplex ist in der Literatur als </w:t>
      </w:r>
      <w:proofErr w:type="spellStart"/>
      <w:r>
        <w:t>vRNP</w:t>
      </w:r>
      <w:proofErr w:type="spellEnd"/>
      <w:r>
        <w:t xml:space="preserve">-Komplex (engl.: </w:t>
      </w:r>
      <w:r>
        <w:rPr>
          <w:i/>
        </w:rPr>
        <w:t xml:space="preserve">viral </w:t>
      </w:r>
      <w:proofErr w:type="spellStart"/>
      <w:r>
        <w:rPr>
          <w:i/>
        </w:rPr>
        <w:t>ribonucleoprotein</w:t>
      </w:r>
      <w:proofErr w:type="spellEnd"/>
      <w:r>
        <w:t>) beschrieben</w:t>
      </w:r>
    </w:p>
    <w:p w14:paraId="1B11E77C" w14:textId="77777777" w:rsidR="008C7A05" w:rsidRDefault="00866A07">
      <w:pPr>
        <w:spacing w:after="59" w:line="259" w:lineRule="auto"/>
        <w:ind w:left="17" w:right="4"/>
      </w:pPr>
      <w:r>
        <w:t>(</w:t>
      </w:r>
      <w:proofErr w:type="spellStart"/>
      <w:r>
        <w:rPr>
          <w:color w:val="4169E1"/>
        </w:rPr>
        <w:t>Velthuis</w:t>
      </w:r>
      <w:proofErr w:type="spellEnd"/>
      <w:r>
        <w:rPr>
          <w:color w:val="4169E1"/>
        </w:rPr>
        <w:t xml:space="preserve"> &amp; Fodor 2016</w:t>
      </w:r>
      <w:r>
        <w:t xml:space="preserve">; </w:t>
      </w:r>
      <w:r>
        <w:rPr>
          <w:color w:val="4169E1"/>
        </w:rPr>
        <w:t xml:space="preserve">Krammer </w:t>
      </w:r>
      <w:r>
        <w:rPr>
          <w:i/>
          <w:color w:val="4169E1"/>
        </w:rPr>
        <w:t xml:space="preserve">et al. </w:t>
      </w:r>
      <w:r>
        <w:rPr>
          <w:color w:val="4169E1"/>
        </w:rPr>
        <w:t>2018</w:t>
      </w:r>
      <w:r>
        <w:t xml:space="preserve">). Kryoelektronenmikroskopische Untersuchungen des </w:t>
      </w:r>
      <w:proofErr w:type="spellStart"/>
      <w:r>
        <w:t>vRNP</w:t>
      </w:r>
      <w:proofErr w:type="spellEnd"/>
      <w:r>
        <w:t>-</w:t>
      </w:r>
    </w:p>
    <w:p w14:paraId="18EA3C97" w14:textId="2ADBA7BE" w:rsidR="008C7A05" w:rsidRDefault="00866A07">
      <w:pPr>
        <w:ind w:left="17" w:right="4"/>
      </w:pPr>
      <w:r>
        <w:t>K</w:t>
      </w:r>
      <w:r>
        <w:t>omplex zeigten eine doppel-helikale Struktur mit einer Schleife am nicht RNA-Polymerase assoziierten Ende. Die Helix-Struktur wird dabei durch eine Assoziation von unterschiedlich polaren oligo-NP-Proteinen stabilisiert (</w:t>
      </w:r>
      <w:proofErr w:type="spellStart"/>
      <w:r>
        <w:rPr>
          <w:color w:val="4169E1"/>
        </w:rPr>
        <w:t>Arranz</w:t>
      </w:r>
      <w:proofErr w:type="spellEnd"/>
      <w:r>
        <w:rPr>
          <w:color w:val="4169E1"/>
        </w:rPr>
        <w:t xml:space="preserve"> </w:t>
      </w:r>
      <w:r>
        <w:rPr>
          <w:i/>
          <w:color w:val="4169E1"/>
        </w:rPr>
        <w:t xml:space="preserve">et al. </w:t>
      </w:r>
      <w:r>
        <w:rPr>
          <w:color w:val="4169E1"/>
        </w:rPr>
        <w:t>2012</w:t>
      </w:r>
      <w:r>
        <w:t>). Das Virion des</w:t>
      </w:r>
      <w:r>
        <w:t xml:space="preserve"> Influenza A Virus besteht aus einer äußeren </w:t>
      </w:r>
      <w:r w:rsidR="00223662">
        <w:t>Cholesterol</w:t>
      </w:r>
      <w:r>
        <w:t xml:space="preserve"> haltigen doppel-Lipid Schicht, in welche die Glykoproteine NA, HA und M2 integriert sind (</w:t>
      </w:r>
      <w:r>
        <w:rPr>
          <w:color w:val="4169E1"/>
        </w:rPr>
        <w:t xml:space="preserve">Modrow </w:t>
      </w:r>
      <w:r>
        <w:rPr>
          <w:i/>
          <w:color w:val="4169E1"/>
        </w:rPr>
        <w:t xml:space="preserve">et al. </w:t>
      </w:r>
      <w:r>
        <w:rPr>
          <w:color w:val="4169E1"/>
        </w:rPr>
        <w:t>2010</w:t>
      </w:r>
      <w:r>
        <w:t xml:space="preserve">; </w:t>
      </w:r>
      <w:proofErr w:type="spellStart"/>
      <w:r>
        <w:rPr>
          <w:color w:val="4169E1"/>
        </w:rPr>
        <w:t>To</w:t>
      </w:r>
      <w:proofErr w:type="spellEnd"/>
      <w:r>
        <w:rPr>
          <w:color w:val="4169E1"/>
        </w:rPr>
        <w:t xml:space="preserve"> &amp; Torres 2019</w:t>
      </w:r>
      <w:r>
        <w:t xml:space="preserve">). Die darunter liegende Proteinmatrix besteht aus </w:t>
      </w:r>
      <w:proofErr w:type="spellStart"/>
      <w:r>
        <w:t>oligomeren</w:t>
      </w:r>
      <w:proofErr w:type="spellEnd"/>
      <w:r>
        <w:t xml:space="preserve"> M1-Protei</w:t>
      </w:r>
      <w:r>
        <w:t xml:space="preserve">nen, welche auf dem Genom-Segment 7 codiert sind. Dieses Matrixprotein dient als Angelpunkt und bindet alle anderen Struktur-bildenden Komponenten wie den </w:t>
      </w:r>
      <w:proofErr w:type="spellStart"/>
      <w:r>
        <w:t>vRNP</w:t>
      </w:r>
      <w:proofErr w:type="spellEnd"/>
      <w:r>
        <w:t>-</w:t>
      </w:r>
      <w:r>
        <w:lastRenderedPageBreak/>
        <w:t>Komplex, die Membranbindenden Glykoproteine, sowie die Lipidmembran durch seine positive Polarit</w:t>
      </w:r>
      <w:r>
        <w:t>ät (</w:t>
      </w:r>
      <w:proofErr w:type="spellStart"/>
      <w:r>
        <w:rPr>
          <w:color w:val="4169E1"/>
        </w:rPr>
        <w:t>Chlanda</w:t>
      </w:r>
      <w:proofErr w:type="spellEnd"/>
      <w:r>
        <w:rPr>
          <w:color w:val="4169E1"/>
        </w:rPr>
        <w:t xml:space="preserve"> &amp; Zimmerberg 2016</w:t>
      </w:r>
      <w:r>
        <w:t xml:space="preserve">; </w:t>
      </w:r>
      <w:proofErr w:type="spellStart"/>
      <w:r>
        <w:rPr>
          <w:color w:val="4169E1"/>
        </w:rPr>
        <w:t>Kordyukova</w:t>
      </w:r>
      <w:proofErr w:type="spellEnd"/>
      <w:r>
        <w:rPr>
          <w:color w:val="4169E1"/>
        </w:rPr>
        <w:t xml:space="preserve"> </w:t>
      </w:r>
      <w:r>
        <w:rPr>
          <w:i/>
          <w:color w:val="4169E1"/>
        </w:rPr>
        <w:t xml:space="preserve">et al. </w:t>
      </w:r>
      <w:r>
        <w:rPr>
          <w:color w:val="4169E1"/>
        </w:rPr>
        <w:t>2018</w:t>
      </w:r>
      <w:r>
        <w:t xml:space="preserve">). Das M1-Protein erfüllt dadurch eine essenzielle Rolle bei dem Zusammenbau des Virus und der nachfolgenden Umhüllung mit Wirts-Lipiden, dem sogenannten </w:t>
      </w:r>
      <w:proofErr w:type="spellStart"/>
      <w:r>
        <w:rPr>
          <w:i/>
        </w:rPr>
        <w:t>Budding</w:t>
      </w:r>
      <w:proofErr w:type="spellEnd"/>
      <w:r>
        <w:rPr>
          <w:i/>
        </w:rPr>
        <w:t xml:space="preserve"> </w:t>
      </w:r>
      <w:r>
        <w:t>(</w:t>
      </w:r>
      <w:proofErr w:type="spellStart"/>
      <w:r>
        <w:rPr>
          <w:color w:val="4169E1"/>
        </w:rPr>
        <w:t>Nayak</w:t>
      </w:r>
      <w:proofErr w:type="spellEnd"/>
      <w:r>
        <w:rPr>
          <w:color w:val="4169E1"/>
        </w:rPr>
        <w:t xml:space="preserve"> </w:t>
      </w:r>
      <w:r>
        <w:rPr>
          <w:i/>
          <w:color w:val="4169E1"/>
        </w:rPr>
        <w:t xml:space="preserve">et al. </w:t>
      </w:r>
      <w:r>
        <w:rPr>
          <w:color w:val="4169E1"/>
        </w:rPr>
        <w:t>2009</w:t>
      </w:r>
      <w:r>
        <w:t>). Durch seine komplexe</w:t>
      </w:r>
      <w:r>
        <w:t xml:space="preserve"> Funktion und die verschieden Bindungsdomänen für die anderen Strukturkomponenten, ist die Aminosäuresequenz des M1-Proteins am stärksten im viralen Genom konserviert (</w:t>
      </w:r>
      <w:r>
        <w:rPr>
          <w:color w:val="4169E1"/>
        </w:rPr>
        <w:t xml:space="preserve">McCauley &amp; </w:t>
      </w:r>
      <w:proofErr w:type="spellStart"/>
      <w:r>
        <w:rPr>
          <w:color w:val="4169E1"/>
        </w:rPr>
        <w:t>Mahy</w:t>
      </w:r>
      <w:proofErr w:type="spellEnd"/>
      <w:r>
        <w:rPr>
          <w:color w:val="4169E1"/>
        </w:rPr>
        <w:t xml:space="preserve"> 1983</w:t>
      </w:r>
      <w:r>
        <w:t xml:space="preserve">; </w:t>
      </w:r>
      <w:proofErr w:type="spellStart"/>
      <w:r>
        <w:rPr>
          <w:color w:val="4169E1"/>
        </w:rPr>
        <w:t>Kordyukova</w:t>
      </w:r>
      <w:proofErr w:type="spellEnd"/>
      <w:r>
        <w:rPr>
          <w:color w:val="4169E1"/>
        </w:rPr>
        <w:t xml:space="preserve"> </w:t>
      </w:r>
      <w:r>
        <w:rPr>
          <w:i/>
          <w:color w:val="4169E1"/>
        </w:rPr>
        <w:t xml:space="preserve">et al. </w:t>
      </w:r>
      <w:r>
        <w:rPr>
          <w:color w:val="4169E1"/>
        </w:rPr>
        <w:t>2018</w:t>
      </w:r>
      <w:r>
        <w:t>). Das M2-Protein ist ein Ionen-Kanal, welch</w:t>
      </w:r>
      <w:r>
        <w:t xml:space="preserve">er im Verlauf der Virus-Infektion eine wichtige Rolle spielt. Einerseits wird durch eine Ansäuerung des Virusinneren die Freilassung des genetischen Materials mediiert und andererseits durch den pH-Wert </w:t>
      </w:r>
      <w:proofErr w:type="gramStart"/>
      <w:r>
        <w:t>Regulierung</w:t>
      </w:r>
      <w:proofErr w:type="gramEnd"/>
      <w:r>
        <w:t xml:space="preserve"> um den Golgi-Apparat das </w:t>
      </w:r>
      <w:proofErr w:type="spellStart"/>
      <w:r>
        <w:rPr>
          <w:i/>
        </w:rPr>
        <w:t>Budding</w:t>
      </w:r>
      <w:proofErr w:type="spellEnd"/>
      <w:r>
        <w:rPr>
          <w:i/>
        </w:rPr>
        <w:t xml:space="preserve"> </w:t>
      </w:r>
      <w:r>
        <w:t>durch Ko</w:t>
      </w:r>
      <w:r>
        <w:t>nformationsänderung des HA zu vermitteln (</w:t>
      </w:r>
      <w:r>
        <w:rPr>
          <w:color w:val="4169E1"/>
        </w:rPr>
        <w:t>Takeuchi &amp; Lamb 1994</w:t>
      </w:r>
      <w:r>
        <w:t xml:space="preserve">; </w:t>
      </w:r>
      <w:proofErr w:type="spellStart"/>
      <w:r>
        <w:rPr>
          <w:color w:val="4169E1"/>
        </w:rPr>
        <w:t>To</w:t>
      </w:r>
      <w:proofErr w:type="spellEnd"/>
      <w:r>
        <w:rPr>
          <w:color w:val="4169E1"/>
        </w:rPr>
        <w:t xml:space="preserve"> </w:t>
      </w:r>
      <w:r>
        <w:rPr>
          <w:i/>
          <w:color w:val="4169E1"/>
        </w:rPr>
        <w:t xml:space="preserve">et al. </w:t>
      </w:r>
      <w:r>
        <w:rPr>
          <w:color w:val="4169E1"/>
        </w:rPr>
        <w:t>2016</w:t>
      </w:r>
      <w:r>
        <w:t>). Die Oberflächenproteine HA und NA sind am variabelsten und spielen aus dem Grund bei der Klassifizierung der Influenza A Viren eine große Rolle (</w:t>
      </w:r>
      <w:r>
        <w:rPr>
          <w:color w:val="4169E1"/>
        </w:rPr>
        <w:t xml:space="preserve">Krammer </w:t>
      </w:r>
      <w:r>
        <w:rPr>
          <w:i/>
          <w:color w:val="4169E1"/>
        </w:rPr>
        <w:t xml:space="preserve">et al. </w:t>
      </w:r>
      <w:r>
        <w:rPr>
          <w:color w:val="4169E1"/>
        </w:rPr>
        <w:t>2018</w:t>
      </w:r>
      <w:r>
        <w:t>). Sie sind</w:t>
      </w:r>
      <w:r>
        <w:t xml:space="preserve"> der Hauptangriffspunkt von neutralisierenden Antikörpern und lassen sich in verschiedene Subtypen einteilen. Derzeit sind 18 Subtypen der HA bekannt (H1-H18) und 11 Subtypen der NA (N1-N11), welche sich abermals in Untergruppen und Kladen unterteilen lass</w:t>
      </w:r>
      <w:r>
        <w:t>en (</w:t>
      </w:r>
      <w:r>
        <w:rPr>
          <w:color w:val="4169E1"/>
        </w:rPr>
        <w:t xml:space="preserve">Shao </w:t>
      </w:r>
      <w:r>
        <w:rPr>
          <w:i/>
          <w:color w:val="4169E1"/>
        </w:rPr>
        <w:t xml:space="preserve">et al. </w:t>
      </w:r>
      <w:r>
        <w:rPr>
          <w:color w:val="4169E1"/>
        </w:rPr>
        <w:t>2017</w:t>
      </w:r>
      <w:r>
        <w:t>). Während nur die Subtypen H1-H3 und N1-N2 für den Menschen relevant sind kann Geflügel von alles Subtypen des Influenza A Virus befallen werden (</w:t>
      </w:r>
      <w:r>
        <w:rPr>
          <w:color w:val="4169E1"/>
        </w:rPr>
        <w:t xml:space="preserve">Nicholson </w:t>
      </w:r>
      <w:r>
        <w:rPr>
          <w:i/>
          <w:color w:val="4169E1"/>
        </w:rPr>
        <w:t xml:space="preserve">et al. </w:t>
      </w:r>
      <w:r>
        <w:rPr>
          <w:color w:val="4169E1"/>
        </w:rPr>
        <w:t>2003</w:t>
      </w:r>
      <w:r>
        <w:t>). Die hohe Variabilität der HA und NA-Proteine lässt sich durch die spezielle RNA-Polym</w:t>
      </w:r>
      <w:r>
        <w:t>erase der Viren erklären. Diese besitzt eine hohe Fehlerrate, wodurch es während der Replikation zu Mutationen kommt, welches wiederrum zu veränderten Oberflächenproteinen führt (</w:t>
      </w:r>
      <w:r>
        <w:rPr>
          <w:color w:val="4169E1"/>
        </w:rPr>
        <w:t>Luo 2011</w:t>
      </w:r>
      <w:r>
        <w:t>). Dieser Prozess ist als “Antigendrift” bekannt und führt dazu, dass</w:t>
      </w:r>
      <w:r>
        <w:t xml:space="preserve"> neue Varianten dem Immunsystem von vorher Infizierten Individuen entgehen kann (</w:t>
      </w:r>
      <w:r>
        <w:rPr>
          <w:color w:val="4169E1"/>
        </w:rPr>
        <w:t>Luo 2011</w:t>
      </w:r>
      <w:r>
        <w:t xml:space="preserve">; </w:t>
      </w:r>
      <w:proofErr w:type="spellStart"/>
      <w:r>
        <w:rPr>
          <w:color w:val="4169E1"/>
        </w:rPr>
        <w:t>Axelsen</w:t>
      </w:r>
      <w:proofErr w:type="spellEnd"/>
      <w:r>
        <w:rPr>
          <w:color w:val="4169E1"/>
        </w:rPr>
        <w:t xml:space="preserve"> </w:t>
      </w:r>
      <w:r>
        <w:rPr>
          <w:i/>
          <w:color w:val="4169E1"/>
        </w:rPr>
        <w:t xml:space="preserve">et al. </w:t>
      </w:r>
      <w:r>
        <w:rPr>
          <w:color w:val="4169E1"/>
        </w:rPr>
        <w:t>2014</w:t>
      </w:r>
      <w:r>
        <w:t xml:space="preserve">). Ein weiterer wichtiger Teil der generellen Variabilität des Influenza A Virus ist der sogenannte </w:t>
      </w:r>
      <w:proofErr w:type="spellStart"/>
      <w:r>
        <w:t>Antigenshift</w:t>
      </w:r>
      <w:proofErr w:type="spellEnd"/>
      <w:r>
        <w:t>. Durch das Segmentierte Genom und</w:t>
      </w:r>
      <w:r>
        <w:t xml:space="preserve"> die verschiedenen tierischen Reservoirs kann bei gleichzeitiger Infektion ein Austausch einzelner Genomsegmente erfolgen. Dies führt zu einer spontanen Neukombination der einzelnen Viruskomponenten und somit zu einer neuen HA, NA Subtyp-Kombination (</w:t>
      </w:r>
      <w:r>
        <w:rPr>
          <w:color w:val="4169E1"/>
        </w:rPr>
        <w:t xml:space="preserve">Kim </w:t>
      </w:r>
      <w:r>
        <w:rPr>
          <w:i/>
          <w:color w:val="4169E1"/>
        </w:rPr>
        <w:t>e</w:t>
      </w:r>
      <w:r>
        <w:rPr>
          <w:i/>
          <w:color w:val="4169E1"/>
        </w:rPr>
        <w:t xml:space="preserve">t al. </w:t>
      </w:r>
      <w:r>
        <w:rPr>
          <w:color w:val="4169E1"/>
        </w:rPr>
        <w:t>2018</w:t>
      </w:r>
      <w:r>
        <w:t xml:space="preserve">). </w:t>
      </w:r>
      <w:r>
        <w:rPr>
          <w:color w:val="FF0000"/>
        </w:rPr>
        <w:t xml:space="preserve">Abschluss </w:t>
      </w:r>
      <w:proofErr w:type="spellStart"/>
      <w:r>
        <w:rPr>
          <w:color w:val="FF0000"/>
        </w:rPr>
        <w:t>satz</w:t>
      </w:r>
      <w:proofErr w:type="spellEnd"/>
      <w:r>
        <w:rPr>
          <w:color w:val="FF0000"/>
        </w:rPr>
        <w:t xml:space="preserve"> nach dem Motto: deswegen ist </w:t>
      </w:r>
      <w:proofErr w:type="spellStart"/>
      <w:r>
        <w:rPr>
          <w:color w:val="FF0000"/>
        </w:rPr>
        <w:t>Inlfuenza</w:t>
      </w:r>
      <w:proofErr w:type="spellEnd"/>
      <w:r>
        <w:rPr>
          <w:color w:val="FF0000"/>
        </w:rPr>
        <w:t xml:space="preserve"> unberechenbar und kann </w:t>
      </w:r>
      <w:proofErr w:type="spellStart"/>
      <w:r>
        <w:rPr>
          <w:color w:val="FF0000"/>
        </w:rPr>
        <w:t>pötzlich</w:t>
      </w:r>
      <w:proofErr w:type="spellEnd"/>
      <w:r>
        <w:rPr>
          <w:color w:val="FF0000"/>
        </w:rPr>
        <w:t xml:space="preserve"> auftauchen oder so haha</w:t>
      </w:r>
    </w:p>
    <w:p w14:paraId="6D233DB3" w14:textId="77777777" w:rsidR="008C7A05" w:rsidRDefault="00866A07">
      <w:pPr>
        <w:spacing w:after="331" w:line="259" w:lineRule="auto"/>
        <w:ind w:left="30" w:right="0" w:firstLine="0"/>
        <w:jc w:val="left"/>
      </w:pPr>
      <w:r>
        <w:rPr>
          <w:color w:val="FF0000"/>
        </w:rPr>
        <w:t>Infektionsmechanismus? oder wird das zu lang?</w:t>
      </w:r>
    </w:p>
    <w:p w14:paraId="7C02FBDA" w14:textId="77777777" w:rsidR="008C7A05" w:rsidRDefault="00866A07">
      <w:pPr>
        <w:pStyle w:val="berschrift3"/>
        <w:tabs>
          <w:tab w:val="center" w:pos="1277"/>
        </w:tabs>
        <w:ind w:left="0" w:firstLine="0"/>
      </w:pPr>
      <w:bookmarkStart w:id="3" w:name="_Toc30598"/>
      <w:r>
        <w:t>1.2.2</w:t>
      </w:r>
      <w:r>
        <w:tab/>
        <w:t>Influenza B</w:t>
      </w:r>
      <w:bookmarkEnd w:id="3"/>
    </w:p>
    <w:p w14:paraId="1984D5E8" w14:textId="77777777" w:rsidR="008C7A05" w:rsidRDefault="00866A07">
      <w:pPr>
        <w:spacing w:after="4"/>
        <w:ind w:left="17" w:right="4"/>
      </w:pPr>
      <w:r>
        <w:t>Das Influenza B Virus ist ein ständiger Begleiter des Influenza A Vir</w:t>
      </w:r>
      <w:r>
        <w:t xml:space="preserve">us und </w:t>
      </w:r>
      <w:proofErr w:type="spellStart"/>
      <w:r>
        <w:t>co</w:t>
      </w:r>
      <w:proofErr w:type="spellEnd"/>
      <w:r>
        <w:t>-zirkuliert zusammen mit dem Influenza A Virus in saisonalen Epidemien (</w:t>
      </w:r>
      <w:r>
        <w:rPr>
          <w:color w:val="4169E1"/>
        </w:rPr>
        <w:t xml:space="preserve">Sandt </w:t>
      </w:r>
      <w:r>
        <w:rPr>
          <w:i/>
          <w:color w:val="4169E1"/>
        </w:rPr>
        <w:t xml:space="preserve">et al. </w:t>
      </w:r>
      <w:r>
        <w:rPr>
          <w:color w:val="4169E1"/>
        </w:rPr>
        <w:t>2015</w:t>
      </w:r>
      <w:r>
        <w:t>). Jedoch liegt der Fokus der Forschung auf dem Influenza A Virus, da hier durch die etablierten tierischen Reservoirs ein deutlich erhöhtes Pandemierisiko be</w:t>
      </w:r>
      <w:r>
        <w:t>steht (</w:t>
      </w:r>
      <w:proofErr w:type="spellStart"/>
      <w:r>
        <w:rPr>
          <w:color w:val="4169E1"/>
        </w:rPr>
        <w:t>Koutsakos</w:t>
      </w:r>
      <w:proofErr w:type="spellEnd"/>
      <w:r>
        <w:rPr>
          <w:color w:val="4169E1"/>
        </w:rPr>
        <w:t xml:space="preserve"> </w:t>
      </w:r>
      <w:r>
        <w:rPr>
          <w:i/>
          <w:color w:val="4169E1"/>
        </w:rPr>
        <w:t xml:space="preserve">et al. </w:t>
      </w:r>
      <w:r>
        <w:rPr>
          <w:color w:val="4169E1"/>
        </w:rPr>
        <w:t>2016</w:t>
      </w:r>
      <w:r>
        <w:t xml:space="preserve">; </w:t>
      </w:r>
      <w:proofErr w:type="spellStart"/>
      <w:r>
        <w:rPr>
          <w:color w:val="4169E1"/>
        </w:rPr>
        <w:t>Zaraket</w:t>
      </w:r>
      <w:proofErr w:type="spellEnd"/>
      <w:r>
        <w:rPr>
          <w:color w:val="4169E1"/>
        </w:rPr>
        <w:t xml:space="preserve"> </w:t>
      </w:r>
      <w:r>
        <w:rPr>
          <w:i/>
          <w:color w:val="4169E1"/>
        </w:rPr>
        <w:t xml:space="preserve">et al. </w:t>
      </w:r>
      <w:r>
        <w:rPr>
          <w:color w:val="4169E1"/>
        </w:rPr>
        <w:t>2021</w:t>
      </w:r>
      <w:r>
        <w:t>). Nichtsdestotrotz ist das Influenza B Virus für ca. 23 % aller Influenza-Erkrankungen mit einer besonders hohen Mortalität bei Kindern (0 - 18 Jahre) von über 50 % verantwortlich (</w:t>
      </w:r>
      <w:proofErr w:type="spellStart"/>
      <w:r>
        <w:rPr>
          <w:color w:val="4169E1"/>
        </w:rPr>
        <w:t>Zaraket</w:t>
      </w:r>
      <w:proofErr w:type="spellEnd"/>
      <w:r>
        <w:rPr>
          <w:color w:val="4169E1"/>
        </w:rPr>
        <w:t xml:space="preserve"> </w:t>
      </w:r>
      <w:r>
        <w:rPr>
          <w:i/>
          <w:color w:val="4169E1"/>
        </w:rPr>
        <w:t xml:space="preserve">et al. </w:t>
      </w:r>
      <w:r>
        <w:rPr>
          <w:color w:val="4169E1"/>
        </w:rPr>
        <w:t>2021</w:t>
      </w:r>
      <w:r>
        <w:t>).</w:t>
      </w:r>
    </w:p>
    <w:p w14:paraId="180ED490" w14:textId="77777777" w:rsidR="008C7A05" w:rsidRDefault="00866A07">
      <w:pPr>
        <w:spacing w:after="50" w:line="259" w:lineRule="auto"/>
        <w:ind w:left="17" w:right="4"/>
      </w:pPr>
      <w:r>
        <w:t>Die</w:t>
      </w:r>
      <w:r>
        <w:t xml:space="preserve"> Genomstruktur und der Aufbau der Influenza B Viren ist identisch mit dem des Influenza A Virus</w:t>
      </w:r>
    </w:p>
    <w:p w14:paraId="0BFD6365" w14:textId="77777777" w:rsidR="008C7A05" w:rsidRDefault="00866A07">
      <w:pPr>
        <w:spacing w:after="52" w:line="259" w:lineRule="auto"/>
        <w:ind w:left="17" w:right="4"/>
      </w:pPr>
      <w:r>
        <w:t>(</w:t>
      </w:r>
      <w:r>
        <w:rPr>
          <w:color w:val="4169E1"/>
        </w:rPr>
        <w:t>Hampson &amp; Mackenzie 2006</w:t>
      </w:r>
      <w:r>
        <w:t>), jedoch unterscheiden sich die Proteine der Viren in Länge, Aminosäure-</w:t>
      </w:r>
    </w:p>
    <w:p w14:paraId="12DACD52" w14:textId="77777777" w:rsidR="008C7A05" w:rsidRDefault="00866A07">
      <w:pPr>
        <w:spacing w:after="61" w:line="259" w:lineRule="auto"/>
        <w:ind w:left="17" w:right="4"/>
      </w:pPr>
      <w:r>
        <w:t>Komposition und Funktion (</w:t>
      </w:r>
      <w:proofErr w:type="spellStart"/>
      <w:r>
        <w:rPr>
          <w:color w:val="4169E1"/>
        </w:rPr>
        <w:t>Koutsakos</w:t>
      </w:r>
      <w:proofErr w:type="spellEnd"/>
      <w:r>
        <w:rPr>
          <w:color w:val="4169E1"/>
        </w:rPr>
        <w:t xml:space="preserve"> </w:t>
      </w:r>
      <w:r>
        <w:rPr>
          <w:i/>
          <w:color w:val="4169E1"/>
        </w:rPr>
        <w:t xml:space="preserve">et al. </w:t>
      </w:r>
      <w:r>
        <w:rPr>
          <w:color w:val="4169E1"/>
        </w:rPr>
        <w:t>2016</w:t>
      </w:r>
      <w:r>
        <w:t xml:space="preserve">). So codiert </w:t>
      </w:r>
      <w:r>
        <w:t>das Influenza A Genom für mindestens 17</w:t>
      </w:r>
    </w:p>
    <w:p w14:paraId="6F037C08" w14:textId="77777777" w:rsidR="008C7A05" w:rsidRDefault="00866A07">
      <w:pPr>
        <w:spacing w:after="61" w:line="259" w:lineRule="auto"/>
        <w:ind w:left="17" w:right="4"/>
      </w:pPr>
      <w:r>
        <w:t>Proteine (</w:t>
      </w:r>
      <w:proofErr w:type="spellStart"/>
      <w:r>
        <w:rPr>
          <w:color w:val="4169E1"/>
        </w:rPr>
        <w:t>Vasin</w:t>
      </w:r>
      <w:proofErr w:type="spellEnd"/>
      <w:r>
        <w:rPr>
          <w:color w:val="4169E1"/>
        </w:rPr>
        <w:t xml:space="preserve"> </w:t>
      </w:r>
      <w:r>
        <w:rPr>
          <w:i/>
          <w:color w:val="4169E1"/>
        </w:rPr>
        <w:t xml:space="preserve">et al. </w:t>
      </w:r>
      <w:r>
        <w:rPr>
          <w:color w:val="4169E1"/>
        </w:rPr>
        <w:t>2014</w:t>
      </w:r>
      <w:r>
        <w:t xml:space="preserve">), während das leicht größere Genom des Influenza B Virus mit rund 14,6 </w:t>
      </w:r>
      <w:proofErr w:type="spellStart"/>
      <w:r>
        <w:t>kb</w:t>
      </w:r>
      <w:proofErr w:type="spellEnd"/>
      <w:r>
        <w:t xml:space="preserve"> nur</w:t>
      </w:r>
    </w:p>
    <w:p w14:paraId="73BA366A" w14:textId="77777777" w:rsidR="008C7A05" w:rsidRDefault="00866A07">
      <w:pPr>
        <w:ind w:left="17" w:right="4"/>
      </w:pPr>
      <w:r>
        <w:t>11 Proteine codiert (</w:t>
      </w:r>
      <w:r>
        <w:rPr>
          <w:color w:val="4169E1"/>
        </w:rPr>
        <w:t xml:space="preserve">Paterson </w:t>
      </w:r>
      <w:r>
        <w:rPr>
          <w:i/>
          <w:color w:val="4169E1"/>
        </w:rPr>
        <w:t xml:space="preserve">et al. </w:t>
      </w:r>
      <w:r>
        <w:rPr>
          <w:color w:val="4169E1"/>
        </w:rPr>
        <w:t>2003</w:t>
      </w:r>
      <w:r>
        <w:t xml:space="preserve">; </w:t>
      </w:r>
      <w:r>
        <w:rPr>
          <w:color w:val="4169E1"/>
        </w:rPr>
        <w:t xml:space="preserve">Sandt </w:t>
      </w:r>
      <w:r>
        <w:rPr>
          <w:i/>
          <w:color w:val="4169E1"/>
        </w:rPr>
        <w:t xml:space="preserve">et al. </w:t>
      </w:r>
      <w:r>
        <w:rPr>
          <w:color w:val="4169E1"/>
        </w:rPr>
        <w:t>2015</w:t>
      </w:r>
      <w:r>
        <w:t xml:space="preserve">). Der Vergleich der einzelnen Proteine </w:t>
      </w:r>
      <w:proofErr w:type="gramStart"/>
      <w:r>
        <w:t>mit ihren entsprechenden Aminosäure</w:t>
      </w:r>
      <w:proofErr w:type="gramEnd"/>
      <w:r>
        <w:t xml:space="preserve"> (AS) -Längen ist in Tabelle </w:t>
      </w:r>
      <w:r>
        <w:rPr>
          <w:color w:val="4169E1"/>
        </w:rPr>
        <w:t xml:space="preserve">1 </w:t>
      </w:r>
      <w:r>
        <w:t>gezeigt.</w:t>
      </w:r>
    </w:p>
    <w:p w14:paraId="49C675EC" w14:textId="77777777" w:rsidR="008C7A05" w:rsidRDefault="00866A07">
      <w:pPr>
        <w:spacing w:after="0" w:line="259" w:lineRule="auto"/>
        <w:ind w:left="17" w:right="4"/>
      </w:pPr>
      <w:r>
        <w:t xml:space="preserve">Tabelle 1: Übersicht und Vergleich der Proteine von Influenza A und B (Modifiziert nach Sandt </w:t>
      </w:r>
      <w:r>
        <w:rPr>
          <w:i/>
        </w:rPr>
        <w:t xml:space="preserve">et al. </w:t>
      </w:r>
      <w:r>
        <w:t>(</w:t>
      </w:r>
      <w:r>
        <w:rPr>
          <w:color w:val="4169E1"/>
        </w:rPr>
        <w:t>2015</w:t>
      </w:r>
      <w:r>
        <w:t>))</w:t>
      </w:r>
    </w:p>
    <w:p w14:paraId="5DA6AA7C" w14:textId="77777777" w:rsidR="008C7A05" w:rsidRDefault="00866A07">
      <w:pPr>
        <w:spacing w:after="60" w:line="259" w:lineRule="auto"/>
        <w:ind w:left="90" w:right="0" w:firstLine="0"/>
        <w:jc w:val="left"/>
      </w:pPr>
      <w:r>
        <w:rPr>
          <w:rFonts w:ascii="Calibri" w:eastAsia="Calibri" w:hAnsi="Calibri" w:cs="Calibri"/>
          <w:noProof/>
          <w:sz w:val="22"/>
        </w:rPr>
        <mc:AlternateContent>
          <mc:Choice Requires="wpg">
            <w:drawing>
              <wp:inline distT="0" distB="0" distL="0" distR="0" wp14:anchorId="450D79DD" wp14:editId="3108F55E">
                <wp:extent cx="5905301" cy="196450"/>
                <wp:effectExtent l="0" t="0" r="0" b="0"/>
                <wp:docPr id="29746" name="Group 29746"/>
                <wp:cNvGraphicFramePr/>
                <a:graphic xmlns:a="http://schemas.openxmlformats.org/drawingml/2006/main">
                  <a:graphicData uri="http://schemas.microsoft.com/office/word/2010/wordprocessingGroup">
                    <wpg:wgp>
                      <wpg:cNvGrpSpPr/>
                      <wpg:grpSpPr>
                        <a:xfrm>
                          <a:off x="0" y="0"/>
                          <a:ext cx="5905301" cy="196450"/>
                          <a:chOff x="0" y="0"/>
                          <a:chExt cx="5905301" cy="196450"/>
                        </a:xfrm>
                      </wpg:grpSpPr>
                      <wps:wsp>
                        <wps:cNvPr id="705" name="Shape 705"/>
                        <wps:cNvSpPr/>
                        <wps:spPr>
                          <a:xfrm>
                            <a:off x="0" y="0"/>
                            <a:ext cx="5905301" cy="0"/>
                          </a:xfrm>
                          <a:custGeom>
                            <a:avLst/>
                            <a:gdLst/>
                            <a:ahLst/>
                            <a:cxnLst/>
                            <a:rect l="0" t="0" r="0" b="0"/>
                            <a:pathLst>
                              <a:path w="5905301">
                                <a:moveTo>
                                  <a:pt x="0" y="0"/>
                                </a:moveTo>
                                <a:lnTo>
                                  <a:pt x="5905301" y="0"/>
                                </a:lnTo>
                              </a:path>
                            </a:pathLst>
                          </a:custGeom>
                          <a:ln w="9204" cap="flat">
                            <a:miter lim="127000"/>
                          </a:ln>
                        </wps:spPr>
                        <wps:style>
                          <a:lnRef idx="1">
                            <a:srgbClr val="000000"/>
                          </a:lnRef>
                          <a:fillRef idx="0">
                            <a:srgbClr val="000000">
                              <a:alpha val="0"/>
                            </a:srgbClr>
                          </a:fillRef>
                          <a:effectRef idx="0">
                            <a:scrgbClr r="0" g="0" b="0"/>
                          </a:effectRef>
                          <a:fontRef idx="none"/>
                        </wps:style>
                        <wps:bodyPr/>
                      </wps:wsp>
                      <wps:wsp>
                        <wps:cNvPr id="706" name="Rectangle 706"/>
                        <wps:cNvSpPr/>
                        <wps:spPr>
                          <a:xfrm>
                            <a:off x="1192384" y="40741"/>
                            <a:ext cx="773621" cy="153011"/>
                          </a:xfrm>
                          <a:prstGeom prst="rect">
                            <a:avLst/>
                          </a:prstGeom>
                          <a:ln>
                            <a:noFill/>
                          </a:ln>
                        </wps:spPr>
                        <wps:txbx>
                          <w:txbxContent>
                            <w:p w14:paraId="62B1238F" w14:textId="77777777" w:rsidR="008C7A05" w:rsidRDefault="00866A07">
                              <w:pPr>
                                <w:spacing w:after="160" w:line="259" w:lineRule="auto"/>
                                <w:ind w:left="0" w:right="0" w:firstLine="0"/>
                                <w:jc w:val="left"/>
                              </w:pPr>
                              <w:r>
                                <w:rPr>
                                  <w:w w:val="105"/>
                                  <w:sz w:val="18"/>
                                </w:rPr>
                                <w:t>Influenza</w:t>
                              </w:r>
                              <w:r>
                                <w:rPr>
                                  <w:spacing w:val="15"/>
                                  <w:w w:val="105"/>
                                  <w:sz w:val="18"/>
                                </w:rPr>
                                <w:t xml:space="preserve"> </w:t>
                              </w:r>
                              <w:r>
                                <w:rPr>
                                  <w:w w:val="105"/>
                                  <w:sz w:val="18"/>
                                </w:rPr>
                                <w:t>A</w:t>
                              </w:r>
                            </w:p>
                          </w:txbxContent>
                        </wps:txbx>
                        <wps:bodyPr horzOverflow="overflow" vert="horz" lIns="0" tIns="0" rIns="0" bIns="0" rtlCol="0">
                          <a:noAutofit/>
                        </wps:bodyPr>
                      </wps:wsp>
                      <wps:wsp>
                        <wps:cNvPr id="707" name="Rectangle 707"/>
                        <wps:cNvSpPr/>
                        <wps:spPr>
                          <a:xfrm>
                            <a:off x="2401985" y="40741"/>
                            <a:ext cx="767041" cy="153011"/>
                          </a:xfrm>
                          <a:prstGeom prst="rect">
                            <a:avLst/>
                          </a:prstGeom>
                          <a:ln>
                            <a:noFill/>
                          </a:ln>
                        </wps:spPr>
                        <wps:txbx>
                          <w:txbxContent>
                            <w:p w14:paraId="6DE09F61" w14:textId="77777777" w:rsidR="008C7A05" w:rsidRDefault="00866A07">
                              <w:pPr>
                                <w:spacing w:after="160" w:line="259" w:lineRule="auto"/>
                                <w:ind w:left="0" w:right="0" w:firstLine="0"/>
                                <w:jc w:val="left"/>
                              </w:pPr>
                              <w:r>
                                <w:rPr>
                                  <w:w w:val="105"/>
                                  <w:sz w:val="18"/>
                                </w:rPr>
                                <w:t>Influenza</w:t>
                              </w:r>
                              <w:r>
                                <w:rPr>
                                  <w:spacing w:val="15"/>
                                  <w:w w:val="105"/>
                                  <w:sz w:val="18"/>
                                </w:rPr>
                                <w:t xml:space="preserve"> </w:t>
                              </w:r>
                              <w:r>
                                <w:rPr>
                                  <w:w w:val="105"/>
                                  <w:sz w:val="18"/>
                                </w:rPr>
                                <w:t>B</w:t>
                              </w:r>
                            </w:p>
                          </w:txbxContent>
                        </wps:txbx>
                        <wps:bodyPr horzOverflow="overflow" vert="horz" lIns="0" tIns="0" rIns="0" bIns="0" rtlCol="0">
                          <a:noAutofit/>
                        </wps:bodyPr>
                      </wps:wsp>
                      <wps:wsp>
                        <wps:cNvPr id="708" name="Shape 708"/>
                        <wps:cNvSpPr/>
                        <wps:spPr>
                          <a:xfrm>
                            <a:off x="893101" y="196450"/>
                            <a:ext cx="1180247" cy="0"/>
                          </a:xfrm>
                          <a:custGeom>
                            <a:avLst/>
                            <a:gdLst/>
                            <a:ahLst/>
                            <a:cxnLst/>
                            <a:rect l="0" t="0" r="0" b="0"/>
                            <a:pathLst>
                              <a:path w="1180247">
                                <a:moveTo>
                                  <a:pt x="0" y="0"/>
                                </a:moveTo>
                                <a:lnTo>
                                  <a:pt x="1180247" y="0"/>
                                </a:lnTo>
                              </a:path>
                            </a:pathLst>
                          </a:custGeom>
                          <a:ln w="3452" cap="flat">
                            <a:miter lim="127000"/>
                          </a:ln>
                        </wps:spPr>
                        <wps:style>
                          <a:lnRef idx="1">
                            <a:srgbClr val="000000"/>
                          </a:lnRef>
                          <a:fillRef idx="0">
                            <a:srgbClr val="000000">
                              <a:alpha val="0"/>
                            </a:srgbClr>
                          </a:fillRef>
                          <a:effectRef idx="0">
                            <a:scrgbClr r="0" g="0" b="0"/>
                          </a:effectRef>
                          <a:fontRef idx="none"/>
                        </wps:style>
                        <wps:bodyPr/>
                      </wps:wsp>
                      <wps:wsp>
                        <wps:cNvPr id="709" name="Shape 709"/>
                        <wps:cNvSpPr/>
                        <wps:spPr>
                          <a:xfrm>
                            <a:off x="2142381" y="196450"/>
                            <a:ext cx="1096041" cy="0"/>
                          </a:xfrm>
                          <a:custGeom>
                            <a:avLst/>
                            <a:gdLst/>
                            <a:ahLst/>
                            <a:cxnLst/>
                            <a:rect l="0" t="0" r="0" b="0"/>
                            <a:pathLst>
                              <a:path w="1096041">
                                <a:moveTo>
                                  <a:pt x="0" y="0"/>
                                </a:moveTo>
                                <a:lnTo>
                                  <a:pt x="1096041" y="0"/>
                                </a:lnTo>
                              </a:path>
                            </a:pathLst>
                          </a:custGeom>
                          <a:ln w="345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0D79DD" id="Group 29746" o:spid="_x0000_s1026" style="width:465pt;height:15.45pt;mso-position-horizontal-relative:char;mso-position-vertical-relative:line" coordsize="59053,1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">
                <v:shape id="Shape 705" o:spid="_x0000_s1027" style="position:absolute;width:59053;height:0;visibility:visible;mso-wrap-style:square;v-text-anchor:top" coordsize="5905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" path="m,l5905301,e" filled="f" strokeweight=".25567mm">
                  <v:stroke miterlimit="83231f" joinstyle="miter"/>
                  <v:path arrowok="t" textboxrect="0,0,5905301,0"/>
                </v:shape>
                <v:rect id="Rectangle 706" o:spid="_x0000_s1028" style="position:absolute;left:11923;top:407;width:773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62B1238F" w14:textId="77777777" w:rsidR="008C7A05" w:rsidRDefault="00866A07">
                        <w:pPr>
                          <w:spacing w:after="160" w:line="259" w:lineRule="auto"/>
                          <w:ind w:left="0" w:right="0" w:firstLine="0"/>
                          <w:jc w:val="left"/>
                        </w:pPr>
                        <w:r>
                          <w:rPr>
                            <w:w w:val="105"/>
                            <w:sz w:val="18"/>
                          </w:rPr>
                          <w:t>Influenza</w:t>
                        </w:r>
                        <w:r>
                          <w:rPr>
                            <w:spacing w:val="15"/>
                            <w:w w:val="105"/>
                            <w:sz w:val="18"/>
                          </w:rPr>
                          <w:t xml:space="preserve"> </w:t>
                        </w:r>
                        <w:r>
                          <w:rPr>
                            <w:w w:val="105"/>
                            <w:sz w:val="18"/>
                          </w:rPr>
                          <w:t>A</w:t>
                        </w:r>
                      </w:p>
                    </w:txbxContent>
                  </v:textbox>
                </v:rect>
                <v:rect id="Rectangle 707" o:spid="_x0000_s1029" style="position:absolute;left:24019;top:407;width:767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6DE09F61" w14:textId="77777777" w:rsidR="008C7A05" w:rsidRDefault="00866A07">
                        <w:pPr>
                          <w:spacing w:after="160" w:line="259" w:lineRule="auto"/>
                          <w:ind w:left="0" w:right="0" w:firstLine="0"/>
                          <w:jc w:val="left"/>
                        </w:pPr>
                        <w:r>
                          <w:rPr>
                            <w:w w:val="105"/>
                            <w:sz w:val="18"/>
                          </w:rPr>
                          <w:t>Influenza</w:t>
                        </w:r>
                        <w:r>
                          <w:rPr>
                            <w:spacing w:val="15"/>
                            <w:w w:val="105"/>
                            <w:sz w:val="18"/>
                          </w:rPr>
                          <w:t xml:space="preserve"> </w:t>
                        </w:r>
                        <w:r>
                          <w:rPr>
                            <w:w w:val="105"/>
                            <w:sz w:val="18"/>
                          </w:rPr>
                          <w:t>B</w:t>
                        </w:r>
                      </w:p>
                    </w:txbxContent>
                  </v:textbox>
                </v:rect>
                <v:shape id="Shape 708" o:spid="_x0000_s1030" style="position:absolute;left:8931;top:1964;width:11802;height:0;visibility:visible;mso-wrap-style:square;v-text-anchor:top" coordsize="1180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" path="m,l1180247,e" filled="f" strokeweight=".09589mm">
                  <v:stroke miterlimit="83231f" joinstyle="miter"/>
                  <v:path arrowok="t" textboxrect="0,0,1180247,0"/>
                </v:shape>
                <v:shape id="Shape 709" o:spid="_x0000_s1031" style="position:absolute;left:21423;top:1964;width:10961;height:0;visibility:visible;mso-wrap-style:square;v-text-anchor:top" coordsize="109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" path="m,l1096041,e" filled="f" strokeweight=".09589mm">
                  <v:stroke miterlimit="83231f" joinstyle="miter"/>
                  <v:path arrowok="t" textboxrect="0,0,1096041,0"/>
                </v:shape>
                <w10:anchorlock/>
              </v:group>
            </w:pict>
          </mc:Fallback>
        </mc:AlternateContent>
      </w:r>
    </w:p>
    <w:tbl>
      <w:tblPr>
        <w:tblStyle w:val="TableGrid"/>
        <w:tblW w:w="9300" w:type="dxa"/>
        <w:tblInd w:w="90" w:type="dxa"/>
        <w:tblCellMar>
          <w:top w:w="0" w:type="dxa"/>
          <w:left w:w="0" w:type="dxa"/>
          <w:bottom w:w="0" w:type="dxa"/>
          <w:right w:w="186" w:type="dxa"/>
        </w:tblCellMar>
        <w:tblLook w:val="04A0" w:firstRow="1" w:lastRow="0" w:firstColumn="1" w:lastColumn="0" w:noHBand="0" w:noVBand="1"/>
      </w:tblPr>
      <w:tblGrid>
        <w:gridCol w:w="1461"/>
        <w:gridCol w:w="937"/>
        <w:gridCol w:w="1031"/>
        <w:gridCol w:w="804"/>
        <w:gridCol w:w="1021"/>
        <w:gridCol w:w="4046"/>
      </w:tblGrid>
      <w:tr w:rsidR="008C7A05" w14:paraId="309570AA" w14:textId="77777777">
        <w:trPr>
          <w:trHeight w:val="245"/>
        </w:trPr>
        <w:tc>
          <w:tcPr>
            <w:tcW w:w="1461" w:type="dxa"/>
            <w:tcBorders>
              <w:top w:val="nil"/>
              <w:left w:val="nil"/>
              <w:bottom w:val="single" w:sz="2" w:space="0" w:color="000000"/>
              <w:right w:val="nil"/>
            </w:tcBorders>
          </w:tcPr>
          <w:p w14:paraId="5DE74963" w14:textId="77777777" w:rsidR="008C7A05" w:rsidRDefault="00866A07">
            <w:pPr>
              <w:spacing w:after="0" w:line="259" w:lineRule="auto"/>
              <w:ind w:left="109" w:right="0" w:firstLine="0"/>
              <w:jc w:val="left"/>
            </w:pPr>
            <w:r>
              <w:rPr>
                <w:sz w:val="18"/>
              </w:rPr>
              <w:t>RNA-Segment</w:t>
            </w:r>
          </w:p>
        </w:tc>
        <w:tc>
          <w:tcPr>
            <w:tcW w:w="937" w:type="dxa"/>
            <w:tcBorders>
              <w:top w:val="nil"/>
              <w:left w:val="nil"/>
              <w:bottom w:val="single" w:sz="2" w:space="0" w:color="000000"/>
              <w:right w:val="nil"/>
            </w:tcBorders>
          </w:tcPr>
          <w:p w14:paraId="0CF73BDA" w14:textId="77777777" w:rsidR="008C7A05" w:rsidRDefault="00866A07">
            <w:pPr>
              <w:spacing w:after="0" w:line="259" w:lineRule="auto"/>
              <w:ind w:left="66" w:right="0" w:firstLine="0"/>
              <w:jc w:val="left"/>
            </w:pPr>
            <w:r>
              <w:rPr>
                <w:sz w:val="18"/>
              </w:rPr>
              <w:t>Protein</w:t>
            </w:r>
          </w:p>
        </w:tc>
        <w:tc>
          <w:tcPr>
            <w:tcW w:w="1031" w:type="dxa"/>
            <w:tcBorders>
              <w:top w:val="nil"/>
              <w:left w:val="nil"/>
              <w:bottom w:val="single" w:sz="2" w:space="0" w:color="000000"/>
              <w:right w:val="nil"/>
            </w:tcBorders>
          </w:tcPr>
          <w:p w14:paraId="03BFC85B" w14:textId="77777777" w:rsidR="008C7A05" w:rsidRDefault="00866A07">
            <w:pPr>
              <w:spacing w:after="0" w:line="259" w:lineRule="auto"/>
              <w:ind w:left="0" w:right="0" w:firstLine="0"/>
              <w:jc w:val="left"/>
            </w:pPr>
            <w:proofErr w:type="gramStart"/>
            <w:r>
              <w:rPr>
                <w:sz w:val="18"/>
              </w:rPr>
              <w:t>Länge[</w:t>
            </w:r>
            <w:proofErr w:type="gramEnd"/>
            <w:r>
              <w:rPr>
                <w:sz w:val="18"/>
              </w:rPr>
              <w:t>AS]</w:t>
            </w:r>
          </w:p>
        </w:tc>
        <w:tc>
          <w:tcPr>
            <w:tcW w:w="804" w:type="dxa"/>
            <w:tcBorders>
              <w:top w:val="nil"/>
              <w:left w:val="nil"/>
              <w:bottom w:val="single" w:sz="2" w:space="0" w:color="000000"/>
              <w:right w:val="nil"/>
            </w:tcBorders>
          </w:tcPr>
          <w:p w14:paraId="6F75FA56" w14:textId="77777777" w:rsidR="008C7A05" w:rsidRDefault="00866A07">
            <w:pPr>
              <w:spacing w:after="0" w:line="259" w:lineRule="auto"/>
              <w:ind w:left="0" w:right="0" w:firstLine="0"/>
              <w:jc w:val="left"/>
            </w:pPr>
            <w:r>
              <w:rPr>
                <w:sz w:val="18"/>
              </w:rPr>
              <w:t>Protein</w:t>
            </w:r>
          </w:p>
        </w:tc>
        <w:tc>
          <w:tcPr>
            <w:tcW w:w="1021" w:type="dxa"/>
            <w:tcBorders>
              <w:top w:val="nil"/>
              <w:left w:val="nil"/>
              <w:bottom w:val="single" w:sz="2" w:space="0" w:color="000000"/>
              <w:right w:val="nil"/>
            </w:tcBorders>
          </w:tcPr>
          <w:p w14:paraId="1C11A6B0" w14:textId="77777777" w:rsidR="008C7A05" w:rsidRDefault="00866A07">
            <w:pPr>
              <w:spacing w:after="0" w:line="259" w:lineRule="auto"/>
              <w:ind w:left="0" w:right="0" w:firstLine="0"/>
              <w:jc w:val="left"/>
            </w:pPr>
            <w:proofErr w:type="gramStart"/>
            <w:r>
              <w:rPr>
                <w:sz w:val="18"/>
              </w:rPr>
              <w:t>Länge[</w:t>
            </w:r>
            <w:proofErr w:type="gramEnd"/>
            <w:r>
              <w:rPr>
                <w:sz w:val="18"/>
              </w:rPr>
              <w:t>AS]</w:t>
            </w:r>
          </w:p>
        </w:tc>
        <w:tc>
          <w:tcPr>
            <w:tcW w:w="4046" w:type="dxa"/>
            <w:tcBorders>
              <w:top w:val="nil"/>
              <w:left w:val="nil"/>
              <w:bottom w:val="single" w:sz="2" w:space="0" w:color="000000"/>
              <w:right w:val="nil"/>
            </w:tcBorders>
          </w:tcPr>
          <w:p w14:paraId="6C3461B6" w14:textId="77777777" w:rsidR="008C7A05" w:rsidRDefault="00866A07">
            <w:pPr>
              <w:spacing w:after="0" w:line="259" w:lineRule="auto"/>
              <w:ind w:left="86" w:right="0" w:firstLine="0"/>
              <w:jc w:val="center"/>
            </w:pPr>
            <w:r>
              <w:rPr>
                <w:sz w:val="18"/>
              </w:rPr>
              <w:t>Funktion</w:t>
            </w:r>
          </w:p>
        </w:tc>
      </w:tr>
      <w:tr w:rsidR="008C7A05" w14:paraId="45E63E54" w14:textId="77777777">
        <w:trPr>
          <w:trHeight w:val="307"/>
        </w:trPr>
        <w:tc>
          <w:tcPr>
            <w:tcW w:w="1461" w:type="dxa"/>
            <w:tcBorders>
              <w:top w:val="single" w:sz="2" w:space="0" w:color="000000"/>
              <w:left w:val="nil"/>
              <w:bottom w:val="single" w:sz="4" w:space="0" w:color="000000"/>
              <w:right w:val="nil"/>
            </w:tcBorders>
          </w:tcPr>
          <w:p w14:paraId="700FF2CF" w14:textId="77777777" w:rsidR="008C7A05" w:rsidRDefault="00866A07">
            <w:pPr>
              <w:spacing w:after="0" w:line="259" w:lineRule="auto"/>
              <w:ind w:left="0" w:right="31" w:firstLine="0"/>
              <w:jc w:val="right"/>
            </w:pPr>
            <w:r>
              <w:rPr>
                <w:sz w:val="18"/>
              </w:rPr>
              <w:lastRenderedPageBreak/>
              <w:t>1</w:t>
            </w:r>
          </w:p>
        </w:tc>
        <w:tc>
          <w:tcPr>
            <w:tcW w:w="937" w:type="dxa"/>
            <w:tcBorders>
              <w:top w:val="single" w:sz="2" w:space="0" w:color="000000"/>
              <w:left w:val="nil"/>
              <w:bottom w:val="single" w:sz="4" w:space="0" w:color="000000"/>
              <w:right w:val="nil"/>
            </w:tcBorders>
          </w:tcPr>
          <w:p w14:paraId="2EE2F339" w14:textId="77777777" w:rsidR="008C7A05" w:rsidRDefault="00866A07">
            <w:pPr>
              <w:spacing w:after="0" w:line="259" w:lineRule="auto"/>
              <w:ind w:left="0" w:right="0" w:firstLine="0"/>
              <w:jc w:val="left"/>
            </w:pPr>
            <w:r>
              <w:rPr>
                <w:sz w:val="18"/>
              </w:rPr>
              <w:t>PB2</w:t>
            </w:r>
          </w:p>
        </w:tc>
        <w:tc>
          <w:tcPr>
            <w:tcW w:w="1031" w:type="dxa"/>
            <w:tcBorders>
              <w:top w:val="single" w:sz="2" w:space="0" w:color="000000"/>
              <w:left w:val="nil"/>
              <w:bottom w:val="single" w:sz="4" w:space="0" w:color="000000"/>
              <w:right w:val="nil"/>
            </w:tcBorders>
          </w:tcPr>
          <w:p w14:paraId="5399ADA5" w14:textId="77777777" w:rsidR="008C7A05" w:rsidRDefault="00866A07">
            <w:pPr>
              <w:spacing w:after="0" w:line="259" w:lineRule="auto"/>
              <w:ind w:left="0" w:right="0" w:firstLine="0"/>
              <w:jc w:val="left"/>
            </w:pPr>
            <w:r>
              <w:rPr>
                <w:sz w:val="18"/>
              </w:rPr>
              <w:t>759</w:t>
            </w:r>
          </w:p>
        </w:tc>
        <w:tc>
          <w:tcPr>
            <w:tcW w:w="804" w:type="dxa"/>
            <w:tcBorders>
              <w:top w:val="single" w:sz="2" w:space="0" w:color="000000"/>
              <w:left w:val="nil"/>
              <w:bottom w:val="single" w:sz="4" w:space="0" w:color="000000"/>
              <w:right w:val="nil"/>
            </w:tcBorders>
          </w:tcPr>
          <w:p w14:paraId="49A767E9" w14:textId="77777777" w:rsidR="008C7A05" w:rsidRDefault="00866A07">
            <w:pPr>
              <w:spacing w:after="0" w:line="259" w:lineRule="auto"/>
              <w:ind w:left="0" w:right="0" w:firstLine="0"/>
              <w:jc w:val="left"/>
            </w:pPr>
            <w:r>
              <w:rPr>
                <w:sz w:val="18"/>
              </w:rPr>
              <w:t>PB2</w:t>
            </w:r>
          </w:p>
        </w:tc>
        <w:tc>
          <w:tcPr>
            <w:tcW w:w="1021" w:type="dxa"/>
            <w:tcBorders>
              <w:top w:val="single" w:sz="2" w:space="0" w:color="000000"/>
              <w:left w:val="nil"/>
              <w:bottom w:val="single" w:sz="4" w:space="0" w:color="000000"/>
              <w:right w:val="nil"/>
            </w:tcBorders>
          </w:tcPr>
          <w:p w14:paraId="364A2EBC" w14:textId="77777777" w:rsidR="008C7A05" w:rsidRDefault="00866A07">
            <w:pPr>
              <w:spacing w:after="0" w:line="259" w:lineRule="auto"/>
              <w:ind w:left="0" w:right="0" w:firstLine="0"/>
              <w:jc w:val="left"/>
            </w:pPr>
            <w:r>
              <w:rPr>
                <w:sz w:val="18"/>
              </w:rPr>
              <w:t>770</w:t>
            </w:r>
          </w:p>
        </w:tc>
        <w:tc>
          <w:tcPr>
            <w:tcW w:w="4046" w:type="dxa"/>
            <w:tcBorders>
              <w:top w:val="single" w:sz="2" w:space="0" w:color="000000"/>
              <w:left w:val="nil"/>
              <w:bottom w:val="single" w:sz="4" w:space="0" w:color="000000"/>
              <w:right w:val="nil"/>
            </w:tcBorders>
          </w:tcPr>
          <w:p w14:paraId="56EFBB03" w14:textId="77777777" w:rsidR="008C7A05" w:rsidRDefault="00866A07">
            <w:pPr>
              <w:spacing w:after="0" w:line="259" w:lineRule="auto"/>
              <w:ind w:left="9" w:right="0" w:firstLine="0"/>
              <w:jc w:val="left"/>
            </w:pPr>
            <w:r>
              <w:rPr>
                <w:sz w:val="18"/>
              </w:rPr>
              <w:t>Untereinheit der RNA-Polymerase</w:t>
            </w:r>
          </w:p>
        </w:tc>
      </w:tr>
      <w:tr w:rsidR="008C7A05" w14:paraId="194CE736" w14:textId="77777777">
        <w:trPr>
          <w:trHeight w:val="308"/>
        </w:trPr>
        <w:tc>
          <w:tcPr>
            <w:tcW w:w="1461" w:type="dxa"/>
            <w:tcBorders>
              <w:top w:val="single" w:sz="4" w:space="0" w:color="000000"/>
              <w:left w:val="nil"/>
              <w:bottom w:val="single" w:sz="4" w:space="0" w:color="000000"/>
              <w:right w:val="nil"/>
            </w:tcBorders>
          </w:tcPr>
          <w:p w14:paraId="2CF1E6FF" w14:textId="77777777" w:rsidR="008C7A05" w:rsidRDefault="00866A07">
            <w:pPr>
              <w:spacing w:after="0" w:line="259" w:lineRule="auto"/>
              <w:ind w:left="0" w:right="31" w:firstLine="0"/>
              <w:jc w:val="right"/>
            </w:pPr>
            <w:r>
              <w:rPr>
                <w:sz w:val="18"/>
              </w:rPr>
              <w:t>2</w:t>
            </w:r>
          </w:p>
        </w:tc>
        <w:tc>
          <w:tcPr>
            <w:tcW w:w="937" w:type="dxa"/>
            <w:tcBorders>
              <w:top w:val="single" w:sz="4" w:space="0" w:color="000000"/>
              <w:left w:val="nil"/>
              <w:bottom w:val="single" w:sz="4" w:space="0" w:color="000000"/>
              <w:right w:val="nil"/>
            </w:tcBorders>
          </w:tcPr>
          <w:p w14:paraId="57378D3E" w14:textId="77777777" w:rsidR="008C7A05" w:rsidRDefault="00866A07">
            <w:pPr>
              <w:spacing w:after="0" w:line="259" w:lineRule="auto"/>
              <w:ind w:left="0" w:right="0" w:firstLine="0"/>
              <w:jc w:val="left"/>
            </w:pPr>
            <w:r>
              <w:rPr>
                <w:sz w:val="18"/>
              </w:rPr>
              <w:t>PB1</w:t>
            </w:r>
          </w:p>
        </w:tc>
        <w:tc>
          <w:tcPr>
            <w:tcW w:w="1031" w:type="dxa"/>
            <w:tcBorders>
              <w:top w:val="single" w:sz="4" w:space="0" w:color="000000"/>
              <w:left w:val="nil"/>
              <w:bottom w:val="single" w:sz="4" w:space="0" w:color="000000"/>
              <w:right w:val="nil"/>
            </w:tcBorders>
          </w:tcPr>
          <w:p w14:paraId="09325DBE" w14:textId="77777777" w:rsidR="008C7A05" w:rsidRDefault="00866A07">
            <w:pPr>
              <w:spacing w:after="0" w:line="259" w:lineRule="auto"/>
              <w:ind w:left="0" w:right="0" w:firstLine="0"/>
              <w:jc w:val="left"/>
            </w:pPr>
            <w:r>
              <w:rPr>
                <w:sz w:val="18"/>
              </w:rPr>
              <w:t>757</w:t>
            </w:r>
          </w:p>
        </w:tc>
        <w:tc>
          <w:tcPr>
            <w:tcW w:w="804" w:type="dxa"/>
            <w:tcBorders>
              <w:top w:val="single" w:sz="4" w:space="0" w:color="000000"/>
              <w:left w:val="nil"/>
              <w:bottom w:val="single" w:sz="4" w:space="0" w:color="000000"/>
              <w:right w:val="nil"/>
            </w:tcBorders>
          </w:tcPr>
          <w:p w14:paraId="6C42E9CF" w14:textId="77777777" w:rsidR="008C7A05" w:rsidRDefault="00866A07">
            <w:pPr>
              <w:spacing w:after="0" w:line="259" w:lineRule="auto"/>
              <w:ind w:left="0" w:right="0" w:firstLine="0"/>
              <w:jc w:val="left"/>
            </w:pPr>
            <w:r>
              <w:rPr>
                <w:sz w:val="18"/>
              </w:rPr>
              <w:t>PB1</w:t>
            </w:r>
          </w:p>
        </w:tc>
        <w:tc>
          <w:tcPr>
            <w:tcW w:w="1021" w:type="dxa"/>
            <w:tcBorders>
              <w:top w:val="single" w:sz="4" w:space="0" w:color="000000"/>
              <w:left w:val="nil"/>
              <w:bottom w:val="single" w:sz="4" w:space="0" w:color="000000"/>
              <w:right w:val="nil"/>
            </w:tcBorders>
          </w:tcPr>
          <w:p w14:paraId="5E109558" w14:textId="77777777" w:rsidR="008C7A05" w:rsidRDefault="00866A07">
            <w:pPr>
              <w:spacing w:after="0" w:line="259" w:lineRule="auto"/>
              <w:ind w:left="0" w:right="0" w:firstLine="0"/>
              <w:jc w:val="left"/>
            </w:pPr>
            <w:r>
              <w:rPr>
                <w:sz w:val="18"/>
              </w:rPr>
              <w:t>752</w:t>
            </w:r>
          </w:p>
        </w:tc>
        <w:tc>
          <w:tcPr>
            <w:tcW w:w="4046" w:type="dxa"/>
            <w:tcBorders>
              <w:top w:val="single" w:sz="4" w:space="0" w:color="000000"/>
              <w:left w:val="nil"/>
              <w:bottom w:val="single" w:sz="4" w:space="0" w:color="000000"/>
              <w:right w:val="nil"/>
            </w:tcBorders>
          </w:tcPr>
          <w:p w14:paraId="3D3E4795" w14:textId="77777777" w:rsidR="008C7A05" w:rsidRDefault="00866A07">
            <w:pPr>
              <w:spacing w:after="0" w:line="259" w:lineRule="auto"/>
              <w:ind w:left="9" w:right="0" w:firstLine="0"/>
              <w:jc w:val="left"/>
            </w:pPr>
            <w:r>
              <w:rPr>
                <w:sz w:val="18"/>
              </w:rPr>
              <w:t>Katalytische Untereinheit der RNA-Polymerase</w:t>
            </w:r>
          </w:p>
        </w:tc>
      </w:tr>
      <w:tr w:rsidR="008C7A05" w14:paraId="20459331" w14:textId="77777777">
        <w:trPr>
          <w:trHeight w:val="696"/>
        </w:trPr>
        <w:tc>
          <w:tcPr>
            <w:tcW w:w="1461" w:type="dxa"/>
            <w:tcBorders>
              <w:top w:val="single" w:sz="4" w:space="0" w:color="000000"/>
              <w:left w:val="nil"/>
              <w:bottom w:val="nil"/>
              <w:right w:val="nil"/>
            </w:tcBorders>
          </w:tcPr>
          <w:p w14:paraId="364ED26B" w14:textId="77777777" w:rsidR="008C7A05" w:rsidRDefault="00866A07">
            <w:pPr>
              <w:spacing w:after="0" w:line="259" w:lineRule="auto"/>
              <w:ind w:left="0" w:right="31" w:firstLine="0"/>
              <w:jc w:val="right"/>
            </w:pPr>
            <w:r>
              <w:rPr>
                <w:sz w:val="18"/>
              </w:rPr>
              <w:t>2</w:t>
            </w:r>
          </w:p>
        </w:tc>
        <w:tc>
          <w:tcPr>
            <w:tcW w:w="937" w:type="dxa"/>
            <w:tcBorders>
              <w:top w:val="single" w:sz="4" w:space="0" w:color="000000"/>
              <w:left w:val="nil"/>
              <w:bottom w:val="nil"/>
              <w:right w:val="nil"/>
            </w:tcBorders>
          </w:tcPr>
          <w:p w14:paraId="08EB1782" w14:textId="77777777" w:rsidR="008C7A05" w:rsidRDefault="00866A07">
            <w:pPr>
              <w:spacing w:after="0" w:line="259" w:lineRule="auto"/>
              <w:ind w:left="0" w:right="0" w:firstLine="0"/>
              <w:jc w:val="left"/>
            </w:pPr>
            <w:r>
              <w:rPr>
                <w:sz w:val="18"/>
              </w:rPr>
              <w:t>PB1-F2</w:t>
            </w:r>
          </w:p>
        </w:tc>
        <w:tc>
          <w:tcPr>
            <w:tcW w:w="1031" w:type="dxa"/>
            <w:tcBorders>
              <w:top w:val="single" w:sz="4" w:space="0" w:color="000000"/>
              <w:left w:val="nil"/>
              <w:bottom w:val="nil"/>
              <w:right w:val="nil"/>
            </w:tcBorders>
          </w:tcPr>
          <w:p w14:paraId="3DF19864" w14:textId="77777777" w:rsidR="008C7A05" w:rsidRDefault="00866A07">
            <w:pPr>
              <w:spacing w:after="0" w:line="259" w:lineRule="auto"/>
              <w:ind w:left="0" w:right="0" w:firstLine="0"/>
              <w:jc w:val="left"/>
            </w:pPr>
            <w:r>
              <w:rPr>
                <w:sz w:val="18"/>
              </w:rPr>
              <w:t>87</w:t>
            </w:r>
          </w:p>
        </w:tc>
        <w:tc>
          <w:tcPr>
            <w:tcW w:w="804" w:type="dxa"/>
            <w:tcBorders>
              <w:top w:val="single" w:sz="4" w:space="0" w:color="000000"/>
              <w:left w:val="nil"/>
              <w:bottom w:val="nil"/>
              <w:right w:val="nil"/>
            </w:tcBorders>
          </w:tcPr>
          <w:p w14:paraId="786FF6B6" w14:textId="77777777" w:rsidR="008C7A05" w:rsidRDefault="008C7A05">
            <w:pPr>
              <w:spacing w:after="160" w:line="259" w:lineRule="auto"/>
              <w:ind w:left="0" w:right="0" w:firstLine="0"/>
              <w:jc w:val="left"/>
            </w:pPr>
          </w:p>
        </w:tc>
        <w:tc>
          <w:tcPr>
            <w:tcW w:w="1021" w:type="dxa"/>
            <w:tcBorders>
              <w:top w:val="single" w:sz="4" w:space="0" w:color="000000"/>
              <w:left w:val="nil"/>
              <w:bottom w:val="nil"/>
              <w:right w:val="nil"/>
            </w:tcBorders>
          </w:tcPr>
          <w:p w14:paraId="7A58A1C5" w14:textId="77777777" w:rsidR="008C7A05" w:rsidRDefault="00866A07">
            <w:pPr>
              <w:spacing w:after="0" w:line="259" w:lineRule="auto"/>
              <w:ind w:left="0" w:right="0" w:firstLine="0"/>
              <w:jc w:val="left"/>
            </w:pPr>
            <w:r>
              <w:rPr>
                <w:sz w:val="18"/>
              </w:rPr>
              <w:t>/</w:t>
            </w:r>
          </w:p>
        </w:tc>
        <w:tc>
          <w:tcPr>
            <w:tcW w:w="4046" w:type="dxa"/>
            <w:tcBorders>
              <w:top w:val="single" w:sz="4" w:space="0" w:color="000000"/>
              <w:left w:val="nil"/>
              <w:bottom w:val="nil"/>
              <w:right w:val="nil"/>
            </w:tcBorders>
          </w:tcPr>
          <w:p w14:paraId="3542F3EF" w14:textId="77777777" w:rsidR="008C7A05" w:rsidRDefault="00866A07">
            <w:pPr>
              <w:spacing w:after="0" w:line="259" w:lineRule="auto"/>
              <w:ind w:left="9" w:right="0" w:firstLine="0"/>
              <w:jc w:val="left"/>
            </w:pPr>
            <w:proofErr w:type="spellStart"/>
            <w:r>
              <w:rPr>
                <w:sz w:val="18"/>
              </w:rPr>
              <w:t>Proapoptotische</w:t>
            </w:r>
            <w:proofErr w:type="spellEnd"/>
            <w:r>
              <w:rPr>
                <w:sz w:val="18"/>
              </w:rPr>
              <w:t xml:space="preserve"> Aktivität, Regulierung der</w:t>
            </w:r>
          </w:p>
          <w:p w14:paraId="6494EAEB" w14:textId="77777777" w:rsidR="008C7A05" w:rsidRDefault="00866A07">
            <w:pPr>
              <w:spacing w:after="0" w:line="259" w:lineRule="auto"/>
              <w:ind w:left="9" w:right="0" w:firstLine="0"/>
              <w:jc w:val="left"/>
            </w:pPr>
            <w:r>
              <w:rPr>
                <w:sz w:val="18"/>
              </w:rPr>
              <w:t>Immunreaktionen, Interaktion mit PB1 zur</w:t>
            </w:r>
          </w:p>
          <w:p w14:paraId="40052412" w14:textId="77777777" w:rsidR="008C7A05" w:rsidRDefault="00866A07">
            <w:pPr>
              <w:spacing w:after="0" w:line="259" w:lineRule="auto"/>
              <w:ind w:left="9" w:right="0" w:firstLine="0"/>
              <w:jc w:val="left"/>
            </w:pPr>
            <w:r>
              <w:rPr>
                <w:sz w:val="18"/>
              </w:rPr>
              <w:t xml:space="preserve">Regulierung der </w:t>
            </w:r>
            <w:proofErr w:type="spellStart"/>
            <w:r>
              <w:rPr>
                <w:sz w:val="18"/>
              </w:rPr>
              <w:t>Polymeraseaktivität</w:t>
            </w:r>
            <w:proofErr w:type="spellEnd"/>
          </w:p>
        </w:tc>
      </w:tr>
      <w:tr w:rsidR="008C7A05" w14:paraId="6625A85D" w14:textId="77777777">
        <w:trPr>
          <w:trHeight w:val="870"/>
        </w:trPr>
        <w:tc>
          <w:tcPr>
            <w:tcW w:w="1461" w:type="dxa"/>
            <w:tcBorders>
              <w:top w:val="nil"/>
              <w:left w:val="nil"/>
              <w:bottom w:val="nil"/>
              <w:right w:val="nil"/>
            </w:tcBorders>
          </w:tcPr>
          <w:p w14:paraId="282C91AC" w14:textId="77777777" w:rsidR="008C7A05" w:rsidRDefault="00866A07">
            <w:pPr>
              <w:spacing w:after="0" w:line="259" w:lineRule="auto"/>
              <w:ind w:left="0" w:right="31" w:firstLine="0"/>
              <w:jc w:val="right"/>
            </w:pPr>
            <w:r>
              <w:rPr>
                <w:sz w:val="18"/>
              </w:rPr>
              <w:t>2</w:t>
            </w:r>
          </w:p>
        </w:tc>
        <w:tc>
          <w:tcPr>
            <w:tcW w:w="937" w:type="dxa"/>
            <w:tcBorders>
              <w:top w:val="nil"/>
              <w:left w:val="nil"/>
              <w:bottom w:val="nil"/>
              <w:right w:val="nil"/>
            </w:tcBorders>
          </w:tcPr>
          <w:p w14:paraId="50DD4947" w14:textId="77777777" w:rsidR="008C7A05" w:rsidRDefault="00866A07">
            <w:pPr>
              <w:spacing w:after="0" w:line="259" w:lineRule="auto"/>
              <w:ind w:left="0" w:right="0" w:firstLine="0"/>
              <w:jc w:val="left"/>
            </w:pPr>
            <w:r>
              <w:rPr>
                <w:sz w:val="18"/>
              </w:rPr>
              <w:t>PB1-N40</w:t>
            </w:r>
          </w:p>
        </w:tc>
        <w:tc>
          <w:tcPr>
            <w:tcW w:w="1031" w:type="dxa"/>
            <w:tcBorders>
              <w:top w:val="nil"/>
              <w:left w:val="nil"/>
              <w:bottom w:val="nil"/>
              <w:right w:val="nil"/>
            </w:tcBorders>
          </w:tcPr>
          <w:p w14:paraId="545101CF" w14:textId="77777777" w:rsidR="008C7A05" w:rsidRDefault="00866A07">
            <w:pPr>
              <w:spacing w:after="0" w:line="259" w:lineRule="auto"/>
              <w:ind w:left="0" w:right="0" w:firstLine="0"/>
              <w:jc w:val="left"/>
            </w:pPr>
            <w:r>
              <w:rPr>
                <w:sz w:val="18"/>
              </w:rPr>
              <w:t>718</w:t>
            </w:r>
          </w:p>
        </w:tc>
        <w:tc>
          <w:tcPr>
            <w:tcW w:w="804" w:type="dxa"/>
            <w:tcBorders>
              <w:top w:val="nil"/>
              <w:left w:val="nil"/>
              <w:bottom w:val="nil"/>
              <w:right w:val="nil"/>
            </w:tcBorders>
          </w:tcPr>
          <w:p w14:paraId="42BF33F2" w14:textId="77777777" w:rsidR="008C7A05" w:rsidRDefault="008C7A05">
            <w:pPr>
              <w:spacing w:after="160" w:line="259" w:lineRule="auto"/>
              <w:ind w:left="0" w:right="0" w:firstLine="0"/>
              <w:jc w:val="left"/>
            </w:pPr>
          </w:p>
        </w:tc>
        <w:tc>
          <w:tcPr>
            <w:tcW w:w="1021" w:type="dxa"/>
            <w:tcBorders>
              <w:top w:val="nil"/>
              <w:left w:val="nil"/>
              <w:bottom w:val="nil"/>
              <w:right w:val="nil"/>
            </w:tcBorders>
          </w:tcPr>
          <w:p w14:paraId="3C38AB46" w14:textId="77777777" w:rsidR="008C7A05" w:rsidRDefault="00866A07">
            <w:pPr>
              <w:spacing w:after="0" w:line="259" w:lineRule="auto"/>
              <w:ind w:left="0" w:right="0" w:firstLine="0"/>
              <w:jc w:val="left"/>
            </w:pPr>
            <w:r>
              <w:rPr>
                <w:sz w:val="18"/>
              </w:rPr>
              <w:t>/</w:t>
            </w:r>
          </w:p>
        </w:tc>
        <w:tc>
          <w:tcPr>
            <w:tcW w:w="4046" w:type="dxa"/>
            <w:tcBorders>
              <w:top w:val="nil"/>
              <w:left w:val="nil"/>
              <w:bottom w:val="nil"/>
              <w:right w:val="nil"/>
            </w:tcBorders>
          </w:tcPr>
          <w:p w14:paraId="650F6688" w14:textId="77777777" w:rsidR="008C7A05" w:rsidRDefault="00866A07">
            <w:pPr>
              <w:spacing w:after="0" w:line="249" w:lineRule="auto"/>
              <w:ind w:left="9" w:right="0" w:firstLine="0"/>
              <w:jc w:val="left"/>
            </w:pPr>
            <w:r>
              <w:rPr>
                <w:sz w:val="18"/>
              </w:rPr>
              <w:t>N-</w:t>
            </w:r>
            <w:proofErr w:type="spellStart"/>
            <w:r>
              <w:rPr>
                <w:sz w:val="18"/>
              </w:rPr>
              <w:t>terminal</w:t>
            </w:r>
            <w:proofErr w:type="spellEnd"/>
            <w:r>
              <w:rPr>
                <w:sz w:val="18"/>
              </w:rPr>
              <w:t xml:space="preserve"> verkürzte Version von PB1; interagiert mit </w:t>
            </w:r>
            <w:proofErr w:type="spellStart"/>
            <w:r>
              <w:rPr>
                <w:sz w:val="18"/>
              </w:rPr>
              <w:t>Polymerasekomplex</w:t>
            </w:r>
            <w:proofErr w:type="spellEnd"/>
          </w:p>
          <w:p w14:paraId="1ADD61E6" w14:textId="77777777" w:rsidR="008C7A05" w:rsidRDefault="00866A07">
            <w:pPr>
              <w:spacing w:after="0" w:line="259" w:lineRule="auto"/>
              <w:ind w:left="9" w:right="0" w:firstLine="0"/>
              <w:jc w:val="left"/>
            </w:pPr>
            <w:r>
              <w:rPr>
                <w:sz w:val="18"/>
              </w:rPr>
              <w:t>Untereinheiten, Gleichgewicht der PB1- und</w:t>
            </w:r>
          </w:p>
          <w:p w14:paraId="3A017D03" w14:textId="77777777" w:rsidR="008C7A05" w:rsidRDefault="00866A07">
            <w:pPr>
              <w:spacing w:after="0" w:line="259" w:lineRule="auto"/>
              <w:ind w:left="9" w:right="0" w:firstLine="0"/>
              <w:jc w:val="left"/>
            </w:pPr>
            <w:r>
              <w:rPr>
                <w:sz w:val="18"/>
              </w:rPr>
              <w:t>PB1-F2-Expression, genaue Funktion unbekannt</w:t>
            </w:r>
          </w:p>
        </w:tc>
      </w:tr>
      <w:tr w:rsidR="008C7A05" w14:paraId="611748D9" w14:textId="77777777">
        <w:trPr>
          <w:trHeight w:val="265"/>
        </w:trPr>
        <w:tc>
          <w:tcPr>
            <w:tcW w:w="1461" w:type="dxa"/>
            <w:tcBorders>
              <w:top w:val="nil"/>
              <w:left w:val="nil"/>
              <w:bottom w:val="single" w:sz="4" w:space="0" w:color="000000"/>
              <w:right w:val="nil"/>
            </w:tcBorders>
          </w:tcPr>
          <w:p w14:paraId="4DB8F48A" w14:textId="77777777" w:rsidR="008C7A05" w:rsidRDefault="00866A07">
            <w:pPr>
              <w:spacing w:after="0" w:line="259" w:lineRule="auto"/>
              <w:ind w:left="0" w:right="31" w:firstLine="0"/>
              <w:jc w:val="right"/>
            </w:pPr>
            <w:r>
              <w:rPr>
                <w:sz w:val="18"/>
              </w:rPr>
              <w:t>3</w:t>
            </w:r>
          </w:p>
        </w:tc>
        <w:tc>
          <w:tcPr>
            <w:tcW w:w="937" w:type="dxa"/>
            <w:tcBorders>
              <w:top w:val="nil"/>
              <w:left w:val="nil"/>
              <w:bottom w:val="single" w:sz="4" w:space="0" w:color="000000"/>
              <w:right w:val="nil"/>
            </w:tcBorders>
          </w:tcPr>
          <w:p w14:paraId="4B8A3C88" w14:textId="77777777" w:rsidR="008C7A05" w:rsidRDefault="00866A07">
            <w:pPr>
              <w:spacing w:after="0" w:line="259" w:lineRule="auto"/>
              <w:ind w:left="0" w:right="0" w:firstLine="0"/>
              <w:jc w:val="left"/>
            </w:pPr>
            <w:r>
              <w:rPr>
                <w:sz w:val="18"/>
              </w:rPr>
              <w:t>PA</w:t>
            </w:r>
          </w:p>
        </w:tc>
        <w:tc>
          <w:tcPr>
            <w:tcW w:w="1031" w:type="dxa"/>
            <w:tcBorders>
              <w:top w:val="nil"/>
              <w:left w:val="nil"/>
              <w:bottom w:val="single" w:sz="4" w:space="0" w:color="000000"/>
              <w:right w:val="nil"/>
            </w:tcBorders>
          </w:tcPr>
          <w:p w14:paraId="1141048D" w14:textId="77777777" w:rsidR="008C7A05" w:rsidRDefault="00866A07">
            <w:pPr>
              <w:spacing w:after="0" w:line="259" w:lineRule="auto"/>
              <w:ind w:left="0" w:right="0" w:firstLine="0"/>
              <w:jc w:val="left"/>
            </w:pPr>
            <w:r>
              <w:rPr>
                <w:sz w:val="18"/>
              </w:rPr>
              <w:t>716</w:t>
            </w:r>
          </w:p>
        </w:tc>
        <w:tc>
          <w:tcPr>
            <w:tcW w:w="804" w:type="dxa"/>
            <w:tcBorders>
              <w:top w:val="nil"/>
              <w:left w:val="nil"/>
              <w:bottom w:val="single" w:sz="4" w:space="0" w:color="000000"/>
              <w:right w:val="nil"/>
            </w:tcBorders>
          </w:tcPr>
          <w:p w14:paraId="06585238" w14:textId="77777777" w:rsidR="008C7A05" w:rsidRDefault="00866A07">
            <w:pPr>
              <w:spacing w:after="0" w:line="259" w:lineRule="auto"/>
              <w:ind w:left="0" w:right="0" w:firstLine="0"/>
              <w:jc w:val="left"/>
            </w:pPr>
            <w:r>
              <w:rPr>
                <w:sz w:val="18"/>
              </w:rPr>
              <w:t>PA</w:t>
            </w:r>
          </w:p>
        </w:tc>
        <w:tc>
          <w:tcPr>
            <w:tcW w:w="1021" w:type="dxa"/>
            <w:tcBorders>
              <w:top w:val="nil"/>
              <w:left w:val="nil"/>
              <w:bottom w:val="single" w:sz="4" w:space="0" w:color="000000"/>
              <w:right w:val="nil"/>
            </w:tcBorders>
          </w:tcPr>
          <w:p w14:paraId="0556DC47" w14:textId="77777777" w:rsidR="008C7A05" w:rsidRDefault="00866A07">
            <w:pPr>
              <w:spacing w:after="0" w:line="259" w:lineRule="auto"/>
              <w:ind w:left="0" w:right="0" w:firstLine="0"/>
              <w:jc w:val="left"/>
            </w:pPr>
            <w:r>
              <w:rPr>
                <w:sz w:val="18"/>
              </w:rPr>
              <w:t>726</w:t>
            </w:r>
          </w:p>
        </w:tc>
        <w:tc>
          <w:tcPr>
            <w:tcW w:w="4046" w:type="dxa"/>
            <w:tcBorders>
              <w:top w:val="nil"/>
              <w:left w:val="nil"/>
              <w:bottom w:val="single" w:sz="4" w:space="0" w:color="000000"/>
              <w:right w:val="nil"/>
            </w:tcBorders>
          </w:tcPr>
          <w:p w14:paraId="704D5087" w14:textId="77777777" w:rsidR="008C7A05" w:rsidRDefault="00866A07">
            <w:pPr>
              <w:spacing w:after="0" w:line="259" w:lineRule="auto"/>
              <w:ind w:left="9" w:right="0" w:firstLine="0"/>
              <w:jc w:val="left"/>
            </w:pPr>
            <w:r>
              <w:rPr>
                <w:sz w:val="18"/>
              </w:rPr>
              <w:t>Untereinheit der RNA-Polymerase</w:t>
            </w:r>
          </w:p>
        </w:tc>
      </w:tr>
      <w:tr w:rsidR="008C7A05" w14:paraId="50B0ED57" w14:textId="77777777">
        <w:trPr>
          <w:trHeight w:val="518"/>
        </w:trPr>
        <w:tc>
          <w:tcPr>
            <w:tcW w:w="1461" w:type="dxa"/>
            <w:tcBorders>
              <w:top w:val="single" w:sz="4" w:space="0" w:color="000000"/>
              <w:left w:val="nil"/>
              <w:bottom w:val="nil"/>
              <w:right w:val="nil"/>
            </w:tcBorders>
          </w:tcPr>
          <w:p w14:paraId="555285C5" w14:textId="77777777" w:rsidR="008C7A05" w:rsidRDefault="00866A07">
            <w:pPr>
              <w:spacing w:after="0" w:line="259" w:lineRule="auto"/>
              <w:ind w:left="0" w:right="31" w:firstLine="0"/>
              <w:jc w:val="right"/>
            </w:pPr>
            <w:r>
              <w:rPr>
                <w:sz w:val="18"/>
              </w:rPr>
              <w:t>3</w:t>
            </w:r>
          </w:p>
        </w:tc>
        <w:tc>
          <w:tcPr>
            <w:tcW w:w="937" w:type="dxa"/>
            <w:tcBorders>
              <w:top w:val="single" w:sz="4" w:space="0" w:color="000000"/>
              <w:left w:val="nil"/>
              <w:bottom w:val="nil"/>
              <w:right w:val="nil"/>
            </w:tcBorders>
          </w:tcPr>
          <w:p w14:paraId="59E2C7B5" w14:textId="77777777" w:rsidR="008C7A05" w:rsidRDefault="00866A07">
            <w:pPr>
              <w:spacing w:after="0" w:line="259" w:lineRule="auto"/>
              <w:ind w:left="0" w:right="0" w:firstLine="0"/>
              <w:jc w:val="left"/>
            </w:pPr>
            <w:r>
              <w:rPr>
                <w:sz w:val="18"/>
              </w:rPr>
              <w:t>PA-X</w:t>
            </w:r>
          </w:p>
        </w:tc>
        <w:tc>
          <w:tcPr>
            <w:tcW w:w="1031" w:type="dxa"/>
            <w:tcBorders>
              <w:top w:val="single" w:sz="4" w:space="0" w:color="000000"/>
              <w:left w:val="nil"/>
              <w:bottom w:val="nil"/>
              <w:right w:val="nil"/>
            </w:tcBorders>
          </w:tcPr>
          <w:p w14:paraId="6C144F3B" w14:textId="77777777" w:rsidR="008C7A05" w:rsidRDefault="00866A07">
            <w:pPr>
              <w:spacing w:after="0" w:line="259" w:lineRule="auto"/>
              <w:ind w:left="0" w:right="0" w:firstLine="0"/>
              <w:jc w:val="left"/>
            </w:pPr>
            <w:r>
              <w:rPr>
                <w:sz w:val="18"/>
              </w:rPr>
              <w:t>61</w:t>
            </w:r>
          </w:p>
        </w:tc>
        <w:tc>
          <w:tcPr>
            <w:tcW w:w="804" w:type="dxa"/>
            <w:tcBorders>
              <w:top w:val="single" w:sz="4" w:space="0" w:color="000000"/>
              <w:left w:val="nil"/>
              <w:bottom w:val="nil"/>
              <w:right w:val="nil"/>
            </w:tcBorders>
          </w:tcPr>
          <w:p w14:paraId="62307A86" w14:textId="77777777" w:rsidR="008C7A05" w:rsidRDefault="008C7A05">
            <w:pPr>
              <w:spacing w:after="160" w:line="259" w:lineRule="auto"/>
              <w:ind w:left="0" w:right="0" w:firstLine="0"/>
              <w:jc w:val="left"/>
            </w:pPr>
          </w:p>
        </w:tc>
        <w:tc>
          <w:tcPr>
            <w:tcW w:w="1021" w:type="dxa"/>
            <w:tcBorders>
              <w:top w:val="single" w:sz="4" w:space="0" w:color="000000"/>
              <w:left w:val="nil"/>
              <w:bottom w:val="nil"/>
              <w:right w:val="nil"/>
            </w:tcBorders>
          </w:tcPr>
          <w:p w14:paraId="78D95CB0" w14:textId="77777777" w:rsidR="008C7A05" w:rsidRDefault="00866A07">
            <w:pPr>
              <w:spacing w:after="0" w:line="259" w:lineRule="auto"/>
              <w:ind w:left="0" w:right="0" w:firstLine="0"/>
              <w:jc w:val="left"/>
            </w:pPr>
            <w:r>
              <w:rPr>
                <w:sz w:val="18"/>
              </w:rPr>
              <w:t>/</w:t>
            </w:r>
          </w:p>
        </w:tc>
        <w:tc>
          <w:tcPr>
            <w:tcW w:w="4046" w:type="dxa"/>
            <w:tcBorders>
              <w:top w:val="single" w:sz="4" w:space="0" w:color="000000"/>
              <w:left w:val="nil"/>
              <w:bottom w:val="nil"/>
              <w:right w:val="nil"/>
            </w:tcBorders>
          </w:tcPr>
          <w:p w14:paraId="45C5CF5D" w14:textId="77777777" w:rsidR="008C7A05" w:rsidRDefault="00866A07">
            <w:pPr>
              <w:spacing w:after="0" w:line="259" w:lineRule="auto"/>
              <w:ind w:left="2" w:right="0" w:firstLine="7"/>
              <w:jc w:val="left"/>
            </w:pPr>
            <w:r>
              <w:rPr>
                <w:sz w:val="18"/>
              </w:rPr>
              <w:t xml:space="preserve">Moduliert die Wirtsgenexpression, negativer </w:t>
            </w:r>
            <w:proofErr w:type="spellStart"/>
            <w:r>
              <w:rPr>
                <w:sz w:val="18"/>
              </w:rPr>
              <w:t>Virulenzregulator</w:t>
            </w:r>
            <w:proofErr w:type="spellEnd"/>
          </w:p>
        </w:tc>
      </w:tr>
      <w:tr w:rsidR="008C7A05" w14:paraId="35EC7A38" w14:textId="77777777">
        <w:trPr>
          <w:trHeight w:val="435"/>
        </w:trPr>
        <w:tc>
          <w:tcPr>
            <w:tcW w:w="1461" w:type="dxa"/>
            <w:tcBorders>
              <w:top w:val="nil"/>
              <w:left w:val="nil"/>
              <w:bottom w:val="nil"/>
              <w:right w:val="nil"/>
            </w:tcBorders>
          </w:tcPr>
          <w:p w14:paraId="2E8DF22E" w14:textId="77777777" w:rsidR="008C7A05" w:rsidRDefault="00866A07">
            <w:pPr>
              <w:spacing w:after="0" w:line="259" w:lineRule="auto"/>
              <w:ind w:left="0" w:right="31" w:firstLine="0"/>
              <w:jc w:val="right"/>
            </w:pPr>
            <w:r>
              <w:rPr>
                <w:sz w:val="18"/>
              </w:rPr>
              <w:t>3</w:t>
            </w:r>
          </w:p>
        </w:tc>
        <w:tc>
          <w:tcPr>
            <w:tcW w:w="937" w:type="dxa"/>
            <w:tcBorders>
              <w:top w:val="nil"/>
              <w:left w:val="nil"/>
              <w:bottom w:val="nil"/>
              <w:right w:val="nil"/>
            </w:tcBorders>
          </w:tcPr>
          <w:p w14:paraId="1690A4CE" w14:textId="77777777" w:rsidR="008C7A05" w:rsidRDefault="00866A07">
            <w:pPr>
              <w:spacing w:after="0" w:line="259" w:lineRule="auto"/>
              <w:ind w:left="0" w:right="0" w:firstLine="0"/>
              <w:jc w:val="left"/>
            </w:pPr>
            <w:r>
              <w:rPr>
                <w:sz w:val="18"/>
              </w:rPr>
              <w:t>PA-N155</w:t>
            </w:r>
          </w:p>
        </w:tc>
        <w:tc>
          <w:tcPr>
            <w:tcW w:w="1031" w:type="dxa"/>
            <w:tcBorders>
              <w:top w:val="nil"/>
              <w:left w:val="nil"/>
              <w:bottom w:val="nil"/>
              <w:right w:val="nil"/>
            </w:tcBorders>
          </w:tcPr>
          <w:p w14:paraId="460F415C" w14:textId="77777777" w:rsidR="008C7A05" w:rsidRDefault="00866A07">
            <w:pPr>
              <w:spacing w:after="0" w:line="259" w:lineRule="auto"/>
              <w:ind w:left="0" w:right="0" w:firstLine="0"/>
              <w:jc w:val="left"/>
            </w:pPr>
            <w:r>
              <w:rPr>
                <w:sz w:val="18"/>
              </w:rPr>
              <w:t>568</w:t>
            </w:r>
          </w:p>
        </w:tc>
        <w:tc>
          <w:tcPr>
            <w:tcW w:w="804" w:type="dxa"/>
            <w:tcBorders>
              <w:top w:val="nil"/>
              <w:left w:val="nil"/>
              <w:bottom w:val="nil"/>
              <w:right w:val="nil"/>
            </w:tcBorders>
          </w:tcPr>
          <w:p w14:paraId="524B4E0C" w14:textId="77777777" w:rsidR="008C7A05" w:rsidRDefault="008C7A05">
            <w:pPr>
              <w:spacing w:after="160" w:line="259" w:lineRule="auto"/>
              <w:ind w:left="0" w:right="0" w:firstLine="0"/>
              <w:jc w:val="left"/>
            </w:pPr>
          </w:p>
        </w:tc>
        <w:tc>
          <w:tcPr>
            <w:tcW w:w="1021" w:type="dxa"/>
            <w:tcBorders>
              <w:top w:val="nil"/>
              <w:left w:val="nil"/>
              <w:bottom w:val="nil"/>
              <w:right w:val="nil"/>
            </w:tcBorders>
          </w:tcPr>
          <w:p w14:paraId="2DFE0438" w14:textId="77777777" w:rsidR="008C7A05" w:rsidRDefault="00866A07">
            <w:pPr>
              <w:spacing w:after="0" w:line="259" w:lineRule="auto"/>
              <w:ind w:left="0" w:right="0" w:firstLine="0"/>
              <w:jc w:val="left"/>
            </w:pPr>
            <w:r>
              <w:rPr>
                <w:sz w:val="18"/>
              </w:rPr>
              <w:t>/</w:t>
            </w:r>
          </w:p>
        </w:tc>
        <w:tc>
          <w:tcPr>
            <w:tcW w:w="4046" w:type="dxa"/>
            <w:tcBorders>
              <w:top w:val="nil"/>
              <w:left w:val="nil"/>
              <w:bottom w:val="nil"/>
              <w:right w:val="nil"/>
            </w:tcBorders>
          </w:tcPr>
          <w:p w14:paraId="04F4945E" w14:textId="77777777" w:rsidR="008C7A05" w:rsidRDefault="00866A07">
            <w:pPr>
              <w:spacing w:after="0" w:line="259" w:lineRule="auto"/>
              <w:ind w:left="9" w:right="0" w:firstLine="0"/>
              <w:jc w:val="left"/>
            </w:pPr>
            <w:r>
              <w:rPr>
                <w:sz w:val="18"/>
              </w:rPr>
              <w:t>N-</w:t>
            </w:r>
            <w:proofErr w:type="spellStart"/>
            <w:r>
              <w:rPr>
                <w:sz w:val="18"/>
              </w:rPr>
              <w:t>terminal</w:t>
            </w:r>
            <w:proofErr w:type="spellEnd"/>
            <w:r>
              <w:rPr>
                <w:sz w:val="18"/>
              </w:rPr>
              <w:t xml:space="preserve"> verkürzte Version von PA; Funktion unbekannt</w:t>
            </w:r>
          </w:p>
        </w:tc>
      </w:tr>
      <w:tr w:rsidR="008C7A05" w14:paraId="45303872" w14:textId="77777777">
        <w:trPr>
          <w:trHeight w:val="483"/>
        </w:trPr>
        <w:tc>
          <w:tcPr>
            <w:tcW w:w="1461" w:type="dxa"/>
            <w:tcBorders>
              <w:top w:val="nil"/>
              <w:left w:val="nil"/>
              <w:bottom w:val="single" w:sz="4" w:space="0" w:color="000000"/>
              <w:right w:val="nil"/>
            </w:tcBorders>
          </w:tcPr>
          <w:p w14:paraId="4C19864B" w14:textId="77777777" w:rsidR="008C7A05" w:rsidRDefault="00866A07">
            <w:pPr>
              <w:spacing w:after="0" w:line="259" w:lineRule="auto"/>
              <w:ind w:left="0" w:right="31" w:firstLine="0"/>
              <w:jc w:val="right"/>
            </w:pPr>
            <w:r>
              <w:rPr>
                <w:sz w:val="18"/>
              </w:rPr>
              <w:t>3</w:t>
            </w:r>
          </w:p>
        </w:tc>
        <w:tc>
          <w:tcPr>
            <w:tcW w:w="937" w:type="dxa"/>
            <w:tcBorders>
              <w:top w:val="nil"/>
              <w:left w:val="nil"/>
              <w:bottom w:val="single" w:sz="4" w:space="0" w:color="000000"/>
              <w:right w:val="nil"/>
            </w:tcBorders>
          </w:tcPr>
          <w:p w14:paraId="0A41BDD2" w14:textId="77777777" w:rsidR="008C7A05" w:rsidRDefault="00866A07">
            <w:pPr>
              <w:spacing w:after="0" w:line="259" w:lineRule="auto"/>
              <w:ind w:left="0" w:right="0" w:firstLine="0"/>
              <w:jc w:val="left"/>
            </w:pPr>
            <w:r>
              <w:rPr>
                <w:sz w:val="18"/>
              </w:rPr>
              <w:t>PA-N182</w:t>
            </w:r>
          </w:p>
        </w:tc>
        <w:tc>
          <w:tcPr>
            <w:tcW w:w="1031" w:type="dxa"/>
            <w:tcBorders>
              <w:top w:val="nil"/>
              <w:left w:val="nil"/>
              <w:bottom w:val="single" w:sz="4" w:space="0" w:color="000000"/>
              <w:right w:val="nil"/>
            </w:tcBorders>
          </w:tcPr>
          <w:p w14:paraId="171BDB36" w14:textId="77777777" w:rsidR="008C7A05" w:rsidRDefault="00866A07">
            <w:pPr>
              <w:spacing w:after="0" w:line="259" w:lineRule="auto"/>
              <w:ind w:left="0" w:right="0" w:firstLine="0"/>
              <w:jc w:val="left"/>
            </w:pPr>
            <w:r>
              <w:rPr>
                <w:sz w:val="18"/>
              </w:rPr>
              <w:t>535</w:t>
            </w:r>
          </w:p>
        </w:tc>
        <w:tc>
          <w:tcPr>
            <w:tcW w:w="804" w:type="dxa"/>
            <w:tcBorders>
              <w:top w:val="nil"/>
              <w:left w:val="nil"/>
              <w:bottom w:val="single" w:sz="4" w:space="0" w:color="000000"/>
              <w:right w:val="nil"/>
            </w:tcBorders>
          </w:tcPr>
          <w:p w14:paraId="22B569C1" w14:textId="77777777" w:rsidR="008C7A05" w:rsidRDefault="008C7A05">
            <w:pPr>
              <w:spacing w:after="160" w:line="259" w:lineRule="auto"/>
              <w:ind w:left="0" w:right="0" w:firstLine="0"/>
              <w:jc w:val="left"/>
            </w:pPr>
          </w:p>
        </w:tc>
        <w:tc>
          <w:tcPr>
            <w:tcW w:w="1021" w:type="dxa"/>
            <w:tcBorders>
              <w:top w:val="nil"/>
              <w:left w:val="nil"/>
              <w:bottom w:val="single" w:sz="4" w:space="0" w:color="000000"/>
              <w:right w:val="nil"/>
            </w:tcBorders>
          </w:tcPr>
          <w:p w14:paraId="24A6E15D" w14:textId="77777777" w:rsidR="008C7A05" w:rsidRDefault="00866A07">
            <w:pPr>
              <w:spacing w:after="0" w:line="259" w:lineRule="auto"/>
              <w:ind w:left="0" w:right="0" w:firstLine="0"/>
              <w:jc w:val="left"/>
            </w:pPr>
            <w:r>
              <w:rPr>
                <w:sz w:val="18"/>
              </w:rPr>
              <w:t>/</w:t>
            </w:r>
          </w:p>
        </w:tc>
        <w:tc>
          <w:tcPr>
            <w:tcW w:w="4046" w:type="dxa"/>
            <w:tcBorders>
              <w:top w:val="nil"/>
              <w:left w:val="nil"/>
              <w:bottom w:val="single" w:sz="4" w:space="0" w:color="000000"/>
              <w:right w:val="nil"/>
            </w:tcBorders>
          </w:tcPr>
          <w:p w14:paraId="312074DE" w14:textId="77777777" w:rsidR="008C7A05" w:rsidRDefault="00866A07">
            <w:pPr>
              <w:spacing w:after="0" w:line="259" w:lineRule="auto"/>
              <w:ind w:left="9" w:right="0" w:firstLine="0"/>
              <w:jc w:val="left"/>
            </w:pPr>
            <w:r>
              <w:rPr>
                <w:sz w:val="18"/>
              </w:rPr>
              <w:t>N-</w:t>
            </w:r>
            <w:proofErr w:type="spellStart"/>
            <w:r>
              <w:rPr>
                <w:sz w:val="18"/>
              </w:rPr>
              <w:t>terminal</w:t>
            </w:r>
            <w:proofErr w:type="spellEnd"/>
            <w:r>
              <w:rPr>
                <w:sz w:val="18"/>
              </w:rPr>
              <w:t xml:space="preserve"> verkürzte Version von PA; Funktion unbekannt</w:t>
            </w:r>
          </w:p>
        </w:tc>
      </w:tr>
      <w:tr w:rsidR="008C7A05" w14:paraId="64B5B0F6" w14:textId="77777777">
        <w:trPr>
          <w:trHeight w:val="526"/>
        </w:trPr>
        <w:tc>
          <w:tcPr>
            <w:tcW w:w="1461" w:type="dxa"/>
            <w:tcBorders>
              <w:top w:val="single" w:sz="4" w:space="0" w:color="000000"/>
              <w:left w:val="nil"/>
              <w:bottom w:val="single" w:sz="4" w:space="0" w:color="000000"/>
              <w:right w:val="nil"/>
            </w:tcBorders>
          </w:tcPr>
          <w:p w14:paraId="65F25869" w14:textId="77777777" w:rsidR="008C7A05" w:rsidRDefault="00866A07">
            <w:pPr>
              <w:spacing w:after="0" w:line="259" w:lineRule="auto"/>
              <w:ind w:left="0" w:right="31" w:firstLine="0"/>
              <w:jc w:val="right"/>
            </w:pPr>
            <w:r>
              <w:rPr>
                <w:sz w:val="18"/>
              </w:rPr>
              <w:t>4</w:t>
            </w:r>
          </w:p>
        </w:tc>
        <w:tc>
          <w:tcPr>
            <w:tcW w:w="937" w:type="dxa"/>
            <w:tcBorders>
              <w:top w:val="single" w:sz="4" w:space="0" w:color="000000"/>
              <w:left w:val="nil"/>
              <w:bottom w:val="single" w:sz="4" w:space="0" w:color="000000"/>
              <w:right w:val="nil"/>
            </w:tcBorders>
          </w:tcPr>
          <w:p w14:paraId="1D369CAC" w14:textId="77777777" w:rsidR="008C7A05" w:rsidRDefault="00866A07">
            <w:pPr>
              <w:spacing w:after="0" w:line="259" w:lineRule="auto"/>
              <w:ind w:left="0" w:right="0" w:firstLine="0"/>
              <w:jc w:val="left"/>
            </w:pPr>
            <w:r>
              <w:rPr>
                <w:sz w:val="18"/>
              </w:rPr>
              <w:t>HA</w:t>
            </w:r>
          </w:p>
        </w:tc>
        <w:tc>
          <w:tcPr>
            <w:tcW w:w="1031" w:type="dxa"/>
            <w:tcBorders>
              <w:top w:val="single" w:sz="4" w:space="0" w:color="000000"/>
              <w:left w:val="nil"/>
              <w:bottom w:val="single" w:sz="4" w:space="0" w:color="000000"/>
              <w:right w:val="nil"/>
            </w:tcBorders>
          </w:tcPr>
          <w:p w14:paraId="532534DF" w14:textId="77777777" w:rsidR="008C7A05" w:rsidRDefault="00866A07">
            <w:pPr>
              <w:spacing w:after="0" w:line="259" w:lineRule="auto"/>
              <w:ind w:left="0" w:right="0" w:firstLine="0"/>
              <w:jc w:val="left"/>
            </w:pPr>
            <w:r>
              <w:rPr>
                <w:sz w:val="18"/>
              </w:rPr>
              <w:t>550</w:t>
            </w:r>
          </w:p>
        </w:tc>
        <w:tc>
          <w:tcPr>
            <w:tcW w:w="804" w:type="dxa"/>
            <w:tcBorders>
              <w:top w:val="single" w:sz="4" w:space="0" w:color="000000"/>
              <w:left w:val="nil"/>
              <w:bottom w:val="single" w:sz="4" w:space="0" w:color="000000"/>
              <w:right w:val="nil"/>
            </w:tcBorders>
          </w:tcPr>
          <w:p w14:paraId="556A264D" w14:textId="77777777" w:rsidR="008C7A05" w:rsidRDefault="00866A07">
            <w:pPr>
              <w:spacing w:after="0" w:line="259" w:lineRule="auto"/>
              <w:ind w:left="0" w:right="0" w:firstLine="0"/>
              <w:jc w:val="left"/>
            </w:pPr>
            <w:r>
              <w:rPr>
                <w:sz w:val="18"/>
              </w:rPr>
              <w:t>HA</w:t>
            </w:r>
          </w:p>
        </w:tc>
        <w:tc>
          <w:tcPr>
            <w:tcW w:w="1021" w:type="dxa"/>
            <w:tcBorders>
              <w:top w:val="single" w:sz="4" w:space="0" w:color="000000"/>
              <w:left w:val="nil"/>
              <w:bottom w:val="single" w:sz="4" w:space="0" w:color="000000"/>
              <w:right w:val="nil"/>
            </w:tcBorders>
          </w:tcPr>
          <w:p w14:paraId="644C4943" w14:textId="77777777" w:rsidR="008C7A05" w:rsidRDefault="00866A07">
            <w:pPr>
              <w:spacing w:after="0" w:line="259" w:lineRule="auto"/>
              <w:ind w:left="0" w:right="0" w:firstLine="0"/>
              <w:jc w:val="left"/>
            </w:pPr>
            <w:r>
              <w:rPr>
                <w:sz w:val="18"/>
              </w:rPr>
              <w:t>584</w:t>
            </w:r>
          </w:p>
        </w:tc>
        <w:tc>
          <w:tcPr>
            <w:tcW w:w="4046" w:type="dxa"/>
            <w:tcBorders>
              <w:top w:val="single" w:sz="4" w:space="0" w:color="000000"/>
              <w:left w:val="nil"/>
              <w:bottom w:val="single" w:sz="4" w:space="0" w:color="000000"/>
              <w:right w:val="nil"/>
            </w:tcBorders>
          </w:tcPr>
          <w:p w14:paraId="5DA381C1" w14:textId="77777777" w:rsidR="008C7A05" w:rsidRDefault="00866A07">
            <w:pPr>
              <w:spacing w:after="0" w:line="259" w:lineRule="auto"/>
              <w:ind w:left="9" w:right="0" w:firstLine="0"/>
              <w:jc w:val="left"/>
            </w:pPr>
            <w:proofErr w:type="spellStart"/>
            <w:r>
              <w:rPr>
                <w:sz w:val="18"/>
              </w:rPr>
              <w:t>Oberflächenglykoprotein</w:t>
            </w:r>
            <w:proofErr w:type="spellEnd"/>
            <w:r>
              <w:rPr>
                <w:sz w:val="18"/>
              </w:rPr>
              <w:t xml:space="preserve">; Rezeptorbindung und Membranfusion; </w:t>
            </w:r>
            <w:proofErr w:type="spellStart"/>
            <w:r>
              <w:rPr>
                <w:sz w:val="18"/>
              </w:rPr>
              <w:t>antigene</w:t>
            </w:r>
            <w:proofErr w:type="spellEnd"/>
            <w:r>
              <w:rPr>
                <w:sz w:val="18"/>
              </w:rPr>
              <w:t xml:space="preserve"> Determinante</w:t>
            </w:r>
          </w:p>
        </w:tc>
      </w:tr>
      <w:tr w:rsidR="008C7A05" w14:paraId="0C9607EA" w14:textId="77777777">
        <w:trPr>
          <w:trHeight w:val="308"/>
        </w:trPr>
        <w:tc>
          <w:tcPr>
            <w:tcW w:w="1461" w:type="dxa"/>
            <w:tcBorders>
              <w:top w:val="single" w:sz="4" w:space="0" w:color="000000"/>
              <w:left w:val="nil"/>
              <w:bottom w:val="single" w:sz="4" w:space="0" w:color="000000"/>
              <w:right w:val="nil"/>
            </w:tcBorders>
          </w:tcPr>
          <w:p w14:paraId="2952C421" w14:textId="77777777" w:rsidR="008C7A05" w:rsidRDefault="00866A07">
            <w:pPr>
              <w:spacing w:after="0" w:line="259" w:lineRule="auto"/>
              <w:ind w:left="0" w:right="31" w:firstLine="0"/>
              <w:jc w:val="right"/>
            </w:pPr>
            <w:r>
              <w:rPr>
                <w:sz w:val="18"/>
              </w:rPr>
              <w:t>5</w:t>
            </w:r>
          </w:p>
        </w:tc>
        <w:tc>
          <w:tcPr>
            <w:tcW w:w="937" w:type="dxa"/>
            <w:tcBorders>
              <w:top w:val="single" w:sz="4" w:space="0" w:color="000000"/>
              <w:left w:val="nil"/>
              <w:bottom w:val="single" w:sz="4" w:space="0" w:color="000000"/>
              <w:right w:val="nil"/>
            </w:tcBorders>
          </w:tcPr>
          <w:p w14:paraId="673AFC01" w14:textId="77777777" w:rsidR="008C7A05" w:rsidRDefault="00866A07">
            <w:pPr>
              <w:spacing w:after="0" w:line="259" w:lineRule="auto"/>
              <w:ind w:left="0" w:right="0" w:firstLine="0"/>
              <w:jc w:val="left"/>
            </w:pPr>
            <w:r>
              <w:rPr>
                <w:sz w:val="18"/>
              </w:rPr>
              <w:t>NP</w:t>
            </w:r>
          </w:p>
        </w:tc>
        <w:tc>
          <w:tcPr>
            <w:tcW w:w="1031" w:type="dxa"/>
            <w:tcBorders>
              <w:top w:val="single" w:sz="4" w:space="0" w:color="000000"/>
              <w:left w:val="nil"/>
              <w:bottom w:val="single" w:sz="4" w:space="0" w:color="000000"/>
              <w:right w:val="nil"/>
            </w:tcBorders>
          </w:tcPr>
          <w:p w14:paraId="5CE2A048" w14:textId="77777777" w:rsidR="008C7A05" w:rsidRDefault="00866A07">
            <w:pPr>
              <w:spacing w:after="0" w:line="259" w:lineRule="auto"/>
              <w:ind w:left="0" w:right="0" w:firstLine="0"/>
              <w:jc w:val="left"/>
            </w:pPr>
            <w:r>
              <w:rPr>
                <w:sz w:val="18"/>
              </w:rPr>
              <w:t>498</w:t>
            </w:r>
          </w:p>
        </w:tc>
        <w:tc>
          <w:tcPr>
            <w:tcW w:w="804" w:type="dxa"/>
            <w:tcBorders>
              <w:top w:val="single" w:sz="4" w:space="0" w:color="000000"/>
              <w:left w:val="nil"/>
              <w:bottom w:val="single" w:sz="4" w:space="0" w:color="000000"/>
              <w:right w:val="nil"/>
            </w:tcBorders>
          </w:tcPr>
          <w:p w14:paraId="7D2BD5E6" w14:textId="77777777" w:rsidR="008C7A05" w:rsidRDefault="00866A07">
            <w:pPr>
              <w:spacing w:after="0" w:line="259" w:lineRule="auto"/>
              <w:ind w:left="0" w:right="0" w:firstLine="0"/>
              <w:jc w:val="left"/>
            </w:pPr>
            <w:r>
              <w:rPr>
                <w:sz w:val="18"/>
              </w:rPr>
              <w:t>NP</w:t>
            </w:r>
          </w:p>
        </w:tc>
        <w:tc>
          <w:tcPr>
            <w:tcW w:w="1021" w:type="dxa"/>
            <w:tcBorders>
              <w:top w:val="single" w:sz="4" w:space="0" w:color="000000"/>
              <w:left w:val="nil"/>
              <w:bottom w:val="single" w:sz="4" w:space="0" w:color="000000"/>
              <w:right w:val="nil"/>
            </w:tcBorders>
          </w:tcPr>
          <w:p w14:paraId="15B9E067" w14:textId="77777777" w:rsidR="008C7A05" w:rsidRDefault="00866A07">
            <w:pPr>
              <w:spacing w:after="0" w:line="259" w:lineRule="auto"/>
              <w:ind w:left="0" w:right="0" w:firstLine="0"/>
              <w:jc w:val="left"/>
            </w:pPr>
            <w:r>
              <w:rPr>
                <w:sz w:val="18"/>
              </w:rPr>
              <w:t>560</w:t>
            </w:r>
          </w:p>
        </w:tc>
        <w:tc>
          <w:tcPr>
            <w:tcW w:w="4046" w:type="dxa"/>
            <w:tcBorders>
              <w:top w:val="single" w:sz="4" w:space="0" w:color="000000"/>
              <w:left w:val="nil"/>
              <w:bottom w:val="single" w:sz="4" w:space="0" w:color="000000"/>
              <w:right w:val="nil"/>
            </w:tcBorders>
          </w:tcPr>
          <w:p w14:paraId="16E28F09" w14:textId="77777777" w:rsidR="008C7A05" w:rsidRDefault="00866A07">
            <w:pPr>
              <w:spacing w:after="0" w:line="259" w:lineRule="auto"/>
              <w:ind w:left="9" w:right="0" w:firstLine="0"/>
              <w:jc w:val="left"/>
            </w:pPr>
            <w:r>
              <w:rPr>
                <w:sz w:val="18"/>
              </w:rPr>
              <w:t>Verkapselung der viralen genomischen RNA</w:t>
            </w:r>
          </w:p>
        </w:tc>
      </w:tr>
      <w:tr w:rsidR="008C7A05" w14:paraId="40714758" w14:textId="77777777">
        <w:trPr>
          <w:trHeight w:val="953"/>
        </w:trPr>
        <w:tc>
          <w:tcPr>
            <w:tcW w:w="1461" w:type="dxa"/>
            <w:tcBorders>
              <w:top w:val="single" w:sz="4" w:space="0" w:color="000000"/>
              <w:left w:val="nil"/>
              <w:bottom w:val="nil"/>
              <w:right w:val="nil"/>
            </w:tcBorders>
          </w:tcPr>
          <w:p w14:paraId="72BA65F6" w14:textId="77777777" w:rsidR="008C7A05" w:rsidRDefault="00866A07">
            <w:pPr>
              <w:spacing w:after="0" w:line="259" w:lineRule="auto"/>
              <w:ind w:left="0" w:right="31" w:firstLine="0"/>
              <w:jc w:val="right"/>
            </w:pPr>
            <w:r>
              <w:rPr>
                <w:sz w:val="18"/>
              </w:rPr>
              <w:t>6</w:t>
            </w:r>
          </w:p>
        </w:tc>
        <w:tc>
          <w:tcPr>
            <w:tcW w:w="937" w:type="dxa"/>
            <w:tcBorders>
              <w:top w:val="single" w:sz="4" w:space="0" w:color="000000"/>
              <w:left w:val="nil"/>
              <w:bottom w:val="nil"/>
              <w:right w:val="nil"/>
            </w:tcBorders>
          </w:tcPr>
          <w:p w14:paraId="73E672EB" w14:textId="77777777" w:rsidR="008C7A05" w:rsidRDefault="00866A07">
            <w:pPr>
              <w:spacing w:after="0" w:line="259" w:lineRule="auto"/>
              <w:ind w:left="0" w:right="0" w:firstLine="0"/>
              <w:jc w:val="left"/>
            </w:pPr>
            <w:proofErr w:type="gramStart"/>
            <w:r>
              <w:rPr>
                <w:sz w:val="18"/>
              </w:rPr>
              <w:t>NA</w:t>
            </w:r>
            <w:proofErr w:type="gramEnd"/>
          </w:p>
        </w:tc>
        <w:tc>
          <w:tcPr>
            <w:tcW w:w="1031" w:type="dxa"/>
            <w:tcBorders>
              <w:top w:val="single" w:sz="4" w:space="0" w:color="000000"/>
              <w:left w:val="nil"/>
              <w:bottom w:val="nil"/>
              <w:right w:val="nil"/>
            </w:tcBorders>
          </w:tcPr>
          <w:p w14:paraId="6AD39894" w14:textId="77777777" w:rsidR="008C7A05" w:rsidRDefault="00866A07">
            <w:pPr>
              <w:spacing w:after="0" w:line="259" w:lineRule="auto"/>
              <w:ind w:left="0" w:right="0" w:firstLine="0"/>
              <w:jc w:val="left"/>
            </w:pPr>
            <w:r>
              <w:rPr>
                <w:sz w:val="18"/>
              </w:rPr>
              <w:t>454</w:t>
            </w:r>
          </w:p>
        </w:tc>
        <w:tc>
          <w:tcPr>
            <w:tcW w:w="804" w:type="dxa"/>
            <w:tcBorders>
              <w:top w:val="single" w:sz="4" w:space="0" w:color="000000"/>
              <w:left w:val="nil"/>
              <w:bottom w:val="nil"/>
              <w:right w:val="nil"/>
            </w:tcBorders>
          </w:tcPr>
          <w:p w14:paraId="529165AB" w14:textId="77777777" w:rsidR="008C7A05" w:rsidRDefault="00866A07">
            <w:pPr>
              <w:spacing w:after="0" w:line="259" w:lineRule="auto"/>
              <w:ind w:left="0" w:right="0" w:firstLine="0"/>
              <w:jc w:val="left"/>
            </w:pPr>
            <w:proofErr w:type="gramStart"/>
            <w:r>
              <w:rPr>
                <w:sz w:val="18"/>
              </w:rPr>
              <w:t>NA</w:t>
            </w:r>
            <w:proofErr w:type="gramEnd"/>
          </w:p>
        </w:tc>
        <w:tc>
          <w:tcPr>
            <w:tcW w:w="1021" w:type="dxa"/>
            <w:tcBorders>
              <w:top w:val="single" w:sz="4" w:space="0" w:color="000000"/>
              <w:left w:val="nil"/>
              <w:bottom w:val="nil"/>
              <w:right w:val="nil"/>
            </w:tcBorders>
          </w:tcPr>
          <w:p w14:paraId="2EF62D5C" w14:textId="77777777" w:rsidR="008C7A05" w:rsidRDefault="00866A07">
            <w:pPr>
              <w:spacing w:after="0" w:line="259" w:lineRule="auto"/>
              <w:ind w:left="0" w:right="0" w:firstLine="0"/>
              <w:jc w:val="left"/>
            </w:pPr>
            <w:r>
              <w:rPr>
                <w:sz w:val="18"/>
              </w:rPr>
              <w:t>486</w:t>
            </w:r>
          </w:p>
        </w:tc>
        <w:tc>
          <w:tcPr>
            <w:tcW w:w="4046" w:type="dxa"/>
            <w:tcBorders>
              <w:top w:val="single" w:sz="4" w:space="0" w:color="000000"/>
              <w:left w:val="nil"/>
              <w:bottom w:val="nil"/>
              <w:right w:val="nil"/>
            </w:tcBorders>
          </w:tcPr>
          <w:p w14:paraId="3536ECE7" w14:textId="77777777" w:rsidR="008C7A05" w:rsidRDefault="00866A07">
            <w:pPr>
              <w:spacing w:after="0" w:line="259" w:lineRule="auto"/>
              <w:ind w:left="9" w:right="0" w:firstLine="0"/>
              <w:jc w:val="left"/>
            </w:pPr>
            <w:proofErr w:type="spellStart"/>
            <w:r>
              <w:rPr>
                <w:sz w:val="18"/>
              </w:rPr>
              <w:t>Oberflächenglykoprotein</w:t>
            </w:r>
            <w:proofErr w:type="spellEnd"/>
            <w:r>
              <w:rPr>
                <w:sz w:val="18"/>
              </w:rPr>
              <w:t>;</w:t>
            </w:r>
          </w:p>
          <w:p w14:paraId="172B2287" w14:textId="77777777" w:rsidR="008C7A05" w:rsidRDefault="00866A07">
            <w:pPr>
              <w:spacing w:after="0" w:line="259" w:lineRule="auto"/>
              <w:ind w:left="9" w:right="0" w:firstLine="0"/>
              <w:jc w:val="left"/>
            </w:pPr>
            <w:r>
              <w:rPr>
                <w:sz w:val="18"/>
              </w:rPr>
              <w:t>Neuraminidase-Aktivität, Freisetzung neuer</w:t>
            </w:r>
          </w:p>
          <w:p w14:paraId="6CD848E4" w14:textId="77777777" w:rsidR="008C7A05" w:rsidRDefault="00866A07">
            <w:pPr>
              <w:spacing w:after="0" w:line="259" w:lineRule="auto"/>
              <w:ind w:left="9" w:right="0" w:hanging="7"/>
              <w:jc w:val="left"/>
            </w:pPr>
            <w:r>
              <w:rPr>
                <w:sz w:val="18"/>
              </w:rPr>
              <w:t xml:space="preserve">Viruspartikel nach </w:t>
            </w:r>
            <w:proofErr w:type="spellStart"/>
            <w:r>
              <w:rPr>
                <w:sz w:val="18"/>
              </w:rPr>
              <w:t>Budding</w:t>
            </w:r>
            <w:proofErr w:type="spellEnd"/>
            <w:r>
              <w:rPr>
                <w:sz w:val="18"/>
              </w:rPr>
              <w:t xml:space="preserve">; </w:t>
            </w:r>
            <w:proofErr w:type="spellStart"/>
            <w:r>
              <w:rPr>
                <w:sz w:val="18"/>
              </w:rPr>
              <w:t>antigene</w:t>
            </w:r>
            <w:proofErr w:type="spellEnd"/>
            <w:r>
              <w:rPr>
                <w:sz w:val="18"/>
              </w:rPr>
              <w:t xml:space="preserve"> Determinante</w:t>
            </w:r>
          </w:p>
        </w:tc>
      </w:tr>
      <w:tr w:rsidR="008C7A05" w14:paraId="0D781E7D" w14:textId="77777777">
        <w:trPr>
          <w:trHeight w:val="265"/>
        </w:trPr>
        <w:tc>
          <w:tcPr>
            <w:tcW w:w="1461" w:type="dxa"/>
            <w:tcBorders>
              <w:top w:val="nil"/>
              <w:left w:val="nil"/>
              <w:bottom w:val="single" w:sz="4" w:space="0" w:color="000000"/>
              <w:right w:val="nil"/>
            </w:tcBorders>
          </w:tcPr>
          <w:p w14:paraId="54CABFD4" w14:textId="77777777" w:rsidR="008C7A05" w:rsidRDefault="00866A07">
            <w:pPr>
              <w:spacing w:after="0" w:line="259" w:lineRule="auto"/>
              <w:ind w:left="0" w:right="31" w:firstLine="0"/>
              <w:jc w:val="right"/>
            </w:pPr>
            <w:r>
              <w:rPr>
                <w:sz w:val="18"/>
              </w:rPr>
              <w:t>6</w:t>
            </w:r>
          </w:p>
        </w:tc>
        <w:tc>
          <w:tcPr>
            <w:tcW w:w="937" w:type="dxa"/>
            <w:tcBorders>
              <w:top w:val="nil"/>
              <w:left w:val="nil"/>
              <w:bottom w:val="single" w:sz="4" w:space="0" w:color="000000"/>
              <w:right w:val="nil"/>
            </w:tcBorders>
          </w:tcPr>
          <w:p w14:paraId="012DFF16" w14:textId="77777777" w:rsidR="008C7A05" w:rsidRDefault="008C7A05">
            <w:pPr>
              <w:spacing w:after="160" w:line="259" w:lineRule="auto"/>
              <w:ind w:left="0" w:right="0" w:firstLine="0"/>
              <w:jc w:val="left"/>
            </w:pPr>
          </w:p>
        </w:tc>
        <w:tc>
          <w:tcPr>
            <w:tcW w:w="1031" w:type="dxa"/>
            <w:tcBorders>
              <w:top w:val="nil"/>
              <w:left w:val="nil"/>
              <w:bottom w:val="single" w:sz="4" w:space="0" w:color="000000"/>
              <w:right w:val="nil"/>
            </w:tcBorders>
          </w:tcPr>
          <w:p w14:paraId="5C9FA504" w14:textId="77777777" w:rsidR="008C7A05" w:rsidRDefault="00866A07">
            <w:pPr>
              <w:spacing w:after="0" w:line="259" w:lineRule="auto"/>
              <w:ind w:left="0" w:right="0" w:firstLine="0"/>
              <w:jc w:val="left"/>
            </w:pPr>
            <w:r>
              <w:rPr>
                <w:sz w:val="18"/>
              </w:rPr>
              <w:t>/</w:t>
            </w:r>
          </w:p>
        </w:tc>
        <w:tc>
          <w:tcPr>
            <w:tcW w:w="804" w:type="dxa"/>
            <w:tcBorders>
              <w:top w:val="nil"/>
              <w:left w:val="nil"/>
              <w:bottom w:val="single" w:sz="4" w:space="0" w:color="000000"/>
              <w:right w:val="nil"/>
            </w:tcBorders>
          </w:tcPr>
          <w:p w14:paraId="738A62DE" w14:textId="77777777" w:rsidR="008C7A05" w:rsidRDefault="00866A07">
            <w:pPr>
              <w:spacing w:after="0" w:line="259" w:lineRule="auto"/>
              <w:ind w:left="0" w:right="0" w:firstLine="0"/>
              <w:jc w:val="left"/>
            </w:pPr>
            <w:r>
              <w:rPr>
                <w:sz w:val="18"/>
              </w:rPr>
              <w:t>NB</w:t>
            </w:r>
          </w:p>
        </w:tc>
        <w:tc>
          <w:tcPr>
            <w:tcW w:w="1021" w:type="dxa"/>
            <w:tcBorders>
              <w:top w:val="nil"/>
              <w:left w:val="nil"/>
              <w:bottom w:val="single" w:sz="4" w:space="0" w:color="000000"/>
              <w:right w:val="nil"/>
            </w:tcBorders>
          </w:tcPr>
          <w:p w14:paraId="1EFFD0D7" w14:textId="77777777" w:rsidR="008C7A05" w:rsidRDefault="00866A07">
            <w:pPr>
              <w:spacing w:after="0" w:line="259" w:lineRule="auto"/>
              <w:ind w:left="0" w:right="0" w:firstLine="0"/>
              <w:jc w:val="left"/>
            </w:pPr>
            <w:r>
              <w:rPr>
                <w:sz w:val="18"/>
              </w:rPr>
              <w:t>100</w:t>
            </w:r>
          </w:p>
        </w:tc>
        <w:tc>
          <w:tcPr>
            <w:tcW w:w="4046" w:type="dxa"/>
            <w:tcBorders>
              <w:top w:val="nil"/>
              <w:left w:val="nil"/>
              <w:bottom w:val="single" w:sz="4" w:space="0" w:color="000000"/>
              <w:right w:val="nil"/>
            </w:tcBorders>
          </w:tcPr>
          <w:p w14:paraId="56FB9B0D" w14:textId="77777777" w:rsidR="008C7A05" w:rsidRDefault="00866A07">
            <w:pPr>
              <w:spacing w:after="0" w:line="259" w:lineRule="auto"/>
              <w:ind w:left="9" w:right="0" w:firstLine="0"/>
              <w:jc w:val="left"/>
            </w:pPr>
            <w:r>
              <w:rPr>
                <w:sz w:val="18"/>
              </w:rPr>
              <w:t>Ionenkanalaktivität; Funktion unbekannt</w:t>
            </w:r>
          </w:p>
        </w:tc>
      </w:tr>
      <w:tr w:rsidR="008C7A05" w14:paraId="4CAF3838" w14:textId="77777777">
        <w:trPr>
          <w:trHeight w:val="261"/>
        </w:trPr>
        <w:tc>
          <w:tcPr>
            <w:tcW w:w="1461" w:type="dxa"/>
            <w:tcBorders>
              <w:top w:val="single" w:sz="4" w:space="0" w:color="000000"/>
              <w:left w:val="nil"/>
              <w:bottom w:val="nil"/>
              <w:right w:val="nil"/>
            </w:tcBorders>
          </w:tcPr>
          <w:p w14:paraId="54364FF1" w14:textId="77777777" w:rsidR="008C7A05" w:rsidRDefault="00866A07">
            <w:pPr>
              <w:spacing w:after="0" w:line="259" w:lineRule="auto"/>
              <w:ind w:left="0" w:right="31" w:firstLine="0"/>
              <w:jc w:val="right"/>
            </w:pPr>
            <w:r>
              <w:rPr>
                <w:sz w:val="18"/>
              </w:rPr>
              <w:t>7</w:t>
            </w:r>
          </w:p>
        </w:tc>
        <w:tc>
          <w:tcPr>
            <w:tcW w:w="937" w:type="dxa"/>
            <w:tcBorders>
              <w:top w:val="single" w:sz="4" w:space="0" w:color="000000"/>
              <w:left w:val="nil"/>
              <w:bottom w:val="nil"/>
              <w:right w:val="nil"/>
            </w:tcBorders>
          </w:tcPr>
          <w:p w14:paraId="42A5A2AC" w14:textId="77777777" w:rsidR="008C7A05" w:rsidRDefault="00866A07">
            <w:pPr>
              <w:spacing w:after="0" w:line="259" w:lineRule="auto"/>
              <w:ind w:left="0" w:right="0" w:firstLine="0"/>
              <w:jc w:val="left"/>
            </w:pPr>
            <w:r>
              <w:rPr>
                <w:sz w:val="18"/>
              </w:rPr>
              <w:t>M1</w:t>
            </w:r>
          </w:p>
        </w:tc>
        <w:tc>
          <w:tcPr>
            <w:tcW w:w="1031" w:type="dxa"/>
            <w:tcBorders>
              <w:top w:val="single" w:sz="4" w:space="0" w:color="000000"/>
              <w:left w:val="nil"/>
              <w:bottom w:val="nil"/>
              <w:right w:val="nil"/>
            </w:tcBorders>
          </w:tcPr>
          <w:p w14:paraId="675E7D52" w14:textId="77777777" w:rsidR="008C7A05" w:rsidRDefault="00866A07">
            <w:pPr>
              <w:spacing w:after="0" w:line="259" w:lineRule="auto"/>
              <w:ind w:left="0" w:right="0" w:firstLine="0"/>
              <w:jc w:val="left"/>
            </w:pPr>
            <w:r>
              <w:rPr>
                <w:sz w:val="18"/>
              </w:rPr>
              <w:t>252</w:t>
            </w:r>
          </w:p>
        </w:tc>
        <w:tc>
          <w:tcPr>
            <w:tcW w:w="804" w:type="dxa"/>
            <w:tcBorders>
              <w:top w:val="single" w:sz="4" w:space="0" w:color="000000"/>
              <w:left w:val="nil"/>
              <w:bottom w:val="nil"/>
              <w:right w:val="nil"/>
            </w:tcBorders>
          </w:tcPr>
          <w:p w14:paraId="2EFA8EA7" w14:textId="77777777" w:rsidR="008C7A05" w:rsidRDefault="00866A07">
            <w:pPr>
              <w:spacing w:after="0" w:line="259" w:lineRule="auto"/>
              <w:ind w:left="0" w:right="0" w:firstLine="0"/>
              <w:jc w:val="left"/>
            </w:pPr>
            <w:r>
              <w:rPr>
                <w:sz w:val="18"/>
              </w:rPr>
              <w:t>M1</w:t>
            </w:r>
          </w:p>
        </w:tc>
        <w:tc>
          <w:tcPr>
            <w:tcW w:w="1021" w:type="dxa"/>
            <w:tcBorders>
              <w:top w:val="single" w:sz="4" w:space="0" w:color="000000"/>
              <w:left w:val="nil"/>
              <w:bottom w:val="nil"/>
              <w:right w:val="nil"/>
            </w:tcBorders>
          </w:tcPr>
          <w:p w14:paraId="5D3F6AAB" w14:textId="77777777" w:rsidR="008C7A05" w:rsidRDefault="00866A07">
            <w:pPr>
              <w:spacing w:after="0" w:line="259" w:lineRule="auto"/>
              <w:ind w:left="0" w:right="0" w:firstLine="0"/>
              <w:jc w:val="left"/>
            </w:pPr>
            <w:r>
              <w:rPr>
                <w:sz w:val="18"/>
              </w:rPr>
              <w:t>248</w:t>
            </w:r>
          </w:p>
        </w:tc>
        <w:tc>
          <w:tcPr>
            <w:tcW w:w="4046" w:type="dxa"/>
            <w:tcBorders>
              <w:top w:val="single" w:sz="4" w:space="0" w:color="000000"/>
              <w:left w:val="nil"/>
              <w:bottom w:val="nil"/>
              <w:right w:val="nil"/>
            </w:tcBorders>
          </w:tcPr>
          <w:p w14:paraId="64EBFF54" w14:textId="77777777" w:rsidR="008C7A05" w:rsidRDefault="00866A07">
            <w:pPr>
              <w:spacing w:after="0" w:line="259" w:lineRule="auto"/>
              <w:ind w:left="9" w:right="0" w:firstLine="0"/>
              <w:jc w:val="left"/>
            </w:pPr>
            <w:r>
              <w:rPr>
                <w:sz w:val="18"/>
              </w:rPr>
              <w:t xml:space="preserve">viraler Zusammenbau, </w:t>
            </w:r>
            <w:proofErr w:type="spellStart"/>
            <w:r>
              <w:rPr>
                <w:sz w:val="18"/>
              </w:rPr>
              <w:t>Budding</w:t>
            </w:r>
            <w:proofErr w:type="spellEnd"/>
          </w:p>
        </w:tc>
      </w:tr>
      <w:tr w:rsidR="008C7A05" w14:paraId="41AE779D" w14:textId="77777777">
        <w:trPr>
          <w:trHeight w:val="435"/>
        </w:trPr>
        <w:tc>
          <w:tcPr>
            <w:tcW w:w="1461" w:type="dxa"/>
            <w:tcBorders>
              <w:top w:val="nil"/>
              <w:left w:val="nil"/>
              <w:bottom w:val="nil"/>
              <w:right w:val="nil"/>
            </w:tcBorders>
          </w:tcPr>
          <w:p w14:paraId="790C9C19" w14:textId="77777777" w:rsidR="008C7A05" w:rsidRDefault="00866A07">
            <w:pPr>
              <w:spacing w:after="0" w:line="259" w:lineRule="auto"/>
              <w:ind w:left="0" w:right="31" w:firstLine="0"/>
              <w:jc w:val="right"/>
            </w:pPr>
            <w:r>
              <w:rPr>
                <w:sz w:val="18"/>
              </w:rPr>
              <w:t>7</w:t>
            </w:r>
          </w:p>
        </w:tc>
        <w:tc>
          <w:tcPr>
            <w:tcW w:w="937" w:type="dxa"/>
            <w:tcBorders>
              <w:top w:val="nil"/>
              <w:left w:val="nil"/>
              <w:bottom w:val="nil"/>
              <w:right w:val="nil"/>
            </w:tcBorders>
          </w:tcPr>
          <w:p w14:paraId="73CD7087" w14:textId="77777777" w:rsidR="008C7A05" w:rsidRDefault="00866A07">
            <w:pPr>
              <w:spacing w:after="0" w:line="259" w:lineRule="auto"/>
              <w:ind w:left="0" w:right="0" w:firstLine="0"/>
              <w:jc w:val="left"/>
            </w:pPr>
            <w:r>
              <w:rPr>
                <w:sz w:val="18"/>
              </w:rPr>
              <w:t>M2</w:t>
            </w:r>
          </w:p>
        </w:tc>
        <w:tc>
          <w:tcPr>
            <w:tcW w:w="1031" w:type="dxa"/>
            <w:tcBorders>
              <w:top w:val="nil"/>
              <w:left w:val="nil"/>
              <w:bottom w:val="nil"/>
              <w:right w:val="nil"/>
            </w:tcBorders>
          </w:tcPr>
          <w:p w14:paraId="2B62D837" w14:textId="77777777" w:rsidR="008C7A05" w:rsidRDefault="00866A07">
            <w:pPr>
              <w:spacing w:after="0" w:line="259" w:lineRule="auto"/>
              <w:ind w:left="0" w:right="0" w:firstLine="0"/>
              <w:jc w:val="left"/>
            </w:pPr>
            <w:r>
              <w:rPr>
                <w:sz w:val="18"/>
              </w:rPr>
              <w:t>97</w:t>
            </w:r>
          </w:p>
        </w:tc>
        <w:tc>
          <w:tcPr>
            <w:tcW w:w="804" w:type="dxa"/>
            <w:tcBorders>
              <w:top w:val="nil"/>
              <w:left w:val="nil"/>
              <w:bottom w:val="nil"/>
              <w:right w:val="nil"/>
            </w:tcBorders>
          </w:tcPr>
          <w:p w14:paraId="0A0D827C" w14:textId="77777777" w:rsidR="008C7A05" w:rsidRDefault="00866A07">
            <w:pPr>
              <w:spacing w:after="0" w:line="259" w:lineRule="auto"/>
              <w:ind w:left="0" w:right="0" w:firstLine="0"/>
              <w:jc w:val="left"/>
            </w:pPr>
            <w:r>
              <w:rPr>
                <w:sz w:val="18"/>
              </w:rPr>
              <w:t>BM2</w:t>
            </w:r>
          </w:p>
        </w:tc>
        <w:tc>
          <w:tcPr>
            <w:tcW w:w="1021" w:type="dxa"/>
            <w:tcBorders>
              <w:top w:val="nil"/>
              <w:left w:val="nil"/>
              <w:bottom w:val="nil"/>
              <w:right w:val="nil"/>
            </w:tcBorders>
          </w:tcPr>
          <w:p w14:paraId="435393FB" w14:textId="77777777" w:rsidR="008C7A05" w:rsidRDefault="00866A07">
            <w:pPr>
              <w:spacing w:after="0" w:line="259" w:lineRule="auto"/>
              <w:ind w:left="0" w:right="0" w:firstLine="0"/>
              <w:jc w:val="left"/>
            </w:pPr>
            <w:r>
              <w:rPr>
                <w:sz w:val="18"/>
              </w:rPr>
              <w:t>109</w:t>
            </w:r>
          </w:p>
        </w:tc>
        <w:tc>
          <w:tcPr>
            <w:tcW w:w="4046" w:type="dxa"/>
            <w:tcBorders>
              <w:top w:val="nil"/>
              <w:left w:val="nil"/>
              <w:bottom w:val="nil"/>
              <w:right w:val="nil"/>
            </w:tcBorders>
          </w:tcPr>
          <w:p w14:paraId="7860E237" w14:textId="77777777" w:rsidR="008C7A05" w:rsidRDefault="00866A07">
            <w:pPr>
              <w:spacing w:after="0" w:line="259" w:lineRule="auto"/>
              <w:ind w:left="9" w:right="0" w:firstLine="0"/>
              <w:jc w:val="left"/>
            </w:pPr>
            <w:r>
              <w:rPr>
                <w:sz w:val="18"/>
              </w:rPr>
              <w:t>Ionenkanalaktivität; wesentlich für die</w:t>
            </w:r>
          </w:p>
          <w:p w14:paraId="37D3569C" w14:textId="77777777" w:rsidR="008C7A05" w:rsidRDefault="00866A07">
            <w:pPr>
              <w:spacing w:after="0" w:line="259" w:lineRule="auto"/>
              <w:ind w:left="9" w:right="0" w:firstLine="0"/>
              <w:jc w:val="left"/>
            </w:pPr>
            <w:proofErr w:type="spellStart"/>
            <w:r>
              <w:rPr>
                <w:sz w:val="18"/>
              </w:rPr>
              <w:t>Entschichtung</w:t>
            </w:r>
            <w:proofErr w:type="spellEnd"/>
            <w:r>
              <w:rPr>
                <w:sz w:val="18"/>
              </w:rPr>
              <w:t>, Rolle bei der Virusknospung</w:t>
            </w:r>
          </w:p>
        </w:tc>
      </w:tr>
      <w:tr w:rsidR="008C7A05" w14:paraId="10A3513E" w14:textId="77777777">
        <w:trPr>
          <w:trHeight w:val="483"/>
        </w:trPr>
        <w:tc>
          <w:tcPr>
            <w:tcW w:w="1461" w:type="dxa"/>
            <w:tcBorders>
              <w:top w:val="nil"/>
              <w:left w:val="nil"/>
              <w:bottom w:val="single" w:sz="4" w:space="0" w:color="000000"/>
              <w:right w:val="nil"/>
            </w:tcBorders>
          </w:tcPr>
          <w:p w14:paraId="5D2F8CD0" w14:textId="77777777" w:rsidR="008C7A05" w:rsidRDefault="00866A07">
            <w:pPr>
              <w:spacing w:after="0" w:line="259" w:lineRule="auto"/>
              <w:ind w:left="0" w:right="31" w:firstLine="0"/>
              <w:jc w:val="right"/>
            </w:pPr>
            <w:r>
              <w:rPr>
                <w:sz w:val="18"/>
              </w:rPr>
              <w:t>7</w:t>
            </w:r>
          </w:p>
        </w:tc>
        <w:tc>
          <w:tcPr>
            <w:tcW w:w="937" w:type="dxa"/>
            <w:tcBorders>
              <w:top w:val="nil"/>
              <w:left w:val="nil"/>
              <w:bottom w:val="single" w:sz="4" w:space="0" w:color="000000"/>
              <w:right w:val="nil"/>
            </w:tcBorders>
          </w:tcPr>
          <w:p w14:paraId="0439EC0C" w14:textId="77777777" w:rsidR="008C7A05" w:rsidRDefault="00866A07">
            <w:pPr>
              <w:spacing w:after="0" w:line="259" w:lineRule="auto"/>
              <w:ind w:left="0" w:right="0" w:firstLine="0"/>
              <w:jc w:val="left"/>
            </w:pPr>
            <w:r>
              <w:rPr>
                <w:sz w:val="18"/>
              </w:rPr>
              <w:t>M42</w:t>
            </w:r>
          </w:p>
        </w:tc>
        <w:tc>
          <w:tcPr>
            <w:tcW w:w="1031" w:type="dxa"/>
            <w:tcBorders>
              <w:top w:val="nil"/>
              <w:left w:val="nil"/>
              <w:bottom w:val="single" w:sz="4" w:space="0" w:color="000000"/>
              <w:right w:val="nil"/>
            </w:tcBorders>
          </w:tcPr>
          <w:p w14:paraId="3D212BBA" w14:textId="77777777" w:rsidR="008C7A05" w:rsidRDefault="00866A07">
            <w:pPr>
              <w:spacing w:after="0" w:line="259" w:lineRule="auto"/>
              <w:ind w:left="0" w:right="0" w:firstLine="0"/>
              <w:jc w:val="left"/>
            </w:pPr>
            <w:r>
              <w:rPr>
                <w:sz w:val="18"/>
              </w:rPr>
              <w:t>99</w:t>
            </w:r>
          </w:p>
        </w:tc>
        <w:tc>
          <w:tcPr>
            <w:tcW w:w="804" w:type="dxa"/>
            <w:tcBorders>
              <w:top w:val="nil"/>
              <w:left w:val="nil"/>
              <w:bottom w:val="single" w:sz="4" w:space="0" w:color="000000"/>
              <w:right w:val="nil"/>
            </w:tcBorders>
          </w:tcPr>
          <w:p w14:paraId="3C974E38" w14:textId="77777777" w:rsidR="008C7A05" w:rsidRDefault="008C7A05">
            <w:pPr>
              <w:spacing w:after="160" w:line="259" w:lineRule="auto"/>
              <w:ind w:left="0" w:right="0" w:firstLine="0"/>
              <w:jc w:val="left"/>
            </w:pPr>
          </w:p>
        </w:tc>
        <w:tc>
          <w:tcPr>
            <w:tcW w:w="1021" w:type="dxa"/>
            <w:tcBorders>
              <w:top w:val="nil"/>
              <w:left w:val="nil"/>
              <w:bottom w:val="single" w:sz="4" w:space="0" w:color="000000"/>
              <w:right w:val="nil"/>
            </w:tcBorders>
          </w:tcPr>
          <w:p w14:paraId="13A09768" w14:textId="77777777" w:rsidR="008C7A05" w:rsidRDefault="00866A07">
            <w:pPr>
              <w:spacing w:after="0" w:line="259" w:lineRule="auto"/>
              <w:ind w:left="0" w:right="0" w:firstLine="0"/>
              <w:jc w:val="left"/>
            </w:pPr>
            <w:r>
              <w:rPr>
                <w:sz w:val="18"/>
              </w:rPr>
              <w:t>/</w:t>
            </w:r>
          </w:p>
        </w:tc>
        <w:tc>
          <w:tcPr>
            <w:tcW w:w="4046" w:type="dxa"/>
            <w:tcBorders>
              <w:top w:val="nil"/>
              <w:left w:val="nil"/>
              <w:bottom w:val="single" w:sz="4" w:space="0" w:color="000000"/>
              <w:right w:val="nil"/>
            </w:tcBorders>
          </w:tcPr>
          <w:p w14:paraId="12DD3B30" w14:textId="77777777" w:rsidR="008C7A05" w:rsidRDefault="00866A07">
            <w:pPr>
              <w:spacing w:after="0" w:line="259" w:lineRule="auto"/>
              <w:ind w:left="9" w:right="0" w:firstLine="0"/>
              <w:jc w:val="left"/>
            </w:pPr>
            <w:r>
              <w:rPr>
                <w:sz w:val="18"/>
              </w:rPr>
              <w:t>M2-Isoform mit alternativer Domäne,</w:t>
            </w:r>
          </w:p>
          <w:p w14:paraId="4C346213" w14:textId="77777777" w:rsidR="008C7A05" w:rsidRDefault="00866A07">
            <w:pPr>
              <w:spacing w:after="0" w:line="259" w:lineRule="auto"/>
              <w:ind w:left="9" w:right="0" w:firstLine="0"/>
              <w:jc w:val="left"/>
            </w:pPr>
            <w:r>
              <w:rPr>
                <w:sz w:val="18"/>
              </w:rPr>
              <w:t>Ionenkanalaktivität; kann M2 ergänzen/ersetzen</w:t>
            </w:r>
          </w:p>
        </w:tc>
      </w:tr>
      <w:tr w:rsidR="008C7A05" w14:paraId="135233CA" w14:textId="77777777">
        <w:trPr>
          <w:trHeight w:val="735"/>
        </w:trPr>
        <w:tc>
          <w:tcPr>
            <w:tcW w:w="1461" w:type="dxa"/>
            <w:tcBorders>
              <w:top w:val="single" w:sz="4" w:space="0" w:color="000000"/>
              <w:left w:val="nil"/>
              <w:bottom w:val="nil"/>
              <w:right w:val="nil"/>
            </w:tcBorders>
          </w:tcPr>
          <w:p w14:paraId="64705EEF" w14:textId="77777777" w:rsidR="008C7A05" w:rsidRDefault="00866A07">
            <w:pPr>
              <w:spacing w:after="0" w:line="259" w:lineRule="auto"/>
              <w:ind w:left="0" w:right="31" w:firstLine="0"/>
              <w:jc w:val="right"/>
            </w:pPr>
            <w:r>
              <w:rPr>
                <w:sz w:val="18"/>
              </w:rPr>
              <w:t>8</w:t>
            </w:r>
          </w:p>
        </w:tc>
        <w:tc>
          <w:tcPr>
            <w:tcW w:w="937" w:type="dxa"/>
            <w:tcBorders>
              <w:top w:val="single" w:sz="4" w:space="0" w:color="000000"/>
              <w:left w:val="nil"/>
              <w:bottom w:val="nil"/>
              <w:right w:val="nil"/>
            </w:tcBorders>
          </w:tcPr>
          <w:p w14:paraId="45F6E57E" w14:textId="77777777" w:rsidR="008C7A05" w:rsidRDefault="00866A07">
            <w:pPr>
              <w:spacing w:after="0" w:line="259" w:lineRule="auto"/>
              <w:ind w:left="0" w:right="0" w:firstLine="0"/>
              <w:jc w:val="left"/>
            </w:pPr>
            <w:r>
              <w:rPr>
                <w:sz w:val="18"/>
              </w:rPr>
              <w:t>NS1</w:t>
            </w:r>
          </w:p>
        </w:tc>
        <w:tc>
          <w:tcPr>
            <w:tcW w:w="1031" w:type="dxa"/>
            <w:tcBorders>
              <w:top w:val="single" w:sz="4" w:space="0" w:color="000000"/>
              <w:left w:val="nil"/>
              <w:bottom w:val="nil"/>
              <w:right w:val="nil"/>
            </w:tcBorders>
          </w:tcPr>
          <w:p w14:paraId="2BCEF77B" w14:textId="77777777" w:rsidR="008C7A05" w:rsidRDefault="00866A07">
            <w:pPr>
              <w:spacing w:after="0" w:line="259" w:lineRule="auto"/>
              <w:ind w:left="0" w:right="0" w:firstLine="0"/>
              <w:jc w:val="left"/>
            </w:pPr>
            <w:r>
              <w:rPr>
                <w:sz w:val="18"/>
              </w:rPr>
              <w:t>230</w:t>
            </w:r>
          </w:p>
        </w:tc>
        <w:tc>
          <w:tcPr>
            <w:tcW w:w="804" w:type="dxa"/>
            <w:tcBorders>
              <w:top w:val="single" w:sz="4" w:space="0" w:color="000000"/>
              <w:left w:val="nil"/>
              <w:bottom w:val="nil"/>
              <w:right w:val="nil"/>
            </w:tcBorders>
          </w:tcPr>
          <w:p w14:paraId="3DF8E1F5" w14:textId="77777777" w:rsidR="008C7A05" w:rsidRDefault="00866A07">
            <w:pPr>
              <w:spacing w:after="0" w:line="259" w:lineRule="auto"/>
              <w:ind w:left="0" w:right="0" w:firstLine="0"/>
              <w:jc w:val="left"/>
            </w:pPr>
            <w:r>
              <w:rPr>
                <w:sz w:val="18"/>
              </w:rPr>
              <w:t>NS1</w:t>
            </w:r>
          </w:p>
        </w:tc>
        <w:tc>
          <w:tcPr>
            <w:tcW w:w="1021" w:type="dxa"/>
            <w:tcBorders>
              <w:top w:val="single" w:sz="4" w:space="0" w:color="000000"/>
              <w:left w:val="nil"/>
              <w:bottom w:val="nil"/>
              <w:right w:val="nil"/>
            </w:tcBorders>
          </w:tcPr>
          <w:p w14:paraId="1001374B" w14:textId="77777777" w:rsidR="008C7A05" w:rsidRDefault="00866A07">
            <w:pPr>
              <w:spacing w:after="0" w:line="259" w:lineRule="auto"/>
              <w:ind w:left="0" w:right="0" w:firstLine="0"/>
              <w:jc w:val="left"/>
            </w:pPr>
            <w:r>
              <w:rPr>
                <w:sz w:val="18"/>
              </w:rPr>
              <w:t>281</w:t>
            </w:r>
          </w:p>
        </w:tc>
        <w:tc>
          <w:tcPr>
            <w:tcW w:w="4046" w:type="dxa"/>
            <w:tcBorders>
              <w:top w:val="single" w:sz="4" w:space="0" w:color="000000"/>
              <w:left w:val="nil"/>
              <w:bottom w:val="nil"/>
              <w:right w:val="nil"/>
            </w:tcBorders>
          </w:tcPr>
          <w:p w14:paraId="19B2F012" w14:textId="77777777" w:rsidR="008C7A05" w:rsidRDefault="00866A07">
            <w:pPr>
              <w:spacing w:after="0" w:line="259" w:lineRule="auto"/>
              <w:ind w:left="9" w:right="0" w:firstLine="0"/>
              <w:jc w:val="left"/>
            </w:pPr>
            <w:r>
              <w:rPr>
                <w:sz w:val="18"/>
              </w:rPr>
              <w:t>Regulierung des viralen</w:t>
            </w:r>
          </w:p>
          <w:p w14:paraId="00B0A262" w14:textId="77777777" w:rsidR="008C7A05" w:rsidRDefault="00866A07">
            <w:pPr>
              <w:spacing w:after="0" w:line="259" w:lineRule="auto"/>
              <w:ind w:left="9" w:right="0" w:firstLine="0"/>
              <w:jc w:val="left"/>
            </w:pPr>
            <w:r>
              <w:rPr>
                <w:sz w:val="18"/>
              </w:rPr>
              <w:t>RNA-Polymerase-Komplexes, Beeinflussung des antiviralen Zustands der Zelle</w:t>
            </w:r>
          </w:p>
        </w:tc>
      </w:tr>
      <w:tr w:rsidR="008C7A05" w14:paraId="1F97E326" w14:textId="77777777">
        <w:trPr>
          <w:trHeight w:val="435"/>
        </w:trPr>
        <w:tc>
          <w:tcPr>
            <w:tcW w:w="1461" w:type="dxa"/>
            <w:tcBorders>
              <w:top w:val="nil"/>
              <w:left w:val="nil"/>
              <w:bottom w:val="nil"/>
              <w:right w:val="nil"/>
            </w:tcBorders>
          </w:tcPr>
          <w:p w14:paraId="539989F9" w14:textId="77777777" w:rsidR="008C7A05" w:rsidRDefault="00866A07">
            <w:pPr>
              <w:spacing w:after="0" w:line="259" w:lineRule="auto"/>
              <w:ind w:left="0" w:right="31" w:firstLine="0"/>
              <w:jc w:val="right"/>
            </w:pPr>
            <w:r>
              <w:rPr>
                <w:sz w:val="18"/>
              </w:rPr>
              <w:t>8</w:t>
            </w:r>
          </w:p>
        </w:tc>
        <w:tc>
          <w:tcPr>
            <w:tcW w:w="937" w:type="dxa"/>
            <w:tcBorders>
              <w:top w:val="nil"/>
              <w:left w:val="nil"/>
              <w:bottom w:val="nil"/>
              <w:right w:val="nil"/>
            </w:tcBorders>
          </w:tcPr>
          <w:p w14:paraId="444F06A3" w14:textId="77777777" w:rsidR="008C7A05" w:rsidRDefault="00866A07">
            <w:pPr>
              <w:spacing w:after="0" w:line="259" w:lineRule="auto"/>
              <w:ind w:left="0" w:right="0" w:firstLine="0"/>
              <w:jc w:val="left"/>
            </w:pPr>
            <w:r>
              <w:rPr>
                <w:sz w:val="18"/>
              </w:rPr>
              <w:t>NS2</w:t>
            </w:r>
          </w:p>
        </w:tc>
        <w:tc>
          <w:tcPr>
            <w:tcW w:w="1031" w:type="dxa"/>
            <w:tcBorders>
              <w:top w:val="nil"/>
              <w:left w:val="nil"/>
              <w:bottom w:val="nil"/>
              <w:right w:val="nil"/>
            </w:tcBorders>
          </w:tcPr>
          <w:p w14:paraId="26BE7009" w14:textId="77777777" w:rsidR="008C7A05" w:rsidRDefault="00866A07">
            <w:pPr>
              <w:spacing w:after="0" w:line="259" w:lineRule="auto"/>
              <w:ind w:left="0" w:right="0" w:firstLine="0"/>
              <w:jc w:val="left"/>
            </w:pPr>
            <w:r>
              <w:rPr>
                <w:sz w:val="18"/>
              </w:rPr>
              <w:t>121</w:t>
            </w:r>
          </w:p>
        </w:tc>
        <w:tc>
          <w:tcPr>
            <w:tcW w:w="804" w:type="dxa"/>
            <w:tcBorders>
              <w:top w:val="nil"/>
              <w:left w:val="nil"/>
              <w:bottom w:val="nil"/>
              <w:right w:val="nil"/>
            </w:tcBorders>
          </w:tcPr>
          <w:p w14:paraId="72DCD46B" w14:textId="77777777" w:rsidR="008C7A05" w:rsidRDefault="00866A07">
            <w:pPr>
              <w:spacing w:after="0" w:line="259" w:lineRule="auto"/>
              <w:ind w:left="0" w:right="0" w:firstLine="0"/>
              <w:jc w:val="left"/>
            </w:pPr>
            <w:r>
              <w:rPr>
                <w:sz w:val="18"/>
              </w:rPr>
              <w:t>NS2</w:t>
            </w:r>
          </w:p>
        </w:tc>
        <w:tc>
          <w:tcPr>
            <w:tcW w:w="1021" w:type="dxa"/>
            <w:tcBorders>
              <w:top w:val="nil"/>
              <w:left w:val="nil"/>
              <w:bottom w:val="nil"/>
              <w:right w:val="nil"/>
            </w:tcBorders>
          </w:tcPr>
          <w:p w14:paraId="1CCE1432" w14:textId="77777777" w:rsidR="008C7A05" w:rsidRDefault="00866A07">
            <w:pPr>
              <w:spacing w:after="0" w:line="259" w:lineRule="auto"/>
              <w:ind w:left="0" w:right="0" w:firstLine="0"/>
              <w:jc w:val="left"/>
            </w:pPr>
            <w:r>
              <w:rPr>
                <w:sz w:val="18"/>
              </w:rPr>
              <w:t>122</w:t>
            </w:r>
          </w:p>
        </w:tc>
        <w:tc>
          <w:tcPr>
            <w:tcW w:w="4046" w:type="dxa"/>
            <w:tcBorders>
              <w:top w:val="nil"/>
              <w:left w:val="nil"/>
              <w:bottom w:val="nil"/>
              <w:right w:val="nil"/>
            </w:tcBorders>
          </w:tcPr>
          <w:p w14:paraId="28E97771" w14:textId="77777777" w:rsidR="008C7A05" w:rsidRDefault="00866A07">
            <w:pPr>
              <w:spacing w:after="0" w:line="259" w:lineRule="auto"/>
              <w:ind w:left="3" w:right="0" w:firstLine="7"/>
              <w:jc w:val="left"/>
            </w:pPr>
            <w:r>
              <w:rPr>
                <w:sz w:val="18"/>
              </w:rPr>
              <w:t>Kern-Export-RNP, Regulierung von Transkription und Replikation</w:t>
            </w:r>
          </w:p>
        </w:tc>
      </w:tr>
      <w:tr w:rsidR="008C7A05" w14:paraId="5046A986" w14:textId="77777777">
        <w:trPr>
          <w:trHeight w:val="920"/>
        </w:trPr>
        <w:tc>
          <w:tcPr>
            <w:tcW w:w="1461" w:type="dxa"/>
            <w:tcBorders>
              <w:top w:val="nil"/>
              <w:left w:val="nil"/>
              <w:bottom w:val="single" w:sz="6" w:space="0" w:color="000000"/>
              <w:right w:val="nil"/>
            </w:tcBorders>
          </w:tcPr>
          <w:p w14:paraId="20F1EC05" w14:textId="77777777" w:rsidR="008C7A05" w:rsidRDefault="00866A07">
            <w:pPr>
              <w:spacing w:after="0" w:line="259" w:lineRule="auto"/>
              <w:ind w:left="0" w:right="31" w:firstLine="0"/>
              <w:jc w:val="right"/>
            </w:pPr>
            <w:r>
              <w:rPr>
                <w:sz w:val="18"/>
              </w:rPr>
              <w:t>8</w:t>
            </w:r>
          </w:p>
        </w:tc>
        <w:tc>
          <w:tcPr>
            <w:tcW w:w="937" w:type="dxa"/>
            <w:tcBorders>
              <w:top w:val="nil"/>
              <w:left w:val="nil"/>
              <w:bottom w:val="single" w:sz="6" w:space="0" w:color="000000"/>
              <w:right w:val="nil"/>
            </w:tcBorders>
          </w:tcPr>
          <w:p w14:paraId="7BF82CAB" w14:textId="77777777" w:rsidR="008C7A05" w:rsidRDefault="00866A07">
            <w:pPr>
              <w:spacing w:after="0" w:line="259" w:lineRule="auto"/>
              <w:ind w:left="0" w:right="0" w:firstLine="0"/>
              <w:jc w:val="left"/>
            </w:pPr>
            <w:r>
              <w:rPr>
                <w:sz w:val="18"/>
              </w:rPr>
              <w:t>NS3</w:t>
            </w:r>
          </w:p>
        </w:tc>
        <w:tc>
          <w:tcPr>
            <w:tcW w:w="1031" w:type="dxa"/>
            <w:tcBorders>
              <w:top w:val="nil"/>
              <w:left w:val="nil"/>
              <w:bottom w:val="single" w:sz="6" w:space="0" w:color="000000"/>
              <w:right w:val="nil"/>
            </w:tcBorders>
          </w:tcPr>
          <w:p w14:paraId="7AD68671" w14:textId="77777777" w:rsidR="008C7A05" w:rsidRDefault="00866A07">
            <w:pPr>
              <w:spacing w:after="0" w:line="259" w:lineRule="auto"/>
              <w:ind w:left="0" w:right="0" w:firstLine="0"/>
              <w:jc w:val="left"/>
            </w:pPr>
            <w:r>
              <w:rPr>
                <w:sz w:val="18"/>
              </w:rPr>
              <w:t>174</w:t>
            </w:r>
          </w:p>
        </w:tc>
        <w:tc>
          <w:tcPr>
            <w:tcW w:w="804" w:type="dxa"/>
            <w:tcBorders>
              <w:top w:val="nil"/>
              <w:left w:val="nil"/>
              <w:bottom w:val="single" w:sz="6" w:space="0" w:color="000000"/>
              <w:right w:val="nil"/>
            </w:tcBorders>
          </w:tcPr>
          <w:p w14:paraId="12F093AA" w14:textId="77777777" w:rsidR="008C7A05" w:rsidRDefault="008C7A05">
            <w:pPr>
              <w:spacing w:after="160" w:line="259" w:lineRule="auto"/>
              <w:ind w:left="0" w:right="0" w:firstLine="0"/>
              <w:jc w:val="left"/>
            </w:pPr>
          </w:p>
        </w:tc>
        <w:tc>
          <w:tcPr>
            <w:tcW w:w="1021" w:type="dxa"/>
            <w:tcBorders>
              <w:top w:val="nil"/>
              <w:left w:val="nil"/>
              <w:bottom w:val="single" w:sz="6" w:space="0" w:color="000000"/>
              <w:right w:val="nil"/>
            </w:tcBorders>
          </w:tcPr>
          <w:p w14:paraId="325DA8EA" w14:textId="77777777" w:rsidR="008C7A05" w:rsidRDefault="00866A07">
            <w:pPr>
              <w:spacing w:after="0" w:line="259" w:lineRule="auto"/>
              <w:ind w:left="0" w:right="0" w:firstLine="0"/>
              <w:jc w:val="left"/>
            </w:pPr>
            <w:r>
              <w:rPr>
                <w:sz w:val="18"/>
              </w:rPr>
              <w:t>/</w:t>
            </w:r>
          </w:p>
        </w:tc>
        <w:tc>
          <w:tcPr>
            <w:tcW w:w="4046" w:type="dxa"/>
            <w:tcBorders>
              <w:top w:val="nil"/>
              <w:left w:val="nil"/>
              <w:bottom w:val="single" w:sz="6" w:space="0" w:color="000000"/>
              <w:right w:val="nil"/>
            </w:tcBorders>
          </w:tcPr>
          <w:p w14:paraId="4E25EFC6" w14:textId="77777777" w:rsidR="008C7A05" w:rsidRDefault="00866A07">
            <w:pPr>
              <w:spacing w:after="0" w:line="249" w:lineRule="auto"/>
              <w:ind w:left="9" w:right="0" w:firstLine="0"/>
              <w:jc w:val="left"/>
            </w:pPr>
            <w:r>
              <w:rPr>
                <w:sz w:val="18"/>
              </w:rPr>
              <w:t>NS1-Isoform mit einer internen Deletion; Funktion unbekannt, mögliche Rolle:</w:t>
            </w:r>
          </w:p>
          <w:p w14:paraId="206C65CF" w14:textId="77777777" w:rsidR="008C7A05" w:rsidRDefault="00866A07">
            <w:pPr>
              <w:spacing w:after="0" w:line="259" w:lineRule="auto"/>
              <w:ind w:left="0" w:right="0" w:firstLine="0"/>
              <w:jc w:val="left"/>
            </w:pPr>
            <w:r>
              <w:rPr>
                <w:sz w:val="18"/>
              </w:rPr>
              <w:t>Wirtsanpassung und Überwindung der</w:t>
            </w:r>
          </w:p>
          <w:p w14:paraId="798A78BB" w14:textId="77777777" w:rsidR="008C7A05" w:rsidRDefault="00866A07">
            <w:pPr>
              <w:spacing w:after="0" w:line="259" w:lineRule="auto"/>
              <w:ind w:left="9" w:right="0" w:firstLine="0"/>
              <w:jc w:val="left"/>
            </w:pPr>
            <w:r>
              <w:rPr>
                <w:sz w:val="18"/>
              </w:rPr>
              <w:t>Speziesbarriere</w:t>
            </w:r>
          </w:p>
        </w:tc>
      </w:tr>
    </w:tbl>
    <w:p w14:paraId="41E262CE" w14:textId="77777777" w:rsidR="008C7A05" w:rsidRDefault="00866A07">
      <w:pPr>
        <w:spacing w:after="479" w:line="259" w:lineRule="auto"/>
        <w:ind w:left="199" w:right="0" w:firstLine="0"/>
        <w:jc w:val="left"/>
      </w:pPr>
      <w:r>
        <w:rPr>
          <w:sz w:val="18"/>
          <w:vertAlign w:val="superscript"/>
        </w:rPr>
        <w:t xml:space="preserve">* </w:t>
      </w:r>
      <w:r>
        <w:rPr>
          <w:sz w:val="18"/>
        </w:rPr>
        <w:t xml:space="preserve">Y=C oder T; V=A, C oder T </w:t>
      </w:r>
      <w:r>
        <w:rPr>
          <w:sz w:val="18"/>
          <w:vertAlign w:val="superscript"/>
        </w:rPr>
        <w:t xml:space="preserve">** </w:t>
      </w:r>
      <w:r>
        <w:rPr>
          <w:sz w:val="18"/>
        </w:rPr>
        <w:t>(</w:t>
      </w:r>
      <w:proofErr w:type="spellStart"/>
      <w:r>
        <w:rPr>
          <w:sz w:val="18"/>
        </w:rPr>
        <w:t>ref:design</w:t>
      </w:r>
      <w:proofErr w:type="spellEnd"/>
      <w:r>
        <w:rPr>
          <w:sz w:val="18"/>
        </w:rPr>
        <w:t>)</w:t>
      </w:r>
    </w:p>
    <w:p w14:paraId="24F54C9C" w14:textId="77777777" w:rsidR="008C7A05" w:rsidRDefault="00866A07">
      <w:pPr>
        <w:spacing w:after="331"/>
        <w:ind w:left="17" w:right="4"/>
      </w:pPr>
      <w:r>
        <w:t>Die wichtigsten Unterschiede hierbei sind das NB-Protein, welches ein hochkonserviertes Protein mit Ionenkanalaktivität ist, sowie das BM2-Protein (</w:t>
      </w:r>
      <w:r>
        <w:rPr>
          <w:color w:val="4169E1"/>
        </w:rPr>
        <w:t xml:space="preserve">Sandt </w:t>
      </w:r>
      <w:r>
        <w:rPr>
          <w:i/>
          <w:color w:val="4169E1"/>
        </w:rPr>
        <w:t xml:space="preserve">et al. </w:t>
      </w:r>
      <w:r>
        <w:rPr>
          <w:color w:val="4169E1"/>
        </w:rPr>
        <w:t>2015</w:t>
      </w:r>
      <w:r>
        <w:t>). Letzteres ist ein kleines hydrophobes integrales Membranprotein, welches eine Ionenaktiv</w:t>
      </w:r>
      <w:r>
        <w:t>ität, ähnlich wie das M2-Protein bei Influenza A, besitzt und essenziell für die Virus-Replikation ist (</w:t>
      </w:r>
      <w:r>
        <w:rPr>
          <w:color w:val="4169E1"/>
        </w:rPr>
        <w:t xml:space="preserve">Paterson </w:t>
      </w:r>
      <w:r>
        <w:rPr>
          <w:i/>
          <w:color w:val="4169E1"/>
        </w:rPr>
        <w:t xml:space="preserve">et al. </w:t>
      </w:r>
      <w:r>
        <w:rPr>
          <w:color w:val="4169E1"/>
        </w:rPr>
        <w:t>2003</w:t>
      </w:r>
      <w:r>
        <w:t xml:space="preserve">; </w:t>
      </w:r>
      <w:proofErr w:type="spellStart"/>
      <w:r>
        <w:rPr>
          <w:color w:val="4169E1"/>
        </w:rPr>
        <w:t>Hatta</w:t>
      </w:r>
      <w:proofErr w:type="spellEnd"/>
      <w:r>
        <w:rPr>
          <w:color w:val="4169E1"/>
        </w:rPr>
        <w:t xml:space="preserve"> </w:t>
      </w:r>
      <w:r>
        <w:rPr>
          <w:i/>
          <w:color w:val="4169E1"/>
        </w:rPr>
        <w:t xml:space="preserve">et al. </w:t>
      </w:r>
      <w:r>
        <w:rPr>
          <w:color w:val="4169E1"/>
        </w:rPr>
        <w:t>2004</w:t>
      </w:r>
      <w:r>
        <w:t xml:space="preserve">). Weitere Differenzen liegen unter anderem bei der RNA-Polymerase, welche zusätzlich </w:t>
      </w:r>
      <w:proofErr w:type="spellStart"/>
      <w:r>
        <w:t>unmethylierte</w:t>
      </w:r>
      <w:proofErr w:type="spellEnd"/>
      <w:r>
        <w:t xml:space="preserve"> </w:t>
      </w:r>
      <w:proofErr w:type="spellStart"/>
      <w:r>
        <w:t>gecappte</w:t>
      </w:r>
      <w:proofErr w:type="spellEnd"/>
      <w:r>
        <w:t xml:space="preserve"> </w:t>
      </w:r>
      <w:proofErr w:type="spellStart"/>
      <w:r>
        <w:t>mRNA</w:t>
      </w:r>
      <w:r>
        <w:t>’s</w:t>
      </w:r>
      <w:proofErr w:type="spellEnd"/>
      <w:r>
        <w:t xml:space="preserve"> erkennen kann oder bei dem NP-Protein, welches deutliche strukturelle Unterschiede aufweist (</w:t>
      </w:r>
      <w:proofErr w:type="spellStart"/>
      <w:r>
        <w:rPr>
          <w:color w:val="4169E1"/>
        </w:rPr>
        <w:t>Koutsakos</w:t>
      </w:r>
      <w:proofErr w:type="spellEnd"/>
      <w:r>
        <w:rPr>
          <w:color w:val="4169E1"/>
        </w:rPr>
        <w:t xml:space="preserve"> </w:t>
      </w:r>
      <w:r>
        <w:rPr>
          <w:i/>
          <w:color w:val="4169E1"/>
        </w:rPr>
        <w:t xml:space="preserve">et al. </w:t>
      </w:r>
      <w:r>
        <w:rPr>
          <w:color w:val="4169E1"/>
        </w:rPr>
        <w:t>2016</w:t>
      </w:r>
      <w:r>
        <w:t xml:space="preserve">). Des Weiteren besitzt das Influenza B Virus eine langsamere Mutationsrate von geschätzt </w:t>
      </w:r>
      <w:r>
        <w:t>0,14∗10</w:t>
      </w:r>
      <w:r>
        <w:rPr>
          <w:vertAlign w:val="superscript"/>
        </w:rPr>
        <w:t>−</w:t>
      </w:r>
      <w:r>
        <w:t xml:space="preserve">3 </w:t>
      </w:r>
      <w:r>
        <w:t xml:space="preserve">bis </w:t>
      </w:r>
      <w:r>
        <w:t>3,32∗10</w:t>
      </w:r>
      <w:r>
        <w:rPr>
          <w:vertAlign w:val="superscript"/>
        </w:rPr>
        <w:t>−</w:t>
      </w:r>
      <w:r>
        <w:t xml:space="preserve">3 </w:t>
      </w:r>
      <w:r>
        <w:t xml:space="preserve">Substitutionen/Jahr/untersuchter Sequenz als Influenza A mit einer Mutationsrate von rund </w:t>
      </w:r>
      <w:r>
        <w:t xml:space="preserve">2.68×10−3 </w:t>
      </w:r>
      <w:r>
        <w:t xml:space="preserve">bis </w:t>
      </w:r>
      <w:r>
        <w:t xml:space="preserve">12.50×10−3 </w:t>
      </w:r>
      <w:r>
        <w:t>Substitutionen/Jahr/untersuchter Sequenz (</w:t>
      </w:r>
      <w:r>
        <w:rPr>
          <w:color w:val="4169E1"/>
        </w:rPr>
        <w:t>Chen &amp; Holmes 2008</w:t>
      </w:r>
      <w:r>
        <w:t xml:space="preserve">). Zusätzlich wurden bei dem Influenza B Virus keine großen Veränderungen der </w:t>
      </w:r>
      <w:proofErr w:type="spellStart"/>
      <w:r>
        <w:t>ant</w:t>
      </w:r>
      <w:r>
        <w:t>igenen</w:t>
      </w:r>
      <w:proofErr w:type="spellEnd"/>
      <w:r>
        <w:t xml:space="preserve"> </w:t>
      </w:r>
      <w:r>
        <w:lastRenderedPageBreak/>
        <w:t xml:space="preserve">Oberflächenproteine beobachtet, was einerseits vermutlich daran liegt, dass keine tierischen Reservoirs vorhanden sind, andererseits kein </w:t>
      </w:r>
      <w:proofErr w:type="spellStart"/>
      <w:r>
        <w:t>Antigenshift</w:t>
      </w:r>
      <w:proofErr w:type="spellEnd"/>
      <w:r>
        <w:t xml:space="preserve"> mit den Influenza A Viren möglich ist (</w:t>
      </w:r>
      <w:r>
        <w:rPr>
          <w:color w:val="4169E1"/>
        </w:rPr>
        <w:t xml:space="preserve">Paterson </w:t>
      </w:r>
      <w:r>
        <w:rPr>
          <w:i/>
          <w:color w:val="4169E1"/>
        </w:rPr>
        <w:t xml:space="preserve">et al. </w:t>
      </w:r>
      <w:r>
        <w:rPr>
          <w:color w:val="4169E1"/>
        </w:rPr>
        <w:t>2003</w:t>
      </w:r>
      <w:r>
        <w:t>).</w:t>
      </w:r>
    </w:p>
    <w:p w14:paraId="7188B2FE" w14:textId="77777777" w:rsidR="008C7A05" w:rsidRDefault="00866A07">
      <w:pPr>
        <w:pStyle w:val="berschrift2"/>
        <w:tabs>
          <w:tab w:val="center" w:pos="2573"/>
        </w:tabs>
        <w:ind w:left="0" w:firstLine="0"/>
      </w:pPr>
      <w:bookmarkStart w:id="4" w:name="_Toc30599"/>
      <w:r>
        <w:t>1.3</w:t>
      </w:r>
      <w:r>
        <w:tab/>
        <w:t>Nachweismethoden von Influenza</w:t>
      </w:r>
      <w:bookmarkEnd w:id="4"/>
    </w:p>
    <w:p w14:paraId="1BD8AA20" w14:textId="4C5C1560" w:rsidR="00223662" w:rsidRPr="00223662" w:rsidRDefault="00866A07" w:rsidP="00223662">
      <w:pPr>
        <w:spacing w:after="0"/>
        <w:ind w:left="17" w:right="4"/>
        <w:rPr>
          <w:color w:val="4169E1"/>
        </w:rPr>
      </w:pPr>
      <w:r>
        <w:t>T</w:t>
      </w:r>
      <w:r>
        <w:t>rotz guter Impfungen und einem sich immer weiterentwickelndem Gesundheitssystem bleiben respiratorische Erkrankungen hervorgerufen durch die Influenza Viren ein ernst zu nehmendes Problem. So liegen die geschätzten jährlichen Todesfälle im Zusammenhang mit</w:t>
      </w:r>
      <w:r>
        <w:t xml:space="preserve"> respiratorischen Erkrankungen verursacht durch Influenza Viren zwischen 290.000 und 650.000 (</w:t>
      </w:r>
      <w:proofErr w:type="spellStart"/>
      <w:r>
        <w:rPr>
          <w:color w:val="4169E1"/>
        </w:rPr>
        <w:t>Iuliano</w:t>
      </w:r>
      <w:proofErr w:type="spellEnd"/>
      <w:r>
        <w:rPr>
          <w:color w:val="4169E1"/>
        </w:rPr>
        <w:t xml:space="preserve"> </w:t>
      </w:r>
      <w:r>
        <w:rPr>
          <w:i/>
          <w:color w:val="4169E1"/>
        </w:rPr>
        <w:t xml:space="preserve">et al. </w:t>
      </w:r>
      <w:r>
        <w:rPr>
          <w:color w:val="4169E1"/>
        </w:rPr>
        <w:t>2018</w:t>
      </w:r>
      <w:r>
        <w:t xml:space="preserve">). Die Behandlung ist dabei </w:t>
      </w:r>
      <w:r w:rsidR="00223662">
        <w:t>zeitabhängig</w:t>
      </w:r>
      <w:r>
        <w:t xml:space="preserve"> und Medikamente müssen </w:t>
      </w:r>
      <w:r w:rsidR="00223662">
        <w:t>spezifisch</w:t>
      </w:r>
      <w:r>
        <w:t xml:space="preserve"> und </w:t>
      </w:r>
      <w:r w:rsidR="00223662">
        <w:t>r</w:t>
      </w:r>
      <w:r>
        <w:t>echtzeitig verabreicht werden (</w:t>
      </w:r>
      <w:r>
        <w:rPr>
          <w:color w:val="4169E1"/>
        </w:rPr>
        <w:t>Whitley 2007</w:t>
      </w:r>
      <w:r>
        <w:t xml:space="preserve">; </w:t>
      </w:r>
      <w:proofErr w:type="spellStart"/>
      <w:r>
        <w:rPr>
          <w:color w:val="4169E1"/>
        </w:rPr>
        <w:t>Świerczyńska</w:t>
      </w:r>
      <w:proofErr w:type="spellEnd"/>
      <w:r>
        <w:rPr>
          <w:color w:val="4169E1"/>
        </w:rPr>
        <w:t xml:space="preserve"> </w:t>
      </w:r>
      <w:r>
        <w:rPr>
          <w:i/>
          <w:color w:val="4169E1"/>
        </w:rPr>
        <w:t xml:space="preserve">et al. </w:t>
      </w:r>
      <w:r>
        <w:rPr>
          <w:color w:val="4169E1"/>
        </w:rPr>
        <w:t>2022</w:t>
      </w:r>
      <w:r>
        <w:t>). Aus diesem Grund ist eine zeitige Diagnostik entscheidend um eine rechtzeitige Behandlung zu gewährleisten (</w:t>
      </w:r>
      <w:proofErr w:type="spellStart"/>
      <w:r>
        <w:rPr>
          <w:color w:val="4169E1"/>
        </w:rPr>
        <w:t>Vemula</w:t>
      </w:r>
      <w:proofErr w:type="spellEnd"/>
      <w:r>
        <w:rPr>
          <w:color w:val="4169E1"/>
        </w:rPr>
        <w:t xml:space="preserve"> </w:t>
      </w:r>
      <w:r>
        <w:rPr>
          <w:i/>
          <w:color w:val="4169E1"/>
        </w:rPr>
        <w:t xml:space="preserve">et al. </w:t>
      </w:r>
      <w:r>
        <w:rPr>
          <w:color w:val="4169E1"/>
        </w:rPr>
        <w:t>2016</w:t>
      </w:r>
      <w:r>
        <w:t>). Die Detektion der Influenzaviren kann über Antikörpertest, Serologischen Methoden, Zellkultur, und Nukleinsäure basierte</w:t>
      </w:r>
      <w:r>
        <w:t xml:space="preserve"> Testverfahren wie </w:t>
      </w:r>
      <w:proofErr w:type="spellStart"/>
      <w:r>
        <w:t>Nukleinsäureamplifikation</w:t>
      </w:r>
      <w:proofErr w:type="spellEnd"/>
      <w:r>
        <w:t xml:space="preserve"> oder Sequenzierung erfolgen (</w:t>
      </w:r>
      <w:proofErr w:type="spellStart"/>
      <w:r>
        <w:rPr>
          <w:color w:val="4169E1"/>
        </w:rPr>
        <w:t>Vemula</w:t>
      </w:r>
      <w:proofErr w:type="spellEnd"/>
      <w:r>
        <w:rPr>
          <w:color w:val="4169E1"/>
        </w:rPr>
        <w:t xml:space="preserve"> </w:t>
      </w:r>
      <w:r>
        <w:rPr>
          <w:i/>
          <w:color w:val="4169E1"/>
        </w:rPr>
        <w:t xml:space="preserve">et al. </w:t>
      </w:r>
      <w:r>
        <w:rPr>
          <w:color w:val="4169E1"/>
        </w:rPr>
        <w:t>2016</w:t>
      </w:r>
      <w:r>
        <w:t>). Bei serologischen Testverfahren wird auf entwickelte Antikörper im Serum des Patienten gegenüber den speziellen Virusproteinen wie HA oder NA getestet. Dadurch i</w:t>
      </w:r>
      <w:r>
        <w:t>st es möglich, zwischen einzelnen Subtypen des Influenza A Virus zu unterscheiden (</w:t>
      </w:r>
      <w:proofErr w:type="spellStart"/>
      <w:r>
        <w:rPr>
          <w:color w:val="4169E1"/>
        </w:rPr>
        <w:t>Woźniak-Kosek</w:t>
      </w:r>
      <w:proofErr w:type="spellEnd"/>
      <w:r>
        <w:rPr>
          <w:color w:val="4169E1"/>
        </w:rPr>
        <w:t xml:space="preserve"> A 2014</w:t>
      </w:r>
      <w:r>
        <w:t>). Jedoch sind serologische Tests für die klinische Diagnostik nicht empfehlenswert, da für ein Ergebnis mehrere Seren zu verschiedenen Zeitpunkten entno</w:t>
      </w:r>
      <w:r>
        <w:t xml:space="preserve">mmen werden müssen, was </w:t>
      </w:r>
      <w:r w:rsidR="00223662">
        <w:t>eine schnelle Diagnostik</w:t>
      </w:r>
    </w:p>
    <w:p w14:paraId="6D00A08D" w14:textId="35466FFF" w:rsidR="008C7A05" w:rsidRDefault="00223662" w:rsidP="00223662">
      <w:pPr>
        <w:spacing w:after="6"/>
        <w:ind w:right="4"/>
      </w:pPr>
      <w:r>
        <w:t>verhindert (</w:t>
      </w:r>
      <w:r>
        <w:rPr>
          <w:color w:val="4169E1"/>
        </w:rPr>
        <w:t>Chow</w:t>
      </w:r>
      <w:r>
        <w:rPr>
          <w:i/>
          <w:color w:val="4169E1"/>
        </w:rPr>
        <w:t xml:space="preserve"> </w:t>
      </w:r>
      <w:r w:rsidR="00866A07">
        <w:rPr>
          <w:i/>
          <w:color w:val="4169E1"/>
        </w:rPr>
        <w:t xml:space="preserve">et al. </w:t>
      </w:r>
      <w:r w:rsidR="00866A07">
        <w:rPr>
          <w:color w:val="4169E1"/>
        </w:rPr>
        <w:t>2019</w:t>
      </w:r>
      <w:r w:rsidR="00866A07">
        <w:t>). Ebenso ist die Zellkultur, bei welcher spezielle Zelllinien mit der Patientenprobe inkubiert und über markierte Antikörper nachgewiesen werden, nicht für die Diagnostik geeign</w:t>
      </w:r>
      <w:r w:rsidR="00866A07">
        <w:t>et, da sie trotz hoher Spezifität und Sensitivität längere Inkubationszeiten zur Folge hat (</w:t>
      </w:r>
      <w:proofErr w:type="spellStart"/>
      <w:r w:rsidR="00866A07">
        <w:rPr>
          <w:color w:val="4169E1"/>
        </w:rPr>
        <w:t>Vemula</w:t>
      </w:r>
      <w:proofErr w:type="spellEnd"/>
      <w:r w:rsidR="00866A07">
        <w:rPr>
          <w:color w:val="4169E1"/>
        </w:rPr>
        <w:t xml:space="preserve"> </w:t>
      </w:r>
      <w:r w:rsidR="00866A07">
        <w:rPr>
          <w:i/>
          <w:color w:val="4169E1"/>
        </w:rPr>
        <w:t xml:space="preserve">et al. </w:t>
      </w:r>
      <w:r w:rsidR="00866A07">
        <w:rPr>
          <w:color w:val="4169E1"/>
        </w:rPr>
        <w:t>2016</w:t>
      </w:r>
      <w:r w:rsidR="00866A07">
        <w:t xml:space="preserve">; </w:t>
      </w:r>
      <w:r w:rsidR="00866A07">
        <w:rPr>
          <w:color w:val="4169E1"/>
        </w:rPr>
        <w:t xml:space="preserve">Chow </w:t>
      </w:r>
      <w:r w:rsidR="00866A07">
        <w:rPr>
          <w:i/>
          <w:color w:val="4169E1"/>
        </w:rPr>
        <w:t xml:space="preserve">et al. </w:t>
      </w:r>
      <w:r w:rsidR="00866A07">
        <w:rPr>
          <w:color w:val="4169E1"/>
        </w:rPr>
        <w:t>2019</w:t>
      </w:r>
      <w:r w:rsidR="00866A07">
        <w:t>). Bei den</w:t>
      </w:r>
    </w:p>
    <w:p w14:paraId="736B5FE4" w14:textId="03ACD8C6" w:rsidR="008C7A05" w:rsidRDefault="00866A07" w:rsidP="00223662">
      <w:pPr>
        <w:spacing w:after="4"/>
        <w:ind w:left="17" w:right="4"/>
      </w:pPr>
      <w:r>
        <w:t xml:space="preserve">Antikörpertests wie dem direkten Fluoreszenz Antikörper Assay (engl.: </w:t>
      </w:r>
      <w:proofErr w:type="spellStart"/>
      <w:r>
        <w:rPr>
          <w:i/>
        </w:rPr>
        <w:t>direct</w:t>
      </w:r>
      <w:proofErr w:type="spellEnd"/>
      <w:r>
        <w:rPr>
          <w:i/>
        </w:rPr>
        <w:t xml:space="preserve"> </w:t>
      </w:r>
      <w:proofErr w:type="spellStart"/>
      <w:r>
        <w:rPr>
          <w:i/>
        </w:rPr>
        <w:t>fluorescence</w:t>
      </w:r>
      <w:proofErr w:type="spellEnd"/>
      <w:r>
        <w:rPr>
          <w:i/>
        </w:rPr>
        <w:t xml:space="preserve"> </w:t>
      </w:r>
      <w:proofErr w:type="spellStart"/>
      <w:r>
        <w:rPr>
          <w:i/>
        </w:rPr>
        <w:t>antibody</w:t>
      </w:r>
      <w:proofErr w:type="spellEnd"/>
      <w:r>
        <w:rPr>
          <w:i/>
        </w:rPr>
        <w:t xml:space="preserve"> </w:t>
      </w:r>
      <w:proofErr w:type="spellStart"/>
      <w:r>
        <w:rPr>
          <w:i/>
        </w:rPr>
        <w:t>assay</w:t>
      </w:r>
      <w:proofErr w:type="spellEnd"/>
      <w:r>
        <w:t>, DFA) wird d</w:t>
      </w:r>
      <w:r>
        <w:t>ie dem Patienten entnommene Probe mittels fluoreszenzmarkierter Antikörper auf Influenza spezifische Antigene untersucht. Diese kostengünstige Testmethode liefert bei kurzen Testzeiten von 2-4 h ein Ergebnis mit Sensitivitäten ab 70 % aufwärts (</w:t>
      </w:r>
      <w:r>
        <w:rPr>
          <w:color w:val="4169E1"/>
        </w:rPr>
        <w:t xml:space="preserve">Kim &amp; </w:t>
      </w:r>
      <w:proofErr w:type="spellStart"/>
      <w:r>
        <w:rPr>
          <w:color w:val="4169E1"/>
        </w:rPr>
        <w:t>Poude</w:t>
      </w:r>
      <w:r>
        <w:rPr>
          <w:color w:val="4169E1"/>
        </w:rPr>
        <w:t>l</w:t>
      </w:r>
      <w:proofErr w:type="spellEnd"/>
      <w:r>
        <w:rPr>
          <w:color w:val="4169E1"/>
        </w:rPr>
        <w:t xml:space="preserve"> 2013</w:t>
      </w:r>
      <w:r>
        <w:t xml:space="preserve">). Sie sind zusammen mit Nukleinsäure amplifizierende Methoden (engl.: </w:t>
      </w:r>
      <w:proofErr w:type="spellStart"/>
      <w:r>
        <w:rPr>
          <w:i/>
        </w:rPr>
        <w:t>nucleic</w:t>
      </w:r>
      <w:proofErr w:type="spellEnd"/>
      <w:r>
        <w:rPr>
          <w:i/>
        </w:rPr>
        <w:t xml:space="preserve"> </w:t>
      </w:r>
      <w:proofErr w:type="spellStart"/>
      <w:r>
        <w:rPr>
          <w:i/>
        </w:rPr>
        <w:t>acid</w:t>
      </w:r>
      <w:proofErr w:type="spellEnd"/>
      <w:r>
        <w:rPr>
          <w:i/>
        </w:rPr>
        <w:t xml:space="preserve"> </w:t>
      </w:r>
      <w:proofErr w:type="spellStart"/>
      <w:r>
        <w:rPr>
          <w:i/>
        </w:rPr>
        <w:t>amplification</w:t>
      </w:r>
      <w:proofErr w:type="spellEnd"/>
      <w:r>
        <w:rPr>
          <w:i/>
        </w:rPr>
        <w:t xml:space="preserve"> </w:t>
      </w:r>
      <w:proofErr w:type="spellStart"/>
      <w:r>
        <w:rPr>
          <w:i/>
        </w:rPr>
        <w:t>techniques</w:t>
      </w:r>
      <w:proofErr w:type="spellEnd"/>
      <w:r>
        <w:t>, NAAT), welche als Goldstandard in der klinischen Diagnostik gelten, die empfohlenen Methoden zur Detektion von Influenzaviren (</w:t>
      </w:r>
      <w:proofErr w:type="spellStart"/>
      <w:r>
        <w:rPr>
          <w:color w:val="4169E1"/>
        </w:rPr>
        <w:t>Uyeki</w:t>
      </w:r>
      <w:proofErr w:type="spellEnd"/>
      <w:r>
        <w:rPr>
          <w:color w:val="4169E1"/>
        </w:rPr>
        <w:t xml:space="preserve"> </w:t>
      </w:r>
      <w:r>
        <w:rPr>
          <w:i/>
          <w:color w:val="4169E1"/>
        </w:rPr>
        <w:t>et al.</w:t>
      </w:r>
      <w:r w:rsidR="00223662">
        <w:t xml:space="preserve"> </w:t>
      </w:r>
      <w:r>
        <w:rPr>
          <w:color w:val="4169E1"/>
        </w:rPr>
        <w:t>2018</w:t>
      </w:r>
      <w:r>
        <w:t>).</w:t>
      </w:r>
    </w:p>
    <w:p w14:paraId="1904CFB1" w14:textId="77777777" w:rsidR="00223662" w:rsidRDefault="00223662" w:rsidP="00223662">
      <w:pPr>
        <w:spacing w:after="4"/>
        <w:ind w:left="17" w:right="4"/>
      </w:pPr>
    </w:p>
    <w:p w14:paraId="794A9E5E" w14:textId="77777777" w:rsidR="008C7A05" w:rsidRDefault="00866A07">
      <w:pPr>
        <w:pStyle w:val="berschrift2"/>
        <w:tabs>
          <w:tab w:val="center" w:pos="3485"/>
        </w:tabs>
        <w:ind w:left="0" w:firstLine="0"/>
      </w:pPr>
      <w:bookmarkStart w:id="5" w:name="_Toc30600"/>
      <w:r>
        <w:t>1.4</w:t>
      </w:r>
      <w:r>
        <w:tab/>
        <w:t>Nukleinsäure amplifizierende Methoden - NAAT</w:t>
      </w:r>
      <w:bookmarkEnd w:id="5"/>
    </w:p>
    <w:p w14:paraId="3EAA75C2" w14:textId="77777777" w:rsidR="008C7A05" w:rsidRDefault="00866A07">
      <w:pPr>
        <w:spacing w:after="6"/>
        <w:ind w:left="17" w:right="4"/>
      </w:pPr>
      <w:r>
        <w:t xml:space="preserve">Nachweis-Methoden mit hohen Sensitivitäten und Spezifitäten sind essentiell für eine genaue Diagnose und medizinische Behandlung. Dabei sind Nukleinsäure amplifizierende Methoden (engl.: </w:t>
      </w:r>
      <w:proofErr w:type="spellStart"/>
      <w:r>
        <w:rPr>
          <w:i/>
        </w:rPr>
        <w:t>nucleic</w:t>
      </w:r>
      <w:proofErr w:type="spellEnd"/>
      <w:r>
        <w:rPr>
          <w:i/>
        </w:rPr>
        <w:t xml:space="preserve"> </w:t>
      </w:r>
      <w:proofErr w:type="spellStart"/>
      <w:r>
        <w:rPr>
          <w:i/>
        </w:rPr>
        <w:t>acid</w:t>
      </w:r>
      <w:proofErr w:type="spellEnd"/>
      <w:r>
        <w:rPr>
          <w:i/>
        </w:rPr>
        <w:t xml:space="preserve"> </w:t>
      </w:r>
      <w:proofErr w:type="spellStart"/>
      <w:r>
        <w:rPr>
          <w:i/>
        </w:rPr>
        <w:t>amplificati</w:t>
      </w:r>
      <w:proofErr w:type="spellEnd"/>
      <w:r>
        <w:rPr>
          <w:i/>
        </w:rPr>
        <w:t>-</w:t>
      </w:r>
    </w:p>
    <w:p w14:paraId="2C7465D3" w14:textId="77777777" w:rsidR="008C7A05" w:rsidRDefault="00866A07">
      <w:pPr>
        <w:spacing w:after="1"/>
        <w:ind w:left="17" w:right="4"/>
      </w:pPr>
      <w:r>
        <w:rPr>
          <w:i/>
        </w:rPr>
        <w:t xml:space="preserve">on </w:t>
      </w:r>
      <w:proofErr w:type="spellStart"/>
      <w:r>
        <w:rPr>
          <w:i/>
        </w:rPr>
        <w:t>techniques</w:t>
      </w:r>
      <w:proofErr w:type="spellEnd"/>
      <w:r>
        <w:t>, NAAT) ein mächtiges Werkzeug um genau diese Ziele zu erreichen (</w:t>
      </w:r>
      <w:r>
        <w:rPr>
          <w:color w:val="4169E1"/>
        </w:rPr>
        <w:t xml:space="preserve">Kang </w:t>
      </w:r>
      <w:r>
        <w:rPr>
          <w:i/>
          <w:color w:val="4169E1"/>
        </w:rPr>
        <w:t xml:space="preserve">et al. </w:t>
      </w:r>
      <w:r>
        <w:rPr>
          <w:color w:val="4169E1"/>
        </w:rPr>
        <w:t>2022</w:t>
      </w:r>
      <w:r>
        <w:t>). Hierbei werden einzelne DNA/RNA-Moleküle detektiert und das Signal über verschiedenste Methoden, wie PCR oder isotherme Amplifikation verstärkt (</w:t>
      </w:r>
      <w:proofErr w:type="spellStart"/>
      <w:r>
        <w:rPr>
          <w:color w:val="4169E1"/>
        </w:rPr>
        <w:t>Özay</w:t>
      </w:r>
      <w:proofErr w:type="spellEnd"/>
      <w:r>
        <w:rPr>
          <w:color w:val="4169E1"/>
        </w:rPr>
        <w:t xml:space="preserve"> &amp; </w:t>
      </w:r>
      <w:proofErr w:type="spellStart"/>
      <w:r>
        <w:rPr>
          <w:color w:val="4169E1"/>
        </w:rPr>
        <w:t>McCalla</w:t>
      </w:r>
      <w:proofErr w:type="spellEnd"/>
      <w:r>
        <w:rPr>
          <w:color w:val="4169E1"/>
        </w:rPr>
        <w:t xml:space="preserve"> 2021</w:t>
      </w:r>
      <w:r>
        <w:t xml:space="preserve">; </w:t>
      </w:r>
      <w:r>
        <w:rPr>
          <w:color w:val="4169E1"/>
        </w:rPr>
        <w:t xml:space="preserve">Kang </w:t>
      </w:r>
      <w:r>
        <w:rPr>
          <w:i/>
          <w:color w:val="4169E1"/>
        </w:rPr>
        <w:t xml:space="preserve">et al. </w:t>
      </w:r>
      <w:r>
        <w:rPr>
          <w:color w:val="4169E1"/>
        </w:rPr>
        <w:t>2022</w:t>
      </w:r>
      <w:r>
        <w:t>). NAAT liefern dabei im Vergleich zu anderen Diagnostik-Methoden schnelle Resultate und können zwischen Subtypen unterscheiden</w:t>
      </w:r>
    </w:p>
    <w:p w14:paraId="08731B09" w14:textId="6A435AEF" w:rsidR="008C7A05" w:rsidRDefault="00866A07" w:rsidP="00223662">
      <w:pPr>
        <w:ind w:right="4"/>
      </w:pPr>
      <w:r>
        <w:t>(</w:t>
      </w:r>
      <w:proofErr w:type="spellStart"/>
      <w:r>
        <w:rPr>
          <w:color w:val="4169E1"/>
        </w:rPr>
        <w:t>Uyeki</w:t>
      </w:r>
      <w:proofErr w:type="spellEnd"/>
      <w:r>
        <w:rPr>
          <w:color w:val="4169E1"/>
        </w:rPr>
        <w:t xml:space="preserve"> </w:t>
      </w:r>
      <w:r>
        <w:rPr>
          <w:i/>
          <w:color w:val="4169E1"/>
        </w:rPr>
        <w:t xml:space="preserve">et al. </w:t>
      </w:r>
      <w:r>
        <w:rPr>
          <w:color w:val="4169E1"/>
        </w:rPr>
        <w:t>2018</w:t>
      </w:r>
      <w:r>
        <w:t xml:space="preserve">). So können für die Influenza Diagnostik RT-PCR, LAMP (engl.: </w:t>
      </w:r>
      <w:r>
        <w:rPr>
          <w:i/>
        </w:rPr>
        <w:t xml:space="preserve">loop </w:t>
      </w:r>
      <w:proofErr w:type="spellStart"/>
      <w:r>
        <w:rPr>
          <w:i/>
        </w:rPr>
        <w:t>mediated</w:t>
      </w:r>
      <w:proofErr w:type="spellEnd"/>
      <w:r>
        <w:rPr>
          <w:i/>
        </w:rPr>
        <w:t xml:space="preserve"> </w:t>
      </w:r>
      <w:proofErr w:type="spellStart"/>
      <w:r>
        <w:rPr>
          <w:i/>
        </w:rPr>
        <w:t>isothermal</w:t>
      </w:r>
      <w:proofErr w:type="spellEnd"/>
      <w:r>
        <w:rPr>
          <w:i/>
        </w:rPr>
        <w:t xml:space="preserve"> </w:t>
      </w:r>
      <w:proofErr w:type="spellStart"/>
      <w:r>
        <w:rPr>
          <w:i/>
        </w:rPr>
        <w:t>amplifikation</w:t>
      </w:r>
      <w:proofErr w:type="spellEnd"/>
      <w:r>
        <w:t>) oder NA</w:t>
      </w:r>
      <w:r>
        <w:t xml:space="preserve">SBA (engl.: </w:t>
      </w:r>
      <w:proofErr w:type="spellStart"/>
      <w:r>
        <w:rPr>
          <w:i/>
        </w:rPr>
        <w:t>nucleic</w:t>
      </w:r>
      <w:proofErr w:type="spellEnd"/>
      <w:r>
        <w:rPr>
          <w:i/>
        </w:rPr>
        <w:t xml:space="preserve"> </w:t>
      </w:r>
      <w:proofErr w:type="spellStart"/>
      <w:r>
        <w:rPr>
          <w:i/>
        </w:rPr>
        <w:t>acid</w:t>
      </w:r>
      <w:proofErr w:type="spellEnd"/>
      <w:r>
        <w:rPr>
          <w:i/>
        </w:rPr>
        <w:t xml:space="preserve"> </w:t>
      </w:r>
      <w:proofErr w:type="spellStart"/>
      <w:r>
        <w:rPr>
          <w:i/>
        </w:rPr>
        <w:t>sequence-based</w:t>
      </w:r>
      <w:proofErr w:type="spellEnd"/>
      <w:r>
        <w:rPr>
          <w:i/>
        </w:rPr>
        <w:t xml:space="preserve"> </w:t>
      </w:r>
      <w:proofErr w:type="spellStart"/>
      <w:r>
        <w:rPr>
          <w:i/>
        </w:rPr>
        <w:t>amplification</w:t>
      </w:r>
      <w:proofErr w:type="spellEnd"/>
      <w:r>
        <w:t>) verwendet werden (</w:t>
      </w:r>
      <w:proofErr w:type="spellStart"/>
      <w:r>
        <w:rPr>
          <w:color w:val="4169E1"/>
        </w:rPr>
        <w:t>Vemula</w:t>
      </w:r>
      <w:proofErr w:type="spellEnd"/>
      <w:r>
        <w:rPr>
          <w:color w:val="4169E1"/>
        </w:rPr>
        <w:t xml:space="preserve"> </w:t>
      </w:r>
      <w:r>
        <w:rPr>
          <w:i/>
          <w:color w:val="4169E1"/>
        </w:rPr>
        <w:t xml:space="preserve">et al. </w:t>
      </w:r>
      <w:r>
        <w:rPr>
          <w:color w:val="4169E1"/>
        </w:rPr>
        <w:t>2016</w:t>
      </w:r>
      <w:r>
        <w:t>).</w:t>
      </w:r>
    </w:p>
    <w:p w14:paraId="42E0D168" w14:textId="77777777" w:rsidR="008C7A05" w:rsidRDefault="00866A07">
      <w:pPr>
        <w:pStyle w:val="berschrift3"/>
        <w:tabs>
          <w:tab w:val="center" w:pos="2282"/>
        </w:tabs>
        <w:ind w:left="0" w:firstLine="0"/>
      </w:pPr>
      <w:bookmarkStart w:id="6" w:name="_Toc30601"/>
      <w:r>
        <w:t>1.4.1</w:t>
      </w:r>
      <w:r>
        <w:tab/>
        <w:t>Die Polymerase Kettenreaktion</w:t>
      </w:r>
      <w:bookmarkEnd w:id="6"/>
    </w:p>
    <w:p w14:paraId="45CE51E8" w14:textId="77777777" w:rsidR="008C7A05" w:rsidRDefault="00866A07">
      <w:pPr>
        <w:spacing w:after="1"/>
        <w:ind w:left="17" w:right="4"/>
      </w:pPr>
      <w:r>
        <w:t xml:space="preserve">Die PCR, entwickelt von Mullis </w:t>
      </w:r>
      <w:r>
        <w:rPr>
          <w:i/>
        </w:rPr>
        <w:t xml:space="preserve">et al. </w:t>
      </w:r>
      <w:r>
        <w:t>(</w:t>
      </w:r>
      <w:r>
        <w:rPr>
          <w:color w:val="4169E1"/>
        </w:rPr>
        <w:t>1986</w:t>
      </w:r>
      <w:r>
        <w:t>) ist eine Methode zur Amplifikation von DNA. Dies war ein Meilenstein in der Molek</w:t>
      </w:r>
      <w:r>
        <w:t>ularbiologie, erstmals konnten Nukleinsäuren vermehrt werden und somit für Genetik, Forensik und Diagnostik verwendet werden (</w:t>
      </w:r>
      <w:proofErr w:type="spellStart"/>
      <w:r>
        <w:rPr>
          <w:color w:val="4169E1"/>
        </w:rPr>
        <w:t>Gaňová</w:t>
      </w:r>
      <w:proofErr w:type="spellEnd"/>
      <w:r>
        <w:rPr>
          <w:color w:val="4169E1"/>
        </w:rPr>
        <w:t xml:space="preserve"> </w:t>
      </w:r>
      <w:r>
        <w:rPr>
          <w:i/>
          <w:color w:val="4169E1"/>
        </w:rPr>
        <w:t xml:space="preserve">et al. </w:t>
      </w:r>
      <w:r>
        <w:rPr>
          <w:color w:val="4169E1"/>
        </w:rPr>
        <w:t>2021</w:t>
      </w:r>
      <w:r>
        <w:t xml:space="preserve">). Das Prinzip der PCR beruht dabei auf zwei ca. 20 bp großen Oligonukleotiden, den sogenannten Primern, welche </w:t>
      </w:r>
      <w:r>
        <w:t>spezifisch an ein komplementäres</w:t>
      </w:r>
    </w:p>
    <w:p w14:paraId="172903EE" w14:textId="77777777" w:rsidR="008C7A05" w:rsidRDefault="00866A07">
      <w:pPr>
        <w:spacing w:after="50" w:line="259" w:lineRule="auto"/>
        <w:ind w:left="17" w:right="4"/>
      </w:pPr>
      <w:r>
        <w:lastRenderedPageBreak/>
        <w:t xml:space="preserve">DNA-Fragment binden und von einer Polymerase verlängert werden. Ein </w:t>
      </w:r>
      <w:proofErr w:type="spellStart"/>
      <w:r>
        <w:t>Primerpaar</w:t>
      </w:r>
      <w:proofErr w:type="spellEnd"/>
      <w:r>
        <w:t>, bestehend aus Forward</w:t>
      </w:r>
    </w:p>
    <w:p w14:paraId="1B88825A" w14:textId="77777777" w:rsidR="008C7A05" w:rsidRDefault="00866A07">
      <w:pPr>
        <w:spacing w:after="5"/>
        <w:ind w:left="17" w:right="4"/>
      </w:pPr>
      <w:r>
        <w:t>(in Leserichtung der Amplifikation) und reverse (entgegengesetzt der Leserichtung) Primer flankiert jeweils einen definierten DNA-Abschnitt, welcher in einer PCR amplifiziert wird (</w:t>
      </w:r>
      <w:proofErr w:type="spellStart"/>
      <w:r>
        <w:rPr>
          <w:color w:val="4169E1"/>
        </w:rPr>
        <w:t>Ableitner</w:t>
      </w:r>
      <w:proofErr w:type="spellEnd"/>
      <w:r>
        <w:rPr>
          <w:color w:val="4169E1"/>
        </w:rPr>
        <w:t xml:space="preserve"> 2018</w:t>
      </w:r>
      <w:r>
        <w:t>). Der Reaktionsmechanismus der PCR besteht aus 3 Zyklen; der</w:t>
      </w:r>
      <w:r>
        <w:t xml:space="preserve"> 1) DNA-Denaturierung, der 2) </w:t>
      </w:r>
      <w:proofErr w:type="spellStart"/>
      <w:r>
        <w:t>Primerhybridisierung</w:t>
      </w:r>
      <w:proofErr w:type="spellEnd"/>
      <w:r>
        <w:t xml:space="preserve"> und der 3) Elongation. Im ersten Schritt werden mittels hoher Temperatur (~95°C) die Wasserstoffbrückenbindungen der DNA aufgebrochen und die DNA denaturiert. Bei dem Hybridisations-Schritt (Temperatur auf</w:t>
      </w:r>
      <w:r>
        <w:t xml:space="preserve"> 55 - 65 °C) kommt es zum sogenannten </w:t>
      </w:r>
      <w:proofErr w:type="spellStart"/>
      <w:r>
        <w:rPr>
          <w:i/>
        </w:rPr>
        <w:t>annealing</w:t>
      </w:r>
      <w:proofErr w:type="spellEnd"/>
      <w:r>
        <w:t>, der Anlagerung der Primer an die DNA (</w:t>
      </w:r>
      <w:proofErr w:type="spellStart"/>
      <w:r>
        <w:rPr>
          <w:color w:val="4169E1"/>
        </w:rPr>
        <w:t>Sreejith</w:t>
      </w:r>
      <w:proofErr w:type="spellEnd"/>
      <w:r>
        <w:rPr>
          <w:color w:val="4169E1"/>
        </w:rPr>
        <w:t xml:space="preserve"> </w:t>
      </w:r>
      <w:r>
        <w:rPr>
          <w:i/>
          <w:color w:val="4169E1"/>
        </w:rPr>
        <w:t>et al.</w:t>
      </w:r>
    </w:p>
    <w:p w14:paraId="5EFD75B5" w14:textId="77777777" w:rsidR="008C7A05" w:rsidRDefault="00866A07">
      <w:pPr>
        <w:spacing w:after="0"/>
        <w:ind w:left="17" w:right="4"/>
      </w:pPr>
      <w:r>
        <w:rPr>
          <w:color w:val="4169E1"/>
        </w:rPr>
        <w:t>2018</w:t>
      </w:r>
      <w:r>
        <w:t xml:space="preserve">). Dabei ist der Vorwärtsprimer komplementär zu einer Sequenz auf dem Sense-Strang der DNA und der Rückwärtsprimer komplementär zu einer Sequenz auf </w:t>
      </w:r>
      <w:r>
        <w:t>dem Antisense-Strang (</w:t>
      </w:r>
      <w:proofErr w:type="spellStart"/>
      <w:r>
        <w:rPr>
          <w:color w:val="4169E1"/>
        </w:rPr>
        <w:t>Mülhardt</w:t>
      </w:r>
      <w:proofErr w:type="spellEnd"/>
      <w:r>
        <w:rPr>
          <w:color w:val="4169E1"/>
        </w:rPr>
        <w:t xml:space="preserve"> 2009</w:t>
      </w:r>
      <w:r>
        <w:t>). Im nachfolgenden Amplifikationsschritt bindet die Polymerase bei ~72°C die gebundenen Primer und synthetisiert neue Nukleotide anhand der komplementären DNA-Vorlage an den Primer. So werden diese erweitert und somit di</w:t>
      </w:r>
      <w:r>
        <w:t xml:space="preserve">e DNA verdoppeln. Als DNA-Polymerase wird dabei abweichend von der Original-Methode von Mullis </w:t>
      </w:r>
      <w:r>
        <w:rPr>
          <w:i/>
        </w:rPr>
        <w:t xml:space="preserve">et al. </w:t>
      </w:r>
      <w:r>
        <w:t>(</w:t>
      </w:r>
      <w:r>
        <w:rPr>
          <w:color w:val="4169E1"/>
        </w:rPr>
        <w:t>1986</w:t>
      </w:r>
      <w:r>
        <w:t xml:space="preserve">) die </w:t>
      </w:r>
      <w:proofErr w:type="spellStart"/>
      <w:r>
        <w:t>Taq</w:t>
      </w:r>
      <w:proofErr w:type="spellEnd"/>
      <w:r>
        <w:t xml:space="preserve">-Polymerase (abgeleitet von dem Bakterium </w:t>
      </w:r>
      <w:proofErr w:type="spellStart"/>
      <w:r>
        <w:rPr>
          <w:i/>
        </w:rPr>
        <w:t>Thermus</w:t>
      </w:r>
      <w:proofErr w:type="spellEnd"/>
      <w:r>
        <w:rPr>
          <w:i/>
        </w:rPr>
        <w:t xml:space="preserve"> </w:t>
      </w:r>
      <w:proofErr w:type="spellStart"/>
      <w:r>
        <w:rPr>
          <w:i/>
        </w:rPr>
        <w:t>aquaticus</w:t>
      </w:r>
      <w:proofErr w:type="spellEnd"/>
      <w:r>
        <w:t>) aufgrund ihres hohen Temperaturoptimums verwendet. Anschließend wird eine erneu</w:t>
      </w:r>
      <w:r>
        <w:t xml:space="preserve">te DNA-Denaturierung durchgeführt und ein PCR-Zyklus ist abgeschlossen. Für eine erfolgreiche Amplifikation werden mehrere Zyklen hintereinander durchgeführt, wodurch die DNA jedes Mal verdoppelt/ </w:t>
      </w:r>
      <w:r>
        <w:rPr>
          <w:color w:val="FF0000"/>
        </w:rPr>
        <w:t xml:space="preserve">exponentiell vermehrt </w:t>
      </w:r>
      <w:r>
        <w:t>wird (</w:t>
      </w:r>
      <w:proofErr w:type="spellStart"/>
      <w:r>
        <w:rPr>
          <w:color w:val="4169E1"/>
        </w:rPr>
        <w:t>Sreejith</w:t>
      </w:r>
      <w:proofErr w:type="spellEnd"/>
      <w:r>
        <w:rPr>
          <w:color w:val="4169E1"/>
        </w:rPr>
        <w:t xml:space="preserve"> </w:t>
      </w:r>
      <w:r>
        <w:rPr>
          <w:i/>
          <w:color w:val="4169E1"/>
        </w:rPr>
        <w:t xml:space="preserve">et al. </w:t>
      </w:r>
      <w:r>
        <w:rPr>
          <w:color w:val="4169E1"/>
        </w:rPr>
        <w:t>2018</w:t>
      </w:r>
      <w:r>
        <w:t>). Die ampl</w:t>
      </w:r>
      <w:r>
        <w:t>ifizierte DNA am Ende der PCR kann klassischerweise mittels Gel-Elektrophorese nachgewiesen werden (</w:t>
      </w:r>
      <w:r>
        <w:rPr>
          <w:color w:val="4169E1"/>
        </w:rPr>
        <w:t xml:space="preserve">Wood </w:t>
      </w:r>
      <w:r>
        <w:rPr>
          <w:i/>
          <w:color w:val="4169E1"/>
        </w:rPr>
        <w:t xml:space="preserve">et al. </w:t>
      </w:r>
      <w:r>
        <w:rPr>
          <w:color w:val="4169E1"/>
        </w:rPr>
        <w:t>1994</w:t>
      </w:r>
      <w:r>
        <w:t>).</w:t>
      </w:r>
    </w:p>
    <w:p w14:paraId="3C9997BE" w14:textId="77777777" w:rsidR="008C7A05" w:rsidRDefault="00866A07">
      <w:pPr>
        <w:spacing w:after="278" w:line="259" w:lineRule="auto"/>
        <w:ind w:left="1902" w:right="0" w:firstLine="0"/>
        <w:jc w:val="left"/>
      </w:pPr>
      <w:r>
        <w:rPr>
          <w:noProof/>
        </w:rPr>
        <w:drawing>
          <wp:inline distT="0" distB="0" distL="0" distR="0" wp14:anchorId="3FB9E812" wp14:editId="5A08DAF8">
            <wp:extent cx="3566280" cy="2502683"/>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8"/>
                    <a:stretch>
                      <a:fillRect/>
                    </a:stretch>
                  </pic:blipFill>
                  <pic:spPr>
                    <a:xfrm>
                      <a:off x="0" y="0"/>
                      <a:ext cx="3566280" cy="2502683"/>
                    </a:xfrm>
                    <a:prstGeom prst="rect">
                      <a:avLst/>
                    </a:prstGeom>
                  </pic:spPr>
                </pic:pic>
              </a:graphicData>
            </a:graphic>
          </wp:inline>
        </w:drawing>
      </w:r>
    </w:p>
    <w:p w14:paraId="6B5F1895" w14:textId="77777777" w:rsidR="008C7A05" w:rsidRDefault="00866A07">
      <w:pPr>
        <w:spacing w:line="251" w:lineRule="auto"/>
        <w:ind w:left="17" w:right="4"/>
      </w:pPr>
      <w:r>
        <w:t xml:space="preserve">Abbildung 3: </w:t>
      </w:r>
      <w:r>
        <w:rPr>
          <w:b/>
        </w:rPr>
        <w:t xml:space="preserve">Reaktionsmechanismus der PCR: </w:t>
      </w:r>
      <w:r>
        <w:t>schematischer Reaktionsmechanismus der PCR mit angefügter Temperaturkurve bestehend aus 1) D</w:t>
      </w:r>
      <w:r>
        <w:t xml:space="preserve">NA-Denaturierung, 2) </w:t>
      </w:r>
      <w:proofErr w:type="spellStart"/>
      <w:r>
        <w:t>Primerhybridisierung</w:t>
      </w:r>
      <w:proofErr w:type="spellEnd"/>
      <w:r>
        <w:t xml:space="preserve"> und 3) Elongation. Die doppelsträngige DNA (blau) wird </w:t>
      </w:r>
      <w:proofErr w:type="gramStart"/>
      <w:r>
        <w:t>bei  95</w:t>
      </w:r>
      <w:proofErr w:type="gramEnd"/>
      <w:r>
        <w:t xml:space="preserve"> °C denaturiert, und es können Primer (rot) bei 55 °C an die einzelsträngige DNA binden. Diese werden von der Polymerase bei 72 °C erweitert, bis eine n</w:t>
      </w:r>
      <w:r>
        <w:t>eue doppelsträngige DNA vorliegt. Bild modifiziert nach Tiago Lopes (</w:t>
      </w:r>
      <w:r>
        <w:rPr>
          <w:color w:val="4169E1"/>
        </w:rPr>
        <w:t>2020</w:t>
      </w:r>
      <w:r>
        <w:t>)</w:t>
      </w:r>
    </w:p>
    <w:p w14:paraId="3A3EEDB0" w14:textId="77777777" w:rsidR="008C7A05" w:rsidRDefault="00866A07">
      <w:pPr>
        <w:spacing w:after="7"/>
        <w:ind w:left="17" w:right="4"/>
      </w:pPr>
      <w:r>
        <w:t xml:space="preserve">Da DNA abhängige </w:t>
      </w:r>
      <w:proofErr w:type="gramStart"/>
      <w:r>
        <w:t>DNA Polymerasen</w:t>
      </w:r>
      <w:proofErr w:type="gramEnd"/>
      <w:r>
        <w:t xml:space="preserve"> keine RNA als Ausgangsmaterial erkennt, wird eine zusätzliche reverse Transkriptase (RT)-Reaktion der PCR vorangestellt, um auch RNA Proben mittels </w:t>
      </w:r>
      <w:r>
        <w:t>dieser Methode analysieren zu können. Bei der RT kommt es zur Umschreibung der RNA in cDNA. Die DNA kann anschließend über den beschriebenen PCR-Mechanismus amplifiziert werden (</w:t>
      </w:r>
      <w:proofErr w:type="spellStart"/>
      <w:r>
        <w:rPr>
          <w:color w:val="4169E1"/>
        </w:rPr>
        <w:t>ODriscoll</w:t>
      </w:r>
      <w:proofErr w:type="spellEnd"/>
      <w:r>
        <w:rPr>
          <w:color w:val="4169E1"/>
        </w:rPr>
        <w:t xml:space="preserve"> </w:t>
      </w:r>
      <w:r>
        <w:rPr>
          <w:i/>
          <w:color w:val="4169E1"/>
        </w:rPr>
        <w:t xml:space="preserve">et al. </w:t>
      </w:r>
      <w:r>
        <w:rPr>
          <w:color w:val="4169E1"/>
        </w:rPr>
        <w:t>1993</w:t>
      </w:r>
      <w:r>
        <w:t xml:space="preserve">; </w:t>
      </w:r>
      <w:proofErr w:type="spellStart"/>
      <w:r>
        <w:rPr>
          <w:color w:val="4169E1"/>
        </w:rPr>
        <w:t>Mülhardt</w:t>
      </w:r>
      <w:proofErr w:type="spellEnd"/>
      <w:r>
        <w:rPr>
          <w:color w:val="4169E1"/>
        </w:rPr>
        <w:t xml:space="preserve"> 2009</w:t>
      </w:r>
      <w:r>
        <w:t>).</w:t>
      </w:r>
    </w:p>
    <w:p w14:paraId="1B313F99" w14:textId="77777777" w:rsidR="008C7A05" w:rsidRDefault="00866A07">
      <w:pPr>
        <w:spacing w:after="59" w:line="259" w:lineRule="auto"/>
        <w:ind w:left="17" w:right="4"/>
      </w:pPr>
      <w:r>
        <w:t>Diese erweiterte PCR wird als reverse Transkriptase PCR (RT-PCR) bezeichnet (</w:t>
      </w:r>
      <w:proofErr w:type="spellStart"/>
      <w:r>
        <w:rPr>
          <w:color w:val="4169E1"/>
        </w:rPr>
        <w:t>Bustin</w:t>
      </w:r>
      <w:proofErr w:type="spellEnd"/>
      <w:r>
        <w:rPr>
          <w:color w:val="4169E1"/>
        </w:rPr>
        <w:t xml:space="preserve"> </w:t>
      </w:r>
      <w:r>
        <w:rPr>
          <w:i/>
          <w:color w:val="4169E1"/>
        </w:rPr>
        <w:t xml:space="preserve">et al. </w:t>
      </w:r>
      <w:r>
        <w:rPr>
          <w:color w:val="4169E1"/>
        </w:rPr>
        <w:t>2005</w:t>
      </w:r>
      <w:r>
        <w:t>).</w:t>
      </w:r>
    </w:p>
    <w:p w14:paraId="4B618F12" w14:textId="77777777" w:rsidR="008C7A05" w:rsidRDefault="00866A07">
      <w:pPr>
        <w:spacing w:after="50" w:line="259" w:lineRule="auto"/>
        <w:ind w:left="17" w:right="4"/>
      </w:pPr>
      <w:r>
        <w:t>Eine weitere besondere Form der PCR ist die quantitative PCR (qPCR). Hierbei wird dem PCR-</w:t>
      </w:r>
    </w:p>
    <w:p w14:paraId="78BA921B" w14:textId="77777777" w:rsidR="008C7A05" w:rsidRDefault="00866A07">
      <w:pPr>
        <w:spacing w:after="280"/>
        <w:ind w:left="17" w:right="4"/>
      </w:pPr>
      <w:r>
        <w:lastRenderedPageBreak/>
        <w:t>Reaktionsmix ein fluoreszierendes Reportermolekül, wie beispielswei</w:t>
      </w:r>
      <w:r>
        <w:t>se ein interkalierender Fluoreszenzfarbstoff, oder fluoreszenzmarkierte Oligonukleotide zugesetzt (</w:t>
      </w:r>
      <w:r>
        <w:rPr>
          <w:color w:val="4169E1"/>
        </w:rPr>
        <w:t xml:space="preserve">Ma </w:t>
      </w:r>
      <w:r>
        <w:rPr>
          <w:i/>
          <w:color w:val="4169E1"/>
        </w:rPr>
        <w:t xml:space="preserve">et al. </w:t>
      </w:r>
      <w:r>
        <w:rPr>
          <w:color w:val="4169E1"/>
        </w:rPr>
        <w:t>2021</w:t>
      </w:r>
      <w:r>
        <w:t>). Goldstandard der qPCR sind die fluoreszenzmarkierte Oligonukleotide, die sogenannten Sonden, welche spezifisch innerhalb des zu amplifiziere</w:t>
      </w:r>
      <w:r>
        <w:t>nden Bereichs hybridisieren (</w:t>
      </w:r>
      <w:proofErr w:type="spellStart"/>
      <w:r>
        <w:rPr>
          <w:color w:val="4169E1"/>
        </w:rPr>
        <w:t>Ranasinghe</w:t>
      </w:r>
      <w:proofErr w:type="spellEnd"/>
      <w:r>
        <w:rPr>
          <w:color w:val="4169E1"/>
        </w:rPr>
        <w:t xml:space="preserve"> &amp; Brown 2005</w:t>
      </w:r>
      <w:r>
        <w:t xml:space="preserve">). Das Prinzip der Fluoreszenzsonden beruht dabei auf der Interaktion eines Fluorophors und einem sogenannten </w:t>
      </w:r>
      <w:proofErr w:type="spellStart"/>
      <w:r>
        <w:t>Quencher</w:t>
      </w:r>
      <w:proofErr w:type="spellEnd"/>
      <w:r>
        <w:t xml:space="preserve">, welche sich innerhalb der Sonde in räumlicher Nähe befinden. Der </w:t>
      </w:r>
      <w:proofErr w:type="spellStart"/>
      <w:r>
        <w:t>Quencher</w:t>
      </w:r>
      <w:proofErr w:type="spellEnd"/>
      <w:r>
        <w:t xml:space="preserve"> ist ein we</w:t>
      </w:r>
      <w:r>
        <w:t>iteres fluoreszierendes Molekül, welches von der Emission des Reportermoleküls über einen Förster-Resonanzenergietransfer (FRET) angeregt wird und dadurch verhindert, dass die Fluoreszenz des Reportermoleküls detektiert werden kann (</w:t>
      </w:r>
      <w:proofErr w:type="spellStart"/>
      <w:r>
        <w:rPr>
          <w:color w:val="4169E1"/>
        </w:rPr>
        <w:t>Ranasinghe</w:t>
      </w:r>
      <w:proofErr w:type="spellEnd"/>
      <w:r>
        <w:rPr>
          <w:color w:val="4169E1"/>
        </w:rPr>
        <w:t xml:space="preserve"> &amp; Brown 2005</w:t>
      </w:r>
      <w:r>
        <w:t xml:space="preserve">). Durch die </w:t>
      </w:r>
      <w:proofErr w:type="spellStart"/>
      <w:r>
        <w:t>Exonukleaseaktivität</w:t>
      </w:r>
      <w:proofErr w:type="spellEnd"/>
      <w:r>
        <w:t xml:space="preserve"> der Polymerase wird die hybridisierte Sonde hydrolysiert, wodurch Fluorophor und </w:t>
      </w:r>
      <w:proofErr w:type="spellStart"/>
      <w:r>
        <w:t>Quencher</w:t>
      </w:r>
      <w:proofErr w:type="spellEnd"/>
      <w:r>
        <w:t xml:space="preserve"> räumlich voneinander getrennt werden (</w:t>
      </w:r>
      <w:r>
        <w:rPr>
          <w:color w:val="4169E1"/>
        </w:rPr>
        <w:t xml:space="preserve">Thornton &amp; </w:t>
      </w:r>
      <w:proofErr w:type="spellStart"/>
      <w:r>
        <w:rPr>
          <w:color w:val="4169E1"/>
        </w:rPr>
        <w:t>Basu</w:t>
      </w:r>
      <w:proofErr w:type="spellEnd"/>
      <w:r>
        <w:rPr>
          <w:color w:val="4169E1"/>
        </w:rPr>
        <w:t xml:space="preserve"> 2011</w:t>
      </w:r>
      <w:r>
        <w:t xml:space="preserve">). Der </w:t>
      </w:r>
      <w:proofErr w:type="spellStart"/>
      <w:r>
        <w:t>Quencher</w:t>
      </w:r>
      <w:proofErr w:type="spellEnd"/>
      <w:r>
        <w:t xml:space="preserve"> blockiert das Signal des Reportermoleküls nicht mehr und d</w:t>
      </w:r>
      <w:r>
        <w:t xml:space="preserve">as Fluoreszenzsignal kann detektiert werden. Dabei steht das freiwerdende Fluoreszenzsignal im Verhältnis zur amplifizierten DNA, was eine die Echtzeit-Verfolgung der </w:t>
      </w:r>
      <w:proofErr w:type="spellStart"/>
      <w:r>
        <w:t>Nukleinsäureamplifikation</w:t>
      </w:r>
      <w:proofErr w:type="spellEnd"/>
      <w:r>
        <w:t xml:space="preserve"> erlaubt. Durch die Einführung eines fluoreszenz-Schwellenwertes</w:t>
      </w:r>
      <w:r>
        <w:t xml:space="preserve">, dem sogenannten ct-Wert (engl.: </w:t>
      </w:r>
      <w:proofErr w:type="spellStart"/>
      <w:r>
        <w:rPr>
          <w:i/>
        </w:rPr>
        <w:t>cycle</w:t>
      </w:r>
      <w:proofErr w:type="spellEnd"/>
      <w:r>
        <w:rPr>
          <w:i/>
        </w:rPr>
        <w:t xml:space="preserve"> </w:t>
      </w:r>
      <w:proofErr w:type="spellStart"/>
      <w:r>
        <w:rPr>
          <w:i/>
        </w:rPr>
        <w:t>threshold</w:t>
      </w:r>
      <w:proofErr w:type="spellEnd"/>
      <w:r>
        <w:t xml:space="preserve">), welcher von dem ersten Fluoreszenzsignal, welches sich vom Grundrauschen abhebt, überschritten wird, lässt sich der DNA-Gehalt der Reaktion mit der Reaktionszeit verknüpfen. Somit ermöglich die qPCR eine </w:t>
      </w:r>
      <w:r>
        <w:t>Quantifizierung der amplifizierten DNA-Menge (</w:t>
      </w:r>
      <w:proofErr w:type="spellStart"/>
      <w:r>
        <w:rPr>
          <w:color w:val="4169E1"/>
        </w:rPr>
        <w:t>Bustin</w:t>
      </w:r>
      <w:proofErr w:type="spellEnd"/>
      <w:r>
        <w:rPr>
          <w:color w:val="4169E1"/>
        </w:rPr>
        <w:t xml:space="preserve"> 2000</w:t>
      </w:r>
      <w:r>
        <w:t xml:space="preserve">; </w:t>
      </w:r>
      <w:proofErr w:type="spellStart"/>
      <w:r>
        <w:rPr>
          <w:color w:val="4169E1"/>
        </w:rPr>
        <w:t>Lovatt</w:t>
      </w:r>
      <w:proofErr w:type="spellEnd"/>
      <w:r>
        <w:rPr>
          <w:color w:val="4169E1"/>
        </w:rPr>
        <w:t xml:space="preserve"> 2002</w:t>
      </w:r>
      <w:r>
        <w:t>).</w:t>
      </w:r>
    </w:p>
    <w:p w14:paraId="28841D95" w14:textId="77777777" w:rsidR="008C7A05" w:rsidRDefault="00866A07">
      <w:pPr>
        <w:pStyle w:val="berschrift3"/>
        <w:tabs>
          <w:tab w:val="center" w:pos="1926"/>
        </w:tabs>
        <w:ind w:left="0" w:firstLine="0"/>
      </w:pPr>
      <w:bookmarkStart w:id="7" w:name="_Toc30602"/>
      <w:r>
        <w:t>1.4.2</w:t>
      </w:r>
      <w:r>
        <w:tab/>
        <w:t>Isotherme Amplifikation</w:t>
      </w:r>
      <w:bookmarkEnd w:id="7"/>
    </w:p>
    <w:p w14:paraId="6F6F95B2" w14:textId="77777777" w:rsidR="008C7A05" w:rsidRDefault="00866A07">
      <w:pPr>
        <w:spacing w:after="270"/>
        <w:ind w:left="17" w:right="4"/>
      </w:pPr>
      <w:r>
        <w:t xml:space="preserve">Wie bereits in </w:t>
      </w:r>
      <w:r>
        <w:rPr>
          <w:color w:val="4169E1"/>
        </w:rPr>
        <w:t xml:space="preserve">1.1 </w:t>
      </w:r>
      <w:r>
        <w:t>erwähnt unterliegt die PCR einigen Limitationen, die sie für die POCT weniger geeignet machen. Isotherme Amplifikationstechniken biete</w:t>
      </w:r>
      <w:r>
        <w:t>n eine Alternative für die POCT (</w:t>
      </w:r>
      <w:r>
        <w:rPr>
          <w:color w:val="4169E1"/>
        </w:rPr>
        <w:t xml:space="preserve">Kang </w:t>
      </w:r>
      <w:r>
        <w:rPr>
          <w:i/>
          <w:color w:val="4169E1"/>
        </w:rPr>
        <w:t xml:space="preserve">et al. </w:t>
      </w:r>
      <w:r>
        <w:rPr>
          <w:color w:val="4169E1"/>
        </w:rPr>
        <w:t>2022</w:t>
      </w:r>
      <w:r>
        <w:t>). Eine vereinfachte Handhabung sowie die gleichende Reaktionstemperatur ermöglicht Nukleinsäuren mit einfachen Gerätschaften wie beispielsweise sogar einem Wasserbad zur vervielfältigen. Seit den 1990 Jahre</w:t>
      </w:r>
      <w:r>
        <w:t>n wurden viele isotherme Methoden entwickelt, welche unterschiedliche Eigenschaften kombinieren und somit ein Repertoire für verschiedenste Applikationen bildet (</w:t>
      </w:r>
      <w:r>
        <w:rPr>
          <w:color w:val="4169E1"/>
        </w:rPr>
        <w:t xml:space="preserve">Zhao </w:t>
      </w:r>
      <w:r>
        <w:rPr>
          <w:i/>
          <w:color w:val="4169E1"/>
        </w:rPr>
        <w:t xml:space="preserve">et al. </w:t>
      </w:r>
      <w:r>
        <w:rPr>
          <w:color w:val="4169E1"/>
        </w:rPr>
        <w:t>2015</w:t>
      </w:r>
      <w:r>
        <w:t>). In dem folgenden Kapiteln werden ausgewählte isotherme Goldstandard Methode</w:t>
      </w:r>
      <w:r>
        <w:t>n für einen kleinen Überblick vorgestellt.</w:t>
      </w:r>
    </w:p>
    <w:p w14:paraId="26CED330" w14:textId="77777777" w:rsidR="008C7A05" w:rsidRDefault="00866A07">
      <w:pPr>
        <w:pStyle w:val="berschrift3"/>
        <w:tabs>
          <w:tab w:val="center" w:pos="2946"/>
        </w:tabs>
        <w:ind w:left="0" w:firstLine="0"/>
      </w:pPr>
      <w:bookmarkStart w:id="8" w:name="_Toc30603"/>
      <w:r>
        <w:t>1.4.3</w:t>
      </w:r>
      <w:r>
        <w:tab/>
        <w:t>Schleifenvermittelte isotherme Amplifikation</w:t>
      </w:r>
      <w:bookmarkEnd w:id="8"/>
    </w:p>
    <w:p w14:paraId="6788A649" w14:textId="77777777" w:rsidR="008C7A05" w:rsidRDefault="00866A07">
      <w:pPr>
        <w:spacing w:after="8"/>
        <w:ind w:left="17" w:right="4"/>
      </w:pPr>
      <w:r>
        <w:t xml:space="preserve">Die erstmal im Jahr 2000 von </w:t>
      </w:r>
      <w:proofErr w:type="spellStart"/>
      <w:r>
        <w:t>Notomi</w:t>
      </w:r>
      <w:proofErr w:type="spellEnd"/>
      <w:r>
        <w:t xml:space="preserve"> (</w:t>
      </w:r>
      <w:r>
        <w:rPr>
          <w:color w:val="4169E1"/>
        </w:rPr>
        <w:t>2000</w:t>
      </w:r>
      <w:r>
        <w:t xml:space="preserve">) entwickelte Schleifenvermittelte isotherme Amplifikation (engl.: </w:t>
      </w:r>
      <w:r>
        <w:rPr>
          <w:i/>
        </w:rPr>
        <w:t xml:space="preserve">loop </w:t>
      </w:r>
      <w:proofErr w:type="spellStart"/>
      <w:r>
        <w:rPr>
          <w:i/>
        </w:rPr>
        <w:t>mediated</w:t>
      </w:r>
      <w:proofErr w:type="spellEnd"/>
      <w:r>
        <w:rPr>
          <w:i/>
        </w:rPr>
        <w:t xml:space="preserve"> </w:t>
      </w:r>
      <w:proofErr w:type="spellStart"/>
      <w:r>
        <w:rPr>
          <w:i/>
        </w:rPr>
        <w:t>isothermal</w:t>
      </w:r>
      <w:proofErr w:type="spellEnd"/>
      <w:r>
        <w:rPr>
          <w:i/>
        </w:rPr>
        <w:t xml:space="preserve"> </w:t>
      </w:r>
      <w:proofErr w:type="spellStart"/>
      <w:r>
        <w:rPr>
          <w:i/>
        </w:rPr>
        <w:t>amplifikation</w:t>
      </w:r>
      <w:proofErr w:type="spellEnd"/>
      <w:r>
        <w:t xml:space="preserve">, LAMP) ist die wohl bekannteste isotherme Amplifikationsmethode. Die LAMP amplifiziert DNA bei einer Konstanten Temperatur von 60 - 65 °C. Anders als </w:t>
      </w:r>
      <w:r>
        <w:t>z.B. bei der PCR werden bei der LAMP 4 bis 6 Primer verwendet, wodurch sie einerseits sehr hohe Spezifitäten erreicht, andererseits aber hohe Anforderung an die Optimierung und das Primer-Design bestehen (</w:t>
      </w:r>
      <w:proofErr w:type="spellStart"/>
      <w:r>
        <w:rPr>
          <w:color w:val="4169E1"/>
        </w:rPr>
        <w:t>Soroka</w:t>
      </w:r>
      <w:proofErr w:type="spellEnd"/>
      <w:r>
        <w:rPr>
          <w:color w:val="4169E1"/>
        </w:rPr>
        <w:t xml:space="preserve"> </w:t>
      </w:r>
      <w:r>
        <w:rPr>
          <w:i/>
          <w:color w:val="4169E1"/>
        </w:rPr>
        <w:t xml:space="preserve">et al. </w:t>
      </w:r>
      <w:r>
        <w:rPr>
          <w:color w:val="4169E1"/>
        </w:rPr>
        <w:t>2021</w:t>
      </w:r>
      <w:r>
        <w:t>). Die LAMP-Primer werden dabei i</w:t>
      </w:r>
      <w:r>
        <w:t>n innere Primer, äußere Primer und sogenannte Loop Primer unterteilt. (</w:t>
      </w:r>
      <w:proofErr w:type="spellStart"/>
      <w:r>
        <w:rPr>
          <w:color w:val="4169E1"/>
        </w:rPr>
        <w:t>Nagamine</w:t>
      </w:r>
      <w:proofErr w:type="spellEnd"/>
      <w:r>
        <w:rPr>
          <w:color w:val="4169E1"/>
        </w:rPr>
        <w:t xml:space="preserve"> </w:t>
      </w:r>
      <w:r>
        <w:rPr>
          <w:i/>
          <w:color w:val="4169E1"/>
        </w:rPr>
        <w:t xml:space="preserve">et al. </w:t>
      </w:r>
      <w:r>
        <w:rPr>
          <w:color w:val="4169E1"/>
        </w:rPr>
        <w:t>2002</w:t>
      </w:r>
      <w:r>
        <w:t xml:space="preserve">). Die Primer binden an unterschiedlichen Regionen der Ziel-DNA (siehe Abbildung </w:t>
      </w:r>
      <w:r>
        <w:rPr>
          <w:color w:val="4169E1"/>
        </w:rPr>
        <w:t>4</w:t>
      </w:r>
      <w:r>
        <w:t>) und erfüllen verschiedene Aufgaben (</w:t>
      </w:r>
      <w:r>
        <w:rPr>
          <w:color w:val="4169E1"/>
        </w:rPr>
        <w:t xml:space="preserve">Huang </w:t>
      </w:r>
      <w:r>
        <w:rPr>
          <w:i/>
          <w:color w:val="4169E1"/>
        </w:rPr>
        <w:t xml:space="preserve">et al. </w:t>
      </w:r>
      <w:r>
        <w:rPr>
          <w:color w:val="4169E1"/>
        </w:rPr>
        <w:t>2020</w:t>
      </w:r>
      <w:r>
        <w:t>). Die DNA-Amplifikation der</w:t>
      </w:r>
      <w:r>
        <w:t xml:space="preserve"> LAMP ist enzymatisch mittels einer DNA abhängigen DNA-Polymerase realisiert, welche eine hohe DNA-Strang Verdrängungs-Aktivität besitzt, im Gegensatz zur </w:t>
      </w:r>
      <w:proofErr w:type="spellStart"/>
      <w:r>
        <w:t>Taq</w:t>
      </w:r>
      <w:proofErr w:type="spellEnd"/>
      <w:r>
        <w:t xml:space="preserve">-DNA-Polymerase mit ihrer intrinsischen </w:t>
      </w:r>
      <w:proofErr w:type="spellStart"/>
      <w:r>
        <w:t>Exonukleaseaktivität</w:t>
      </w:r>
      <w:proofErr w:type="spellEnd"/>
      <w:r>
        <w:t xml:space="preserve"> (</w:t>
      </w:r>
      <w:r>
        <w:rPr>
          <w:color w:val="4169E1"/>
        </w:rPr>
        <w:t xml:space="preserve">Thornton &amp; </w:t>
      </w:r>
      <w:proofErr w:type="spellStart"/>
      <w:r>
        <w:rPr>
          <w:color w:val="4169E1"/>
        </w:rPr>
        <w:t>Basu</w:t>
      </w:r>
      <w:proofErr w:type="spellEnd"/>
      <w:r>
        <w:rPr>
          <w:color w:val="4169E1"/>
        </w:rPr>
        <w:t xml:space="preserve"> 2011</w:t>
      </w:r>
      <w:r>
        <w:t xml:space="preserve">; </w:t>
      </w:r>
      <w:r>
        <w:rPr>
          <w:color w:val="4169E1"/>
        </w:rPr>
        <w:t>Park 2022</w:t>
      </w:r>
      <w:r>
        <w:t>).</w:t>
      </w:r>
    </w:p>
    <w:p w14:paraId="00603429" w14:textId="77777777" w:rsidR="008C7A05" w:rsidRDefault="00866A07">
      <w:pPr>
        <w:spacing w:after="0"/>
        <w:ind w:left="17" w:right="4"/>
      </w:pPr>
      <w:r>
        <w:t>De</w:t>
      </w:r>
      <w:r>
        <w:t>r Reaktionsmechanismus der LAMP kann grundsätzlich in zwei Phasen unterteilt werden; der nicht zyklischen Phase und der zyklischen Phase. Im ersten Schritt der nicht zyklische Phase hybridisiert einer der inneren Primer mit seinem 3´-Ende an die zu amplifi</w:t>
      </w:r>
      <w:r>
        <w:t>zierende DNA. Dadurch kann eine Strangverlängerung des Primers durch die Polymerase stattfinden und mithilfe der Strangverdrängungsaktivität wird der ursprüngliche Doppelstrang abgelöst. Anschließend bindet der äußere Primer und es findet abermals eine Str</w:t>
      </w:r>
      <w:r>
        <w:t xml:space="preserve">angverlängerung statt bei der der innere Primer </w:t>
      </w:r>
      <w:r>
        <w:lastRenderedPageBreak/>
        <w:t>mit der neu synthetisierten DNA verdrängt wird. Der entstandene DNA-Einzelstrang besitzt an einem Ende die Sequenz des inneren Primers, und bildet durch den hinteren komplementären Teil des Primers eine Schle</w:t>
      </w:r>
      <w:r>
        <w:t xml:space="preserve">ife (loop) aus. Der eben beschriebene </w:t>
      </w:r>
      <w:proofErr w:type="spellStart"/>
      <w:r>
        <w:t>AmplifikationsSchritt</w:t>
      </w:r>
      <w:proofErr w:type="spellEnd"/>
      <w:r>
        <w:t xml:space="preserve"> findet auch mit den entgegen gesetzten inneren und äußeren Primern statt, welche die oben erwähnte Form einer Hantel besitzt (</w:t>
      </w:r>
      <w:proofErr w:type="spellStart"/>
      <w:r>
        <w:rPr>
          <w:color w:val="4169E1"/>
        </w:rPr>
        <w:t>Parida</w:t>
      </w:r>
      <w:proofErr w:type="spellEnd"/>
      <w:r>
        <w:rPr>
          <w:color w:val="4169E1"/>
        </w:rPr>
        <w:t xml:space="preserve"> </w:t>
      </w:r>
      <w:r>
        <w:rPr>
          <w:i/>
          <w:color w:val="4169E1"/>
        </w:rPr>
        <w:t xml:space="preserve">et al. </w:t>
      </w:r>
      <w:r>
        <w:rPr>
          <w:color w:val="4169E1"/>
        </w:rPr>
        <w:t>2008</w:t>
      </w:r>
      <w:r>
        <w:t>).</w:t>
      </w:r>
    </w:p>
    <w:p w14:paraId="05BDC31E" w14:textId="77777777" w:rsidR="008C7A05" w:rsidRDefault="00866A07">
      <w:pPr>
        <w:spacing w:after="278" w:line="259" w:lineRule="auto"/>
        <w:ind w:left="1434" w:right="0" w:firstLine="0"/>
        <w:jc w:val="left"/>
      </w:pPr>
      <w:r>
        <w:rPr>
          <w:noProof/>
        </w:rPr>
        <w:drawing>
          <wp:inline distT="0" distB="0" distL="0" distR="0" wp14:anchorId="20C55388" wp14:editId="4D225069">
            <wp:extent cx="4160490" cy="2384494"/>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9"/>
                    <a:stretch>
                      <a:fillRect/>
                    </a:stretch>
                  </pic:blipFill>
                  <pic:spPr>
                    <a:xfrm>
                      <a:off x="0" y="0"/>
                      <a:ext cx="4160490" cy="2384494"/>
                    </a:xfrm>
                    <a:prstGeom prst="rect">
                      <a:avLst/>
                    </a:prstGeom>
                  </pic:spPr>
                </pic:pic>
              </a:graphicData>
            </a:graphic>
          </wp:inline>
        </w:drawing>
      </w:r>
    </w:p>
    <w:p w14:paraId="5BF30E8B" w14:textId="77777777" w:rsidR="008C7A05" w:rsidRDefault="00866A07">
      <w:pPr>
        <w:spacing w:after="289" w:line="253" w:lineRule="auto"/>
        <w:ind w:left="17" w:right="4"/>
      </w:pPr>
      <w:r>
        <w:t xml:space="preserve">Abbildung 4: </w:t>
      </w:r>
      <w:r>
        <w:rPr>
          <w:b/>
        </w:rPr>
        <w:t>Primer-Bindungsstellen und Hantels</w:t>
      </w:r>
      <w:r>
        <w:rPr>
          <w:b/>
        </w:rPr>
        <w:t>truktur der LAMP</w:t>
      </w:r>
      <w:r>
        <w:t xml:space="preserve">: </w:t>
      </w:r>
      <w:r>
        <w:rPr>
          <w:b/>
        </w:rPr>
        <w:t>A</w:t>
      </w:r>
      <w:r>
        <w:t xml:space="preserve">: </w:t>
      </w:r>
      <w:proofErr w:type="spellStart"/>
      <w:r>
        <w:t>Primerdesign</w:t>
      </w:r>
      <w:proofErr w:type="spellEnd"/>
      <w:r>
        <w:t xml:space="preserve"> und bindungsstellen der LAMP. Die inneren Primer besitzen zwei Bindungsstellen auf den unterschiedlichen Strängen der DNA. Die Äußeren Primer liegen “hinter” den inneren und sorgen im Verlauf der Strangverlängerung für eine Verdrängung des D</w:t>
      </w:r>
      <w:r>
        <w:t xml:space="preserve">NA-Strangs. </w:t>
      </w:r>
      <w:r>
        <w:rPr>
          <w:b/>
        </w:rPr>
        <w:t>B</w:t>
      </w:r>
      <w:r>
        <w:t xml:space="preserve">: Hantelstruktur als Ausgangspunkt der zyklischen Phase. Die verschiedenen Bindestellen dienen als Startpunkte einer Amplifikation, wodurch eine exponentielle Amplifikation erreicht wird. Modifiziert nach </w:t>
      </w:r>
      <w:proofErr w:type="spellStart"/>
      <w:r>
        <w:t>Soroka</w:t>
      </w:r>
      <w:proofErr w:type="spellEnd"/>
      <w:r>
        <w:t xml:space="preserve"> </w:t>
      </w:r>
      <w:r>
        <w:rPr>
          <w:i/>
        </w:rPr>
        <w:t xml:space="preserve">et al. </w:t>
      </w:r>
      <w:r>
        <w:t>(</w:t>
      </w:r>
      <w:r>
        <w:rPr>
          <w:color w:val="4169E1"/>
        </w:rPr>
        <w:t>2021</w:t>
      </w:r>
      <w:r>
        <w:t>)</w:t>
      </w:r>
    </w:p>
    <w:p w14:paraId="1681DF00" w14:textId="77777777" w:rsidR="008C7A05" w:rsidRDefault="00866A07">
      <w:pPr>
        <w:spacing w:after="289"/>
        <w:ind w:left="17" w:right="4"/>
      </w:pPr>
      <w:r>
        <w:t>Die gebildete Han</w:t>
      </w:r>
      <w:r>
        <w:t>telstruktur dient in der zweiten Phase der Amplifikation, der zyklischen Phase als Startpunkt. Hier können die verschiedenen Primer gleichzeitig binden und somit die Ziel-DNA exponentiell vervielfältigen. Ebenfalls dient das 3’-Ende der Hantelstruktur weit</w:t>
      </w:r>
      <w:r>
        <w:t xml:space="preserve">erer Startpunkt für die Polymerase. Im Verlauf der Reaktion entstehen verschiedenste Strukturen wie </w:t>
      </w:r>
      <w:proofErr w:type="spellStart"/>
      <w:r>
        <w:t>Konkatemere</w:t>
      </w:r>
      <w:proofErr w:type="spellEnd"/>
      <w:r>
        <w:t xml:space="preserve"> und blumenkohlähnliche Strukturen mit weiteren Schleifen (</w:t>
      </w:r>
      <w:r>
        <w:rPr>
          <w:color w:val="4169E1"/>
        </w:rPr>
        <w:t xml:space="preserve">Silva </w:t>
      </w:r>
      <w:r>
        <w:rPr>
          <w:i/>
          <w:color w:val="4169E1"/>
        </w:rPr>
        <w:t xml:space="preserve">et al. </w:t>
      </w:r>
      <w:r>
        <w:rPr>
          <w:color w:val="4169E1"/>
        </w:rPr>
        <w:t>2019</w:t>
      </w:r>
      <w:r>
        <w:t xml:space="preserve">; </w:t>
      </w:r>
      <w:proofErr w:type="spellStart"/>
      <w:r>
        <w:rPr>
          <w:color w:val="4169E1"/>
        </w:rPr>
        <w:t>Soroka</w:t>
      </w:r>
      <w:proofErr w:type="spellEnd"/>
      <w:r>
        <w:rPr>
          <w:color w:val="4169E1"/>
        </w:rPr>
        <w:t xml:space="preserve"> </w:t>
      </w:r>
      <w:r>
        <w:rPr>
          <w:i/>
          <w:color w:val="4169E1"/>
        </w:rPr>
        <w:t xml:space="preserve">et al. </w:t>
      </w:r>
      <w:r>
        <w:rPr>
          <w:color w:val="4169E1"/>
        </w:rPr>
        <w:t>2021</w:t>
      </w:r>
      <w:r>
        <w:t>). Durch das zusätzliche Einbringen der Loop Prim</w:t>
      </w:r>
      <w:r>
        <w:t>er, kann die Anzahl der Startpunkte abermals erhöht werden, was zu einer erhöhten Amplifikationsgeschwindigkeit führt (</w:t>
      </w:r>
      <w:proofErr w:type="spellStart"/>
      <w:r>
        <w:rPr>
          <w:color w:val="4169E1"/>
        </w:rPr>
        <w:t>Nagamine</w:t>
      </w:r>
      <w:proofErr w:type="spellEnd"/>
      <w:r>
        <w:rPr>
          <w:color w:val="4169E1"/>
        </w:rPr>
        <w:t xml:space="preserve"> </w:t>
      </w:r>
      <w:r>
        <w:rPr>
          <w:i/>
          <w:color w:val="4169E1"/>
        </w:rPr>
        <w:t xml:space="preserve">et al. </w:t>
      </w:r>
      <w:r>
        <w:rPr>
          <w:color w:val="4169E1"/>
        </w:rPr>
        <w:t>2002</w:t>
      </w:r>
      <w:r>
        <w:t>). Die LAMP zeichnet sich durch hohe DNA-Endkonzentration von 10-20 µg am Ende der Reaktion aus, wodurch eine Auswert</w:t>
      </w:r>
      <w:r>
        <w:t>ung mit dem bloßen Auge erfolgen kann (</w:t>
      </w:r>
      <w:proofErr w:type="spellStart"/>
      <w:r>
        <w:rPr>
          <w:color w:val="4169E1"/>
        </w:rPr>
        <w:t>Parida</w:t>
      </w:r>
      <w:proofErr w:type="spellEnd"/>
      <w:r>
        <w:rPr>
          <w:color w:val="4169E1"/>
        </w:rPr>
        <w:t xml:space="preserve"> </w:t>
      </w:r>
      <w:r>
        <w:rPr>
          <w:i/>
          <w:color w:val="4169E1"/>
        </w:rPr>
        <w:t xml:space="preserve">et al. </w:t>
      </w:r>
      <w:r>
        <w:rPr>
          <w:color w:val="4169E1"/>
        </w:rPr>
        <w:t>2008</w:t>
      </w:r>
      <w:r>
        <w:t xml:space="preserve">). So kann die Quantifizierung der Amplifikation einerseits über kolorimetrische Fluoreszenzfarbstoffe wie </w:t>
      </w:r>
      <w:proofErr w:type="spellStart"/>
      <w:r>
        <w:t>Calcein</w:t>
      </w:r>
      <w:proofErr w:type="spellEnd"/>
      <w:r>
        <w:t>, welche vor der Messung zugegeben werden (</w:t>
      </w:r>
      <w:proofErr w:type="spellStart"/>
      <w:r>
        <w:rPr>
          <w:color w:val="4169E1"/>
        </w:rPr>
        <w:t>Tomita</w:t>
      </w:r>
      <w:proofErr w:type="spellEnd"/>
      <w:r>
        <w:rPr>
          <w:color w:val="4169E1"/>
        </w:rPr>
        <w:t xml:space="preserve"> </w:t>
      </w:r>
      <w:r>
        <w:rPr>
          <w:i/>
          <w:color w:val="4169E1"/>
        </w:rPr>
        <w:t xml:space="preserve">et al. </w:t>
      </w:r>
      <w:r>
        <w:rPr>
          <w:color w:val="4169E1"/>
        </w:rPr>
        <w:t>2008</w:t>
      </w:r>
      <w:r>
        <w:t>) oder andererseits über</w:t>
      </w:r>
      <w:r>
        <w:t xml:space="preserve"> Fluoreszenzfarbstoffen wie SYBR Green I, welche nach Abschluss der Amplifikation zugegeben werden (</w:t>
      </w:r>
      <w:r>
        <w:rPr>
          <w:color w:val="4169E1"/>
        </w:rPr>
        <w:t xml:space="preserve">Iwamoto </w:t>
      </w:r>
      <w:r>
        <w:rPr>
          <w:i/>
          <w:color w:val="4169E1"/>
        </w:rPr>
        <w:t xml:space="preserve">et al. </w:t>
      </w:r>
      <w:r>
        <w:rPr>
          <w:color w:val="4169E1"/>
        </w:rPr>
        <w:t>2003</w:t>
      </w:r>
      <w:r>
        <w:t>) realisiert werden. Ebenfalls kann die Messung der Trübung für den Nachweis einer Positiven Reaktion verwendet werden. Während der Ampli</w:t>
      </w:r>
      <w:r>
        <w:t>fikation entstehen große Mengen an Pyrophosphat, welches Magnesium-Ionen bindet und bei hohen Konzentrationen ausfällt, was einer sichtbaren Trübung der Reaktionsmixtur führt (</w:t>
      </w:r>
      <w:r>
        <w:rPr>
          <w:color w:val="4169E1"/>
        </w:rPr>
        <w:t xml:space="preserve">Mori </w:t>
      </w:r>
      <w:r>
        <w:rPr>
          <w:i/>
          <w:color w:val="4169E1"/>
        </w:rPr>
        <w:t xml:space="preserve">et al. </w:t>
      </w:r>
      <w:r>
        <w:rPr>
          <w:color w:val="4169E1"/>
        </w:rPr>
        <w:t>2001</w:t>
      </w:r>
      <w:r>
        <w:t>).</w:t>
      </w:r>
    </w:p>
    <w:p w14:paraId="0F54B0EF" w14:textId="77777777" w:rsidR="008C7A05" w:rsidRDefault="00866A07">
      <w:pPr>
        <w:pStyle w:val="berschrift3"/>
        <w:tabs>
          <w:tab w:val="center" w:pos="2941"/>
        </w:tabs>
        <w:ind w:left="0" w:firstLine="0"/>
      </w:pPr>
      <w:bookmarkStart w:id="9" w:name="_Toc30604"/>
      <w:r>
        <w:t>1.4.4</w:t>
      </w:r>
      <w:r>
        <w:tab/>
        <w:t>Nukleinsäure sequenz-basierte Amplifikation</w:t>
      </w:r>
      <w:bookmarkEnd w:id="9"/>
    </w:p>
    <w:p w14:paraId="3F148190" w14:textId="77777777" w:rsidR="008C7A05" w:rsidRDefault="00866A07">
      <w:pPr>
        <w:ind w:left="17" w:right="4"/>
      </w:pPr>
      <w:r>
        <w:t>Die Nuklein</w:t>
      </w:r>
      <w:r>
        <w:t xml:space="preserve">säure sequenz-basierte Amplifikation (engl.: </w:t>
      </w:r>
      <w:proofErr w:type="spellStart"/>
      <w:r>
        <w:rPr>
          <w:i/>
        </w:rPr>
        <w:t>nucleic</w:t>
      </w:r>
      <w:proofErr w:type="spellEnd"/>
      <w:r>
        <w:rPr>
          <w:i/>
        </w:rPr>
        <w:t xml:space="preserve"> </w:t>
      </w:r>
      <w:proofErr w:type="spellStart"/>
      <w:r>
        <w:rPr>
          <w:i/>
        </w:rPr>
        <w:t>acid</w:t>
      </w:r>
      <w:proofErr w:type="spellEnd"/>
      <w:r>
        <w:rPr>
          <w:i/>
        </w:rPr>
        <w:t xml:space="preserve"> </w:t>
      </w:r>
      <w:proofErr w:type="spellStart"/>
      <w:r>
        <w:rPr>
          <w:i/>
        </w:rPr>
        <w:t>sequence-based</w:t>
      </w:r>
      <w:proofErr w:type="spellEnd"/>
      <w:r>
        <w:rPr>
          <w:i/>
        </w:rPr>
        <w:t xml:space="preserve"> </w:t>
      </w:r>
      <w:proofErr w:type="spellStart"/>
      <w:r>
        <w:rPr>
          <w:i/>
        </w:rPr>
        <w:t>amplification</w:t>
      </w:r>
      <w:proofErr w:type="spellEnd"/>
      <w:r>
        <w:t>, NASBA), ist eine auf der Transkription basierende, isotherme Amplifikationsmethode zum Nachweis von Nukleinsäuren, welche RNA als Ausgangsmaterial zum Nachweis von Nukl</w:t>
      </w:r>
      <w:r>
        <w:t>einsäuren nutzt (</w:t>
      </w:r>
      <w:r>
        <w:rPr>
          <w:color w:val="4169E1"/>
        </w:rPr>
        <w:t>Compton 1991</w:t>
      </w:r>
      <w:r>
        <w:t xml:space="preserve">; </w:t>
      </w:r>
      <w:proofErr w:type="spellStart"/>
      <w:r>
        <w:rPr>
          <w:color w:val="4169E1"/>
        </w:rPr>
        <w:t>Deiman</w:t>
      </w:r>
      <w:proofErr w:type="spellEnd"/>
      <w:r>
        <w:rPr>
          <w:color w:val="4169E1"/>
        </w:rPr>
        <w:t xml:space="preserve"> </w:t>
      </w:r>
      <w:r>
        <w:rPr>
          <w:i/>
          <w:color w:val="4169E1"/>
        </w:rPr>
        <w:t xml:space="preserve">et al. </w:t>
      </w:r>
      <w:r>
        <w:rPr>
          <w:color w:val="4169E1"/>
        </w:rPr>
        <w:t>2002</w:t>
      </w:r>
      <w:r>
        <w:t xml:space="preserve">). Aus diesem Grund </w:t>
      </w:r>
      <w:r>
        <w:lastRenderedPageBreak/>
        <w:t>ist die NASBA ideal zur Detektion von Influenza Viren, da hier im Gegensatz zu anderen Amplifikationsmethoden wie der PCR, kein RT-Schritt vorgeschalten werden muss (</w:t>
      </w:r>
      <w:r>
        <w:rPr>
          <w:color w:val="4169E1"/>
        </w:rPr>
        <w:t>Compton 1991</w:t>
      </w:r>
      <w:r>
        <w:t xml:space="preserve">; </w:t>
      </w:r>
      <w:r>
        <w:rPr>
          <w:color w:val="4169E1"/>
        </w:rPr>
        <w:t xml:space="preserve">Moore </w:t>
      </w:r>
      <w:r>
        <w:rPr>
          <w:i/>
          <w:color w:val="4169E1"/>
        </w:rPr>
        <w:t>e</w:t>
      </w:r>
      <w:r>
        <w:rPr>
          <w:i/>
          <w:color w:val="4169E1"/>
        </w:rPr>
        <w:t xml:space="preserve">t al. </w:t>
      </w:r>
      <w:r>
        <w:rPr>
          <w:color w:val="4169E1"/>
        </w:rPr>
        <w:t>2004</w:t>
      </w:r>
      <w:r>
        <w:t xml:space="preserve">; </w:t>
      </w:r>
      <w:proofErr w:type="spellStart"/>
      <w:r>
        <w:rPr>
          <w:color w:val="4169E1"/>
        </w:rPr>
        <w:t>Bachman</w:t>
      </w:r>
      <w:proofErr w:type="spellEnd"/>
      <w:r>
        <w:rPr>
          <w:color w:val="4169E1"/>
        </w:rPr>
        <w:t xml:space="preserve"> 2013</w:t>
      </w:r>
      <w:r>
        <w:t xml:space="preserve">). Die erstmals von </w:t>
      </w:r>
      <w:proofErr w:type="spellStart"/>
      <w:r>
        <w:t>Guatelli</w:t>
      </w:r>
      <w:proofErr w:type="spellEnd"/>
      <w:r>
        <w:t xml:space="preserve"> </w:t>
      </w:r>
      <w:r>
        <w:rPr>
          <w:i/>
        </w:rPr>
        <w:t xml:space="preserve">et al. </w:t>
      </w:r>
      <w:r>
        <w:t>(</w:t>
      </w:r>
      <w:r>
        <w:rPr>
          <w:color w:val="4169E1"/>
        </w:rPr>
        <w:t>1990</w:t>
      </w:r>
      <w:r>
        <w:t xml:space="preserve">) erwähnte Methode beruht dabei auf einem </w:t>
      </w:r>
      <w:proofErr w:type="spellStart"/>
      <w:r>
        <w:t>Enzymmix</w:t>
      </w:r>
      <w:proofErr w:type="spellEnd"/>
      <w:r>
        <w:t xml:space="preserve"> bestehend aus einer reversen Transkriptase (RT), des </w:t>
      </w:r>
      <w:proofErr w:type="spellStart"/>
      <w:r>
        <w:t>avian</w:t>
      </w:r>
      <w:proofErr w:type="spellEnd"/>
      <w:r>
        <w:t xml:space="preserve"> </w:t>
      </w:r>
      <w:proofErr w:type="spellStart"/>
      <w:r>
        <w:t>myeloblastosis</w:t>
      </w:r>
      <w:proofErr w:type="spellEnd"/>
      <w:r>
        <w:t xml:space="preserve"> Virus, der </w:t>
      </w:r>
      <w:proofErr w:type="spellStart"/>
      <w:r>
        <w:t>RNAse</w:t>
      </w:r>
      <w:proofErr w:type="spellEnd"/>
      <w:r>
        <w:t xml:space="preserve"> H und der T7 DNA abhängigen RNA-Polymerase (</w:t>
      </w:r>
      <w:proofErr w:type="spellStart"/>
      <w:r>
        <w:t>DdRp</w:t>
      </w:r>
      <w:proofErr w:type="spellEnd"/>
      <w:r>
        <w:t>)</w:t>
      </w:r>
      <w:r>
        <w:t xml:space="preserve"> (</w:t>
      </w:r>
      <w:proofErr w:type="spellStart"/>
      <w:r>
        <w:rPr>
          <w:color w:val="4169E1"/>
        </w:rPr>
        <w:t>Deiman</w:t>
      </w:r>
      <w:proofErr w:type="spellEnd"/>
      <w:r>
        <w:rPr>
          <w:color w:val="4169E1"/>
        </w:rPr>
        <w:t xml:space="preserve"> </w:t>
      </w:r>
      <w:r>
        <w:rPr>
          <w:i/>
          <w:color w:val="4169E1"/>
        </w:rPr>
        <w:t xml:space="preserve">et al. </w:t>
      </w:r>
      <w:r>
        <w:rPr>
          <w:color w:val="4169E1"/>
        </w:rPr>
        <w:t>2002</w:t>
      </w:r>
      <w:r>
        <w:t xml:space="preserve">). Eine Besonderheit der NASBA liegt im ersten Schritt der Methode. Hier bindet ein ca. 45 bp langer Primer an das 3´-Ende der einzelsträngigen RNA. Dabei hybridisieren nur 20 bp am 3´-Ende des Primers, da sie komplementär zur </w:t>
      </w:r>
      <w:proofErr w:type="spellStart"/>
      <w:r>
        <w:t>ZielRNA</w:t>
      </w:r>
      <w:proofErr w:type="spellEnd"/>
      <w:r>
        <w:t xml:space="preserve"> s</w:t>
      </w:r>
      <w:r>
        <w:t xml:space="preserve">ind. Das 5-Ende hingegen besitzt eine </w:t>
      </w:r>
      <w:proofErr w:type="spellStart"/>
      <w:r>
        <w:t>DdRp</w:t>
      </w:r>
      <w:proofErr w:type="spellEnd"/>
      <w:r>
        <w:t xml:space="preserve"> Promotor Sequenz. Bei konstanten 41 °C wird dann eine cDNA von der im Reaktionsmix enthaltenen RT synthetisiert. Das entstandene cDNA/RNA-Hybrid wird anschließend von der </w:t>
      </w:r>
      <w:proofErr w:type="spellStart"/>
      <w:r>
        <w:t>RNAse</w:t>
      </w:r>
      <w:proofErr w:type="spellEnd"/>
      <w:r>
        <w:t xml:space="preserve"> H verdaut, sodass der einzelsträngig</w:t>
      </w:r>
      <w:r>
        <w:t xml:space="preserve">e DNA-Anteil mit der Promotorsequenz erhalten bleibt. Ein zweiter 20 bp langer Primer (komplementär zur DNA) hybridisiert und vervollständigt mittel RT den DNA-Doppelstrang. Die nun aktive, doppelsträngige T7-Promotorsequenz, rekrutiert die </w:t>
      </w:r>
      <w:proofErr w:type="spellStart"/>
      <w:r>
        <w:t>DdRp</w:t>
      </w:r>
      <w:proofErr w:type="spellEnd"/>
      <w:r>
        <w:t>, welche vi</w:t>
      </w:r>
      <w:r>
        <w:t>ele RNA-Kopien des DNA-Templates erzeugt. Die neu entstandenen RNA-Moleküle reihen sich in eben beschriebenen Zyklus ein und es kommt zur exponentiellen Amplifikation (</w:t>
      </w:r>
      <w:r>
        <w:rPr>
          <w:color w:val="4169E1"/>
        </w:rPr>
        <w:t>Compton 1991</w:t>
      </w:r>
      <w:r>
        <w:t>). Zur Detektion und Quantifizierung der amplifizierten RNA können spezielle</w:t>
      </w:r>
      <w:r>
        <w:t xml:space="preserve"> hybridisations-Sonden sogenannte “</w:t>
      </w:r>
      <w:proofErr w:type="spellStart"/>
      <w:r>
        <w:t>Molecular</w:t>
      </w:r>
      <w:proofErr w:type="spellEnd"/>
      <w:r>
        <w:t>-Beacon” verwendet werden (</w:t>
      </w:r>
      <w:proofErr w:type="spellStart"/>
      <w:r>
        <w:rPr>
          <w:color w:val="4169E1"/>
        </w:rPr>
        <w:t>Deiman</w:t>
      </w:r>
      <w:proofErr w:type="spellEnd"/>
      <w:r>
        <w:rPr>
          <w:color w:val="4169E1"/>
        </w:rPr>
        <w:t xml:space="preserve"> </w:t>
      </w:r>
      <w:r>
        <w:rPr>
          <w:i/>
          <w:color w:val="4169E1"/>
        </w:rPr>
        <w:t xml:space="preserve">et al. </w:t>
      </w:r>
      <w:r>
        <w:rPr>
          <w:color w:val="4169E1"/>
        </w:rPr>
        <w:t>2002</w:t>
      </w:r>
      <w:r>
        <w:t xml:space="preserve">). </w:t>
      </w:r>
      <w:proofErr w:type="gramStart"/>
      <w:r>
        <w:t>Diese Besitzen</w:t>
      </w:r>
      <w:proofErr w:type="gramEnd"/>
      <w:r>
        <w:t xml:space="preserve"> die Struktur einer </w:t>
      </w:r>
      <w:proofErr w:type="spellStart"/>
      <w:r>
        <w:t>Stem</w:t>
      </w:r>
      <w:proofErr w:type="spellEnd"/>
      <w:r>
        <w:t xml:space="preserve">-Loop, wobei das eine Ende mit einem Reporterfluorophor und das andere Ende mit einem </w:t>
      </w:r>
      <w:proofErr w:type="spellStart"/>
      <w:r>
        <w:t>Quencher</w:t>
      </w:r>
      <w:proofErr w:type="spellEnd"/>
      <w:r>
        <w:t xml:space="preserve"> gekoppelt sind. Die </w:t>
      </w:r>
      <w:proofErr w:type="spellStart"/>
      <w:r>
        <w:t>Stem</w:t>
      </w:r>
      <w:proofErr w:type="spellEnd"/>
      <w:r>
        <w:t>-Loop i</w:t>
      </w:r>
      <w:r>
        <w:t xml:space="preserve">st dabei so ausgebildet, dass die beiden Enden der Sonde komplementär zueinander sind und somit Reporterfluorophor und </w:t>
      </w:r>
      <w:proofErr w:type="spellStart"/>
      <w:r>
        <w:t>Quencher</w:t>
      </w:r>
      <w:proofErr w:type="spellEnd"/>
      <w:r>
        <w:t xml:space="preserve"> in direkter Nähe zueinander liegen, wodurch der FRET-Effekt einsetzt. Die Sequenz innerhalb der ausgebildeten Schleife ist kompl</w:t>
      </w:r>
      <w:r>
        <w:t xml:space="preserve">ementär zu einer Region auf dem zu detektierenden RNA-Molekül. Bei der Bindung der Sonde an die Zielregion öffnet sich die Schleife, Reporterfluorophor und </w:t>
      </w:r>
      <w:proofErr w:type="spellStart"/>
      <w:r>
        <w:t>Quencher</w:t>
      </w:r>
      <w:proofErr w:type="spellEnd"/>
      <w:r>
        <w:t xml:space="preserve"> werden voneinander getrennt und ein Fluoreszenzsignal kann detektiert werden (</w:t>
      </w:r>
      <w:proofErr w:type="spellStart"/>
      <w:r>
        <w:rPr>
          <w:color w:val="4169E1"/>
        </w:rPr>
        <w:t>Omran</w:t>
      </w:r>
      <w:proofErr w:type="spellEnd"/>
      <w:r>
        <w:rPr>
          <w:color w:val="4169E1"/>
        </w:rPr>
        <w:t xml:space="preserve"> </w:t>
      </w:r>
      <w:r>
        <w:rPr>
          <w:i/>
          <w:color w:val="4169E1"/>
        </w:rPr>
        <w:t xml:space="preserve">et al. </w:t>
      </w:r>
      <w:r>
        <w:rPr>
          <w:color w:val="4169E1"/>
        </w:rPr>
        <w:t>2022</w:t>
      </w:r>
      <w:r>
        <w:t>).</w:t>
      </w:r>
    </w:p>
    <w:p w14:paraId="10BB48C2" w14:textId="77777777" w:rsidR="008C7A05" w:rsidRDefault="00866A07">
      <w:pPr>
        <w:spacing w:after="278" w:line="259" w:lineRule="auto"/>
        <w:ind w:left="2604" w:right="0" w:firstLine="0"/>
        <w:jc w:val="left"/>
      </w:pPr>
      <w:r>
        <w:rPr>
          <w:noProof/>
        </w:rPr>
        <w:drawing>
          <wp:inline distT="0" distB="0" distL="0" distR="0" wp14:anchorId="3873BB57" wp14:editId="4AE6C15C">
            <wp:extent cx="2674588" cy="2779990"/>
            <wp:effectExtent l="0" t="0" r="0" b="0"/>
            <wp:docPr id="1537" name="Picture 1537"/>
            <wp:cNvGraphicFramePr/>
            <a:graphic xmlns:a="http://schemas.openxmlformats.org/drawingml/2006/main">
              <a:graphicData uri="http://schemas.openxmlformats.org/drawingml/2006/picture">
                <pic:pic xmlns:pic="http://schemas.openxmlformats.org/drawingml/2006/picture">
                  <pic:nvPicPr>
                    <pic:cNvPr id="1537" name="Picture 1537"/>
                    <pic:cNvPicPr/>
                  </pic:nvPicPr>
                  <pic:blipFill>
                    <a:blip r:embed="rId10"/>
                    <a:stretch>
                      <a:fillRect/>
                    </a:stretch>
                  </pic:blipFill>
                  <pic:spPr>
                    <a:xfrm>
                      <a:off x="0" y="0"/>
                      <a:ext cx="2674588" cy="2779990"/>
                    </a:xfrm>
                    <a:prstGeom prst="rect">
                      <a:avLst/>
                    </a:prstGeom>
                  </pic:spPr>
                </pic:pic>
              </a:graphicData>
            </a:graphic>
          </wp:inline>
        </w:drawing>
      </w:r>
    </w:p>
    <w:p w14:paraId="7BE2ECFA" w14:textId="77777777" w:rsidR="008C7A05" w:rsidRDefault="00866A07">
      <w:pPr>
        <w:spacing w:after="467" w:line="252" w:lineRule="auto"/>
        <w:ind w:left="17" w:right="4"/>
      </w:pPr>
      <w:r>
        <w:t xml:space="preserve">Abbildung 5: </w:t>
      </w:r>
      <w:r>
        <w:rPr>
          <w:b/>
        </w:rPr>
        <w:t>Schematischer Reaktionsmechanismus der Nukleinsäure sequenz-basierte Amplifikation (NASBA)</w:t>
      </w:r>
      <w:r>
        <w:t xml:space="preserve">: Die NASBA lässt sich einteilen in die 1) initiale Phase und die 2) zyklische Phase. Die Template-RNA bildet durch die Hybridisation von Primern ein DNA/RNA Hybrid, welches über einen </w:t>
      </w:r>
      <w:proofErr w:type="spellStart"/>
      <w:r>
        <w:t>RNAse</w:t>
      </w:r>
      <w:proofErr w:type="spellEnd"/>
      <w:r>
        <w:t xml:space="preserve">-Verdau und erneute </w:t>
      </w:r>
      <w:proofErr w:type="gramStart"/>
      <w:r>
        <w:t>DNA Synthese</w:t>
      </w:r>
      <w:proofErr w:type="gramEnd"/>
      <w:r>
        <w:t xml:space="preserve"> in einen DNA-Doppelstrang umgewan</w:t>
      </w:r>
      <w:r>
        <w:t xml:space="preserve">delt wird. Durch den auf dem Doppelstrang aktiven Promotor werden viele RNA-Kopien erzeugt, welche in den Amplifikationszyklus eingehen. In diesem entsteht abermals ein DNA/RNA Hybrid, welches durch </w:t>
      </w:r>
      <w:proofErr w:type="spellStart"/>
      <w:r>
        <w:t>RNAse</w:t>
      </w:r>
      <w:proofErr w:type="spellEnd"/>
      <w:r>
        <w:t xml:space="preserve">-Verdau und </w:t>
      </w:r>
      <w:proofErr w:type="gramStart"/>
      <w:r>
        <w:t>DNA Synthese</w:t>
      </w:r>
      <w:proofErr w:type="gramEnd"/>
      <w:r>
        <w:t xml:space="preserve"> in deinen DNA-Doppelstrang </w:t>
      </w:r>
      <w:r>
        <w:t xml:space="preserve">mit aktiven Promotor überführt wird. Bild </w:t>
      </w:r>
      <w:proofErr w:type="gramStart"/>
      <w:r>
        <w:t>Modifiziert</w:t>
      </w:r>
      <w:proofErr w:type="gramEnd"/>
      <w:r>
        <w:t xml:space="preserve"> nach Zhong &amp; Zhao (</w:t>
      </w:r>
      <w:r>
        <w:rPr>
          <w:color w:val="4169E1"/>
        </w:rPr>
        <w:t>2018</w:t>
      </w:r>
      <w:r>
        <w:t>).</w:t>
      </w:r>
    </w:p>
    <w:p w14:paraId="4BAA1CFE" w14:textId="77777777" w:rsidR="008C7A05" w:rsidRDefault="00866A07">
      <w:pPr>
        <w:pStyle w:val="berschrift3"/>
        <w:tabs>
          <w:tab w:val="center" w:pos="2694"/>
        </w:tabs>
        <w:ind w:left="0" w:firstLine="0"/>
      </w:pPr>
      <w:bookmarkStart w:id="10" w:name="_Toc30605"/>
      <w:r>
        <w:lastRenderedPageBreak/>
        <w:t>1.4.5</w:t>
      </w:r>
      <w:r>
        <w:tab/>
      </w:r>
      <w:proofErr w:type="spellStart"/>
      <w:r>
        <w:t>Rekombinase</w:t>
      </w:r>
      <w:proofErr w:type="spellEnd"/>
      <w:r>
        <w:t xml:space="preserve"> Polymerase Amplifikation</w:t>
      </w:r>
      <w:bookmarkEnd w:id="10"/>
    </w:p>
    <w:p w14:paraId="582724F2" w14:textId="77777777" w:rsidR="008C7A05" w:rsidRDefault="00866A07">
      <w:pPr>
        <w:spacing w:after="61" w:line="259" w:lineRule="auto"/>
        <w:ind w:left="17" w:right="4"/>
      </w:pPr>
      <w:r>
        <w:t>Die von (</w:t>
      </w:r>
      <w:r>
        <w:rPr>
          <w:color w:val="4169E1"/>
        </w:rPr>
        <w:t xml:space="preserve">Piepenburg </w:t>
      </w:r>
      <w:r>
        <w:rPr>
          <w:i/>
          <w:color w:val="4169E1"/>
        </w:rPr>
        <w:t xml:space="preserve">et al. </w:t>
      </w:r>
      <w:r>
        <w:rPr>
          <w:color w:val="4169E1"/>
        </w:rPr>
        <w:t>2006</w:t>
      </w:r>
      <w:r>
        <w:t xml:space="preserve">) entwickelte </w:t>
      </w:r>
      <w:proofErr w:type="spellStart"/>
      <w:r>
        <w:t>Rekombinase</w:t>
      </w:r>
      <w:proofErr w:type="spellEnd"/>
      <w:r>
        <w:t xml:space="preserve"> Polymerase Amplifikation (RPA) ist ein von dem</w:t>
      </w:r>
    </w:p>
    <w:p w14:paraId="70C14E99" w14:textId="165F6337" w:rsidR="008C7A05" w:rsidRDefault="00866A07">
      <w:pPr>
        <w:ind w:left="17" w:right="4"/>
      </w:pPr>
      <w:r>
        <w:t>Replikationszyklus der T4 Bakteriophage angepasstes isothermes Amplifikationssystem (</w:t>
      </w:r>
      <w:r>
        <w:rPr>
          <w:color w:val="4169E1"/>
        </w:rPr>
        <w:t xml:space="preserve">Li </w:t>
      </w:r>
      <w:r>
        <w:rPr>
          <w:i/>
          <w:color w:val="4169E1"/>
        </w:rPr>
        <w:t xml:space="preserve">et al. </w:t>
      </w:r>
      <w:r>
        <w:rPr>
          <w:color w:val="4169E1"/>
        </w:rPr>
        <w:t>2019</w:t>
      </w:r>
      <w:r>
        <w:t xml:space="preserve">). Der Mechanismus beruht dabei auf einem Zusammenspiel der </w:t>
      </w:r>
      <w:proofErr w:type="spellStart"/>
      <w:r>
        <w:t>Rekombinase</w:t>
      </w:r>
      <w:proofErr w:type="spellEnd"/>
      <w:r>
        <w:t xml:space="preserve">, dem </w:t>
      </w:r>
      <w:proofErr w:type="spellStart"/>
      <w:r>
        <w:t>Rekombi</w:t>
      </w:r>
      <w:r>
        <w:t>nase</w:t>
      </w:r>
      <w:proofErr w:type="spellEnd"/>
      <w:r>
        <w:t xml:space="preserve"> </w:t>
      </w:r>
      <w:proofErr w:type="spellStart"/>
      <w:r>
        <w:t>loading</w:t>
      </w:r>
      <w:proofErr w:type="spellEnd"/>
      <w:r>
        <w:t xml:space="preserve"> </w:t>
      </w:r>
      <w:proofErr w:type="spellStart"/>
      <w:r>
        <w:t>factor</w:t>
      </w:r>
      <w:proofErr w:type="spellEnd"/>
      <w:r>
        <w:t>, den single-</w:t>
      </w:r>
      <w:proofErr w:type="spellStart"/>
      <w:r>
        <w:t>stranded</w:t>
      </w:r>
      <w:proofErr w:type="spellEnd"/>
      <w:r>
        <w:t xml:space="preserve"> </w:t>
      </w:r>
      <w:proofErr w:type="spellStart"/>
      <w:r>
        <w:t>binding</w:t>
      </w:r>
      <w:proofErr w:type="spellEnd"/>
      <w:r>
        <w:t xml:space="preserve"> </w:t>
      </w:r>
      <w:proofErr w:type="spellStart"/>
      <w:r>
        <w:t>proteinen</w:t>
      </w:r>
      <w:proofErr w:type="spellEnd"/>
      <w:r>
        <w:t xml:space="preserve"> (SSB) und der Sau DNA-Polymerase (abgeleitet von dem Bakterium </w:t>
      </w:r>
      <w:proofErr w:type="spellStart"/>
      <w:r>
        <w:rPr>
          <w:i/>
        </w:rPr>
        <w:t>staphylococcus</w:t>
      </w:r>
      <w:proofErr w:type="spellEnd"/>
      <w:r>
        <w:rPr>
          <w:i/>
        </w:rPr>
        <w:t xml:space="preserve"> </w:t>
      </w:r>
      <w:proofErr w:type="spellStart"/>
      <w:r>
        <w:rPr>
          <w:i/>
        </w:rPr>
        <w:t>aureus</w:t>
      </w:r>
      <w:proofErr w:type="spellEnd"/>
      <w:r>
        <w:t>), welche die Vervielfältigung von DNA koordinieren (</w:t>
      </w:r>
      <w:r>
        <w:rPr>
          <w:color w:val="4169E1"/>
        </w:rPr>
        <w:t xml:space="preserve">Li </w:t>
      </w:r>
      <w:r>
        <w:rPr>
          <w:i/>
          <w:color w:val="4169E1"/>
        </w:rPr>
        <w:t xml:space="preserve">et al. </w:t>
      </w:r>
      <w:r>
        <w:rPr>
          <w:color w:val="4169E1"/>
        </w:rPr>
        <w:t>2019</w:t>
      </w:r>
      <w:r>
        <w:t xml:space="preserve">). Im ersten Schritt bindet die T4 </w:t>
      </w:r>
      <w:proofErr w:type="spellStart"/>
      <w:r>
        <w:t>UvsX</w:t>
      </w:r>
      <w:proofErr w:type="spellEnd"/>
      <w:r>
        <w:t xml:space="preserve"> </w:t>
      </w:r>
      <w:proofErr w:type="spellStart"/>
      <w:r>
        <w:t>Rekomb</w:t>
      </w:r>
      <w:r>
        <w:t>inase</w:t>
      </w:r>
      <w:proofErr w:type="spellEnd"/>
      <w:r>
        <w:t xml:space="preserve"> mithilfe des T4 </w:t>
      </w:r>
      <w:proofErr w:type="spellStart"/>
      <w:r>
        <w:t>UvsX</w:t>
      </w:r>
      <w:proofErr w:type="spellEnd"/>
      <w:r>
        <w:t xml:space="preserve"> </w:t>
      </w:r>
      <w:proofErr w:type="spellStart"/>
      <w:r>
        <w:t>Rekombinase</w:t>
      </w:r>
      <w:proofErr w:type="spellEnd"/>
      <w:r>
        <w:t xml:space="preserve"> Co-Enzyms unter </w:t>
      </w:r>
      <w:r w:rsidR="00F256CA">
        <w:t>ATP-Verbrauch</w:t>
      </w:r>
      <w:r>
        <w:t xml:space="preserve"> an einzelsträngige Primer (</w:t>
      </w:r>
      <w:r>
        <w:rPr>
          <w:color w:val="4169E1"/>
        </w:rPr>
        <w:t xml:space="preserve">Daher </w:t>
      </w:r>
      <w:r>
        <w:rPr>
          <w:i/>
          <w:color w:val="4169E1"/>
        </w:rPr>
        <w:t xml:space="preserve">et al. </w:t>
      </w:r>
      <w:r>
        <w:rPr>
          <w:color w:val="4169E1"/>
        </w:rPr>
        <w:t>2016</w:t>
      </w:r>
      <w:r>
        <w:t xml:space="preserve">; </w:t>
      </w:r>
      <w:r>
        <w:rPr>
          <w:color w:val="4169E1"/>
        </w:rPr>
        <w:t xml:space="preserve">Lobato &amp; </w:t>
      </w:r>
      <w:proofErr w:type="spellStart"/>
      <w:r>
        <w:rPr>
          <w:color w:val="4169E1"/>
        </w:rPr>
        <w:t>OSullivan</w:t>
      </w:r>
      <w:proofErr w:type="spellEnd"/>
      <w:r>
        <w:rPr>
          <w:color w:val="4169E1"/>
        </w:rPr>
        <w:t xml:space="preserve"> 2018</w:t>
      </w:r>
      <w:r>
        <w:t xml:space="preserve">). Der entstandene </w:t>
      </w:r>
      <w:proofErr w:type="spellStart"/>
      <w:r>
        <w:t>RekombinasePrimer</w:t>
      </w:r>
      <w:proofErr w:type="spellEnd"/>
      <w:r>
        <w:t>-Komplex migriert entlang doppelsträngiger DNA und sucht zu den gebundenen Primern</w:t>
      </w:r>
      <w:r>
        <w:t xml:space="preserve"> homologe Sequenzen. Wird ein homologer Bereich gefunden, verdrängt der Komplex den Doppelstrang und bindet mithilfe des Primers unter Bildung einer D-Schleife an den homologen DNA-Einzelstrang. Der </w:t>
      </w:r>
      <w:proofErr w:type="spellStart"/>
      <w:r>
        <w:t>RekombinaseKomplex</w:t>
      </w:r>
      <w:proofErr w:type="spellEnd"/>
      <w:r>
        <w:t xml:space="preserve"> dissoziiert nach erfolgreicher </w:t>
      </w:r>
      <w:proofErr w:type="spellStart"/>
      <w:r>
        <w:t>Primerb</w:t>
      </w:r>
      <w:r>
        <w:t>indung</w:t>
      </w:r>
      <w:proofErr w:type="spellEnd"/>
      <w:r>
        <w:t xml:space="preserve"> unter ATP </w:t>
      </w:r>
      <w:r w:rsidR="00F256CA">
        <w:t>Verbrauch</w:t>
      </w:r>
      <w:r>
        <w:t xml:space="preserve"> und kann wieder an neue Primer binden. Eine </w:t>
      </w:r>
      <w:proofErr w:type="spellStart"/>
      <w:r>
        <w:t>Rehybridisierung</w:t>
      </w:r>
      <w:proofErr w:type="spellEnd"/>
      <w:r>
        <w:t xml:space="preserve"> und die damit Verdrängung </w:t>
      </w:r>
      <w:r>
        <w:t xml:space="preserve">des gebundenen Primers durch den abgespalten DNA-Einzelstrang wird durch die Anlagerung von </w:t>
      </w:r>
      <w:proofErr w:type="spellStart"/>
      <w:proofErr w:type="gramStart"/>
      <w:r>
        <w:t>SSB’s</w:t>
      </w:r>
      <w:proofErr w:type="spellEnd"/>
      <w:proofErr w:type="gramEnd"/>
      <w:r>
        <w:t xml:space="preserve"> an diesen Verhindert (</w:t>
      </w:r>
      <w:proofErr w:type="spellStart"/>
      <w:r>
        <w:rPr>
          <w:color w:val="4169E1"/>
        </w:rPr>
        <w:t>Babu</w:t>
      </w:r>
      <w:proofErr w:type="spellEnd"/>
      <w:r>
        <w:rPr>
          <w:color w:val="4169E1"/>
        </w:rPr>
        <w:t xml:space="preserve"> </w:t>
      </w:r>
      <w:r>
        <w:rPr>
          <w:i/>
          <w:color w:val="4169E1"/>
        </w:rPr>
        <w:t>et al.</w:t>
      </w:r>
      <w:r>
        <w:rPr>
          <w:i/>
          <w:color w:val="4169E1"/>
        </w:rPr>
        <w:t xml:space="preserve"> </w:t>
      </w:r>
      <w:r>
        <w:rPr>
          <w:color w:val="4169E1"/>
        </w:rPr>
        <w:t>2018</w:t>
      </w:r>
      <w:r>
        <w:t xml:space="preserve">). Anschließend bindet die Sau DNA-Polymerase an das freie 3’-OH Ende des hybridisierten Primers und verlängert diesen komplementär zur DNA. Dabei besitzt die Sau DNA-Polymerase eine </w:t>
      </w:r>
      <w:proofErr w:type="spellStart"/>
      <w:r>
        <w:t>Strangverdängungsaktivität</w:t>
      </w:r>
      <w:proofErr w:type="spellEnd"/>
      <w:r>
        <w:t xml:space="preserve">, wodurch die den DNA-Doppelstrang weiter </w:t>
      </w:r>
      <w:r>
        <w:t>aufbrechen und somit die Verlängerung des Primers fortsetzten kann. Dies führt zu einer neu synthetisierten doppelsträngigen DNA, welche erneut in die oben beschriebene Reaktion eingeht und so exponentiell amplifiziert wird (</w:t>
      </w:r>
      <w:proofErr w:type="spellStart"/>
      <w:r>
        <w:rPr>
          <w:color w:val="4169E1"/>
        </w:rPr>
        <w:t>Babu</w:t>
      </w:r>
      <w:proofErr w:type="spellEnd"/>
      <w:r>
        <w:rPr>
          <w:color w:val="4169E1"/>
        </w:rPr>
        <w:t xml:space="preserve"> </w:t>
      </w:r>
      <w:r>
        <w:rPr>
          <w:i/>
          <w:color w:val="4169E1"/>
        </w:rPr>
        <w:t xml:space="preserve">et al. </w:t>
      </w:r>
      <w:r>
        <w:rPr>
          <w:color w:val="4169E1"/>
        </w:rPr>
        <w:t>2018</w:t>
      </w:r>
      <w:r>
        <w:t xml:space="preserve">; </w:t>
      </w:r>
      <w:r>
        <w:rPr>
          <w:color w:val="4169E1"/>
        </w:rPr>
        <w:t xml:space="preserve">Tan </w:t>
      </w:r>
      <w:r>
        <w:rPr>
          <w:i/>
          <w:color w:val="4169E1"/>
        </w:rPr>
        <w:t xml:space="preserve">et al. </w:t>
      </w:r>
      <w:r>
        <w:rPr>
          <w:color w:val="4169E1"/>
        </w:rPr>
        <w:t>20</w:t>
      </w:r>
      <w:r>
        <w:rPr>
          <w:color w:val="4169E1"/>
        </w:rPr>
        <w:t>22</w:t>
      </w:r>
      <w:r>
        <w:t>).</w:t>
      </w:r>
    </w:p>
    <w:p w14:paraId="42F138FF" w14:textId="77777777" w:rsidR="008C7A05" w:rsidRDefault="00866A07">
      <w:pPr>
        <w:spacing w:after="278" w:line="259" w:lineRule="auto"/>
        <w:ind w:left="1902" w:right="0" w:firstLine="0"/>
        <w:jc w:val="left"/>
      </w:pPr>
      <w:r>
        <w:rPr>
          <w:noProof/>
        </w:rPr>
        <w:drawing>
          <wp:inline distT="0" distB="0" distL="0" distR="0" wp14:anchorId="1194CE93" wp14:editId="14C5A350">
            <wp:extent cx="3566145" cy="3009725"/>
            <wp:effectExtent l="0" t="0" r="0" b="0"/>
            <wp:docPr id="1631" name="Picture 1631"/>
            <wp:cNvGraphicFramePr/>
            <a:graphic xmlns:a="http://schemas.openxmlformats.org/drawingml/2006/main">
              <a:graphicData uri="http://schemas.openxmlformats.org/drawingml/2006/picture">
                <pic:pic xmlns:pic="http://schemas.openxmlformats.org/drawingml/2006/picture">
                  <pic:nvPicPr>
                    <pic:cNvPr id="1631" name="Picture 1631"/>
                    <pic:cNvPicPr/>
                  </pic:nvPicPr>
                  <pic:blipFill>
                    <a:blip r:embed="rId11"/>
                    <a:stretch>
                      <a:fillRect/>
                    </a:stretch>
                  </pic:blipFill>
                  <pic:spPr>
                    <a:xfrm>
                      <a:off x="0" y="0"/>
                      <a:ext cx="3566145" cy="3009725"/>
                    </a:xfrm>
                    <a:prstGeom prst="rect">
                      <a:avLst/>
                    </a:prstGeom>
                  </pic:spPr>
                </pic:pic>
              </a:graphicData>
            </a:graphic>
          </wp:inline>
        </w:drawing>
      </w:r>
    </w:p>
    <w:p w14:paraId="3B245A64" w14:textId="0D996166" w:rsidR="008C7A05" w:rsidRDefault="00866A07">
      <w:pPr>
        <w:spacing w:after="458" w:line="259" w:lineRule="auto"/>
        <w:ind w:left="17" w:right="4"/>
      </w:pPr>
      <w:r>
        <w:t xml:space="preserve">Abbildung 6: </w:t>
      </w:r>
      <w:r>
        <w:rPr>
          <w:b/>
        </w:rPr>
        <w:t xml:space="preserve">Schematischer </w:t>
      </w:r>
      <w:proofErr w:type="spellStart"/>
      <w:r>
        <w:rPr>
          <w:b/>
        </w:rPr>
        <w:t>Reaktionsmenismus</w:t>
      </w:r>
      <w:proofErr w:type="spellEnd"/>
      <w:r>
        <w:rPr>
          <w:b/>
        </w:rPr>
        <w:t xml:space="preserve"> der RPA</w:t>
      </w:r>
      <w:r>
        <w:t xml:space="preserve">: </w:t>
      </w:r>
      <w:r>
        <w:rPr>
          <w:b/>
        </w:rPr>
        <w:t xml:space="preserve">A: </w:t>
      </w:r>
      <w:r>
        <w:t xml:space="preserve">Bildung der </w:t>
      </w:r>
      <w:proofErr w:type="spellStart"/>
      <w:r>
        <w:t>Rekombinase-PrimerKomplexe</w:t>
      </w:r>
      <w:proofErr w:type="spellEnd"/>
      <w:r>
        <w:t xml:space="preserve"> unter ATP verbrauch. </w:t>
      </w:r>
      <w:r>
        <w:rPr>
          <w:b/>
        </w:rPr>
        <w:t xml:space="preserve">B: </w:t>
      </w:r>
      <w:r>
        <w:t xml:space="preserve">Migration der </w:t>
      </w:r>
      <w:proofErr w:type="spellStart"/>
      <w:r>
        <w:t>Rekombinase</w:t>
      </w:r>
      <w:proofErr w:type="spellEnd"/>
      <w:r>
        <w:t xml:space="preserve">-Primer-Komplexe entlang der Ziel DNA bis zu den homologen </w:t>
      </w:r>
      <w:proofErr w:type="spellStart"/>
      <w:r>
        <w:t>Primersequenzen</w:t>
      </w:r>
      <w:proofErr w:type="spellEnd"/>
      <w:r>
        <w:t xml:space="preserve">. </w:t>
      </w:r>
      <w:r>
        <w:rPr>
          <w:b/>
        </w:rPr>
        <w:t xml:space="preserve">C: </w:t>
      </w:r>
      <w:r>
        <w:t xml:space="preserve">Insertion des </w:t>
      </w:r>
      <w:proofErr w:type="spellStart"/>
      <w:r>
        <w:t>Rekombinase</w:t>
      </w:r>
      <w:proofErr w:type="spellEnd"/>
      <w:r>
        <w:t xml:space="preserve">-Primer-Komplexes in die doppelsträngige DNA mit der Bindung des Primer an die </w:t>
      </w:r>
      <w:proofErr w:type="spellStart"/>
      <w:r>
        <w:t>komplimentäre</w:t>
      </w:r>
      <w:proofErr w:type="spellEnd"/>
      <w:r>
        <w:t xml:space="preserve"> Sequenz. </w:t>
      </w:r>
      <w:r>
        <w:rPr>
          <w:b/>
        </w:rPr>
        <w:t xml:space="preserve">D: </w:t>
      </w:r>
      <w:r>
        <w:t xml:space="preserve">Stabilisierung der einzelsträngigen DNA durch die </w:t>
      </w:r>
      <w:proofErr w:type="spellStart"/>
      <w:r>
        <w:t>SSB’s</w:t>
      </w:r>
      <w:proofErr w:type="spellEnd"/>
      <w:r>
        <w:t xml:space="preserve">. </w:t>
      </w:r>
      <w:r>
        <w:rPr>
          <w:b/>
        </w:rPr>
        <w:t xml:space="preserve">E: </w:t>
      </w:r>
      <w:r>
        <w:t xml:space="preserve">Dissoziierung der </w:t>
      </w:r>
      <w:proofErr w:type="spellStart"/>
      <w:r>
        <w:t>Rekombinase</w:t>
      </w:r>
      <w:proofErr w:type="spellEnd"/>
      <w:r>
        <w:t xml:space="preserve"> nach erfolgreicher </w:t>
      </w:r>
      <w:proofErr w:type="spellStart"/>
      <w:r>
        <w:t>Primerbindung</w:t>
      </w:r>
      <w:proofErr w:type="spellEnd"/>
      <w:r>
        <w:t xml:space="preserve"> und beginn der Amplifikation</w:t>
      </w:r>
      <w:r>
        <w:t xml:space="preserve"> durch die Polymerase. </w:t>
      </w:r>
      <w:r>
        <w:rPr>
          <w:b/>
        </w:rPr>
        <w:t xml:space="preserve">F: </w:t>
      </w:r>
      <w:r>
        <w:t xml:space="preserve">Fortschreiten der Amplifikation bis zwei neue </w:t>
      </w:r>
      <w:r w:rsidR="00F256CA">
        <w:t>komplementäre</w:t>
      </w:r>
      <w:r>
        <w:t xml:space="preserve"> </w:t>
      </w:r>
      <w:r w:rsidR="00F256CA">
        <w:t>doppelsträngige</w:t>
      </w:r>
      <w:r>
        <w:t xml:space="preserve"> DNA-</w:t>
      </w:r>
      <w:r w:rsidR="00F256CA">
        <w:t>Moleküle</w:t>
      </w:r>
      <w:r>
        <w:t xml:space="preserve"> vorliegen und der Mechanismus von vorne beginnen kann. Modifiziert nach Lobato &amp; </w:t>
      </w:r>
      <w:proofErr w:type="spellStart"/>
      <w:r>
        <w:t>OSullivan</w:t>
      </w:r>
      <w:proofErr w:type="spellEnd"/>
      <w:r>
        <w:t xml:space="preserve"> (</w:t>
      </w:r>
      <w:r>
        <w:rPr>
          <w:color w:val="4169E1"/>
        </w:rPr>
        <w:t>2018</w:t>
      </w:r>
      <w:r>
        <w:t>).</w:t>
      </w:r>
    </w:p>
    <w:p w14:paraId="7CAC7A4D" w14:textId="5683EDE7" w:rsidR="008C7A05" w:rsidRDefault="00866A07">
      <w:pPr>
        <w:spacing w:after="4"/>
        <w:ind w:left="17" w:right="4"/>
      </w:pPr>
      <w:r>
        <w:lastRenderedPageBreak/>
        <w:t xml:space="preserve">Um unter anderem eine Dissoziierung des </w:t>
      </w:r>
      <w:proofErr w:type="spellStart"/>
      <w:r>
        <w:t>Reko</w:t>
      </w:r>
      <w:r>
        <w:t>mbinase</w:t>
      </w:r>
      <w:proofErr w:type="spellEnd"/>
      <w:r>
        <w:t xml:space="preserve">-Primer-Komplexes zu unterbinden und so die Amplifikation zu beschleunigen wird ein Polyethylen </w:t>
      </w:r>
      <w:proofErr w:type="spellStart"/>
      <w:r>
        <w:t>Glucol</w:t>
      </w:r>
      <w:proofErr w:type="spellEnd"/>
      <w:r>
        <w:t xml:space="preserve"> (PEG) mit hohem molekularem Gewicht, ein sogenannter “</w:t>
      </w:r>
      <w:proofErr w:type="spellStart"/>
      <w:r>
        <w:t>Crowding</w:t>
      </w:r>
      <w:proofErr w:type="spellEnd"/>
      <w:r>
        <w:t>-Agent” verwendet (</w:t>
      </w:r>
      <w:r>
        <w:rPr>
          <w:color w:val="4169E1"/>
        </w:rPr>
        <w:t xml:space="preserve">Lillis </w:t>
      </w:r>
      <w:r>
        <w:rPr>
          <w:i/>
          <w:color w:val="4169E1"/>
        </w:rPr>
        <w:t xml:space="preserve">et al. </w:t>
      </w:r>
      <w:r>
        <w:rPr>
          <w:color w:val="4169E1"/>
        </w:rPr>
        <w:t>2016</w:t>
      </w:r>
      <w:r>
        <w:t xml:space="preserve">; </w:t>
      </w:r>
      <w:r>
        <w:rPr>
          <w:color w:val="4169E1"/>
        </w:rPr>
        <w:t xml:space="preserve">Lobato &amp; </w:t>
      </w:r>
      <w:proofErr w:type="spellStart"/>
      <w:r>
        <w:rPr>
          <w:color w:val="4169E1"/>
        </w:rPr>
        <w:t>OSullivan</w:t>
      </w:r>
      <w:proofErr w:type="spellEnd"/>
      <w:r>
        <w:rPr>
          <w:color w:val="4169E1"/>
        </w:rPr>
        <w:t xml:space="preserve"> 2018</w:t>
      </w:r>
      <w:r>
        <w:t>). Dieser trägt zu ein</w:t>
      </w:r>
      <w:r>
        <w:t>er Viskosität der Reaktionslösung bei und erschwert so die Diffusion. Zusammen mit den niedrigen Reaktionstemperaturen von ~40 °C und der dadurch geringen Thermischen Konvektion kann es zur lokalen Reagenzien-Knappheit kommen, wodurch eine Minderung der Am</w:t>
      </w:r>
      <w:r>
        <w:t>plifikationsrate entsteht. Aus diesem Grund kann vor allem bei niedrigen DNA-Konzentrationen ein zusätzlicher Mischschritt während der laufenden RPA-Reaktion erforderlich sein (</w:t>
      </w:r>
      <w:r>
        <w:rPr>
          <w:color w:val="4169E1"/>
        </w:rPr>
        <w:t xml:space="preserve">Lillis </w:t>
      </w:r>
      <w:r>
        <w:rPr>
          <w:i/>
          <w:color w:val="4169E1"/>
        </w:rPr>
        <w:t xml:space="preserve">et al. </w:t>
      </w:r>
      <w:r>
        <w:rPr>
          <w:color w:val="4169E1"/>
        </w:rPr>
        <w:t>2016</w:t>
      </w:r>
      <w:r>
        <w:t>). Ebenfalls kann analog zur RT-PCR, die RPA mit einer Revers</w:t>
      </w:r>
      <w:r>
        <w:t xml:space="preserve">en </w:t>
      </w:r>
      <w:r w:rsidR="00F256CA">
        <w:t>Transkriptase</w:t>
      </w:r>
      <w:r>
        <w:t xml:space="preserve"> Reaktion kombiniert </w:t>
      </w:r>
      <w:proofErr w:type="gramStart"/>
      <w:r>
        <w:t>werden</w:t>
      </w:r>
      <w:proofErr w:type="gramEnd"/>
      <w:r>
        <w:t xml:space="preserve"> um RNA zu </w:t>
      </w:r>
      <w:r w:rsidR="00F256CA">
        <w:t>vervielfältigen</w:t>
      </w:r>
      <w:r>
        <w:t xml:space="preserve"> (</w:t>
      </w:r>
      <w:r>
        <w:rPr>
          <w:color w:val="4169E1"/>
        </w:rPr>
        <w:t xml:space="preserve">Yoo </w:t>
      </w:r>
      <w:r>
        <w:rPr>
          <w:i/>
          <w:color w:val="4169E1"/>
        </w:rPr>
        <w:t xml:space="preserve">et al. </w:t>
      </w:r>
      <w:r>
        <w:rPr>
          <w:color w:val="4169E1"/>
        </w:rPr>
        <w:t>2021</w:t>
      </w:r>
      <w:r>
        <w:t>).</w:t>
      </w:r>
    </w:p>
    <w:p w14:paraId="7FDCE337" w14:textId="77777777" w:rsidR="008C7A05" w:rsidRDefault="00866A07">
      <w:pPr>
        <w:spacing w:after="4"/>
        <w:ind w:left="17" w:right="4"/>
      </w:pPr>
      <w:r>
        <w:t xml:space="preserve">Ein wichtiger Punkt der RPA ist das spezielle </w:t>
      </w:r>
      <w:proofErr w:type="spellStart"/>
      <w:r>
        <w:t>Primerdesign</w:t>
      </w:r>
      <w:proofErr w:type="spellEnd"/>
      <w:r>
        <w:t xml:space="preserve">. Im Gegensatz zur PCR werden hier längere </w:t>
      </w:r>
      <w:proofErr w:type="spellStart"/>
      <w:r>
        <w:t>Oligonukeotide</w:t>
      </w:r>
      <w:proofErr w:type="spellEnd"/>
      <w:r>
        <w:t xml:space="preserve"> (zwischen 30 - 35 bp) verwendet, welche ein Amplifikationsbereich von wenigen 100 Nukleotiden einspannen (</w:t>
      </w:r>
      <w:r>
        <w:rPr>
          <w:color w:val="4169E1"/>
        </w:rPr>
        <w:t xml:space="preserve">Li </w:t>
      </w:r>
      <w:r>
        <w:rPr>
          <w:i/>
          <w:color w:val="4169E1"/>
        </w:rPr>
        <w:t xml:space="preserve">et al. </w:t>
      </w:r>
      <w:r>
        <w:rPr>
          <w:color w:val="4169E1"/>
        </w:rPr>
        <w:t>2019</w:t>
      </w:r>
      <w:r>
        <w:t>). Ein automatisiert</w:t>
      </w:r>
      <w:r>
        <w:t>es Programm für das Design der RPA-Primer ist in der Literatur beschrieben (</w:t>
      </w:r>
      <w:r>
        <w:rPr>
          <w:color w:val="4169E1"/>
        </w:rPr>
        <w:t xml:space="preserve">Higgins </w:t>
      </w:r>
      <w:r>
        <w:rPr>
          <w:i/>
          <w:color w:val="4169E1"/>
        </w:rPr>
        <w:t xml:space="preserve">et al. </w:t>
      </w:r>
      <w:r>
        <w:rPr>
          <w:color w:val="4169E1"/>
        </w:rPr>
        <w:t>2018</w:t>
      </w:r>
      <w:r>
        <w:t>). Es konnte gezeigt werden, dass bis zu drei Nukleotid-</w:t>
      </w:r>
      <w:proofErr w:type="spellStart"/>
      <w:r>
        <w:t>Missmatches</w:t>
      </w:r>
      <w:proofErr w:type="spellEnd"/>
      <w:r>
        <w:t xml:space="preserve"> in den jeweiligen Primern, die Detektion nicht beeinflussen (</w:t>
      </w:r>
      <w:r>
        <w:rPr>
          <w:color w:val="4169E1"/>
        </w:rPr>
        <w:t xml:space="preserve">Boyle </w:t>
      </w:r>
      <w:r>
        <w:rPr>
          <w:i/>
          <w:color w:val="4169E1"/>
        </w:rPr>
        <w:t xml:space="preserve">et al. </w:t>
      </w:r>
      <w:r>
        <w:rPr>
          <w:color w:val="4169E1"/>
        </w:rPr>
        <w:t>2013</w:t>
      </w:r>
      <w:r>
        <w:t>), auch wenn ei</w:t>
      </w:r>
      <w:r>
        <w:t xml:space="preserve">ne Studie von Higgins </w:t>
      </w:r>
      <w:r>
        <w:rPr>
          <w:i/>
        </w:rPr>
        <w:t xml:space="preserve">et al. </w:t>
      </w:r>
      <w:r>
        <w:t>(</w:t>
      </w:r>
      <w:r>
        <w:rPr>
          <w:color w:val="4169E1"/>
        </w:rPr>
        <w:t>2022</w:t>
      </w:r>
      <w:r>
        <w:t xml:space="preserve">) zum Schluss kam, dass viel mehr die Kombination der </w:t>
      </w:r>
      <w:proofErr w:type="spellStart"/>
      <w:r>
        <w:t>Missmatches</w:t>
      </w:r>
      <w:proofErr w:type="spellEnd"/>
      <w:r>
        <w:t xml:space="preserve"> als die Anzahl einen Einfluss auf die Reaktion hat (</w:t>
      </w:r>
      <w:r>
        <w:rPr>
          <w:color w:val="4169E1"/>
        </w:rPr>
        <w:t xml:space="preserve">Higgins </w:t>
      </w:r>
      <w:r>
        <w:rPr>
          <w:i/>
          <w:color w:val="4169E1"/>
        </w:rPr>
        <w:t xml:space="preserve">et al. </w:t>
      </w:r>
      <w:r>
        <w:rPr>
          <w:color w:val="4169E1"/>
        </w:rPr>
        <w:t>2022</w:t>
      </w:r>
      <w:r>
        <w:t>).</w:t>
      </w:r>
    </w:p>
    <w:p w14:paraId="5805AFF0" w14:textId="77777777" w:rsidR="008C7A05" w:rsidRDefault="00866A07">
      <w:pPr>
        <w:spacing w:after="2"/>
        <w:ind w:left="17" w:right="4"/>
      </w:pPr>
      <w:r>
        <w:t>Die Detektion der RPA kann einerseits nach vollendeter Reaktion über eine Agarose-</w:t>
      </w:r>
      <w:proofErr w:type="spellStart"/>
      <w:r>
        <w:t>Gelektrophorese</w:t>
      </w:r>
      <w:proofErr w:type="spellEnd"/>
      <w:r>
        <w:t xml:space="preserve"> oder andererseits “</w:t>
      </w:r>
      <w:r>
        <w:rPr>
          <w:i/>
        </w:rPr>
        <w:t>real time</w:t>
      </w:r>
      <w:r>
        <w:t xml:space="preserve">” während der Reaktion durch die Zugabe von Sonden erfolgen. Dabei können verschiedene </w:t>
      </w:r>
      <w:proofErr w:type="spellStart"/>
      <w:r>
        <w:t>Sondentypen</w:t>
      </w:r>
      <w:proofErr w:type="spellEnd"/>
      <w:r>
        <w:t xml:space="preserve"> wie die </w:t>
      </w:r>
      <w:proofErr w:type="spellStart"/>
      <w:r>
        <w:t>Exo</w:t>
      </w:r>
      <w:proofErr w:type="spellEnd"/>
      <w:r>
        <w:t xml:space="preserve">-Sonde oder die </w:t>
      </w:r>
      <w:proofErr w:type="spellStart"/>
      <w:r>
        <w:t>fpg</w:t>
      </w:r>
      <w:proofErr w:type="spellEnd"/>
      <w:r>
        <w:t>-Sonde verwendet werden (</w:t>
      </w:r>
      <w:proofErr w:type="spellStart"/>
      <w:r>
        <w:rPr>
          <w:color w:val="4169E1"/>
        </w:rPr>
        <w:t>Babu</w:t>
      </w:r>
      <w:proofErr w:type="spellEnd"/>
      <w:r>
        <w:rPr>
          <w:color w:val="4169E1"/>
        </w:rPr>
        <w:t xml:space="preserve"> </w:t>
      </w:r>
      <w:r>
        <w:rPr>
          <w:i/>
          <w:color w:val="4169E1"/>
        </w:rPr>
        <w:t xml:space="preserve">et al. </w:t>
      </w:r>
      <w:r>
        <w:rPr>
          <w:color w:val="4169E1"/>
        </w:rPr>
        <w:t>2018</w:t>
      </w:r>
      <w:r>
        <w:t>). Das Prinzip der Sonden beruht ähnlich w</w:t>
      </w:r>
      <w:r>
        <w:t xml:space="preserve">ie der PCR auf dem FRET-Prinzip zwischen einem Fluorophor und einem </w:t>
      </w:r>
      <w:proofErr w:type="spellStart"/>
      <w:r>
        <w:t>Quencher</w:t>
      </w:r>
      <w:proofErr w:type="spellEnd"/>
      <w:r>
        <w:t xml:space="preserve"> (</w:t>
      </w:r>
      <w:proofErr w:type="spellStart"/>
      <w:r>
        <w:rPr>
          <w:color w:val="4169E1"/>
        </w:rPr>
        <w:t>Ranasinghe</w:t>
      </w:r>
      <w:proofErr w:type="spellEnd"/>
      <w:r>
        <w:rPr>
          <w:color w:val="4169E1"/>
        </w:rPr>
        <w:t xml:space="preserve"> &amp; Brown 2005</w:t>
      </w:r>
      <w:r>
        <w:t xml:space="preserve">; </w:t>
      </w:r>
      <w:r>
        <w:rPr>
          <w:color w:val="4169E1"/>
        </w:rPr>
        <w:t xml:space="preserve">Lobato &amp; </w:t>
      </w:r>
      <w:proofErr w:type="spellStart"/>
      <w:r>
        <w:rPr>
          <w:color w:val="4169E1"/>
        </w:rPr>
        <w:t>OSullivan</w:t>
      </w:r>
      <w:proofErr w:type="spellEnd"/>
      <w:r>
        <w:rPr>
          <w:color w:val="4169E1"/>
        </w:rPr>
        <w:t xml:space="preserve"> 2018</w:t>
      </w:r>
      <w:r>
        <w:t xml:space="preserve">). Bei der ca. 50 bp großen </w:t>
      </w:r>
      <w:proofErr w:type="spellStart"/>
      <w:r>
        <w:t>Exo</w:t>
      </w:r>
      <w:proofErr w:type="spellEnd"/>
      <w:r>
        <w:t>-Sonde findet im Gegensatz zur PCR keine vollständige Hydrolyse, sondern die zielgerichtete Spaltun</w:t>
      </w:r>
      <w:r>
        <w:t xml:space="preserve">g der Sonde an einer a-basischen Seite durch die </w:t>
      </w:r>
      <w:proofErr w:type="spellStart"/>
      <w:r>
        <w:t>Exonuklease</w:t>
      </w:r>
      <w:proofErr w:type="spellEnd"/>
      <w:r>
        <w:t xml:space="preserve"> III statt. Die a-basische Seite ist dabei so angeordnet, dass sie zwischen Fluorophor und </w:t>
      </w:r>
      <w:proofErr w:type="spellStart"/>
      <w:r>
        <w:t>Quencher</w:t>
      </w:r>
      <w:proofErr w:type="spellEnd"/>
      <w:r>
        <w:t xml:space="preserve"> liegt und diese beiden durch die Spaltung räumlich getrennt werden (</w:t>
      </w:r>
      <w:r>
        <w:rPr>
          <w:color w:val="4169E1"/>
        </w:rPr>
        <w:t xml:space="preserve">Thornton &amp; </w:t>
      </w:r>
      <w:proofErr w:type="spellStart"/>
      <w:r>
        <w:rPr>
          <w:color w:val="4169E1"/>
        </w:rPr>
        <w:t>Basu</w:t>
      </w:r>
      <w:proofErr w:type="spellEnd"/>
      <w:r>
        <w:rPr>
          <w:color w:val="4169E1"/>
        </w:rPr>
        <w:t xml:space="preserve"> 2011</w:t>
      </w:r>
      <w:r>
        <w:t xml:space="preserve">; </w:t>
      </w:r>
      <w:r>
        <w:rPr>
          <w:color w:val="4169E1"/>
        </w:rPr>
        <w:t>Lobato</w:t>
      </w:r>
      <w:r>
        <w:rPr>
          <w:color w:val="4169E1"/>
        </w:rPr>
        <w:t xml:space="preserve"> &amp; </w:t>
      </w:r>
      <w:proofErr w:type="spellStart"/>
      <w:r>
        <w:rPr>
          <w:color w:val="4169E1"/>
        </w:rPr>
        <w:t>OSullivan</w:t>
      </w:r>
      <w:proofErr w:type="spellEnd"/>
      <w:r>
        <w:rPr>
          <w:color w:val="4169E1"/>
        </w:rPr>
        <w:t xml:space="preserve"> 2018</w:t>
      </w:r>
      <w:r>
        <w:t xml:space="preserve">). Um zu vermeiden, dass die Sonde als Primer fungiert wird das 3’-Ende blockiert, jedoch erzeugt die Spaltung der </w:t>
      </w:r>
      <w:proofErr w:type="spellStart"/>
      <w:r>
        <w:t>Exonuklease</w:t>
      </w:r>
      <w:proofErr w:type="spellEnd"/>
      <w:r>
        <w:t xml:space="preserve"> ein weiteres </w:t>
      </w:r>
      <w:proofErr w:type="spellStart"/>
      <w:r>
        <w:t>unblockierten</w:t>
      </w:r>
      <w:proofErr w:type="spellEnd"/>
      <w:r>
        <w:t xml:space="preserve"> 3’-Ende, welches als Primer in die Amplifikation eingeht (</w:t>
      </w:r>
      <w:r>
        <w:rPr>
          <w:color w:val="4169E1"/>
        </w:rPr>
        <w:t xml:space="preserve">Daher </w:t>
      </w:r>
      <w:r>
        <w:rPr>
          <w:i/>
          <w:color w:val="4169E1"/>
        </w:rPr>
        <w:t xml:space="preserve">et al. </w:t>
      </w:r>
      <w:r>
        <w:rPr>
          <w:color w:val="4169E1"/>
        </w:rPr>
        <w:t>2016</w:t>
      </w:r>
      <w:r>
        <w:t xml:space="preserve">). Die </w:t>
      </w:r>
      <w:proofErr w:type="spellStart"/>
      <w:r>
        <w:t>fpg</w:t>
      </w:r>
      <w:proofErr w:type="spellEnd"/>
      <w:r>
        <w:t xml:space="preserve">-Sonde ist mit ca. 35 bp kleiner als die </w:t>
      </w:r>
      <w:proofErr w:type="spellStart"/>
      <w:r>
        <w:t>Exo</w:t>
      </w:r>
      <w:proofErr w:type="spellEnd"/>
      <w:r>
        <w:t xml:space="preserve">-Sonde funktioniert nach dem gleichen Prinzip. Hier ist </w:t>
      </w:r>
      <w:proofErr w:type="gramStart"/>
      <w:r>
        <w:t>das Fluorophor</w:t>
      </w:r>
      <w:proofErr w:type="gramEnd"/>
      <w:r>
        <w:t xml:space="preserve"> direkt an das a-basische Nukleotid gekoppelt. Die Spaltung wird durch eine 8-oxoguanine DNA </w:t>
      </w:r>
      <w:proofErr w:type="spellStart"/>
      <w:r>
        <w:t>glykosylase</w:t>
      </w:r>
      <w:proofErr w:type="spellEnd"/>
      <w:r>
        <w:t xml:space="preserve"> katalysiert, wodurch das Fluorophor v</w:t>
      </w:r>
      <w:r>
        <w:t>on der Sonde abgespalten wird und kein neues 3’-Ende entsteht (</w:t>
      </w:r>
      <w:r>
        <w:rPr>
          <w:color w:val="4169E1"/>
        </w:rPr>
        <w:t xml:space="preserve">Daher </w:t>
      </w:r>
      <w:r>
        <w:rPr>
          <w:i/>
          <w:color w:val="4169E1"/>
        </w:rPr>
        <w:t xml:space="preserve">et al. </w:t>
      </w:r>
      <w:r>
        <w:rPr>
          <w:color w:val="4169E1"/>
        </w:rPr>
        <w:t>2016</w:t>
      </w:r>
      <w:r>
        <w:t>).</w:t>
      </w:r>
    </w:p>
    <w:p w14:paraId="6D3B66DF" w14:textId="77777777" w:rsidR="008C7A05" w:rsidRDefault="00866A07">
      <w:pPr>
        <w:spacing w:after="7"/>
        <w:ind w:left="17" w:right="4"/>
      </w:pPr>
      <w:r>
        <w:t xml:space="preserve">Eine weitere Applikation der RPA ist die solid </w:t>
      </w:r>
      <w:proofErr w:type="spellStart"/>
      <w:r>
        <w:t>phase</w:t>
      </w:r>
      <w:proofErr w:type="spellEnd"/>
      <w:r>
        <w:t xml:space="preserve"> RPA, bei welcher einer der beiden Primer auf einer Oberfläche immobilisiert wird. Diese Applikation erlaubt ein besseres</w:t>
      </w:r>
      <w:r>
        <w:t xml:space="preserve"> Multiplexing, da die verschiedenen Reaktionen räumlich getrennt voneinander Ablaufen können (</w:t>
      </w:r>
      <w:proofErr w:type="spellStart"/>
      <w:r>
        <w:rPr>
          <w:color w:val="4169E1"/>
        </w:rPr>
        <w:t>Rı́o</w:t>
      </w:r>
      <w:proofErr w:type="spellEnd"/>
      <w:r>
        <w:rPr>
          <w:color w:val="4169E1"/>
        </w:rPr>
        <w:t xml:space="preserve"> </w:t>
      </w:r>
      <w:r>
        <w:rPr>
          <w:i/>
          <w:color w:val="4169E1"/>
        </w:rPr>
        <w:t xml:space="preserve">et al. </w:t>
      </w:r>
      <w:r>
        <w:rPr>
          <w:color w:val="4169E1"/>
        </w:rPr>
        <w:t>2014</w:t>
      </w:r>
      <w:r>
        <w:t>). Die Detektion kann hierbei</w:t>
      </w:r>
    </w:p>
    <w:p w14:paraId="1AE66D4E" w14:textId="77777777" w:rsidR="008C7A05" w:rsidRDefault="00866A07">
      <w:pPr>
        <w:spacing w:after="325"/>
        <w:ind w:left="17" w:right="4"/>
      </w:pPr>
      <w:r>
        <w:t>Elektrochemisch (</w:t>
      </w:r>
      <w:proofErr w:type="spellStart"/>
      <w:r>
        <w:rPr>
          <w:color w:val="4169E1"/>
        </w:rPr>
        <w:t>Rı́o</w:t>
      </w:r>
      <w:proofErr w:type="spellEnd"/>
      <w:r>
        <w:rPr>
          <w:color w:val="4169E1"/>
        </w:rPr>
        <w:t xml:space="preserve"> </w:t>
      </w:r>
      <w:r>
        <w:rPr>
          <w:i/>
          <w:color w:val="4169E1"/>
        </w:rPr>
        <w:t xml:space="preserve">et al. </w:t>
      </w:r>
      <w:r>
        <w:rPr>
          <w:color w:val="4169E1"/>
        </w:rPr>
        <w:t>2016</w:t>
      </w:r>
      <w:r>
        <w:t>), Kolorimetrisch (</w:t>
      </w:r>
      <w:r>
        <w:rPr>
          <w:color w:val="4169E1"/>
        </w:rPr>
        <w:t xml:space="preserve">Yamanaka </w:t>
      </w:r>
      <w:r>
        <w:rPr>
          <w:i/>
          <w:color w:val="4169E1"/>
        </w:rPr>
        <w:t xml:space="preserve">et al. </w:t>
      </w:r>
      <w:r>
        <w:rPr>
          <w:color w:val="4169E1"/>
        </w:rPr>
        <w:t>2017</w:t>
      </w:r>
      <w:r>
        <w:t xml:space="preserve">) oder markierungsfrei über </w:t>
      </w:r>
      <w:proofErr w:type="spellStart"/>
      <w:r>
        <w:t>RingResonatoren</w:t>
      </w:r>
      <w:proofErr w:type="spellEnd"/>
      <w:r>
        <w:t xml:space="preserve"> </w:t>
      </w:r>
      <w:r>
        <w:t>(</w:t>
      </w:r>
      <w:r>
        <w:rPr>
          <w:color w:val="4169E1"/>
        </w:rPr>
        <w:t xml:space="preserve">Shin </w:t>
      </w:r>
      <w:r>
        <w:rPr>
          <w:i/>
          <w:color w:val="4169E1"/>
        </w:rPr>
        <w:t xml:space="preserve">et al. </w:t>
      </w:r>
      <w:r>
        <w:rPr>
          <w:color w:val="4169E1"/>
        </w:rPr>
        <w:t>2013</w:t>
      </w:r>
      <w:r>
        <w:t xml:space="preserve">) erfolgen. Ebenfalls ist es möglich RPA mithilfe von lateral </w:t>
      </w:r>
      <w:proofErr w:type="spellStart"/>
      <w:r>
        <w:t>flow</w:t>
      </w:r>
      <w:proofErr w:type="spellEnd"/>
      <w:r>
        <w:t xml:space="preserve"> Plattformen zu kombinieren, um mit dem bloßen Auge auswertbare Tests zu entwickeln (</w:t>
      </w:r>
      <w:r>
        <w:rPr>
          <w:color w:val="4169E1"/>
        </w:rPr>
        <w:t xml:space="preserve">Lobato &amp; </w:t>
      </w:r>
      <w:proofErr w:type="spellStart"/>
      <w:r>
        <w:rPr>
          <w:color w:val="4169E1"/>
        </w:rPr>
        <w:t>OSullivan</w:t>
      </w:r>
      <w:proofErr w:type="spellEnd"/>
      <w:r>
        <w:rPr>
          <w:color w:val="4169E1"/>
        </w:rPr>
        <w:t xml:space="preserve"> 2018</w:t>
      </w:r>
      <w:r>
        <w:t xml:space="preserve">; </w:t>
      </w:r>
      <w:proofErr w:type="spellStart"/>
      <w:r>
        <w:rPr>
          <w:color w:val="4169E1"/>
        </w:rPr>
        <w:t>Heeroma</w:t>
      </w:r>
      <w:proofErr w:type="spellEnd"/>
      <w:r>
        <w:rPr>
          <w:color w:val="4169E1"/>
        </w:rPr>
        <w:t xml:space="preserve"> &amp; </w:t>
      </w:r>
      <w:proofErr w:type="spellStart"/>
      <w:r>
        <w:rPr>
          <w:color w:val="4169E1"/>
        </w:rPr>
        <w:t>Gwenin</w:t>
      </w:r>
      <w:proofErr w:type="spellEnd"/>
      <w:r>
        <w:rPr>
          <w:color w:val="4169E1"/>
        </w:rPr>
        <w:t xml:space="preserve"> 2020</w:t>
      </w:r>
      <w:r>
        <w:t>).</w:t>
      </w:r>
    </w:p>
    <w:p w14:paraId="14FBF938" w14:textId="77777777" w:rsidR="008C7A05" w:rsidRDefault="00866A07">
      <w:pPr>
        <w:pStyle w:val="berschrift2"/>
        <w:tabs>
          <w:tab w:val="center" w:pos="1498"/>
        </w:tabs>
        <w:ind w:left="0" w:firstLine="0"/>
      </w:pPr>
      <w:bookmarkStart w:id="11" w:name="_Toc30606"/>
      <w:r>
        <w:t>1.5</w:t>
      </w:r>
      <w:r>
        <w:tab/>
        <w:t>Ziel der Arbeit</w:t>
      </w:r>
      <w:bookmarkEnd w:id="11"/>
    </w:p>
    <w:p w14:paraId="21948F72" w14:textId="77777777" w:rsidR="008C7A05" w:rsidRDefault="00866A07">
      <w:pPr>
        <w:spacing w:after="0"/>
        <w:ind w:left="17" w:right="4"/>
      </w:pPr>
      <w:r>
        <w:t>Ein aktuelles BMBF-</w:t>
      </w:r>
      <w:r>
        <w:t xml:space="preserve">Projekt befasst mit Point </w:t>
      </w:r>
      <w:proofErr w:type="spellStart"/>
      <w:r>
        <w:t>of</w:t>
      </w:r>
      <w:proofErr w:type="spellEnd"/>
      <w:r>
        <w:t xml:space="preserve"> Care Diagnostik von respiratorischen Viren. Für die vor Ort Analytik sollen verschiedene Systeme in ein mobiles Kofferlabors-System implementiert werden. Ziel dieser</w:t>
      </w:r>
    </w:p>
    <w:p w14:paraId="5B4FC16F" w14:textId="03D99222" w:rsidR="008C7A05" w:rsidRDefault="00866A07">
      <w:pPr>
        <w:ind w:left="17" w:right="4"/>
      </w:pPr>
      <w:r>
        <w:t xml:space="preserve">Arbeit ist es, jeweils ein </w:t>
      </w:r>
      <w:proofErr w:type="spellStart"/>
      <w:r>
        <w:t>Rekombinase</w:t>
      </w:r>
      <w:proofErr w:type="spellEnd"/>
      <w:r>
        <w:t xml:space="preserve"> Polymerase </w:t>
      </w:r>
      <w:proofErr w:type="spellStart"/>
      <w:r>
        <w:t>Amplifikations</w:t>
      </w:r>
      <w:proofErr w:type="spellEnd"/>
      <w:r>
        <w:t xml:space="preserve"> Assay zum Nachweis der Influenza Viren A und B zu entwickeln. Die Assays sollen für Influenza A die relevanten Subtypen H3N2 und H1N1 nachweisen können sowie für Influenza B als Pan-Influenza</w:t>
      </w:r>
      <w:r>
        <w:t xml:space="preserve"> B fungieren. Dafür sollten Primer-Sonden-Sets designt und diese in einem </w:t>
      </w:r>
      <w:proofErr w:type="spellStart"/>
      <w:r>
        <w:t>Screeing</w:t>
      </w:r>
      <w:proofErr w:type="spellEnd"/>
      <w:r>
        <w:t xml:space="preserve"> </w:t>
      </w:r>
      <w:r>
        <w:lastRenderedPageBreak/>
        <w:t xml:space="preserve">getestet werden. Die Sensitivität und Spezifität der jeweiligen Systeme sollte mittels in vitro generierter artifizieller </w:t>
      </w:r>
      <w:proofErr w:type="gramStart"/>
      <w:r>
        <w:t>RNA Standards</w:t>
      </w:r>
      <w:proofErr w:type="gramEnd"/>
      <w:r>
        <w:t xml:space="preserve"> auf Eignung geprüft werden und hinsic</w:t>
      </w:r>
      <w:r>
        <w:t>htlich der selben Parameter direkt mit dem Goldstandard (PCR-Systemen) verglichen werden. Im Detail sollen Reaktionstemperatur, Mischzeitpunkt der Reaktion sowie Ansatzvolumen für die RPA Assays optimiert werden. Hinsichtlich der Variation der eingesetzten</w:t>
      </w:r>
      <w:r>
        <w:t xml:space="preserve"> Oligonukleotid-Konzentration ist der Einfluss einer Primer-Asymmetrie zu analysieren. Zusätzlich sollen Auswirkungen unterschiedlicher </w:t>
      </w:r>
      <w:proofErr w:type="spellStart"/>
      <w:r>
        <w:t>Sondenmodifikation</w:t>
      </w:r>
      <w:proofErr w:type="spellEnd"/>
      <w:r>
        <w:t xml:space="preserve"> charakterisiert werden. Abschließend sollte die Eignung der RT-RPAs in einem simulierten klinischen P</w:t>
      </w:r>
      <w:r>
        <w:t>robenhintergrund getestet werden.</w:t>
      </w:r>
    </w:p>
    <w:p w14:paraId="4CC7C5DE" w14:textId="645F4D8D" w:rsidR="00223662" w:rsidRDefault="00223662">
      <w:pPr>
        <w:ind w:left="17" w:right="4"/>
      </w:pPr>
    </w:p>
    <w:p w14:paraId="372EFB2E" w14:textId="2066EF33" w:rsidR="00223662" w:rsidRDefault="00223662">
      <w:pPr>
        <w:ind w:left="17" w:right="4"/>
      </w:pPr>
    </w:p>
    <w:p w14:paraId="27F3490D" w14:textId="3B46432D" w:rsidR="00223662" w:rsidRDefault="00223662">
      <w:pPr>
        <w:ind w:left="17" w:right="4"/>
      </w:pPr>
    </w:p>
    <w:p w14:paraId="765E9DEA" w14:textId="77777777" w:rsidR="00866A07" w:rsidRDefault="00866A07">
      <w:pPr>
        <w:ind w:left="17" w:right="4"/>
      </w:pPr>
    </w:p>
    <w:p w14:paraId="0829FF10" w14:textId="77777777" w:rsidR="00866A07" w:rsidRDefault="00866A07">
      <w:pPr>
        <w:ind w:left="17" w:right="4"/>
      </w:pPr>
    </w:p>
    <w:p w14:paraId="577AE095" w14:textId="77777777" w:rsidR="00866A07" w:rsidRDefault="00866A07">
      <w:pPr>
        <w:ind w:left="17" w:right="4"/>
      </w:pPr>
    </w:p>
    <w:p w14:paraId="36619630" w14:textId="77777777" w:rsidR="00866A07" w:rsidRDefault="00866A07">
      <w:pPr>
        <w:ind w:left="17" w:right="4"/>
      </w:pPr>
    </w:p>
    <w:p w14:paraId="14584F37" w14:textId="77777777" w:rsidR="00866A07" w:rsidRDefault="00866A07">
      <w:pPr>
        <w:ind w:left="17" w:right="4"/>
      </w:pPr>
    </w:p>
    <w:p w14:paraId="2DDAA3A1" w14:textId="77777777" w:rsidR="00866A07" w:rsidRDefault="00866A07">
      <w:pPr>
        <w:ind w:left="17" w:right="4"/>
      </w:pPr>
    </w:p>
    <w:p w14:paraId="7A9CEC98" w14:textId="77777777" w:rsidR="00866A07" w:rsidRDefault="00866A07">
      <w:pPr>
        <w:ind w:left="17" w:right="4"/>
      </w:pPr>
    </w:p>
    <w:p w14:paraId="76D31D89" w14:textId="77777777" w:rsidR="00866A07" w:rsidRDefault="00866A07">
      <w:pPr>
        <w:ind w:left="17" w:right="4"/>
      </w:pPr>
    </w:p>
    <w:p w14:paraId="3D04E1A7" w14:textId="77777777" w:rsidR="00866A07" w:rsidRDefault="00866A07">
      <w:pPr>
        <w:ind w:left="17" w:right="4"/>
      </w:pPr>
    </w:p>
    <w:p w14:paraId="75BE9C4E" w14:textId="77777777" w:rsidR="00866A07" w:rsidRDefault="00866A07">
      <w:pPr>
        <w:ind w:left="17" w:right="4"/>
      </w:pPr>
    </w:p>
    <w:p w14:paraId="2C72B2DD" w14:textId="77777777" w:rsidR="00866A07" w:rsidRDefault="00866A07">
      <w:pPr>
        <w:ind w:left="17" w:right="4"/>
      </w:pPr>
    </w:p>
    <w:p w14:paraId="2EE1593D" w14:textId="77777777" w:rsidR="00866A07" w:rsidRDefault="00866A07">
      <w:pPr>
        <w:ind w:left="17" w:right="4"/>
      </w:pPr>
    </w:p>
    <w:p w14:paraId="4814B32F" w14:textId="77777777" w:rsidR="00866A07" w:rsidRDefault="00866A07">
      <w:pPr>
        <w:ind w:left="17" w:right="4"/>
      </w:pPr>
    </w:p>
    <w:p w14:paraId="52B7A108" w14:textId="77777777" w:rsidR="00866A07" w:rsidRDefault="00866A07">
      <w:pPr>
        <w:ind w:left="17" w:right="4"/>
      </w:pPr>
    </w:p>
    <w:p w14:paraId="2AAE3830" w14:textId="77777777" w:rsidR="00866A07" w:rsidRDefault="00866A07">
      <w:pPr>
        <w:ind w:left="17" w:right="4"/>
      </w:pPr>
    </w:p>
    <w:p w14:paraId="5063832B" w14:textId="77777777" w:rsidR="00866A07" w:rsidRDefault="00866A07">
      <w:pPr>
        <w:ind w:left="17" w:right="4"/>
      </w:pPr>
    </w:p>
    <w:p w14:paraId="2393FE17" w14:textId="77777777" w:rsidR="00866A07" w:rsidRDefault="00866A07">
      <w:pPr>
        <w:ind w:left="17" w:right="4"/>
      </w:pPr>
    </w:p>
    <w:p w14:paraId="0B4BC484" w14:textId="77777777" w:rsidR="00866A07" w:rsidRDefault="00866A07">
      <w:pPr>
        <w:ind w:left="17" w:right="4"/>
      </w:pPr>
    </w:p>
    <w:p w14:paraId="54E0C3AA" w14:textId="77777777" w:rsidR="00866A07" w:rsidRDefault="00866A07">
      <w:pPr>
        <w:ind w:left="17" w:right="4"/>
      </w:pPr>
    </w:p>
    <w:p w14:paraId="396A85E9" w14:textId="77777777" w:rsidR="00866A07" w:rsidRDefault="00866A07">
      <w:pPr>
        <w:ind w:left="17" w:right="4"/>
      </w:pPr>
    </w:p>
    <w:p w14:paraId="118BEBD1" w14:textId="3FE27BEE" w:rsidR="00223662" w:rsidRDefault="00223662">
      <w:pPr>
        <w:ind w:left="17" w:right="4"/>
      </w:pPr>
    </w:p>
    <w:p w14:paraId="6EB92C7B" w14:textId="50EC4E6A" w:rsidR="00223662" w:rsidRDefault="00223662">
      <w:pPr>
        <w:ind w:left="17" w:right="4"/>
      </w:pPr>
    </w:p>
    <w:p w14:paraId="1489095C" w14:textId="77777777" w:rsidR="00223662" w:rsidRDefault="00223662">
      <w:pPr>
        <w:ind w:left="17" w:right="4"/>
      </w:pPr>
    </w:p>
    <w:p w14:paraId="1DBCA1EF" w14:textId="77777777" w:rsidR="008C7A05" w:rsidRDefault="00866A07">
      <w:pPr>
        <w:spacing w:after="179" w:line="259" w:lineRule="auto"/>
        <w:ind w:left="17" w:right="4"/>
      </w:pPr>
      <w:proofErr w:type="spellStart"/>
      <w:r>
        <w:lastRenderedPageBreak/>
        <w:t>Ableitner</w:t>
      </w:r>
      <w:proofErr w:type="spellEnd"/>
      <w:r>
        <w:t xml:space="preserve"> O. 2018. </w:t>
      </w:r>
      <w:hyperlink r:id="rId12">
        <w:r>
          <w:rPr>
            <w:i/>
            <w:color w:val="4169E1"/>
          </w:rPr>
          <w:t xml:space="preserve">Einführung in die </w:t>
        </w:r>
        <w:proofErr w:type="spellStart"/>
        <w:r>
          <w:rPr>
            <w:i/>
            <w:color w:val="4169E1"/>
          </w:rPr>
          <w:t>molekularbiologie</w:t>
        </w:r>
        <w:proofErr w:type="spellEnd"/>
      </w:hyperlink>
      <w:r>
        <w:t>. Springer Fachmedien Wiesbaden.</w:t>
      </w:r>
    </w:p>
    <w:p w14:paraId="689D02CC" w14:textId="77777777" w:rsidR="008C7A05" w:rsidRPr="00223662" w:rsidRDefault="00866A07">
      <w:pPr>
        <w:ind w:left="321" w:right="4" w:hanging="306"/>
        <w:rPr>
          <w:lang w:val="en-US"/>
        </w:rPr>
      </w:pPr>
      <w:proofErr w:type="spellStart"/>
      <w:r>
        <w:t>Arranz</w:t>
      </w:r>
      <w:proofErr w:type="spellEnd"/>
      <w:r>
        <w:t xml:space="preserve"> R., Coloma R., </w:t>
      </w:r>
      <w:proofErr w:type="spellStart"/>
      <w:r>
        <w:t>Chichón</w:t>
      </w:r>
      <w:proofErr w:type="spellEnd"/>
      <w:r>
        <w:t xml:space="preserve"> F.J., </w:t>
      </w:r>
      <w:proofErr w:type="spellStart"/>
      <w:r>
        <w:t>Conesa</w:t>
      </w:r>
      <w:proofErr w:type="spellEnd"/>
      <w:r>
        <w:t xml:space="preserve"> J.J., </w:t>
      </w:r>
      <w:proofErr w:type="spellStart"/>
      <w:r>
        <w:t>Carrascosa</w:t>
      </w:r>
      <w:proofErr w:type="spellEnd"/>
      <w:r>
        <w:t xml:space="preserve"> J.L., </w:t>
      </w:r>
      <w:proofErr w:type="spellStart"/>
      <w:r>
        <w:t>Valpuesta</w:t>
      </w:r>
      <w:proofErr w:type="spellEnd"/>
      <w:r>
        <w:t xml:space="preserve"> J.M., </w:t>
      </w:r>
      <w:proofErr w:type="spellStart"/>
      <w:r>
        <w:t>Ortı́n</w:t>
      </w:r>
      <w:proofErr w:type="spellEnd"/>
      <w:r>
        <w:t xml:space="preserve"> J. &amp; </w:t>
      </w:r>
      <w:proofErr w:type="spellStart"/>
      <w:r>
        <w:t>Martı́nBenito</w:t>
      </w:r>
      <w:proofErr w:type="spellEnd"/>
      <w:r>
        <w:t xml:space="preserve"> J. 2012. </w:t>
      </w:r>
      <w:r w:rsidRPr="00223662">
        <w:rPr>
          <w:lang w:val="en-US"/>
        </w:rPr>
        <w:t xml:space="preserve">The structure of native influenza virion ribonucleoproteins. </w:t>
      </w:r>
      <w:r w:rsidRPr="00223662">
        <w:rPr>
          <w:i/>
          <w:lang w:val="en-US"/>
        </w:rPr>
        <w:t xml:space="preserve">Science </w:t>
      </w:r>
      <w:r w:rsidRPr="00223662">
        <w:rPr>
          <w:lang w:val="en-US"/>
        </w:rPr>
        <w:t xml:space="preserve">338 (6114): 1634–1637. </w:t>
      </w:r>
      <w:hyperlink r:id="rId13">
        <w:r w:rsidRPr="00223662">
          <w:rPr>
            <w:color w:val="4169E1"/>
            <w:lang w:val="en-US"/>
          </w:rPr>
          <w:t>https://doi.org/10.1126/science.1228172</w:t>
        </w:r>
      </w:hyperlink>
    </w:p>
    <w:p w14:paraId="6A81360E" w14:textId="77777777" w:rsidR="008C7A05" w:rsidRDefault="00866A07">
      <w:pPr>
        <w:ind w:left="321" w:right="4" w:hanging="306"/>
      </w:pPr>
      <w:r w:rsidRPr="00223662">
        <w:rPr>
          <w:lang w:val="en-US"/>
        </w:rPr>
        <w:t xml:space="preserve">Augustine R., Hasan A., Das S., Ahmed R., Mori Y., </w:t>
      </w:r>
      <w:proofErr w:type="spellStart"/>
      <w:r w:rsidRPr="00223662">
        <w:rPr>
          <w:lang w:val="en-US"/>
        </w:rPr>
        <w:t>Notomi</w:t>
      </w:r>
      <w:proofErr w:type="spellEnd"/>
      <w:r w:rsidRPr="00223662">
        <w:rPr>
          <w:lang w:val="en-US"/>
        </w:rPr>
        <w:t xml:space="preserve"> T., </w:t>
      </w:r>
      <w:proofErr w:type="spellStart"/>
      <w:r w:rsidRPr="00223662">
        <w:rPr>
          <w:lang w:val="en-US"/>
        </w:rPr>
        <w:t>Kevadiya</w:t>
      </w:r>
      <w:proofErr w:type="spellEnd"/>
      <w:r w:rsidRPr="00223662">
        <w:rPr>
          <w:lang w:val="en-US"/>
        </w:rPr>
        <w:t xml:space="preserve"> B. &amp; </w:t>
      </w:r>
      <w:proofErr w:type="spellStart"/>
      <w:r w:rsidRPr="00223662">
        <w:rPr>
          <w:lang w:val="en-US"/>
        </w:rPr>
        <w:t>Thakor</w:t>
      </w:r>
      <w:proofErr w:type="spellEnd"/>
      <w:r w:rsidRPr="00223662">
        <w:rPr>
          <w:lang w:val="en-US"/>
        </w:rPr>
        <w:t xml:space="preserve"> A. 2020. </w:t>
      </w:r>
      <w:proofErr w:type="spellStart"/>
      <w:r w:rsidRPr="00223662">
        <w:rPr>
          <w:lang w:val="en-US"/>
        </w:rPr>
        <w:t>Loopmediated</w:t>
      </w:r>
      <w:proofErr w:type="spellEnd"/>
      <w:r w:rsidRPr="00223662">
        <w:rPr>
          <w:lang w:val="en-US"/>
        </w:rPr>
        <w:t xml:space="preserve"> isothermal amplification (LAMP): A rapid, sensitive, specific, an</w:t>
      </w:r>
      <w:r w:rsidRPr="00223662">
        <w:rPr>
          <w:lang w:val="en-US"/>
        </w:rPr>
        <w:t xml:space="preserve">d cost-effective point-of-care test for coronaviruses in the context of COVID-19 pandemic. </w:t>
      </w:r>
      <w:proofErr w:type="spellStart"/>
      <w:r>
        <w:rPr>
          <w:i/>
        </w:rPr>
        <w:t>Biology</w:t>
      </w:r>
      <w:proofErr w:type="spellEnd"/>
      <w:r>
        <w:rPr>
          <w:i/>
        </w:rPr>
        <w:t xml:space="preserve"> </w:t>
      </w:r>
      <w:r>
        <w:t xml:space="preserve">9 (8): 182. </w:t>
      </w:r>
      <w:hyperlink r:id="rId14">
        <w:r>
          <w:rPr>
            <w:color w:val="4169E1"/>
          </w:rPr>
          <w:t xml:space="preserve">https://doi.org/10.339 </w:t>
        </w:r>
      </w:hyperlink>
      <w:hyperlink r:id="rId15">
        <w:r>
          <w:rPr>
            <w:color w:val="4169E1"/>
          </w:rPr>
          <w:t>0/biology9080182</w:t>
        </w:r>
      </w:hyperlink>
    </w:p>
    <w:p w14:paraId="7A03B124" w14:textId="77777777" w:rsidR="008C7A05" w:rsidRPr="00223662" w:rsidRDefault="00866A07">
      <w:pPr>
        <w:ind w:left="321" w:right="4" w:hanging="306"/>
        <w:rPr>
          <w:lang w:val="en-US"/>
        </w:rPr>
      </w:pPr>
      <w:proofErr w:type="spellStart"/>
      <w:r w:rsidRPr="00223662">
        <w:rPr>
          <w:lang w:val="en-US"/>
        </w:rPr>
        <w:t>Axelsen</w:t>
      </w:r>
      <w:proofErr w:type="spellEnd"/>
      <w:r w:rsidRPr="00223662">
        <w:rPr>
          <w:lang w:val="en-US"/>
        </w:rPr>
        <w:t xml:space="preserve"> J.B., </w:t>
      </w:r>
      <w:proofErr w:type="spellStart"/>
      <w:r w:rsidRPr="00223662">
        <w:rPr>
          <w:lang w:val="en-US"/>
        </w:rPr>
        <w:t>Yaari</w:t>
      </w:r>
      <w:proofErr w:type="spellEnd"/>
      <w:r w:rsidRPr="00223662">
        <w:rPr>
          <w:lang w:val="en-US"/>
        </w:rPr>
        <w:t xml:space="preserve"> R., Grenfell B.T. &amp; Stone L. 2014. Multiannual forecasting of seasonal influenza dynamics reveals climatic and evolutionary drivers. </w:t>
      </w:r>
      <w:r w:rsidRPr="00223662">
        <w:rPr>
          <w:i/>
          <w:lang w:val="en-US"/>
        </w:rPr>
        <w:t>Proceedings of the Nation</w:t>
      </w:r>
      <w:r w:rsidRPr="00223662">
        <w:rPr>
          <w:i/>
          <w:lang w:val="en-US"/>
        </w:rPr>
        <w:t xml:space="preserve">al Academy of Sciences </w:t>
      </w:r>
      <w:r w:rsidRPr="00223662">
        <w:rPr>
          <w:lang w:val="en-US"/>
        </w:rPr>
        <w:t xml:space="preserve">111 (26): 9538– 9542. </w:t>
      </w:r>
      <w:hyperlink r:id="rId16">
        <w:r w:rsidRPr="00223662">
          <w:rPr>
            <w:color w:val="4169E1"/>
            <w:lang w:val="en-US"/>
          </w:rPr>
          <w:t>https://doi.org/10.1073/pnas.1321656111</w:t>
        </w:r>
      </w:hyperlink>
    </w:p>
    <w:p w14:paraId="7AAFAE28" w14:textId="77777777" w:rsidR="008C7A05" w:rsidRDefault="00866A07">
      <w:pPr>
        <w:ind w:left="309" w:right="4" w:hanging="294"/>
      </w:pPr>
      <w:r w:rsidRPr="00223662">
        <w:rPr>
          <w:lang w:val="en-US"/>
        </w:rPr>
        <w:t xml:space="preserve">Babu B., Ochoa-Corona F.M. &amp; </w:t>
      </w:r>
      <w:proofErr w:type="spellStart"/>
      <w:r w:rsidRPr="00223662">
        <w:rPr>
          <w:lang w:val="en-US"/>
        </w:rPr>
        <w:t>Paret</w:t>
      </w:r>
      <w:proofErr w:type="spellEnd"/>
      <w:r w:rsidRPr="00223662">
        <w:rPr>
          <w:lang w:val="en-US"/>
        </w:rPr>
        <w:t xml:space="preserve"> M.L. 2018. Recombinase polymerase amplifica</w:t>
      </w:r>
      <w:r w:rsidRPr="00223662">
        <w:rPr>
          <w:lang w:val="en-US"/>
        </w:rPr>
        <w:t xml:space="preserve">tion applied to plant virus detection and potential implications. </w:t>
      </w:r>
      <w:r>
        <w:rPr>
          <w:i/>
        </w:rPr>
        <w:t xml:space="preserve">Analytical </w:t>
      </w:r>
      <w:proofErr w:type="spellStart"/>
      <w:r>
        <w:rPr>
          <w:i/>
        </w:rPr>
        <w:t>Biochemistry</w:t>
      </w:r>
      <w:proofErr w:type="spellEnd"/>
      <w:r>
        <w:rPr>
          <w:i/>
        </w:rPr>
        <w:t xml:space="preserve"> </w:t>
      </w:r>
      <w:r>
        <w:t xml:space="preserve">546: 72–77. </w:t>
      </w:r>
      <w:hyperlink r:id="rId17">
        <w:r>
          <w:rPr>
            <w:color w:val="4169E1"/>
          </w:rPr>
          <w:t xml:space="preserve">https://doi.org/10.1016/ </w:t>
        </w:r>
      </w:hyperlink>
      <w:hyperlink r:id="rId18">
        <w:r>
          <w:rPr>
            <w:color w:val="4169E1"/>
          </w:rPr>
          <w:t>j.ab.2018.01.021</w:t>
        </w:r>
      </w:hyperlink>
    </w:p>
    <w:p w14:paraId="40B92CF1" w14:textId="77777777" w:rsidR="008C7A05" w:rsidRPr="00223662" w:rsidRDefault="00866A07">
      <w:pPr>
        <w:spacing w:after="60" w:line="259" w:lineRule="auto"/>
        <w:ind w:left="40" w:right="0" w:hanging="10"/>
        <w:jc w:val="left"/>
        <w:rPr>
          <w:lang w:val="en-US"/>
        </w:rPr>
      </w:pPr>
      <w:r w:rsidRPr="00223662">
        <w:rPr>
          <w:lang w:val="en-US"/>
        </w:rPr>
        <w:t xml:space="preserve">Bachman J. 2013. </w:t>
      </w:r>
      <w:hyperlink r:id="rId19">
        <w:r w:rsidRPr="00223662">
          <w:rPr>
            <w:color w:val="4169E1"/>
            <w:lang w:val="en-US"/>
          </w:rPr>
          <w:t>Reverse-transcription PCR (RT-PCR)</w:t>
        </w:r>
      </w:hyperlink>
      <w:r w:rsidRPr="00223662">
        <w:rPr>
          <w:lang w:val="en-US"/>
        </w:rPr>
        <w:t xml:space="preserve">. </w:t>
      </w:r>
      <w:r w:rsidRPr="00223662">
        <w:rPr>
          <w:i/>
          <w:lang w:val="en-US"/>
        </w:rPr>
        <w:t>In</w:t>
      </w:r>
      <w:r w:rsidRPr="00223662">
        <w:rPr>
          <w:lang w:val="en-US"/>
        </w:rPr>
        <w:t xml:space="preserve">: </w:t>
      </w:r>
      <w:r w:rsidRPr="00223662">
        <w:rPr>
          <w:i/>
          <w:lang w:val="en-US"/>
        </w:rPr>
        <w:t xml:space="preserve">Laboratory methods </w:t>
      </w:r>
      <w:r w:rsidRPr="00223662">
        <w:rPr>
          <w:i/>
          <w:lang w:val="en-US"/>
        </w:rPr>
        <w:t>in enzymology: RNA</w:t>
      </w:r>
      <w:r w:rsidRPr="00223662">
        <w:rPr>
          <w:lang w:val="en-US"/>
        </w:rPr>
        <w:t>: 67–74.</w:t>
      </w:r>
    </w:p>
    <w:p w14:paraId="1AFDEF7F" w14:textId="77777777" w:rsidR="008C7A05" w:rsidRPr="00223662" w:rsidRDefault="00866A07">
      <w:pPr>
        <w:spacing w:after="171" w:line="259" w:lineRule="auto"/>
        <w:ind w:left="331" w:right="4"/>
        <w:rPr>
          <w:lang w:val="en-US"/>
        </w:rPr>
      </w:pPr>
      <w:r w:rsidRPr="00223662">
        <w:rPr>
          <w:lang w:val="en-US"/>
        </w:rPr>
        <w:t>Elsevier.</w:t>
      </w:r>
    </w:p>
    <w:p w14:paraId="1AD99BBA" w14:textId="77777777" w:rsidR="008C7A05" w:rsidRDefault="00866A07">
      <w:pPr>
        <w:ind w:left="304" w:right="4" w:hanging="289"/>
      </w:pPr>
      <w:r w:rsidRPr="00223662">
        <w:rPr>
          <w:lang w:val="en-US"/>
        </w:rPr>
        <w:t xml:space="preserve">Bai C., Zhong Q. &amp; Gao G.F. 2021. Overview of SARS-CoV-2 genome-encoded proteins. </w:t>
      </w:r>
      <w:r>
        <w:rPr>
          <w:i/>
        </w:rPr>
        <w:t xml:space="preserve">Science China Life Sciences </w:t>
      </w:r>
      <w:r>
        <w:t xml:space="preserve">65 (2): 280–294. </w:t>
      </w:r>
      <w:hyperlink r:id="rId20">
        <w:r>
          <w:rPr>
            <w:color w:val="4169E1"/>
          </w:rPr>
          <w:t>https://doi.org/10.1007/s11427-021-1964-4</w:t>
        </w:r>
      </w:hyperlink>
    </w:p>
    <w:p w14:paraId="2937F814" w14:textId="77777777" w:rsidR="008C7A05" w:rsidRDefault="00866A07">
      <w:pPr>
        <w:ind w:left="314" w:right="4" w:hanging="299"/>
      </w:pPr>
      <w:r>
        <w:t xml:space="preserve">Behrmann O., Bachmann I., Hufert F. &amp; Dame G. 2020. Schnellnachweis von SARS-CoV-2 mit </w:t>
      </w:r>
      <w:proofErr w:type="spellStart"/>
      <w:r>
        <w:t>recombinase</w:t>
      </w:r>
      <w:proofErr w:type="spellEnd"/>
      <w:r>
        <w:t xml:space="preserve"> </w:t>
      </w:r>
      <w:proofErr w:type="spellStart"/>
      <w:r>
        <w:t>polymerase</w:t>
      </w:r>
      <w:proofErr w:type="spellEnd"/>
      <w:r>
        <w:t xml:space="preserve"> </w:t>
      </w:r>
      <w:proofErr w:type="spellStart"/>
      <w:r>
        <w:t>amplification</w:t>
      </w:r>
      <w:proofErr w:type="spellEnd"/>
      <w:r>
        <w:t xml:space="preserve">. </w:t>
      </w:r>
      <w:proofErr w:type="spellStart"/>
      <w:r>
        <w:rPr>
          <w:i/>
        </w:rPr>
        <w:t>BIOspektrum</w:t>
      </w:r>
      <w:proofErr w:type="spellEnd"/>
      <w:r>
        <w:rPr>
          <w:i/>
        </w:rPr>
        <w:t xml:space="preserve"> </w:t>
      </w:r>
      <w:r>
        <w:t xml:space="preserve">26 (6): 624–627. </w:t>
      </w:r>
      <w:hyperlink r:id="rId21">
        <w:r>
          <w:rPr>
            <w:color w:val="4169E1"/>
          </w:rPr>
          <w:t>https://doi.org/10.1007/s12268-020-1458-3</w:t>
        </w:r>
      </w:hyperlink>
    </w:p>
    <w:p w14:paraId="6334D202" w14:textId="77777777" w:rsidR="008C7A05" w:rsidRPr="00223662" w:rsidRDefault="00866A07">
      <w:pPr>
        <w:ind w:left="314" w:right="4" w:hanging="299"/>
        <w:rPr>
          <w:lang w:val="en-US"/>
        </w:rPr>
      </w:pPr>
      <w:r>
        <w:t xml:space="preserve">Boyle D.S., Lehman D.A., Lillis L., Peterson D., </w:t>
      </w:r>
      <w:proofErr w:type="spellStart"/>
      <w:r>
        <w:t>Singhal</w:t>
      </w:r>
      <w:proofErr w:type="spellEnd"/>
      <w:r>
        <w:t xml:space="preserve"> M., Armes N., Parker M., Piepenburg O. &amp; </w:t>
      </w:r>
      <w:proofErr w:type="spellStart"/>
      <w:r>
        <w:t>Overbaugh</w:t>
      </w:r>
      <w:proofErr w:type="spellEnd"/>
      <w:r>
        <w:t xml:space="preserve"> J. 2013. </w:t>
      </w:r>
      <w:r w:rsidRPr="00223662">
        <w:rPr>
          <w:lang w:val="en-US"/>
        </w:rPr>
        <w:t xml:space="preserve">Rapid detection of HIV-1 </w:t>
      </w:r>
      <w:proofErr w:type="spellStart"/>
      <w:r w:rsidRPr="00223662">
        <w:rPr>
          <w:lang w:val="en-US"/>
        </w:rPr>
        <w:t>pr</w:t>
      </w:r>
      <w:r w:rsidRPr="00223662">
        <w:rPr>
          <w:lang w:val="en-US"/>
        </w:rPr>
        <w:t>oviral</w:t>
      </w:r>
      <w:proofErr w:type="spellEnd"/>
      <w:r w:rsidRPr="00223662">
        <w:rPr>
          <w:lang w:val="en-US"/>
        </w:rPr>
        <w:t xml:space="preserve"> DNA for early infant diagnosis using recombinase polymerase amplification. </w:t>
      </w:r>
      <w:r w:rsidRPr="00223662">
        <w:rPr>
          <w:i/>
          <w:lang w:val="en-US"/>
        </w:rPr>
        <w:t xml:space="preserve">mBio </w:t>
      </w:r>
      <w:r w:rsidRPr="00223662">
        <w:rPr>
          <w:lang w:val="en-US"/>
        </w:rPr>
        <w:t xml:space="preserve">4 (2). </w:t>
      </w:r>
      <w:hyperlink r:id="rId22">
        <w:r w:rsidRPr="00223662">
          <w:rPr>
            <w:color w:val="4169E1"/>
            <w:lang w:val="en-US"/>
          </w:rPr>
          <w:t>https://doi.org/10.1128/mbio.00135-13</w:t>
        </w:r>
      </w:hyperlink>
    </w:p>
    <w:p w14:paraId="7C698026" w14:textId="77777777" w:rsidR="008C7A05" w:rsidRPr="00223662" w:rsidRDefault="00866A07">
      <w:pPr>
        <w:ind w:left="314" w:right="4" w:hanging="299"/>
        <w:rPr>
          <w:lang w:val="en-US"/>
        </w:rPr>
      </w:pPr>
      <w:proofErr w:type="spellStart"/>
      <w:r w:rsidRPr="00223662">
        <w:rPr>
          <w:lang w:val="en-US"/>
        </w:rPr>
        <w:t>Brendish</w:t>
      </w:r>
      <w:proofErr w:type="spellEnd"/>
      <w:r w:rsidRPr="00223662">
        <w:rPr>
          <w:lang w:val="en-US"/>
        </w:rPr>
        <w:t xml:space="preserve"> N.J., Schiff H.F. &amp; Clark</w:t>
      </w:r>
      <w:r w:rsidRPr="00223662">
        <w:rPr>
          <w:lang w:val="en-US"/>
        </w:rPr>
        <w:t xml:space="preserve"> T.W. 2015. Point-of-care testing for respiratory viruses in adults: The current landscape and future potential. </w:t>
      </w:r>
      <w:r>
        <w:rPr>
          <w:i/>
        </w:rPr>
        <w:t xml:space="preserve">Journal </w:t>
      </w:r>
      <w:proofErr w:type="spellStart"/>
      <w:r>
        <w:rPr>
          <w:i/>
        </w:rPr>
        <w:t>of</w:t>
      </w:r>
      <w:proofErr w:type="spellEnd"/>
      <w:r>
        <w:rPr>
          <w:i/>
        </w:rPr>
        <w:t xml:space="preserve"> </w:t>
      </w:r>
      <w:proofErr w:type="spellStart"/>
      <w:r>
        <w:rPr>
          <w:i/>
        </w:rPr>
        <w:t>Infection</w:t>
      </w:r>
      <w:proofErr w:type="spellEnd"/>
      <w:r>
        <w:rPr>
          <w:i/>
        </w:rPr>
        <w:t xml:space="preserve"> </w:t>
      </w:r>
      <w:r>
        <w:t xml:space="preserve">71 (5): 501–510. </w:t>
      </w:r>
      <w:hyperlink r:id="rId23">
        <w:r>
          <w:rPr>
            <w:color w:val="4169E1"/>
          </w:rPr>
          <w:t xml:space="preserve">https://doi.org/10.1016/j. </w:t>
        </w:r>
      </w:hyperlink>
      <w:hyperlink r:id="rId24">
        <w:r w:rsidRPr="00223662">
          <w:rPr>
            <w:color w:val="4169E1"/>
            <w:lang w:val="en-US"/>
          </w:rPr>
          <w:t>jinf.2015.07.008</w:t>
        </w:r>
      </w:hyperlink>
    </w:p>
    <w:p w14:paraId="76662172" w14:textId="77777777" w:rsidR="008C7A05" w:rsidRDefault="00866A07">
      <w:pPr>
        <w:ind w:left="314" w:right="4" w:hanging="299"/>
      </w:pPr>
      <w:proofErr w:type="spellStart"/>
      <w:r w:rsidRPr="00223662">
        <w:rPr>
          <w:lang w:val="en-US"/>
        </w:rPr>
        <w:t>Bustin</w:t>
      </w:r>
      <w:proofErr w:type="spellEnd"/>
      <w:r w:rsidRPr="00223662">
        <w:rPr>
          <w:lang w:val="en-US"/>
        </w:rPr>
        <w:t xml:space="preserve"> S. 2000. Absolute quantification of mRNA using real-time reverse transcription polymerase chain reaction assays. </w:t>
      </w:r>
      <w:r>
        <w:rPr>
          <w:i/>
        </w:rPr>
        <w:t>Journa</w:t>
      </w:r>
      <w:r>
        <w:rPr>
          <w:i/>
        </w:rPr>
        <w:t xml:space="preserve">l </w:t>
      </w:r>
      <w:proofErr w:type="spellStart"/>
      <w:r>
        <w:rPr>
          <w:i/>
        </w:rPr>
        <w:t>of</w:t>
      </w:r>
      <w:proofErr w:type="spellEnd"/>
      <w:r>
        <w:rPr>
          <w:i/>
        </w:rPr>
        <w:t xml:space="preserve"> </w:t>
      </w:r>
      <w:proofErr w:type="spellStart"/>
      <w:r>
        <w:rPr>
          <w:i/>
        </w:rPr>
        <w:t>Molecular</w:t>
      </w:r>
      <w:proofErr w:type="spellEnd"/>
      <w:r>
        <w:rPr>
          <w:i/>
        </w:rPr>
        <w:t xml:space="preserve"> </w:t>
      </w:r>
      <w:proofErr w:type="spellStart"/>
      <w:r>
        <w:rPr>
          <w:i/>
        </w:rPr>
        <w:t>Endocrinology</w:t>
      </w:r>
      <w:proofErr w:type="spellEnd"/>
      <w:r>
        <w:rPr>
          <w:i/>
        </w:rPr>
        <w:t xml:space="preserve"> </w:t>
      </w:r>
      <w:r>
        <w:t xml:space="preserve">25 (2): 169–193. </w:t>
      </w:r>
      <w:hyperlink r:id="rId25">
        <w:r>
          <w:rPr>
            <w:color w:val="4169E1"/>
          </w:rPr>
          <w:t xml:space="preserve">https://doi.org/10.1677/jme.0.02 </w:t>
        </w:r>
      </w:hyperlink>
      <w:hyperlink r:id="rId26">
        <w:r>
          <w:rPr>
            <w:color w:val="4169E1"/>
          </w:rPr>
          <w:t>50169</w:t>
        </w:r>
      </w:hyperlink>
    </w:p>
    <w:p w14:paraId="471E0521" w14:textId="77777777" w:rsidR="008C7A05" w:rsidRDefault="00866A07">
      <w:pPr>
        <w:ind w:left="298" w:right="4" w:hanging="283"/>
      </w:pPr>
      <w:proofErr w:type="spellStart"/>
      <w:r w:rsidRPr="00223662">
        <w:rPr>
          <w:lang w:val="en-US"/>
        </w:rPr>
        <w:t>Bustin</w:t>
      </w:r>
      <w:proofErr w:type="spellEnd"/>
      <w:r w:rsidRPr="00223662">
        <w:rPr>
          <w:lang w:val="en-US"/>
        </w:rPr>
        <w:t xml:space="preserve"> S.A., Benes V., Nolan T. &amp; </w:t>
      </w:r>
      <w:proofErr w:type="spellStart"/>
      <w:r w:rsidRPr="00223662">
        <w:rPr>
          <w:lang w:val="en-US"/>
        </w:rPr>
        <w:t>Pfaffl</w:t>
      </w:r>
      <w:proofErr w:type="spellEnd"/>
      <w:r w:rsidRPr="00223662">
        <w:rPr>
          <w:lang w:val="en-US"/>
        </w:rPr>
        <w:t xml:space="preserve"> M.W. 2005. Quantitative real-time RT-PCR – a perspective. </w:t>
      </w:r>
      <w:r>
        <w:rPr>
          <w:i/>
        </w:rPr>
        <w:t xml:space="preserve">Journal </w:t>
      </w:r>
      <w:proofErr w:type="spellStart"/>
      <w:r>
        <w:rPr>
          <w:i/>
        </w:rPr>
        <w:t>of</w:t>
      </w:r>
      <w:proofErr w:type="spellEnd"/>
      <w:r>
        <w:rPr>
          <w:i/>
        </w:rPr>
        <w:t xml:space="preserve"> </w:t>
      </w:r>
      <w:proofErr w:type="spellStart"/>
      <w:r>
        <w:rPr>
          <w:i/>
        </w:rPr>
        <w:t>Molecular</w:t>
      </w:r>
      <w:proofErr w:type="spellEnd"/>
      <w:r>
        <w:rPr>
          <w:i/>
        </w:rPr>
        <w:t xml:space="preserve"> </w:t>
      </w:r>
      <w:proofErr w:type="spellStart"/>
      <w:r>
        <w:rPr>
          <w:i/>
        </w:rPr>
        <w:t>Endocrinology</w:t>
      </w:r>
      <w:proofErr w:type="spellEnd"/>
      <w:r>
        <w:rPr>
          <w:i/>
        </w:rPr>
        <w:t xml:space="preserve"> </w:t>
      </w:r>
      <w:r>
        <w:t xml:space="preserve">34 (3): 597–601. </w:t>
      </w:r>
      <w:hyperlink r:id="rId27">
        <w:r>
          <w:rPr>
            <w:color w:val="4169E1"/>
          </w:rPr>
          <w:t>https://doi.org/10.1677/jme.1.01755</w:t>
        </w:r>
      </w:hyperlink>
    </w:p>
    <w:p w14:paraId="65B7A06C" w14:textId="77777777" w:rsidR="008C7A05" w:rsidRDefault="00866A07">
      <w:pPr>
        <w:ind w:left="314" w:right="4" w:hanging="299"/>
      </w:pPr>
      <w:proofErr w:type="spellStart"/>
      <w:r w:rsidRPr="00223662">
        <w:rPr>
          <w:lang w:val="en-US"/>
        </w:rPr>
        <w:t>Charrel</w:t>
      </w:r>
      <w:proofErr w:type="spellEnd"/>
      <w:r w:rsidRPr="00223662">
        <w:rPr>
          <w:lang w:val="en-US"/>
        </w:rPr>
        <w:t xml:space="preserve"> R.N., </w:t>
      </w:r>
      <w:proofErr w:type="spellStart"/>
      <w:r w:rsidRPr="00223662">
        <w:rPr>
          <w:lang w:val="en-US"/>
        </w:rPr>
        <w:t>Lamballerie</w:t>
      </w:r>
      <w:proofErr w:type="spellEnd"/>
      <w:r w:rsidRPr="00223662">
        <w:rPr>
          <w:lang w:val="en-US"/>
        </w:rPr>
        <w:t xml:space="preserve"> X. de &amp; </w:t>
      </w:r>
      <w:proofErr w:type="spellStart"/>
      <w:r w:rsidRPr="00223662">
        <w:rPr>
          <w:lang w:val="en-US"/>
        </w:rPr>
        <w:t>Raoult</w:t>
      </w:r>
      <w:proofErr w:type="spellEnd"/>
      <w:r w:rsidRPr="00223662">
        <w:rPr>
          <w:lang w:val="en-US"/>
        </w:rPr>
        <w:t xml:space="preserve"> D. 2007. Chikungunya outbreaks — the globalization of </w:t>
      </w:r>
      <w:proofErr w:type="spellStart"/>
      <w:r w:rsidRPr="00223662">
        <w:rPr>
          <w:lang w:val="en-US"/>
        </w:rPr>
        <w:t>vectorborne</w:t>
      </w:r>
      <w:proofErr w:type="spellEnd"/>
      <w:r w:rsidRPr="00223662">
        <w:rPr>
          <w:lang w:val="en-US"/>
        </w:rPr>
        <w:t xml:space="preserve"> diseases. </w:t>
      </w:r>
      <w:r>
        <w:rPr>
          <w:i/>
        </w:rPr>
        <w:t xml:space="preserve">New England Journal </w:t>
      </w:r>
      <w:proofErr w:type="spellStart"/>
      <w:r>
        <w:rPr>
          <w:i/>
        </w:rPr>
        <w:t>of</w:t>
      </w:r>
      <w:proofErr w:type="spellEnd"/>
      <w:r>
        <w:rPr>
          <w:i/>
        </w:rPr>
        <w:t xml:space="preserve"> Medicine </w:t>
      </w:r>
      <w:r>
        <w:t xml:space="preserve">356 (8): 769–771. </w:t>
      </w:r>
      <w:hyperlink r:id="rId28">
        <w:r>
          <w:rPr>
            <w:color w:val="4169E1"/>
          </w:rPr>
          <w:t>https://doi.org/10.1056/nejmp078013</w:t>
        </w:r>
      </w:hyperlink>
    </w:p>
    <w:p w14:paraId="50923C7B" w14:textId="77777777" w:rsidR="008C7A05" w:rsidRDefault="00866A07">
      <w:pPr>
        <w:ind w:left="303" w:right="4" w:hanging="288"/>
      </w:pPr>
      <w:r>
        <w:t xml:space="preserve">Chen R. &amp; Holmes E.C. 2008. </w:t>
      </w:r>
      <w:r w:rsidRPr="00223662">
        <w:rPr>
          <w:lang w:val="en-US"/>
        </w:rPr>
        <w:t xml:space="preserve">The evolutionary dynamics of human influenza b virus. </w:t>
      </w:r>
      <w:r>
        <w:rPr>
          <w:i/>
        </w:rPr>
        <w:t xml:space="preserve">Journal </w:t>
      </w:r>
      <w:proofErr w:type="spellStart"/>
      <w:r>
        <w:rPr>
          <w:i/>
        </w:rPr>
        <w:t>of</w:t>
      </w:r>
      <w:proofErr w:type="spellEnd"/>
      <w:r>
        <w:rPr>
          <w:i/>
        </w:rPr>
        <w:t xml:space="preserve"> </w:t>
      </w:r>
      <w:proofErr w:type="spellStart"/>
      <w:r>
        <w:rPr>
          <w:i/>
        </w:rPr>
        <w:t>Molecular</w:t>
      </w:r>
      <w:proofErr w:type="spellEnd"/>
      <w:r>
        <w:rPr>
          <w:i/>
        </w:rPr>
        <w:t xml:space="preserve"> Evolution </w:t>
      </w:r>
      <w:r>
        <w:t xml:space="preserve">66 (6): 655–663. </w:t>
      </w:r>
      <w:hyperlink r:id="rId29">
        <w:r>
          <w:rPr>
            <w:color w:val="4169E1"/>
          </w:rPr>
          <w:t>https://doi.org/10.1007/s00239-</w:t>
        </w:r>
        <w:r>
          <w:rPr>
            <w:color w:val="4169E1"/>
          </w:rPr>
          <w:t>008-9119-z</w:t>
        </w:r>
      </w:hyperlink>
    </w:p>
    <w:p w14:paraId="15270E15" w14:textId="77777777" w:rsidR="008C7A05" w:rsidRPr="00223662" w:rsidRDefault="00866A07">
      <w:pPr>
        <w:ind w:left="314" w:right="4" w:hanging="299"/>
        <w:rPr>
          <w:lang w:val="en-US"/>
        </w:rPr>
      </w:pPr>
      <w:r>
        <w:t xml:space="preserve">Chen X., Liu S., </w:t>
      </w:r>
      <w:proofErr w:type="spellStart"/>
      <w:r>
        <w:t>Goraya</w:t>
      </w:r>
      <w:proofErr w:type="spellEnd"/>
      <w:r>
        <w:t xml:space="preserve"> M.U., Maarouf M., Huang S. &amp; Chen J.-L. 2018. </w:t>
      </w:r>
      <w:r w:rsidRPr="00223662">
        <w:rPr>
          <w:lang w:val="en-US"/>
        </w:rPr>
        <w:t xml:space="preserve">Host immune response to influenza a virus infection. </w:t>
      </w:r>
      <w:r w:rsidRPr="00223662">
        <w:rPr>
          <w:i/>
          <w:lang w:val="en-US"/>
        </w:rPr>
        <w:t xml:space="preserve">Frontiers in Immunology </w:t>
      </w:r>
      <w:r w:rsidRPr="00223662">
        <w:rPr>
          <w:lang w:val="en-US"/>
        </w:rPr>
        <w:t xml:space="preserve">9. </w:t>
      </w:r>
      <w:hyperlink r:id="rId30">
        <w:r w:rsidRPr="00223662">
          <w:rPr>
            <w:color w:val="4169E1"/>
            <w:lang w:val="en-US"/>
          </w:rPr>
          <w:t>ht</w:t>
        </w:r>
        <w:r w:rsidRPr="00223662">
          <w:rPr>
            <w:color w:val="4169E1"/>
            <w:lang w:val="en-US"/>
          </w:rPr>
          <w:t>tps://doi.org/10.3389/fimmu.2018.00320</w:t>
        </w:r>
      </w:hyperlink>
    </w:p>
    <w:p w14:paraId="1653F57A" w14:textId="77777777" w:rsidR="008C7A05" w:rsidRPr="00223662" w:rsidRDefault="00866A07">
      <w:pPr>
        <w:ind w:left="303" w:right="4" w:hanging="288"/>
        <w:rPr>
          <w:lang w:val="en-US"/>
        </w:rPr>
      </w:pPr>
      <w:proofErr w:type="spellStart"/>
      <w:r w:rsidRPr="00223662">
        <w:rPr>
          <w:lang w:val="en-US"/>
        </w:rPr>
        <w:t>Chlanda</w:t>
      </w:r>
      <w:proofErr w:type="spellEnd"/>
      <w:r w:rsidRPr="00223662">
        <w:rPr>
          <w:lang w:val="en-US"/>
        </w:rPr>
        <w:t xml:space="preserve"> P. &amp; </w:t>
      </w:r>
      <w:proofErr w:type="spellStart"/>
      <w:r w:rsidRPr="00223662">
        <w:rPr>
          <w:lang w:val="en-US"/>
        </w:rPr>
        <w:t>Zimmerberg</w:t>
      </w:r>
      <w:proofErr w:type="spellEnd"/>
      <w:r w:rsidRPr="00223662">
        <w:rPr>
          <w:lang w:val="en-US"/>
        </w:rPr>
        <w:t xml:space="preserve"> J. 2016. Protein-lipid interactions critical to replication of the influenza a virus. </w:t>
      </w:r>
      <w:r w:rsidRPr="00223662">
        <w:rPr>
          <w:i/>
          <w:lang w:val="en-US"/>
        </w:rPr>
        <w:t xml:space="preserve">FEBS Letters </w:t>
      </w:r>
      <w:r w:rsidRPr="00223662">
        <w:rPr>
          <w:lang w:val="en-US"/>
        </w:rPr>
        <w:t xml:space="preserve">590 (13): 1940–1954. </w:t>
      </w:r>
      <w:hyperlink r:id="rId31">
        <w:r w:rsidRPr="00223662">
          <w:rPr>
            <w:color w:val="4169E1"/>
            <w:lang w:val="en-US"/>
          </w:rPr>
          <w:t>https://doi.org/10.1002/1873-3468.12118</w:t>
        </w:r>
      </w:hyperlink>
    </w:p>
    <w:p w14:paraId="2DFD057D" w14:textId="77777777" w:rsidR="008C7A05" w:rsidRPr="00223662" w:rsidRDefault="00866A07">
      <w:pPr>
        <w:ind w:left="314" w:right="4" w:hanging="299"/>
        <w:rPr>
          <w:lang w:val="en-US"/>
        </w:rPr>
      </w:pPr>
      <w:r w:rsidRPr="00223662">
        <w:rPr>
          <w:lang w:val="en-US"/>
        </w:rPr>
        <w:lastRenderedPageBreak/>
        <w:t xml:space="preserve">Chow E.J., Doyle J.D. &amp; </w:t>
      </w:r>
      <w:proofErr w:type="spellStart"/>
      <w:r w:rsidRPr="00223662">
        <w:rPr>
          <w:lang w:val="en-US"/>
        </w:rPr>
        <w:t>Uyeki</w:t>
      </w:r>
      <w:proofErr w:type="spellEnd"/>
      <w:r w:rsidRPr="00223662">
        <w:rPr>
          <w:lang w:val="en-US"/>
        </w:rPr>
        <w:t xml:space="preserve"> T.M. 2019. Influenza virus-related critical illness: Prevention, diagnosis, treatment. </w:t>
      </w:r>
      <w:r w:rsidRPr="00223662">
        <w:rPr>
          <w:i/>
          <w:lang w:val="en-US"/>
        </w:rPr>
        <w:t xml:space="preserve">Critical Care </w:t>
      </w:r>
      <w:r w:rsidRPr="00223662">
        <w:rPr>
          <w:lang w:val="en-US"/>
        </w:rPr>
        <w:t xml:space="preserve">23 (1). </w:t>
      </w:r>
      <w:hyperlink r:id="rId32">
        <w:r w:rsidRPr="00223662">
          <w:rPr>
            <w:color w:val="4169E1"/>
            <w:lang w:val="en-US"/>
          </w:rPr>
          <w:t>https://doi.org/10.1186/s13054-019-2491-9</w:t>
        </w:r>
      </w:hyperlink>
    </w:p>
    <w:p w14:paraId="5EC860C7" w14:textId="77777777" w:rsidR="008C7A05" w:rsidRDefault="00866A07">
      <w:pPr>
        <w:ind w:left="314" w:right="4" w:hanging="299"/>
      </w:pPr>
      <w:r w:rsidRPr="00223662">
        <w:rPr>
          <w:lang w:val="en-US"/>
        </w:rPr>
        <w:t xml:space="preserve">Compton J. 1991. Nucleic acid sequence-based amplification. </w:t>
      </w:r>
      <w:r>
        <w:rPr>
          <w:i/>
        </w:rPr>
        <w:t xml:space="preserve">Nature </w:t>
      </w:r>
      <w:r>
        <w:t xml:space="preserve">350 (6313): 91–92. </w:t>
      </w:r>
      <w:hyperlink r:id="rId33">
        <w:r>
          <w:rPr>
            <w:color w:val="4169E1"/>
          </w:rPr>
          <w:t>https:</w:t>
        </w:r>
        <w:r>
          <w:rPr>
            <w:color w:val="4169E1"/>
          </w:rPr>
          <w:t xml:space="preserve">//doi.org/10 </w:t>
        </w:r>
      </w:hyperlink>
      <w:hyperlink r:id="rId34">
        <w:r>
          <w:rPr>
            <w:color w:val="4169E1"/>
          </w:rPr>
          <w:t>.1038/350091a0</w:t>
        </w:r>
      </w:hyperlink>
    </w:p>
    <w:p w14:paraId="4835A05D" w14:textId="77777777" w:rsidR="008C7A05" w:rsidRDefault="00866A07">
      <w:pPr>
        <w:spacing w:after="50" w:line="259" w:lineRule="auto"/>
        <w:ind w:left="17" w:right="4"/>
      </w:pPr>
      <w:proofErr w:type="spellStart"/>
      <w:r>
        <w:t>Cosar</w:t>
      </w:r>
      <w:proofErr w:type="spellEnd"/>
      <w:r>
        <w:t xml:space="preserve"> B., </w:t>
      </w:r>
      <w:proofErr w:type="spellStart"/>
      <w:r>
        <w:t>Karagulleoglu</w:t>
      </w:r>
      <w:proofErr w:type="spellEnd"/>
      <w:r>
        <w:t xml:space="preserve"> Z.Y., Unal S., Ince A.T., </w:t>
      </w:r>
      <w:proofErr w:type="spellStart"/>
      <w:r>
        <w:t>Uncuoglu</w:t>
      </w:r>
      <w:proofErr w:type="spellEnd"/>
      <w:r>
        <w:t xml:space="preserve"> D.B., Tuncer G., Kilinc B.R., </w:t>
      </w:r>
      <w:proofErr w:type="spellStart"/>
      <w:r>
        <w:t>Ozkan</w:t>
      </w:r>
      <w:proofErr w:type="spellEnd"/>
      <w:r>
        <w:t xml:space="preserve"> Y.E., </w:t>
      </w:r>
      <w:proofErr w:type="spellStart"/>
      <w:r>
        <w:t>Ozkoc</w:t>
      </w:r>
      <w:proofErr w:type="spellEnd"/>
    </w:p>
    <w:p w14:paraId="4C55E31B" w14:textId="77777777" w:rsidR="008C7A05" w:rsidRDefault="00866A07">
      <w:pPr>
        <w:ind w:left="331" w:right="4"/>
      </w:pPr>
      <w:r>
        <w:t xml:space="preserve">H.C., Demir I.N., Eker A., </w:t>
      </w:r>
      <w:proofErr w:type="spellStart"/>
      <w:r>
        <w:t>Karagoz</w:t>
      </w:r>
      <w:proofErr w:type="spellEnd"/>
      <w:r>
        <w:t xml:space="preserve"> F., Simsek S.Y., Yasar B., Pala M., Demir A., Atak I.N., </w:t>
      </w:r>
      <w:proofErr w:type="spellStart"/>
      <w:r>
        <w:t>Mendi</w:t>
      </w:r>
      <w:proofErr w:type="spellEnd"/>
      <w:r>
        <w:t xml:space="preserve"> A.H., Bengi V.U., Seval G.C., Altuntas E.G., Kilic P. &amp; Demir-Dora D. 2022. </w:t>
      </w:r>
      <w:r w:rsidRPr="00223662">
        <w:rPr>
          <w:lang w:val="en-US"/>
        </w:rPr>
        <w:t xml:space="preserve">SARS-CoV-2 mutations and their viral variants. </w:t>
      </w:r>
      <w:r w:rsidRPr="00223662">
        <w:rPr>
          <w:i/>
          <w:lang w:val="en-US"/>
        </w:rPr>
        <w:t>Cytokine &amp;amp</w:t>
      </w:r>
      <w:r w:rsidRPr="00223662">
        <w:rPr>
          <w:lang w:val="en-US"/>
        </w:rPr>
        <w:t xml:space="preserve">; </w:t>
      </w:r>
      <w:r w:rsidRPr="00223662">
        <w:rPr>
          <w:i/>
          <w:lang w:val="en-US"/>
        </w:rPr>
        <w:t>Growth Factor Revie</w:t>
      </w:r>
      <w:r w:rsidRPr="00223662">
        <w:rPr>
          <w:i/>
          <w:lang w:val="en-US"/>
        </w:rPr>
        <w:t xml:space="preserve">ws </w:t>
      </w:r>
      <w:r w:rsidRPr="00223662">
        <w:rPr>
          <w:lang w:val="en-US"/>
        </w:rPr>
        <w:t xml:space="preserve">63: 10–22. </w:t>
      </w:r>
      <w:hyperlink r:id="rId35">
        <w:r>
          <w:rPr>
            <w:color w:val="4169E1"/>
          </w:rPr>
          <w:t xml:space="preserve">https://doi.org/10.1016/j.cytogf </w:t>
        </w:r>
      </w:hyperlink>
      <w:hyperlink r:id="rId36">
        <w:r>
          <w:rPr>
            <w:color w:val="4169E1"/>
          </w:rPr>
          <w:t>r.2021.06.001</w:t>
        </w:r>
      </w:hyperlink>
    </w:p>
    <w:p w14:paraId="15F65C0D" w14:textId="77777777" w:rsidR="008C7A05" w:rsidRDefault="00866A07">
      <w:pPr>
        <w:ind w:left="309" w:right="4" w:hanging="294"/>
      </w:pPr>
      <w:r>
        <w:t xml:space="preserve">Daher R.K., Stewart G., </w:t>
      </w:r>
      <w:proofErr w:type="spellStart"/>
      <w:r>
        <w:t>Boissinot</w:t>
      </w:r>
      <w:proofErr w:type="spellEnd"/>
      <w:r>
        <w:t xml:space="preserve"> M. &amp; Bergeron M.G. 2016. </w:t>
      </w:r>
      <w:r w:rsidRPr="00223662">
        <w:rPr>
          <w:lang w:val="en-US"/>
        </w:rPr>
        <w:t xml:space="preserve">Recombinase polymerase amplification for diagnostic applications. </w:t>
      </w:r>
      <w:r>
        <w:rPr>
          <w:i/>
        </w:rPr>
        <w:t xml:space="preserve">Clinical Chemistry </w:t>
      </w:r>
      <w:r>
        <w:t>62</w:t>
      </w:r>
      <w:r>
        <w:t xml:space="preserve"> (7): 947–958. </w:t>
      </w:r>
      <w:hyperlink r:id="rId37">
        <w:r>
          <w:rPr>
            <w:color w:val="4169E1"/>
          </w:rPr>
          <w:t xml:space="preserve">https://doi.org/10.1373/clinchem.2015.2458 </w:t>
        </w:r>
      </w:hyperlink>
      <w:hyperlink r:id="rId38">
        <w:r>
          <w:rPr>
            <w:color w:val="4169E1"/>
          </w:rPr>
          <w:t>29</w:t>
        </w:r>
      </w:hyperlink>
    </w:p>
    <w:p w14:paraId="27361F03" w14:textId="77777777" w:rsidR="008C7A05" w:rsidRDefault="00866A07">
      <w:pPr>
        <w:ind w:left="314" w:right="4" w:hanging="299"/>
      </w:pPr>
      <w:proofErr w:type="spellStart"/>
      <w:r w:rsidRPr="00223662">
        <w:rPr>
          <w:lang w:val="en-US"/>
        </w:rPr>
        <w:t>Deiman</w:t>
      </w:r>
      <w:proofErr w:type="spellEnd"/>
      <w:r w:rsidRPr="00223662">
        <w:rPr>
          <w:lang w:val="en-US"/>
        </w:rPr>
        <w:t xml:space="preserve"> B., </w:t>
      </w:r>
      <w:proofErr w:type="spellStart"/>
      <w:r w:rsidRPr="00223662">
        <w:rPr>
          <w:lang w:val="en-US"/>
        </w:rPr>
        <w:t>Aarle</w:t>
      </w:r>
      <w:proofErr w:type="spellEnd"/>
      <w:r w:rsidRPr="00223662">
        <w:rPr>
          <w:lang w:val="en-US"/>
        </w:rPr>
        <w:t xml:space="preserve"> P. van &amp; </w:t>
      </w:r>
      <w:proofErr w:type="spellStart"/>
      <w:r w:rsidRPr="00223662">
        <w:rPr>
          <w:lang w:val="en-US"/>
        </w:rPr>
        <w:t>Sillekens</w:t>
      </w:r>
      <w:proofErr w:type="spellEnd"/>
      <w:r w:rsidRPr="00223662">
        <w:rPr>
          <w:lang w:val="en-US"/>
        </w:rPr>
        <w:t xml:space="preserve"> P. 2002. Characteristics and applications of nucleic acid sequence-based amplification (NASBA). </w:t>
      </w:r>
      <w:proofErr w:type="spellStart"/>
      <w:r>
        <w:rPr>
          <w:i/>
        </w:rPr>
        <w:t>Molecular</w:t>
      </w:r>
      <w:proofErr w:type="spellEnd"/>
      <w:r>
        <w:rPr>
          <w:i/>
        </w:rPr>
        <w:t xml:space="preserve"> Biotechnology </w:t>
      </w:r>
      <w:r>
        <w:t xml:space="preserve">20 (2): 163–180. </w:t>
      </w:r>
      <w:hyperlink r:id="rId39">
        <w:r>
          <w:rPr>
            <w:color w:val="4169E1"/>
          </w:rPr>
          <w:t>https://doi.org/10.1385/mb:20:</w:t>
        </w:r>
        <w:r>
          <w:rPr>
            <w:color w:val="4169E1"/>
          </w:rPr>
          <w:t>2:163</w:t>
        </w:r>
      </w:hyperlink>
    </w:p>
    <w:p w14:paraId="62508A15" w14:textId="77777777" w:rsidR="008C7A05" w:rsidRPr="00223662" w:rsidRDefault="00866A07">
      <w:pPr>
        <w:ind w:left="309" w:right="4" w:hanging="294"/>
        <w:rPr>
          <w:lang w:val="en-US"/>
        </w:rPr>
      </w:pPr>
      <w:proofErr w:type="spellStart"/>
      <w:r w:rsidRPr="00223662">
        <w:rPr>
          <w:lang w:val="en-US"/>
        </w:rPr>
        <w:t>Dharmapalan</w:t>
      </w:r>
      <w:proofErr w:type="spellEnd"/>
      <w:r w:rsidRPr="00223662">
        <w:rPr>
          <w:lang w:val="en-US"/>
        </w:rPr>
        <w:t xml:space="preserve"> D. 2020. Influenza. </w:t>
      </w:r>
      <w:r w:rsidRPr="00223662">
        <w:rPr>
          <w:i/>
          <w:lang w:val="en-US"/>
        </w:rPr>
        <w:t xml:space="preserve">The Indian Journal of Pediatrics </w:t>
      </w:r>
      <w:r w:rsidRPr="00223662">
        <w:rPr>
          <w:lang w:val="en-US"/>
        </w:rPr>
        <w:t xml:space="preserve">87 (10): 828–832. </w:t>
      </w:r>
      <w:hyperlink r:id="rId40">
        <w:r w:rsidRPr="00223662">
          <w:rPr>
            <w:color w:val="4169E1"/>
            <w:lang w:val="en-US"/>
          </w:rPr>
          <w:t xml:space="preserve">https://doi.org/10.100 </w:t>
        </w:r>
      </w:hyperlink>
      <w:hyperlink r:id="rId41">
        <w:r w:rsidRPr="00223662">
          <w:rPr>
            <w:color w:val="4169E1"/>
            <w:lang w:val="en-US"/>
          </w:rPr>
          <w:t>7/s12098-020-03214-1</w:t>
        </w:r>
      </w:hyperlink>
    </w:p>
    <w:p w14:paraId="46CE3938" w14:textId="77777777" w:rsidR="008C7A05" w:rsidRPr="00223662" w:rsidRDefault="00866A07">
      <w:pPr>
        <w:ind w:left="304" w:right="4" w:hanging="289"/>
        <w:rPr>
          <w:lang w:val="en-US"/>
        </w:rPr>
      </w:pPr>
      <w:r w:rsidRPr="00223662">
        <w:rPr>
          <w:lang w:val="en-US"/>
        </w:rPr>
        <w:t xml:space="preserve">Firth A.E. &amp; Brierley I. 2012. Non-canonical translation in RNA viruses. </w:t>
      </w:r>
      <w:r w:rsidRPr="00223662">
        <w:rPr>
          <w:i/>
          <w:lang w:val="en-US"/>
        </w:rPr>
        <w:t xml:space="preserve">Journal of General Virology </w:t>
      </w:r>
      <w:r w:rsidRPr="00223662">
        <w:rPr>
          <w:lang w:val="en-US"/>
        </w:rPr>
        <w:t xml:space="preserve">93 (7): 1385–1409. </w:t>
      </w:r>
      <w:hyperlink r:id="rId42">
        <w:r w:rsidRPr="00223662">
          <w:rPr>
            <w:color w:val="4169E1"/>
            <w:lang w:val="en-US"/>
          </w:rPr>
          <w:t>https://doi.org/10.1099/vir.0.042499-0</w:t>
        </w:r>
      </w:hyperlink>
    </w:p>
    <w:p w14:paraId="70760144" w14:textId="77777777" w:rsidR="008C7A05" w:rsidRPr="00223662" w:rsidRDefault="00866A07">
      <w:pPr>
        <w:ind w:left="314" w:right="4" w:hanging="299"/>
        <w:rPr>
          <w:lang w:val="en-US"/>
        </w:rPr>
      </w:pPr>
      <w:proofErr w:type="spellStart"/>
      <w:r w:rsidRPr="00223662">
        <w:rPr>
          <w:lang w:val="en-US"/>
        </w:rPr>
        <w:t>Foni</w:t>
      </w:r>
      <w:proofErr w:type="spellEnd"/>
      <w:r w:rsidRPr="00223662">
        <w:rPr>
          <w:lang w:val="en-US"/>
        </w:rPr>
        <w:t xml:space="preserve"> E., </w:t>
      </w:r>
      <w:proofErr w:type="spellStart"/>
      <w:r w:rsidRPr="00223662">
        <w:rPr>
          <w:lang w:val="en-US"/>
        </w:rPr>
        <w:t>Chiapponi</w:t>
      </w:r>
      <w:proofErr w:type="spellEnd"/>
      <w:r w:rsidRPr="00223662">
        <w:rPr>
          <w:lang w:val="en-US"/>
        </w:rPr>
        <w:t xml:space="preserve"> C., </w:t>
      </w:r>
      <w:proofErr w:type="spellStart"/>
      <w:r w:rsidRPr="00223662">
        <w:rPr>
          <w:lang w:val="en-US"/>
        </w:rPr>
        <w:t>Baioni</w:t>
      </w:r>
      <w:proofErr w:type="spellEnd"/>
      <w:r w:rsidRPr="00223662">
        <w:rPr>
          <w:lang w:val="en-US"/>
        </w:rPr>
        <w:t xml:space="preserve"> L., </w:t>
      </w:r>
      <w:proofErr w:type="spellStart"/>
      <w:r w:rsidRPr="00223662">
        <w:rPr>
          <w:lang w:val="en-US"/>
        </w:rPr>
        <w:t>Zanni</w:t>
      </w:r>
      <w:proofErr w:type="spellEnd"/>
      <w:r w:rsidRPr="00223662">
        <w:rPr>
          <w:lang w:val="en-US"/>
        </w:rPr>
        <w:t xml:space="preserve"> I., Merenda M., </w:t>
      </w:r>
      <w:proofErr w:type="spellStart"/>
      <w:r w:rsidRPr="00223662">
        <w:rPr>
          <w:lang w:val="en-US"/>
        </w:rPr>
        <w:t>Rosignoli</w:t>
      </w:r>
      <w:proofErr w:type="spellEnd"/>
      <w:r w:rsidRPr="00223662">
        <w:rPr>
          <w:lang w:val="en-US"/>
        </w:rPr>
        <w:t xml:space="preserve"> C., </w:t>
      </w:r>
      <w:proofErr w:type="spellStart"/>
      <w:r w:rsidRPr="00223662">
        <w:rPr>
          <w:lang w:val="en-US"/>
        </w:rPr>
        <w:t>Kyriakis</w:t>
      </w:r>
      <w:proofErr w:type="spellEnd"/>
      <w:r w:rsidRPr="00223662">
        <w:rPr>
          <w:lang w:val="en-US"/>
        </w:rPr>
        <w:t xml:space="preserve"> C.S., </w:t>
      </w:r>
      <w:proofErr w:type="spellStart"/>
      <w:r w:rsidRPr="00223662">
        <w:rPr>
          <w:lang w:val="en-US"/>
        </w:rPr>
        <w:t>Luini</w:t>
      </w:r>
      <w:proofErr w:type="spellEnd"/>
      <w:r w:rsidRPr="00223662">
        <w:rPr>
          <w:lang w:val="en-US"/>
        </w:rPr>
        <w:t xml:space="preserve"> M.V., Mandola M.L., </w:t>
      </w:r>
      <w:proofErr w:type="spellStart"/>
      <w:r w:rsidRPr="00223662">
        <w:rPr>
          <w:lang w:val="en-US"/>
        </w:rPr>
        <w:t>Bolzoni</w:t>
      </w:r>
      <w:proofErr w:type="spellEnd"/>
      <w:r w:rsidRPr="00223662">
        <w:rPr>
          <w:lang w:val="en-US"/>
        </w:rPr>
        <w:t xml:space="preserve"> L., </w:t>
      </w:r>
      <w:proofErr w:type="spellStart"/>
      <w:r w:rsidRPr="00223662">
        <w:rPr>
          <w:lang w:val="en-US"/>
        </w:rPr>
        <w:t>Nigrelli</w:t>
      </w:r>
      <w:proofErr w:type="spellEnd"/>
      <w:r w:rsidRPr="00223662">
        <w:rPr>
          <w:lang w:val="en-US"/>
        </w:rPr>
        <w:t xml:space="preserve"> A.D. &amp; Faccini S. 2017. In</w:t>
      </w:r>
      <w:r w:rsidRPr="00223662">
        <w:rPr>
          <w:lang w:val="en-US"/>
        </w:rPr>
        <w:t xml:space="preserve">fluenza d in </w:t>
      </w:r>
      <w:proofErr w:type="spellStart"/>
      <w:r w:rsidRPr="00223662">
        <w:rPr>
          <w:lang w:val="en-US"/>
        </w:rPr>
        <w:t>italy</w:t>
      </w:r>
      <w:proofErr w:type="spellEnd"/>
      <w:r w:rsidRPr="00223662">
        <w:rPr>
          <w:lang w:val="en-US"/>
        </w:rPr>
        <w:t xml:space="preserve">: Towards a better understanding of an emerging viral infection in swine. </w:t>
      </w:r>
      <w:r w:rsidRPr="00223662">
        <w:rPr>
          <w:i/>
          <w:lang w:val="en-US"/>
        </w:rPr>
        <w:t xml:space="preserve">Scientific Reports </w:t>
      </w:r>
      <w:r w:rsidRPr="00223662">
        <w:rPr>
          <w:lang w:val="en-US"/>
        </w:rPr>
        <w:t xml:space="preserve">7 (1). </w:t>
      </w:r>
      <w:hyperlink r:id="rId43">
        <w:r w:rsidRPr="00223662">
          <w:rPr>
            <w:color w:val="4169E1"/>
            <w:lang w:val="en-US"/>
          </w:rPr>
          <w:t>https://doi.org/10.1038/s41598-017-12012-3</w:t>
        </w:r>
      </w:hyperlink>
    </w:p>
    <w:p w14:paraId="7A1B8B6E" w14:textId="77777777" w:rsidR="008C7A05" w:rsidRPr="00223662" w:rsidRDefault="00866A07">
      <w:pPr>
        <w:ind w:left="314" w:right="4" w:hanging="299"/>
        <w:rPr>
          <w:lang w:val="en-US"/>
        </w:rPr>
      </w:pPr>
      <w:proofErr w:type="spellStart"/>
      <w:r w:rsidRPr="00223662">
        <w:rPr>
          <w:lang w:val="en-US"/>
        </w:rPr>
        <w:t>Gaňová</w:t>
      </w:r>
      <w:proofErr w:type="spellEnd"/>
      <w:r w:rsidRPr="00223662">
        <w:rPr>
          <w:lang w:val="en-US"/>
        </w:rPr>
        <w:t xml:space="preserve"> M., Zhang H., Zhu H., </w:t>
      </w:r>
      <w:proofErr w:type="spellStart"/>
      <w:r w:rsidRPr="00223662">
        <w:rPr>
          <w:lang w:val="en-US"/>
        </w:rPr>
        <w:t>Korabečná</w:t>
      </w:r>
      <w:proofErr w:type="spellEnd"/>
      <w:r w:rsidRPr="00223662">
        <w:rPr>
          <w:lang w:val="en-US"/>
        </w:rPr>
        <w:t xml:space="preserve"> M. &amp; </w:t>
      </w:r>
      <w:proofErr w:type="spellStart"/>
      <w:r w:rsidRPr="00223662">
        <w:rPr>
          <w:lang w:val="en-US"/>
        </w:rPr>
        <w:t>Neužil</w:t>
      </w:r>
      <w:proofErr w:type="spellEnd"/>
      <w:r w:rsidRPr="00223662">
        <w:rPr>
          <w:lang w:val="en-US"/>
        </w:rPr>
        <w:t xml:space="preserve"> P. 2021. Multiplexed digital polymerase chain reaction as a powerful diagnostic tool. </w:t>
      </w:r>
      <w:r w:rsidRPr="00223662">
        <w:rPr>
          <w:i/>
          <w:lang w:val="en-US"/>
        </w:rPr>
        <w:t xml:space="preserve">Biosensors and Bioelectronics </w:t>
      </w:r>
      <w:r w:rsidRPr="00223662">
        <w:rPr>
          <w:lang w:val="en-US"/>
        </w:rPr>
        <w:t xml:space="preserve">181: 113155. </w:t>
      </w:r>
      <w:hyperlink r:id="rId44">
        <w:r w:rsidRPr="00223662">
          <w:rPr>
            <w:color w:val="4169E1"/>
            <w:lang w:val="en-US"/>
          </w:rPr>
          <w:t xml:space="preserve">https://doi.org/10.1016/j.bios </w:t>
        </w:r>
      </w:hyperlink>
      <w:hyperlink r:id="rId45">
        <w:r w:rsidRPr="00223662">
          <w:rPr>
            <w:color w:val="4169E1"/>
            <w:lang w:val="en-US"/>
          </w:rPr>
          <w:t>.2021.113155</w:t>
        </w:r>
      </w:hyperlink>
    </w:p>
    <w:p w14:paraId="0DC0F360" w14:textId="77777777" w:rsidR="008C7A05" w:rsidRDefault="00866A07">
      <w:pPr>
        <w:ind w:left="314" w:right="4" w:hanging="299"/>
      </w:pPr>
      <w:r w:rsidRPr="00223662">
        <w:rPr>
          <w:lang w:val="en-US"/>
        </w:rPr>
        <w:t xml:space="preserve">Goble J.A. &amp; </w:t>
      </w:r>
      <w:proofErr w:type="spellStart"/>
      <w:r w:rsidRPr="00223662">
        <w:rPr>
          <w:lang w:val="en-US"/>
        </w:rPr>
        <w:t>Rocafort</w:t>
      </w:r>
      <w:proofErr w:type="spellEnd"/>
      <w:r w:rsidRPr="00223662">
        <w:rPr>
          <w:lang w:val="en-US"/>
        </w:rPr>
        <w:t xml:space="preserve"> </w:t>
      </w:r>
      <w:r w:rsidRPr="00223662">
        <w:rPr>
          <w:lang w:val="en-US"/>
        </w:rPr>
        <w:t xml:space="preserve">P.T. 2016. Point-of-care testing. </w:t>
      </w:r>
      <w:r w:rsidRPr="00223662">
        <w:rPr>
          <w:i/>
          <w:lang w:val="en-US"/>
        </w:rPr>
        <w:t xml:space="preserve">Journal of Pharmacy Practice </w:t>
      </w:r>
      <w:r w:rsidRPr="00223662">
        <w:rPr>
          <w:lang w:val="en-US"/>
        </w:rPr>
        <w:t xml:space="preserve">30 (2): 229–237. </w:t>
      </w:r>
      <w:hyperlink r:id="rId46">
        <w:r>
          <w:rPr>
            <w:color w:val="4169E1"/>
          </w:rPr>
          <w:t>https://doi.org/10.1177/0897190015587696</w:t>
        </w:r>
      </w:hyperlink>
    </w:p>
    <w:p w14:paraId="3E455974" w14:textId="77777777" w:rsidR="008C7A05" w:rsidRPr="00223662" w:rsidRDefault="00866A07">
      <w:pPr>
        <w:ind w:left="303" w:right="4" w:hanging="288"/>
        <w:rPr>
          <w:lang w:val="en-US"/>
        </w:rPr>
      </w:pPr>
      <w:proofErr w:type="spellStart"/>
      <w:r>
        <w:t>Guatelli</w:t>
      </w:r>
      <w:proofErr w:type="spellEnd"/>
      <w:r>
        <w:t xml:space="preserve"> J.C., Whitfield K.M., </w:t>
      </w:r>
      <w:proofErr w:type="spellStart"/>
      <w:r>
        <w:t>Kwoh</w:t>
      </w:r>
      <w:proofErr w:type="spellEnd"/>
      <w:r>
        <w:t xml:space="preserve"> D.Y., </w:t>
      </w:r>
      <w:r>
        <w:t xml:space="preserve">Barringer K.J., </w:t>
      </w:r>
      <w:proofErr w:type="spellStart"/>
      <w:r>
        <w:t>Richman</w:t>
      </w:r>
      <w:proofErr w:type="spellEnd"/>
      <w:r>
        <w:t xml:space="preserve"> D.D. &amp; </w:t>
      </w:r>
      <w:proofErr w:type="spellStart"/>
      <w:r>
        <w:t>Gingeras</w:t>
      </w:r>
      <w:proofErr w:type="spellEnd"/>
      <w:r>
        <w:t xml:space="preserve"> T.R. 1990. </w:t>
      </w:r>
      <w:r w:rsidRPr="00223662">
        <w:rPr>
          <w:lang w:val="en-US"/>
        </w:rPr>
        <w:t xml:space="preserve">Isothermal, in vitro amplification of nucleic acids by a multienzyme reaction modeled after retroviral replication. </w:t>
      </w:r>
      <w:r w:rsidRPr="00223662">
        <w:rPr>
          <w:i/>
          <w:lang w:val="en-US"/>
        </w:rPr>
        <w:t xml:space="preserve">Proceedings of the National Academy of Sciences </w:t>
      </w:r>
      <w:r w:rsidRPr="00223662">
        <w:rPr>
          <w:lang w:val="en-US"/>
        </w:rPr>
        <w:t xml:space="preserve">87 (5): 1874–1878. </w:t>
      </w:r>
      <w:hyperlink r:id="rId47">
        <w:r w:rsidRPr="00223662">
          <w:rPr>
            <w:color w:val="4169E1"/>
            <w:lang w:val="en-US"/>
          </w:rPr>
          <w:t xml:space="preserve">https://doi.org/10.1073/pnas.87.5. </w:t>
        </w:r>
      </w:hyperlink>
      <w:hyperlink r:id="rId48">
        <w:r w:rsidRPr="00223662">
          <w:rPr>
            <w:color w:val="4169E1"/>
            <w:lang w:val="en-US"/>
          </w:rPr>
          <w:t>1874</w:t>
        </w:r>
      </w:hyperlink>
    </w:p>
    <w:p w14:paraId="05859E19" w14:textId="77777777" w:rsidR="008C7A05" w:rsidRDefault="00866A07">
      <w:pPr>
        <w:ind w:left="294" w:right="4" w:hanging="279"/>
      </w:pPr>
      <w:r w:rsidRPr="00223662">
        <w:rPr>
          <w:lang w:val="en-US"/>
        </w:rPr>
        <w:t>Hampson A.W. &amp; Mackenzie J.S. 2006. The influenza viru</w:t>
      </w:r>
      <w:r w:rsidRPr="00223662">
        <w:rPr>
          <w:lang w:val="en-US"/>
        </w:rPr>
        <w:t xml:space="preserve">ses. </w:t>
      </w:r>
      <w:r w:rsidRPr="00223662">
        <w:rPr>
          <w:i/>
          <w:lang w:val="en-US"/>
        </w:rPr>
        <w:t xml:space="preserve">Medical Journal of Australia </w:t>
      </w:r>
      <w:r w:rsidRPr="00223662">
        <w:rPr>
          <w:lang w:val="en-US"/>
        </w:rPr>
        <w:t xml:space="preserve">185 (S10). </w:t>
      </w:r>
      <w:hyperlink r:id="rId49">
        <w:r>
          <w:rPr>
            <w:color w:val="4169E1"/>
          </w:rPr>
          <w:t xml:space="preserve">https: </w:t>
        </w:r>
      </w:hyperlink>
      <w:hyperlink r:id="rId50">
        <w:r>
          <w:rPr>
            <w:color w:val="4169E1"/>
          </w:rPr>
          <w:t>//doi.org/10.5694/j.1326-5377.200</w:t>
        </w:r>
        <w:r>
          <w:rPr>
            <w:color w:val="4169E1"/>
          </w:rPr>
          <w:t>6.tb00705.x</w:t>
        </w:r>
      </w:hyperlink>
    </w:p>
    <w:p w14:paraId="720EC838" w14:textId="77777777" w:rsidR="008C7A05" w:rsidRPr="00223662" w:rsidRDefault="00866A07">
      <w:pPr>
        <w:ind w:left="275" w:right="4" w:hanging="260"/>
        <w:rPr>
          <w:lang w:val="en-US"/>
        </w:rPr>
      </w:pPr>
      <w:proofErr w:type="spellStart"/>
      <w:r>
        <w:t>Hatta</w:t>
      </w:r>
      <w:proofErr w:type="spellEnd"/>
      <w:r>
        <w:t xml:space="preserve"> M., Goto H. &amp; </w:t>
      </w:r>
      <w:proofErr w:type="spellStart"/>
      <w:r>
        <w:t>Kawaoka</w:t>
      </w:r>
      <w:proofErr w:type="spellEnd"/>
      <w:r>
        <w:t xml:space="preserve"> Y. 2004. </w:t>
      </w:r>
      <w:r w:rsidRPr="00223662">
        <w:rPr>
          <w:lang w:val="en-US"/>
        </w:rPr>
        <w:t xml:space="preserve">Influenza b virus requires BM2 protein for replication. </w:t>
      </w:r>
      <w:r w:rsidRPr="00223662">
        <w:rPr>
          <w:i/>
          <w:lang w:val="en-US"/>
        </w:rPr>
        <w:t xml:space="preserve">Journal of Virology </w:t>
      </w:r>
      <w:r w:rsidRPr="00223662">
        <w:rPr>
          <w:lang w:val="en-US"/>
        </w:rPr>
        <w:t xml:space="preserve">78 (11): 5576–5583. </w:t>
      </w:r>
      <w:hyperlink r:id="rId51">
        <w:r w:rsidRPr="00223662">
          <w:rPr>
            <w:color w:val="4169E1"/>
            <w:lang w:val="en-US"/>
          </w:rPr>
          <w:t>https://doi.org/10.1128/jvi.78.11.5576-5583.2004</w:t>
        </w:r>
      </w:hyperlink>
    </w:p>
    <w:p w14:paraId="3C2413D1" w14:textId="77777777" w:rsidR="008C7A05" w:rsidRPr="00223662" w:rsidRDefault="00866A07">
      <w:pPr>
        <w:spacing w:after="50" w:line="259" w:lineRule="auto"/>
        <w:ind w:left="17" w:right="4"/>
        <w:rPr>
          <w:lang w:val="en-US"/>
        </w:rPr>
      </w:pPr>
      <w:proofErr w:type="spellStart"/>
      <w:r w:rsidRPr="00223662">
        <w:rPr>
          <w:lang w:val="en-US"/>
        </w:rPr>
        <w:t>Hause</w:t>
      </w:r>
      <w:proofErr w:type="spellEnd"/>
      <w:r w:rsidRPr="00223662">
        <w:rPr>
          <w:lang w:val="en-US"/>
        </w:rPr>
        <w:t xml:space="preserve"> B.M., </w:t>
      </w:r>
      <w:proofErr w:type="spellStart"/>
      <w:r w:rsidRPr="00223662">
        <w:rPr>
          <w:lang w:val="en-US"/>
        </w:rPr>
        <w:t>Ducatez</w:t>
      </w:r>
      <w:proofErr w:type="spellEnd"/>
      <w:r w:rsidRPr="00223662">
        <w:rPr>
          <w:lang w:val="en-US"/>
        </w:rPr>
        <w:t xml:space="preserve"> M., Collin E.A., Ran Z., Liu R., Sheng Z., </w:t>
      </w:r>
      <w:proofErr w:type="spellStart"/>
      <w:r w:rsidRPr="00223662">
        <w:rPr>
          <w:lang w:val="en-US"/>
        </w:rPr>
        <w:t>Armien</w:t>
      </w:r>
      <w:proofErr w:type="spellEnd"/>
      <w:r w:rsidRPr="00223662">
        <w:rPr>
          <w:lang w:val="en-US"/>
        </w:rPr>
        <w:t xml:space="preserve"> A., Kaplan B., Chakravarty S.,</w:t>
      </w:r>
    </w:p>
    <w:p w14:paraId="4F18FBFC" w14:textId="77777777" w:rsidR="008C7A05" w:rsidRDefault="00866A07">
      <w:pPr>
        <w:spacing w:after="110" w:line="321" w:lineRule="auto"/>
        <w:ind w:left="0" w:right="39" w:firstLine="0"/>
        <w:jc w:val="right"/>
      </w:pPr>
      <w:r w:rsidRPr="00223662">
        <w:rPr>
          <w:lang w:val="en-US"/>
        </w:rPr>
        <w:t>Hoppe A</w:t>
      </w:r>
      <w:r w:rsidRPr="00223662">
        <w:rPr>
          <w:lang w:val="en-US"/>
        </w:rPr>
        <w:t xml:space="preserve">.D., Webby R.J., Simonson R.R. &amp; Li F. 2013. Isolation of a novel swine influenza virus from </w:t>
      </w:r>
      <w:proofErr w:type="spellStart"/>
      <w:r w:rsidRPr="00223662">
        <w:rPr>
          <w:lang w:val="en-US"/>
        </w:rPr>
        <w:t>oklahoma</w:t>
      </w:r>
      <w:proofErr w:type="spellEnd"/>
      <w:r w:rsidRPr="00223662">
        <w:rPr>
          <w:lang w:val="en-US"/>
        </w:rPr>
        <w:t xml:space="preserve"> in 2011 which is distantly related to human influenza c viruses. </w:t>
      </w:r>
      <w:r>
        <w:rPr>
          <w:i/>
        </w:rPr>
        <w:t xml:space="preserve">PLoS Pathogens </w:t>
      </w:r>
      <w:r>
        <w:t xml:space="preserve">9 (2): e1003176. </w:t>
      </w:r>
      <w:hyperlink r:id="rId52">
        <w:r>
          <w:rPr>
            <w:color w:val="4169E1"/>
          </w:rPr>
          <w:t>https://doi.org/10.1371/journal.ppat.1003176</w:t>
        </w:r>
      </w:hyperlink>
    </w:p>
    <w:p w14:paraId="0C87E232" w14:textId="77777777" w:rsidR="008C7A05" w:rsidRPr="00223662" w:rsidRDefault="00866A07">
      <w:pPr>
        <w:ind w:left="314" w:right="4" w:hanging="299"/>
        <w:rPr>
          <w:lang w:val="en-US"/>
        </w:rPr>
      </w:pPr>
      <w:proofErr w:type="spellStart"/>
      <w:r>
        <w:t>Heeroma</w:t>
      </w:r>
      <w:proofErr w:type="spellEnd"/>
      <w:r>
        <w:t xml:space="preserve"> A.J. &amp; </w:t>
      </w:r>
      <w:proofErr w:type="spellStart"/>
      <w:r>
        <w:t>Gwenin</w:t>
      </w:r>
      <w:proofErr w:type="spellEnd"/>
      <w:r>
        <w:t xml:space="preserve"> C. 2020. </w:t>
      </w:r>
      <w:r w:rsidRPr="00223662">
        <w:rPr>
          <w:lang w:val="en-US"/>
        </w:rPr>
        <w:t xml:space="preserve">Development of solid-phase RPA on a lateral flow device for the detection of pathogens related to sepsis. </w:t>
      </w:r>
      <w:r w:rsidRPr="00223662">
        <w:rPr>
          <w:i/>
          <w:lang w:val="en-US"/>
        </w:rPr>
        <w:t xml:space="preserve">Sensors </w:t>
      </w:r>
      <w:r w:rsidRPr="00223662">
        <w:rPr>
          <w:lang w:val="en-US"/>
        </w:rPr>
        <w:t xml:space="preserve">20 (15): 4182. </w:t>
      </w:r>
      <w:hyperlink r:id="rId53">
        <w:r w:rsidRPr="00223662">
          <w:rPr>
            <w:color w:val="4169E1"/>
            <w:lang w:val="en-US"/>
          </w:rPr>
          <w:t>https://d</w:t>
        </w:r>
        <w:r w:rsidRPr="00223662">
          <w:rPr>
            <w:color w:val="4169E1"/>
            <w:lang w:val="en-US"/>
          </w:rPr>
          <w:t>oi.org/10.3390/s20154182</w:t>
        </w:r>
      </w:hyperlink>
    </w:p>
    <w:p w14:paraId="53FD3E01" w14:textId="77777777" w:rsidR="008C7A05" w:rsidRPr="00223662" w:rsidRDefault="00866A07">
      <w:pPr>
        <w:spacing w:after="52" w:line="259" w:lineRule="auto"/>
        <w:ind w:left="17" w:right="4"/>
        <w:rPr>
          <w:lang w:val="en-US"/>
        </w:rPr>
      </w:pPr>
      <w:r w:rsidRPr="00223662">
        <w:rPr>
          <w:lang w:val="en-US"/>
        </w:rPr>
        <w:t xml:space="preserve">Higgins M., Ravenhall M., Ward D., Phelan J., Ibrahim A., Forrest M.S., Clark T.G. &amp; </w:t>
      </w:r>
      <w:proofErr w:type="spellStart"/>
      <w:r w:rsidRPr="00223662">
        <w:rPr>
          <w:lang w:val="en-US"/>
        </w:rPr>
        <w:t>Campino</w:t>
      </w:r>
      <w:proofErr w:type="spellEnd"/>
      <w:r w:rsidRPr="00223662">
        <w:rPr>
          <w:lang w:val="en-US"/>
        </w:rPr>
        <w:t xml:space="preserve"> S. 2018.</w:t>
      </w:r>
    </w:p>
    <w:p w14:paraId="35407BCA" w14:textId="77777777" w:rsidR="008C7A05" w:rsidRDefault="00866A07">
      <w:pPr>
        <w:ind w:left="331" w:right="4"/>
      </w:pPr>
      <w:proofErr w:type="spellStart"/>
      <w:r w:rsidRPr="00223662">
        <w:rPr>
          <w:lang w:val="en-US"/>
        </w:rPr>
        <w:lastRenderedPageBreak/>
        <w:t>PrimedRPA</w:t>
      </w:r>
      <w:proofErr w:type="spellEnd"/>
      <w:r w:rsidRPr="00223662">
        <w:rPr>
          <w:lang w:val="en-US"/>
        </w:rPr>
        <w:t xml:space="preserve">: Primer design for recombinase polymerase amplification assays. </w:t>
      </w:r>
      <w:proofErr w:type="spellStart"/>
      <w:r>
        <w:rPr>
          <w:i/>
        </w:rPr>
        <w:t>Bioinformatics</w:t>
      </w:r>
      <w:proofErr w:type="spellEnd"/>
      <w:r>
        <w:rPr>
          <w:i/>
        </w:rPr>
        <w:t xml:space="preserve"> </w:t>
      </w:r>
      <w:r>
        <w:t>35 (4</w:t>
      </w:r>
      <w:r>
        <w:t xml:space="preserve">): 682– 684. </w:t>
      </w:r>
      <w:hyperlink r:id="rId54">
        <w:r>
          <w:rPr>
            <w:color w:val="4169E1"/>
          </w:rPr>
          <w:t>https://doi.org/10.1093/bioinformatics/bty701</w:t>
        </w:r>
      </w:hyperlink>
    </w:p>
    <w:p w14:paraId="05D9BC8B" w14:textId="77777777" w:rsidR="008C7A05" w:rsidRPr="00223662" w:rsidRDefault="00866A07">
      <w:pPr>
        <w:spacing w:after="6"/>
        <w:ind w:left="314" w:right="4" w:hanging="299"/>
        <w:rPr>
          <w:lang w:val="en-US"/>
        </w:rPr>
      </w:pPr>
      <w:r w:rsidRPr="00223662">
        <w:rPr>
          <w:lang w:val="en-US"/>
        </w:rPr>
        <w:t xml:space="preserve">Higgins M., Stringer O.W., Ward D., Andrews J.M., Forrest M.S., </w:t>
      </w:r>
      <w:proofErr w:type="spellStart"/>
      <w:r w:rsidRPr="00223662">
        <w:rPr>
          <w:lang w:val="en-US"/>
        </w:rPr>
        <w:t>Campino</w:t>
      </w:r>
      <w:proofErr w:type="spellEnd"/>
      <w:r w:rsidRPr="00223662">
        <w:rPr>
          <w:lang w:val="en-US"/>
        </w:rPr>
        <w:t xml:space="preserve"> S. &amp; Clark T.G. 2022. Char</w:t>
      </w:r>
      <w:r w:rsidRPr="00223662">
        <w:rPr>
          <w:lang w:val="en-US"/>
        </w:rPr>
        <w:t xml:space="preserve">acterizing the impact of primer-template mismatches on recombinase polymerase amplification. </w:t>
      </w:r>
      <w:r w:rsidRPr="00223662">
        <w:rPr>
          <w:i/>
          <w:lang w:val="en-US"/>
        </w:rPr>
        <w:t>The Journal</w:t>
      </w:r>
    </w:p>
    <w:p w14:paraId="0D22D0E7" w14:textId="77777777" w:rsidR="008C7A05" w:rsidRPr="00223662" w:rsidRDefault="00866A07">
      <w:pPr>
        <w:spacing w:after="175" w:line="265" w:lineRule="auto"/>
        <w:ind w:left="324" w:right="0" w:hanging="10"/>
        <w:jc w:val="left"/>
        <w:rPr>
          <w:lang w:val="en-US"/>
        </w:rPr>
      </w:pPr>
      <w:r w:rsidRPr="00223662">
        <w:rPr>
          <w:i/>
          <w:lang w:val="en-US"/>
        </w:rPr>
        <w:t xml:space="preserve">of Molecular Diagnostics </w:t>
      </w:r>
      <w:r w:rsidRPr="00223662">
        <w:rPr>
          <w:lang w:val="en-US"/>
        </w:rPr>
        <w:t xml:space="preserve">24 (11): 1207–1216. </w:t>
      </w:r>
      <w:hyperlink r:id="rId55">
        <w:r w:rsidRPr="00223662">
          <w:rPr>
            <w:color w:val="4169E1"/>
            <w:lang w:val="en-US"/>
          </w:rPr>
          <w:t>https://doi.org/10.1016/j.jmoldx.2022.08.005</w:t>
        </w:r>
      </w:hyperlink>
    </w:p>
    <w:p w14:paraId="0BB4EE6F" w14:textId="77777777" w:rsidR="008C7A05" w:rsidRPr="00223662" w:rsidRDefault="00866A07">
      <w:pPr>
        <w:spacing w:after="125" w:line="315" w:lineRule="auto"/>
        <w:ind w:left="313" w:right="0" w:hanging="298"/>
        <w:jc w:val="left"/>
        <w:rPr>
          <w:lang w:val="en-US"/>
        </w:rPr>
      </w:pPr>
      <w:r>
        <w:t xml:space="preserve">Huang T., Li L., Liu X., Chen Q., Fang X., Kong J., </w:t>
      </w:r>
      <w:proofErr w:type="spellStart"/>
      <w:r>
        <w:t>Draz</w:t>
      </w:r>
      <w:proofErr w:type="spellEnd"/>
      <w:r>
        <w:t xml:space="preserve"> M.S. &amp; Cao H. 2020. </w:t>
      </w:r>
      <w:r w:rsidRPr="00223662">
        <w:rPr>
          <w:lang w:val="en-US"/>
        </w:rPr>
        <w:t xml:space="preserve">Loop-mediated isothermal amplification technique: Principle, </w:t>
      </w:r>
      <w:proofErr w:type="gramStart"/>
      <w:r w:rsidRPr="00223662">
        <w:rPr>
          <w:lang w:val="en-US"/>
        </w:rPr>
        <w:t>development</w:t>
      </w:r>
      <w:proofErr w:type="gramEnd"/>
      <w:r w:rsidRPr="00223662">
        <w:rPr>
          <w:lang w:val="en-US"/>
        </w:rPr>
        <w:t xml:space="preserve"> and wide application in food safety. </w:t>
      </w:r>
      <w:r w:rsidRPr="00223662">
        <w:rPr>
          <w:i/>
          <w:lang w:val="en-US"/>
        </w:rPr>
        <w:t xml:space="preserve">Analytical Methods </w:t>
      </w:r>
      <w:r w:rsidRPr="00223662">
        <w:rPr>
          <w:lang w:val="en-US"/>
        </w:rPr>
        <w:t>12 (46): 5551–</w:t>
      </w:r>
      <w:r w:rsidRPr="00223662">
        <w:rPr>
          <w:lang w:val="en-US"/>
        </w:rPr>
        <w:t xml:space="preserve">5561. </w:t>
      </w:r>
      <w:hyperlink r:id="rId56">
        <w:r w:rsidRPr="00223662">
          <w:rPr>
            <w:color w:val="4169E1"/>
            <w:lang w:val="en-US"/>
          </w:rPr>
          <w:t>https://doi.org/10.1039/d0ay01768j</w:t>
        </w:r>
      </w:hyperlink>
    </w:p>
    <w:p w14:paraId="372BDADD" w14:textId="77777777" w:rsidR="008C7A05" w:rsidRPr="00223662" w:rsidRDefault="00866A07">
      <w:pPr>
        <w:ind w:left="295" w:right="4" w:hanging="280"/>
        <w:rPr>
          <w:lang w:val="en-US"/>
        </w:rPr>
      </w:pPr>
      <w:r w:rsidRPr="00223662">
        <w:rPr>
          <w:lang w:val="en-US"/>
        </w:rPr>
        <w:t>Islam M.M. &amp; Koirala D. 2022. Toward a next-generation diagnostic tool: A review on emerging isothermal nucleic acid amplificati</w:t>
      </w:r>
      <w:r w:rsidRPr="00223662">
        <w:rPr>
          <w:lang w:val="en-US"/>
        </w:rPr>
        <w:t xml:space="preserve">on techniques for the detection of SARS-CoV-2 and other infectious viruses. </w:t>
      </w:r>
      <w:r w:rsidRPr="00223662">
        <w:rPr>
          <w:i/>
          <w:lang w:val="en-US"/>
        </w:rPr>
        <w:t xml:space="preserve">Analytica </w:t>
      </w:r>
      <w:proofErr w:type="spellStart"/>
      <w:r w:rsidRPr="00223662">
        <w:rPr>
          <w:i/>
          <w:lang w:val="en-US"/>
        </w:rPr>
        <w:t>Chimica</w:t>
      </w:r>
      <w:proofErr w:type="spellEnd"/>
      <w:r w:rsidRPr="00223662">
        <w:rPr>
          <w:i/>
          <w:lang w:val="en-US"/>
        </w:rPr>
        <w:t xml:space="preserve"> Acta </w:t>
      </w:r>
      <w:r w:rsidRPr="00223662">
        <w:rPr>
          <w:lang w:val="en-US"/>
        </w:rPr>
        <w:t xml:space="preserve">1209: 339338. </w:t>
      </w:r>
      <w:hyperlink r:id="rId57">
        <w:r w:rsidRPr="00223662">
          <w:rPr>
            <w:color w:val="4169E1"/>
            <w:lang w:val="en-US"/>
          </w:rPr>
          <w:t>https://doi.org/10.1016/j.aca.2021.339338</w:t>
        </w:r>
      </w:hyperlink>
    </w:p>
    <w:p w14:paraId="28780F27" w14:textId="77777777" w:rsidR="008C7A05" w:rsidRPr="00223662" w:rsidRDefault="00866A07">
      <w:pPr>
        <w:spacing w:after="50" w:line="259" w:lineRule="auto"/>
        <w:ind w:left="17" w:right="4"/>
        <w:rPr>
          <w:lang w:val="en-US"/>
        </w:rPr>
      </w:pPr>
      <w:proofErr w:type="spellStart"/>
      <w:r w:rsidRPr="00223662">
        <w:rPr>
          <w:lang w:val="en-US"/>
        </w:rPr>
        <w:t>Iuliano</w:t>
      </w:r>
      <w:proofErr w:type="spellEnd"/>
      <w:r w:rsidRPr="00223662">
        <w:rPr>
          <w:lang w:val="en-US"/>
        </w:rPr>
        <w:t xml:space="preserve"> A.D., </w:t>
      </w:r>
      <w:proofErr w:type="spellStart"/>
      <w:r w:rsidRPr="00223662">
        <w:rPr>
          <w:lang w:val="en-US"/>
        </w:rPr>
        <w:t>Roguski</w:t>
      </w:r>
      <w:proofErr w:type="spellEnd"/>
      <w:r w:rsidRPr="00223662">
        <w:rPr>
          <w:lang w:val="en-US"/>
        </w:rPr>
        <w:t xml:space="preserve"> K.M., Chang H.H., </w:t>
      </w:r>
      <w:proofErr w:type="spellStart"/>
      <w:r w:rsidRPr="00223662">
        <w:rPr>
          <w:lang w:val="en-US"/>
        </w:rPr>
        <w:t>Muscatello</w:t>
      </w:r>
      <w:proofErr w:type="spellEnd"/>
      <w:r w:rsidRPr="00223662">
        <w:rPr>
          <w:lang w:val="en-US"/>
        </w:rPr>
        <w:t xml:space="preserve"> D.J., Palekar R., </w:t>
      </w:r>
      <w:proofErr w:type="spellStart"/>
      <w:r w:rsidRPr="00223662">
        <w:rPr>
          <w:lang w:val="en-US"/>
        </w:rPr>
        <w:t>Tempia</w:t>
      </w:r>
      <w:proofErr w:type="spellEnd"/>
      <w:r w:rsidRPr="00223662">
        <w:rPr>
          <w:lang w:val="en-US"/>
        </w:rPr>
        <w:t xml:space="preserve"> S., Cohen C., Gran J.M.,</w:t>
      </w:r>
    </w:p>
    <w:p w14:paraId="20EA0DDB" w14:textId="77777777" w:rsidR="008C7A05" w:rsidRDefault="00866A07">
      <w:pPr>
        <w:spacing w:after="50" w:line="259" w:lineRule="auto"/>
        <w:ind w:left="331" w:right="4"/>
      </w:pPr>
      <w:r>
        <w:t xml:space="preserve">Schanzer D., </w:t>
      </w:r>
      <w:proofErr w:type="spellStart"/>
      <w:r>
        <w:t>Cowling</w:t>
      </w:r>
      <w:proofErr w:type="spellEnd"/>
      <w:r>
        <w:t xml:space="preserve"> B.J., Wu P., </w:t>
      </w:r>
      <w:proofErr w:type="spellStart"/>
      <w:r>
        <w:t>Kyncl</w:t>
      </w:r>
      <w:proofErr w:type="spellEnd"/>
      <w:r>
        <w:t xml:space="preserve"> J., Ang L.W., Park M., </w:t>
      </w:r>
      <w:proofErr w:type="spellStart"/>
      <w:r>
        <w:t>Redlberger</w:t>
      </w:r>
      <w:proofErr w:type="spellEnd"/>
      <w:r>
        <w:t xml:space="preserve">-Fritz M., </w:t>
      </w:r>
      <w:proofErr w:type="spellStart"/>
      <w:r>
        <w:t>Yu</w:t>
      </w:r>
      <w:proofErr w:type="spellEnd"/>
      <w:r>
        <w:t xml:space="preserve"> H., Espenhain</w:t>
      </w:r>
    </w:p>
    <w:p w14:paraId="4E22575C" w14:textId="77777777" w:rsidR="008C7A05" w:rsidRDefault="00866A07">
      <w:pPr>
        <w:spacing w:after="50" w:line="259" w:lineRule="auto"/>
        <w:ind w:left="331" w:right="4"/>
      </w:pPr>
      <w:r>
        <w:t xml:space="preserve">L., </w:t>
      </w:r>
      <w:proofErr w:type="spellStart"/>
      <w:r>
        <w:t>Krishnan</w:t>
      </w:r>
      <w:proofErr w:type="spellEnd"/>
      <w:r>
        <w:t xml:space="preserve"> A., </w:t>
      </w:r>
      <w:proofErr w:type="spellStart"/>
      <w:r>
        <w:t>Emukule</w:t>
      </w:r>
      <w:proofErr w:type="spellEnd"/>
      <w:r>
        <w:t xml:space="preserve"> G., Asten L. van, Silva S.P. </w:t>
      </w:r>
      <w:r>
        <w:t xml:space="preserve">da, </w:t>
      </w:r>
      <w:proofErr w:type="spellStart"/>
      <w:r>
        <w:t>Aungkulanon</w:t>
      </w:r>
      <w:proofErr w:type="spellEnd"/>
      <w:r>
        <w:t xml:space="preserve"> S., Buchholz U., </w:t>
      </w:r>
      <w:proofErr w:type="spellStart"/>
      <w:r>
        <w:t>Widdowson</w:t>
      </w:r>
      <w:proofErr w:type="spellEnd"/>
    </w:p>
    <w:p w14:paraId="167E453B" w14:textId="77777777" w:rsidR="008C7A05" w:rsidRDefault="00866A07">
      <w:pPr>
        <w:spacing w:after="50" w:line="259" w:lineRule="auto"/>
        <w:ind w:left="331" w:right="4"/>
      </w:pPr>
      <w:r>
        <w:t xml:space="preserve">M.-A., </w:t>
      </w:r>
      <w:proofErr w:type="spellStart"/>
      <w:r>
        <w:t>Bresee</w:t>
      </w:r>
      <w:proofErr w:type="spellEnd"/>
      <w:r>
        <w:t xml:space="preserve"> J.S., </w:t>
      </w:r>
      <w:proofErr w:type="spellStart"/>
      <w:r>
        <w:t>Azziz</w:t>
      </w:r>
      <w:proofErr w:type="spellEnd"/>
      <w:r>
        <w:t>-Baumgartner E., Cheng P.-Y., Dawood F., Foppa I., Olsen S., Haber M., Jeffers</w:t>
      </w:r>
    </w:p>
    <w:p w14:paraId="0532B5FD" w14:textId="77777777" w:rsidR="008C7A05" w:rsidRDefault="00866A07">
      <w:pPr>
        <w:spacing w:after="50" w:line="259" w:lineRule="auto"/>
        <w:ind w:left="331" w:right="4"/>
      </w:pPr>
      <w:r>
        <w:t xml:space="preserve">C., </w:t>
      </w:r>
      <w:proofErr w:type="spellStart"/>
      <w:r>
        <w:t>MacIntyre</w:t>
      </w:r>
      <w:proofErr w:type="spellEnd"/>
      <w:r>
        <w:t xml:space="preserve"> C.R., </w:t>
      </w:r>
      <w:proofErr w:type="spellStart"/>
      <w:r>
        <w:t>Newall</w:t>
      </w:r>
      <w:proofErr w:type="spellEnd"/>
      <w:r>
        <w:t xml:space="preserve"> A.T., Wood J.G., </w:t>
      </w:r>
      <w:proofErr w:type="spellStart"/>
      <w:r>
        <w:t>Kundi</w:t>
      </w:r>
      <w:proofErr w:type="spellEnd"/>
      <w:r>
        <w:t xml:space="preserve"> M., Popow-</w:t>
      </w:r>
      <w:proofErr w:type="spellStart"/>
      <w:r>
        <w:t>Kraupp</w:t>
      </w:r>
      <w:proofErr w:type="spellEnd"/>
      <w:r>
        <w:t xml:space="preserve"> T., Ahmed M., Rahman M.,</w:t>
      </w:r>
    </w:p>
    <w:p w14:paraId="057C5E51" w14:textId="77777777" w:rsidR="008C7A05" w:rsidRDefault="00866A07">
      <w:pPr>
        <w:spacing w:after="50" w:line="259" w:lineRule="auto"/>
        <w:ind w:left="331" w:right="4"/>
      </w:pPr>
      <w:r>
        <w:t xml:space="preserve">Marinho F., </w:t>
      </w:r>
      <w:proofErr w:type="spellStart"/>
      <w:r>
        <w:t>Prosc</w:t>
      </w:r>
      <w:r>
        <w:t>hle</w:t>
      </w:r>
      <w:proofErr w:type="spellEnd"/>
      <w:r>
        <w:t xml:space="preserve"> C.V.S., </w:t>
      </w:r>
      <w:proofErr w:type="spellStart"/>
      <w:r>
        <w:t>Mallegas</w:t>
      </w:r>
      <w:proofErr w:type="spellEnd"/>
      <w:r>
        <w:t xml:space="preserve"> N.V., </w:t>
      </w:r>
      <w:proofErr w:type="spellStart"/>
      <w:r>
        <w:t>Luzhao</w:t>
      </w:r>
      <w:proofErr w:type="spellEnd"/>
      <w:r>
        <w:t xml:space="preserve"> F., Sa L., </w:t>
      </w:r>
      <w:proofErr w:type="spellStart"/>
      <w:r>
        <w:t>Barbosa-Ramı́rez</w:t>
      </w:r>
      <w:proofErr w:type="spellEnd"/>
      <w:r>
        <w:t xml:space="preserve"> J., Sanchez D.M., Gomez</w:t>
      </w:r>
    </w:p>
    <w:p w14:paraId="0F3AEDC5" w14:textId="77777777" w:rsidR="008C7A05" w:rsidRDefault="00866A07">
      <w:pPr>
        <w:spacing w:after="50" w:line="259" w:lineRule="auto"/>
        <w:ind w:left="331" w:right="4"/>
      </w:pPr>
      <w:r>
        <w:t xml:space="preserve">L.A., Vargas X.B., Acosta Herrera </w:t>
      </w:r>
      <w:proofErr w:type="spellStart"/>
      <w:r>
        <w:t>aBetsy</w:t>
      </w:r>
      <w:proofErr w:type="spellEnd"/>
      <w:r>
        <w:t xml:space="preserve">, </w:t>
      </w:r>
      <w:proofErr w:type="spellStart"/>
      <w:r>
        <w:t>Llanés</w:t>
      </w:r>
      <w:proofErr w:type="spellEnd"/>
      <w:r>
        <w:t xml:space="preserve"> M.J., Fischer T.K., Krause T.G., </w:t>
      </w:r>
      <w:proofErr w:type="spellStart"/>
      <w:r>
        <w:t>Mølbak</w:t>
      </w:r>
      <w:proofErr w:type="spellEnd"/>
      <w:r>
        <w:t xml:space="preserve"> K., Nielsen</w:t>
      </w:r>
    </w:p>
    <w:p w14:paraId="62C055B6" w14:textId="77777777" w:rsidR="008C7A05" w:rsidRDefault="00866A07">
      <w:pPr>
        <w:spacing w:after="0"/>
        <w:ind w:left="326" w:right="4"/>
      </w:pPr>
      <w:r>
        <w:t xml:space="preserve">J., </w:t>
      </w:r>
      <w:proofErr w:type="spellStart"/>
      <w:r>
        <w:t>Trebbien</w:t>
      </w:r>
      <w:proofErr w:type="spellEnd"/>
      <w:r>
        <w:t xml:space="preserve"> R., Bruno A., Ojeda J., Ramos H., Heiden M. an der, Carm</w:t>
      </w:r>
      <w:r>
        <w:t xml:space="preserve">en Castillo Signor L. del, Serrano C.E., </w:t>
      </w:r>
      <w:proofErr w:type="spellStart"/>
      <w:r>
        <w:t>Bhardwaj</w:t>
      </w:r>
      <w:proofErr w:type="spellEnd"/>
      <w:r>
        <w:t xml:space="preserve"> R., </w:t>
      </w:r>
      <w:proofErr w:type="spellStart"/>
      <w:r>
        <w:t>Chadha</w:t>
      </w:r>
      <w:proofErr w:type="spellEnd"/>
      <w:r>
        <w:t xml:space="preserve"> M., Narayan V., Kosen S., Bromberg M., </w:t>
      </w:r>
      <w:proofErr w:type="spellStart"/>
      <w:r>
        <w:t>Glatman</w:t>
      </w:r>
      <w:proofErr w:type="spellEnd"/>
      <w:r>
        <w:t>-Freedman A., Kaufman Z.,</w:t>
      </w:r>
    </w:p>
    <w:p w14:paraId="07A51B56" w14:textId="77777777" w:rsidR="008C7A05" w:rsidRPr="00223662" w:rsidRDefault="00866A07">
      <w:pPr>
        <w:spacing w:after="50" w:line="259" w:lineRule="auto"/>
        <w:ind w:left="323" w:right="4"/>
        <w:rPr>
          <w:lang w:val="en-US"/>
        </w:rPr>
      </w:pPr>
      <w:r w:rsidRPr="00223662">
        <w:rPr>
          <w:lang w:val="en-US"/>
        </w:rPr>
        <w:t xml:space="preserve">Arima Y., Oishi K., Chaves S., </w:t>
      </w:r>
      <w:proofErr w:type="spellStart"/>
      <w:r w:rsidRPr="00223662">
        <w:rPr>
          <w:lang w:val="en-US"/>
        </w:rPr>
        <w:t>Nyawanda</w:t>
      </w:r>
      <w:proofErr w:type="spellEnd"/>
      <w:r w:rsidRPr="00223662">
        <w:rPr>
          <w:lang w:val="en-US"/>
        </w:rPr>
        <w:t xml:space="preserve"> B., Al-</w:t>
      </w:r>
      <w:proofErr w:type="spellStart"/>
      <w:r w:rsidRPr="00223662">
        <w:rPr>
          <w:lang w:val="en-US"/>
        </w:rPr>
        <w:t>Jarallah</w:t>
      </w:r>
      <w:proofErr w:type="spellEnd"/>
      <w:r w:rsidRPr="00223662">
        <w:rPr>
          <w:lang w:val="en-US"/>
        </w:rPr>
        <w:t xml:space="preserve"> R.A., </w:t>
      </w:r>
      <w:proofErr w:type="spellStart"/>
      <w:r w:rsidRPr="00223662">
        <w:rPr>
          <w:lang w:val="en-US"/>
        </w:rPr>
        <w:t>Kuri</w:t>
      </w:r>
      <w:proofErr w:type="spellEnd"/>
      <w:r w:rsidRPr="00223662">
        <w:rPr>
          <w:lang w:val="en-US"/>
        </w:rPr>
        <w:t xml:space="preserve">-Morales P.A., </w:t>
      </w:r>
      <w:proofErr w:type="spellStart"/>
      <w:r w:rsidRPr="00223662">
        <w:rPr>
          <w:lang w:val="en-US"/>
        </w:rPr>
        <w:t>Matus</w:t>
      </w:r>
      <w:proofErr w:type="spellEnd"/>
      <w:r w:rsidRPr="00223662">
        <w:rPr>
          <w:lang w:val="en-US"/>
        </w:rPr>
        <w:t xml:space="preserve"> C.R., Corona</w:t>
      </w:r>
    </w:p>
    <w:p w14:paraId="64165B27" w14:textId="77777777" w:rsidR="008C7A05" w:rsidRPr="00223662" w:rsidRDefault="00866A07">
      <w:pPr>
        <w:spacing w:after="50" w:line="259" w:lineRule="auto"/>
        <w:ind w:left="331" w:right="4"/>
        <w:rPr>
          <w:lang w:val="en-US"/>
        </w:rPr>
      </w:pPr>
      <w:r w:rsidRPr="00223662">
        <w:rPr>
          <w:lang w:val="en-US"/>
        </w:rPr>
        <w:t xml:space="preserve">M.E.J., </w:t>
      </w:r>
      <w:proofErr w:type="spellStart"/>
      <w:r w:rsidRPr="00223662">
        <w:rPr>
          <w:lang w:val="en-US"/>
        </w:rPr>
        <w:t>Burmaa</w:t>
      </w:r>
      <w:proofErr w:type="spellEnd"/>
      <w:r w:rsidRPr="00223662">
        <w:rPr>
          <w:lang w:val="en-US"/>
        </w:rPr>
        <w:t xml:space="preserve"> A., </w:t>
      </w:r>
      <w:proofErr w:type="spellStart"/>
      <w:r w:rsidRPr="00223662">
        <w:rPr>
          <w:lang w:val="en-US"/>
        </w:rPr>
        <w:t>Darm</w:t>
      </w:r>
      <w:r w:rsidRPr="00223662">
        <w:rPr>
          <w:lang w:val="en-US"/>
        </w:rPr>
        <w:t>aa</w:t>
      </w:r>
      <w:proofErr w:type="spellEnd"/>
      <w:r w:rsidRPr="00223662">
        <w:rPr>
          <w:lang w:val="en-US"/>
        </w:rPr>
        <w:t xml:space="preserve"> O., </w:t>
      </w:r>
      <w:proofErr w:type="spellStart"/>
      <w:r w:rsidRPr="00223662">
        <w:rPr>
          <w:lang w:val="en-US"/>
        </w:rPr>
        <w:t>Obtel</w:t>
      </w:r>
      <w:proofErr w:type="spellEnd"/>
      <w:r w:rsidRPr="00223662">
        <w:rPr>
          <w:lang w:val="en-US"/>
        </w:rPr>
        <w:t xml:space="preserve"> M., </w:t>
      </w:r>
      <w:proofErr w:type="spellStart"/>
      <w:r w:rsidRPr="00223662">
        <w:rPr>
          <w:lang w:val="en-US"/>
        </w:rPr>
        <w:t>Cherkaoui</w:t>
      </w:r>
      <w:proofErr w:type="spellEnd"/>
      <w:r w:rsidRPr="00223662">
        <w:rPr>
          <w:lang w:val="en-US"/>
        </w:rPr>
        <w:t xml:space="preserve"> I., </w:t>
      </w:r>
      <w:proofErr w:type="spellStart"/>
      <w:r w:rsidRPr="00223662">
        <w:rPr>
          <w:lang w:val="en-US"/>
        </w:rPr>
        <w:t>Wijngaard</w:t>
      </w:r>
      <w:proofErr w:type="spellEnd"/>
      <w:r w:rsidRPr="00223662">
        <w:rPr>
          <w:lang w:val="en-US"/>
        </w:rPr>
        <w:t xml:space="preserve"> C.C. van den, Hoek W. van der,</w:t>
      </w:r>
    </w:p>
    <w:p w14:paraId="48B3C7C0" w14:textId="77777777" w:rsidR="008C7A05" w:rsidRPr="00223662" w:rsidRDefault="00866A07">
      <w:pPr>
        <w:spacing w:after="50" w:line="259" w:lineRule="auto"/>
        <w:ind w:left="331" w:right="4"/>
        <w:rPr>
          <w:lang w:val="en-US"/>
        </w:rPr>
      </w:pPr>
      <w:r w:rsidRPr="00223662">
        <w:rPr>
          <w:lang w:val="en-US"/>
        </w:rPr>
        <w:t xml:space="preserve">Baker M., Bandaranayake D., </w:t>
      </w:r>
      <w:proofErr w:type="spellStart"/>
      <w:r w:rsidRPr="00223662">
        <w:rPr>
          <w:lang w:val="en-US"/>
        </w:rPr>
        <w:t>Bissielo</w:t>
      </w:r>
      <w:proofErr w:type="spellEnd"/>
      <w:r w:rsidRPr="00223662">
        <w:rPr>
          <w:lang w:val="en-US"/>
        </w:rPr>
        <w:t xml:space="preserve"> A., Huang S., Lopez L., Newbern C., </w:t>
      </w:r>
      <w:proofErr w:type="spellStart"/>
      <w:r w:rsidRPr="00223662">
        <w:rPr>
          <w:lang w:val="en-US"/>
        </w:rPr>
        <w:t>Flem</w:t>
      </w:r>
      <w:proofErr w:type="spellEnd"/>
      <w:r w:rsidRPr="00223662">
        <w:rPr>
          <w:lang w:val="en-US"/>
        </w:rPr>
        <w:t xml:space="preserve"> E., </w:t>
      </w:r>
      <w:proofErr w:type="spellStart"/>
      <w:r w:rsidRPr="00223662">
        <w:rPr>
          <w:lang w:val="en-US"/>
        </w:rPr>
        <w:t>Grøneng</w:t>
      </w:r>
      <w:proofErr w:type="spellEnd"/>
      <w:r w:rsidRPr="00223662">
        <w:rPr>
          <w:lang w:val="en-US"/>
        </w:rPr>
        <w:t xml:space="preserve"> G.M.,</w:t>
      </w:r>
    </w:p>
    <w:p w14:paraId="3402EFC3" w14:textId="77777777" w:rsidR="008C7A05" w:rsidRPr="00223662" w:rsidRDefault="00866A07">
      <w:pPr>
        <w:spacing w:after="50" w:line="259" w:lineRule="auto"/>
        <w:ind w:left="331" w:right="4"/>
        <w:rPr>
          <w:lang w:val="en-US"/>
        </w:rPr>
      </w:pPr>
      <w:r w:rsidRPr="00223662">
        <w:rPr>
          <w:lang w:val="en-US"/>
        </w:rPr>
        <w:t xml:space="preserve">Hauge S., </w:t>
      </w:r>
      <w:proofErr w:type="spellStart"/>
      <w:r w:rsidRPr="00223662">
        <w:rPr>
          <w:lang w:val="en-US"/>
        </w:rPr>
        <w:t>Cosı́o</w:t>
      </w:r>
      <w:proofErr w:type="spellEnd"/>
      <w:r w:rsidRPr="00223662">
        <w:rPr>
          <w:lang w:val="en-US"/>
        </w:rPr>
        <w:t xml:space="preserve"> F.G. de, </w:t>
      </w:r>
      <w:proofErr w:type="spellStart"/>
      <w:r w:rsidRPr="00223662">
        <w:rPr>
          <w:lang w:val="en-US"/>
        </w:rPr>
        <w:t>Moltó</w:t>
      </w:r>
      <w:proofErr w:type="spellEnd"/>
      <w:r w:rsidRPr="00223662">
        <w:rPr>
          <w:lang w:val="en-US"/>
        </w:rPr>
        <w:t xml:space="preserve"> Y. de, Castillo L.M., Cabello M.A., </w:t>
      </w:r>
      <w:proofErr w:type="spellStart"/>
      <w:r w:rsidRPr="00223662">
        <w:rPr>
          <w:lang w:val="en-US"/>
        </w:rPr>
        <w:t>Horoch</w:t>
      </w:r>
      <w:proofErr w:type="spellEnd"/>
      <w:r w:rsidRPr="00223662">
        <w:rPr>
          <w:lang w:val="en-US"/>
        </w:rPr>
        <w:t xml:space="preserve"> M. von, </w:t>
      </w:r>
      <w:proofErr w:type="spellStart"/>
      <w:r w:rsidRPr="00223662">
        <w:rPr>
          <w:lang w:val="en-US"/>
        </w:rPr>
        <w:t>Osis</w:t>
      </w:r>
      <w:proofErr w:type="spellEnd"/>
      <w:r w:rsidRPr="00223662">
        <w:rPr>
          <w:lang w:val="en-US"/>
        </w:rPr>
        <w:t xml:space="preserve"> J.M., Machado</w:t>
      </w:r>
    </w:p>
    <w:p w14:paraId="6FB4CB9A" w14:textId="77777777" w:rsidR="008C7A05" w:rsidRPr="00223662" w:rsidRDefault="00866A07">
      <w:pPr>
        <w:spacing w:after="50" w:line="259" w:lineRule="auto"/>
        <w:ind w:left="323" w:right="4"/>
        <w:rPr>
          <w:lang w:val="en-US"/>
        </w:rPr>
      </w:pPr>
      <w:r w:rsidRPr="00223662">
        <w:rPr>
          <w:lang w:val="en-US"/>
        </w:rPr>
        <w:t xml:space="preserve">A., Nunes B., Rodrigues A.P., Rodrigues E., </w:t>
      </w:r>
      <w:proofErr w:type="spellStart"/>
      <w:r w:rsidRPr="00223662">
        <w:rPr>
          <w:lang w:val="en-US"/>
        </w:rPr>
        <w:t>Calomfirescu</w:t>
      </w:r>
      <w:proofErr w:type="spellEnd"/>
      <w:r w:rsidRPr="00223662">
        <w:rPr>
          <w:lang w:val="en-US"/>
        </w:rPr>
        <w:t xml:space="preserve"> C</w:t>
      </w:r>
      <w:r w:rsidRPr="00223662">
        <w:rPr>
          <w:lang w:val="en-US"/>
        </w:rPr>
        <w:t xml:space="preserve">., </w:t>
      </w:r>
      <w:proofErr w:type="spellStart"/>
      <w:r w:rsidRPr="00223662">
        <w:rPr>
          <w:lang w:val="en-US"/>
        </w:rPr>
        <w:t>Lupulescu</w:t>
      </w:r>
      <w:proofErr w:type="spellEnd"/>
      <w:r w:rsidRPr="00223662">
        <w:rPr>
          <w:lang w:val="en-US"/>
        </w:rPr>
        <w:t xml:space="preserve"> E., Popescu R., </w:t>
      </w:r>
      <w:proofErr w:type="spellStart"/>
      <w:r w:rsidRPr="00223662">
        <w:rPr>
          <w:lang w:val="en-US"/>
        </w:rPr>
        <w:t>Popovici</w:t>
      </w:r>
      <w:proofErr w:type="spellEnd"/>
      <w:r w:rsidRPr="00223662">
        <w:rPr>
          <w:lang w:val="en-US"/>
        </w:rPr>
        <w:t xml:space="preserve"> O.,</w:t>
      </w:r>
    </w:p>
    <w:p w14:paraId="05F3C2E4" w14:textId="77777777" w:rsidR="008C7A05" w:rsidRPr="00223662" w:rsidRDefault="00866A07">
      <w:pPr>
        <w:spacing w:after="50" w:line="259" w:lineRule="auto"/>
        <w:ind w:left="331" w:right="4"/>
        <w:rPr>
          <w:lang w:val="en-US"/>
        </w:rPr>
      </w:pPr>
      <w:r w:rsidRPr="00223662">
        <w:rPr>
          <w:lang w:val="en-US"/>
        </w:rPr>
        <w:t xml:space="preserve">Bogdanovic D., </w:t>
      </w:r>
      <w:proofErr w:type="spellStart"/>
      <w:r w:rsidRPr="00223662">
        <w:rPr>
          <w:lang w:val="en-US"/>
        </w:rPr>
        <w:t>Kostic</w:t>
      </w:r>
      <w:proofErr w:type="spellEnd"/>
      <w:r w:rsidRPr="00223662">
        <w:rPr>
          <w:lang w:val="en-US"/>
        </w:rPr>
        <w:t xml:space="preserve"> M., Lazarevic K., Milosevic Z., </w:t>
      </w:r>
      <w:proofErr w:type="spellStart"/>
      <w:r w:rsidRPr="00223662">
        <w:rPr>
          <w:lang w:val="en-US"/>
        </w:rPr>
        <w:t>Tiodorovic</w:t>
      </w:r>
      <w:proofErr w:type="spellEnd"/>
      <w:r w:rsidRPr="00223662">
        <w:rPr>
          <w:lang w:val="en-US"/>
        </w:rPr>
        <w:t xml:space="preserve"> B., Chen M., Cutter J., Lee V., Lin</w:t>
      </w:r>
    </w:p>
    <w:p w14:paraId="738866B0" w14:textId="77777777" w:rsidR="008C7A05" w:rsidRPr="00223662" w:rsidRDefault="00866A07">
      <w:pPr>
        <w:spacing w:after="50" w:line="259" w:lineRule="auto"/>
        <w:ind w:left="331" w:right="4"/>
        <w:rPr>
          <w:lang w:val="en-US"/>
        </w:rPr>
      </w:pPr>
      <w:r w:rsidRPr="00223662">
        <w:rPr>
          <w:lang w:val="en-US"/>
        </w:rPr>
        <w:t xml:space="preserve">R., Ma S., Cohen A.L., Treurnicht F., Kim W.J., Delgado-Sanz C., </w:t>
      </w:r>
      <w:proofErr w:type="spellStart"/>
      <w:r w:rsidRPr="00223662">
        <w:rPr>
          <w:lang w:val="en-US"/>
        </w:rPr>
        <w:t>Ontañón</w:t>
      </w:r>
      <w:proofErr w:type="spellEnd"/>
      <w:r w:rsidRPr="00223662">
        <w:rPr>
          <w:lang w:val="en-US"/>
        </w:rPr>
        <w:t xml:space="preserve"> S. de </w:t>
      </w:r>
      <w:proofErr w:type="spellStart"/>
      <w:r w:rsidRPr="00223662">
        <w:rPr>
          <w:lang w:val="en-US"/>
        </w:rPr>
        <w:t>mateo</w:t>
      </w:r>
      <w:proofErr w:type="spellEnd"/>
      <w:r w:rsidRPr="00223662">
        <w:rPr>
          <w:lang w:val="en-US"/>
        </w:rPr>
        <w:t xml:space="preserve">, </w:t>
      </w:r>
      <w:proofErr w:type="spellStart"/>
      <w:r w:rsidRPr="00223662">
        <w:rPr>
          <w:lang w:val="en-US"/>
        </w:rPr>
        <w:t>Larrauri</w:t>
      </w:r>
      <w:proofErr w:type="spellEnd"/>
      <w:r w:rsidRPr="00223662">
        <w:rPr>
          <w:lang w:val="en-US"/>
        </w:rPr>
        <w:t xml:space="preserve"> A.,</w:t>
      </w:r>
    </w:p>
    <w:p w14:paraId="52D8612D" w14:textId="77777777" w:rsidR="008C7A05" w:rsidRPr="00223662" w:rsidRDefault="00866A07">
      <w:pPr>
        <w:spacing w:after="50" w:line="259" w:lineRule="auto"/>
        <w:ind w:left="331" w:right="4"/>
        <w:rPr>
          <w:lang w:val="en-US"/>
        </w:rPr>
      </w:pPr>
      <w:r w:rsidRPr="00223662">
        <w:rPr>
          <w:lang w:val="en-US"/>
        </w:rPr>
        <w:t>León I.L., Val</w:t>
      </w:r>
      <w:r w:rsidRPr="00223662">
        <w:rPr>
          <w:lang w:val="en-US"/>
        </w:rPr>
        <w:t xml:space="preserve">lejo F., Born R., Junker C., Koch D., Chuang J.-H., Huang W.-T., </w:t>
      </w:r>
      <w:proofErr w:type="spellStart"/>
      <w:r w:rsidRPr="00223662">
        <w:rPr>
          <w:lang w:val="en-US"/>
        </w:rPr>
        <w:t>Kuo</w:t>
      </w:r>
      <w:proofErr w:type="spellEnd"/>
      <w:r w:rsidRPr="00223662">
        <w:rPr>
          <w:lang w:val="en-US"/>
        </w:rPr>
        <w:t xml:space="preserve"> H.-W., Tsai Y.-C.,</w:t>
      </w:r>
    </w:p>
    <w:p w14:paraId="5214E346" w14:textId="77777777" w:rsidR="008C7A05" w:rsidRPr="00223662" w:rsidRDefault="00866A07">
      <w:pPr>
        <w:ind w:left="331" w:right="4"/>
        <w:rPr>
          <w:lang w:val="en-US"/>
        </w:rPr>
      </w:pPr>
      <w:proofErr w:type="spellStart"/>
      <w:r w:rsidRPr="00223662">
        <w:rPr>
          <w:lang w:val="en-US"/>
        </w:rPr>
        <w:t>Bundhamcharoen</w:t>
      </w:r>
      <w:proofErr w:type="spellEnd"/>
      <w:r w:rsidRPr="00223662">
        <w:rPr>
          <w:lang w:val="en-US"/>
        </w:rPr>
        <w:t xml:space="preserve"> K., </w:t>
      </w:r>
      <w:proofErr w:type="spellStart"/>
      <w:r w:rsidRPr="00223662">
        <w:rPr>
          <w:lang w:val="en-US"/>
        </w:rPr>
        <w:t>Chittaganpitch</w:t>
      </w:r>
      <w:proofErr w:type="spellEnd"/>
      <w:r w:rsidRPr="00223662">
        <w:rPr>
          <w:lang w:val="en-US"/>
        </w:rPr>
        <w:t xml:space="preserve"> M., Green H.K., </w:t>
      </w:r>
      <w:proofErr w:type="spellStart"/>
      <w:r w:rsidRPr="00223662">
        <w:rPr>
          <w:lang w:val="en-US"/>
        </w:rPr>
        <w:t>Pebody</w:t>
      </w:r>
      <w:proofErr w:type="spellEnd"/>
      <w:r w:rsidRPr="00223662">
        <w:rPr>
          <w:lang w:val="en-US"/>
        </w:rPr>
        <w:t xml:space="preserve"> R., </w:t>
      </w:r>
      <w:proofErr w:type="spellStart"/>
      <w:r w:rsidRPr="00223662">
        <w:rPr>
          <w:lang w:val="en-US"/>
        </w:rPr>
        <w:t>Goñi</w:t>
      </w:r>
      <w:proofErr w:type="spellEnd"/>
      <w:r w:rsidRPr="00223662">
        <w:rPr>
          <w:lang w:val="en-US"/>
        </w:rPr>
        <w:t xml:space="preserve"> N., </w:t>
      </w:r>
      <w:proofErr w:type="spellStart"/>
      <w:r w:rsidRPr="00223662">
        <w:rPr>
          <w:lang w:val="en-US"/>
        </w:rPr>
        <w:t>Chiparelli</w:t>
      </w:r>
      <w:proofErr w:type="spellEnd"/>
      <w:r w:rsidRPr="00223662">
        <w:rPr>
          <w:lang w:val="en-US"/>
        </w:rPr>
        <w:t xml:space="preserve"> H., Brammer L. &amp; </w:t>
      </w:r>
      <w:proofErr w:type="spellStart"/>
      <w:r w:rsidRPr="00223662">
        <w:rPr>
          <w:lang w:val="en-US"/>
        </w:rPr>
        <w:t>Mustaquim</w:t>
      </w:r>
      <w:proofErr w:type="spellEnd"/>
      <w:r w:rsidRPr="00223662">
        <w:rPr>
          <w:lang w:val="en-US"/>
        </w:rPr>
        <w:t xml:space="preserve"> D. 2018. Estimates of global seasonal influenza-associated r</w:t>
      </w:r>
      <w:r w:rsidRPr="00223662">
        <w:rPr>
          <w:lang w:val="en-US"/>
        </w:rPr>
        <w:t xml:space="preserve">espiratory mortality: A modelling study. </w:t>
      </w:r>
      <w:r w:rsidRPr="00223662">
        <w:rPr>
          <w:i/>
          <w:lang w:val="en-US"/>
        </w:rPr>
        <w:t xml:space="preserve">The Lancet </w:t>
      </w:r>
      <w:r w:rsidRPr="00223662">
        <w:rPr>
          <w:lang w:val="en-US"/>
        </w:rPr>
        <w:t xml:space="preserve">391 (10127): 1285–1300. </w:t>
      </w:r>
      <w:hyperlink r:id="rId58">
        <w:r w:rsidRPr="00223662">
          <w:rPr>
            <w:color w:val="4169E1"/>
            <w:lang w:val="en-US"/>
          </w:rPr>
          <w:t>https://doi.org/10.1016/s0140-6736(17)33293-2</w:t>
        </w:r>
      </w:hyperlink>
    </w:p>
    <w:p w14:paraId="065FCBCD" w14:textId="77777777" w:rsidR="008C7A05" w:rsidRPr="00223662" w:rsidRDefault="00866A07">
      <w:pPr>
        <w:ind w:left="314" w:right="4" w:hanging="299"/>
        <w:rPr>
          <w:lang w:val="en-US"/>
        </w:rPr>
      </w:pPr>
      <w:r w:rsidRPr="00223662">
        <w:rPr>
          <w:lang w:val="en-US"/>
        </w:rPr>
        <w:t xml:space="preserve">Iwamoto T., </w:t>
      </w:r>
      <w:proofErr w:type="spellStart"/>
      <w:r w:rsidRPr="00223662">
        <w:rPr>
          <w:lang w:val="en-US"/>
        </w:rPr>
        <w:t>Sonobe</w:t>
      </w:r>
      <w:proofErr w:type="spellEnd"/>
      <w:r w:rsidRPr="00223662">
        <w:rPr>
          <w:lang w:val="en-US"/>
        </w:rPr>
        <w:t xml:space="preserve"> T. &amp; Hayashi K. 2</w:t>
      </w:r>
      <w:r w:rsidRPr="00223662">
        <w:rPr>
          <w:lang w:val="en-US"/>
        </w:rPr>
        <w:t xml:space="preserve">003. Loop-mediated isothermal amplification for direct detection of </w:t>
      </w:r>
      <w:r w:rsidRPr="00223662">
        <w:rPr>
          <w:lang w:val="en-US"/>
        </w:rPr>
        <w:t>&lt;</w:t>
      </w:r>
      <w:proofErr w:type="spellStart"/>
      <w:r w:rsidRPr="00223662">
        <w:rPr>
          <w:lang w:val="en-US"/>
        </w:rPr>
        <w:t>i</w:t>
      </w:r>
      <w:proofErr w:type="spellEnd"/>
      <w:r w:rsidRPr="00223662">
        <w:rPr>
          <w:lang w:val="en-US"/>
        </w:rPr>
        <w:t>&gt;</w:t>
      </w:r>
      <w:r w:rsidRPr="00223662">
        <w:rPr>
          <w:lang w:val="en-US"/>
        </w:rPr>
        <w:t>mycobacterium tuberculosis</w:t>
      </w:r>
      <w:r w:rsidRPr="00223662">
        <w:rPr>
          <w:lang w:val="en-US"/>
        </w:rPr>
        <w:t>&lt;</w:t>
      </w:r>
      <w:r w:rsidRPr="00223662">
        <w:rPr>
          <w:lang w:val="en-US"/>
        </w:rPr>
        <w:t>/</w:t>
      </w:r>
      <w:proofErr w:type="spellStart"/>
      <w:r w:rsidRPr="00223662">
        <w:rPr>
          <w:lang w:val="en-US"/>
        </w:rPr>
        <w:t>i</w:t>
      </w:r>
      <w:proofErr w:type="spellEnd"/>
      <w:r w:rsidRPr="00223662">
        <w:rPr>
          <w:lang w:val="en-US"/>
        </w:rPr>
        <w:t xml:space="preserve">&gt; </w:t>
      </w:r>
      <w:r w:rsidRPr="00223662">
        <w:rPr>
          <w:lang w:val="en-US"/>
        </w:rPr>
        <w:t xml:space="preserve">complex, </w:t>
      </w:r>
      <w:r w:rsidRPr="00223662">
        <w:rPr>
          <w:lang w:val="en-US"/>
        </w:rPr>
        <w:t>&lt;</w:t>
      </w:r>
      <w:proofErr w:type="spellStart"/>
      <w:r w:rsidRPr="00223662">
        <w:rPr>
          <w:lang w:val="en-US"/>
        </w:rPr>
        <w:t>i</w:t>
      </w:r>
      <w:proofErr w:type="spellEnd"/>
      <w:r w:rsidRPr="00223662">
        <w:rPr>
          <w:lang w:val="en-US"/>
        </w:rPr>
        <w:t>&gt;</w:t>
      </w:r>
      <w:r w:rsidRPr="00223662">
        <w:rPr>
          <w:lang w:val="en-US"/>
        </w:rPr>
        <w:t>m. Avium</w:t>
      </w:r>
      <w:r w:rsidRPr="00223662">
        <w:rPr>
          <w:lang w:val="en-US"/>
        </w:rPr>
        <w:t>&lt;</w:t>
      </w:r>
      <w:r w:rsidRPr="00223662">
        <w:rPr>
          <w:lang w:val="en-US"/>
        </w:rPr>
        <w:t>/</w:t>
      </w:r>
      <w:proofErr w:type="spellStart"/>
      <w:r w:rsidRPr="00223662">
        <w:rPr>
          <w:lang w:val="en-US"/>
        </w:rPr>
        <w:t>i</w:t>
      </w:r>
      <w:proofErr w:type="spellEnd"/>
      <w:proofErr w:type="gramStart"/>
      <w:r w:rsidRPr="00223662">
        <w:rPr>
          <w:lang w:val="en-US"/>
        </w:rPr>
        <w:t xml:space="preserve">&gt; </w:t>
      </w:r>
      <w:r w:rsidRPr="00223662">
        <w:rPr>
          <w:lang w:val="en-US"/>
        </w:rPr>
        <w:t>,</w:t>
      </w:r>
      <w:proofErr w:type="gramEnd"/>
      <w:r w:rsidRPr="00223662">
        <w:rPr>
          <w:lang w:val="en-US"/>
        </w:rPr>
        <w:t xml:space="preserve"> and </w:t>
      </w:r>
      <w:r w:rsidRPr="00223662">
        <w:rPr>
          <w:lang w:val="en-US"/>
        </w:rPr>
        <w:t>&lt;</w:t>
      </w:r>
      <w:proofErr w:type="spellStart"/>
      <w:r w:rsidRPr="00223662">
        <w:rPr>
          <w:lang w:val="en-US"/>
        </w:rPr>
        <w:t>i</w:t>
      </w:r>
      <w:proofErr w:type="spellEnd"/>
      <w:r w:rsidRPr="00223662">
        <w:rPr>
          <w:lang w:val="en-US"/>
        </w:rPr>
        <w:t>&gt;</w:t>
      </w:r>
      <w:r w:rsidRPr="00223662">
        <w:rPr>
          <w:lang w:val="en-US"/>
        </w:rPr>
        <w:t xml:space="preserve">m. </w:t>
      </w:r>
      <w:proofErr w:type="spellStart"/>
      <w:r w:rsidRPr="00223662">
        <w:rPr>
          <w:lang w:val="en-US"/>
        </w:rPr>
        <w:t>Intracellulare</w:t>
      </w:r>
      <w:proofErr w:type="spellEnd"/>
      <w:r w:rsidRPr="00223662">
        <w:rPr>
          <w:lang w:val="en-US"/>
        </w:rPr>
        <w:t>&lt;</w:t>
      </w:r>
      <w:r w:rsidRPr="00223662">
        <w:rPr>
          <w:lang w:val="en-US"/>
        </w:rPr>
        <w:t>/</w:t>
      </w:r>
      <w:proofErr w:type="spellStart"/>
      <w:r w:rsidRPr="00223662">
        <w:rPr>
          <w:lang w:val="en-US"/>
        </w:rPr>
        <w:t>i</w:t>
      </w:r>
      <w:proofErr w:type="spellEnd"/>
      <w:r w:rsidRPr="00223662">
        <w:rPr>
          <w:lang w:val="en-US"/>
        </w:rPr>
        <w:t xml:space="preserve">&gt; </w:t>
      </w:r>
      <w:r w:rsidRPr="00223662">
        <w:rPr>
          <w:lang w:val="en-US"/>
        </w:rPr>
        <w:t xml:space="preserve">in sputum samples. </w:t>
      </w:r>
      <w:r w:rsidRPr="00223662">
        <w:rPr>
          <w:i/>
          <w:lang w:val="en-US"/>
        </w:rPr>
        <w:t xml:space="preserve">Journal of Clinical Microbiology </w:t>
      </w:r>
      <w:r w:rsidRPr="00223662">
        <w:rPr>
          <w:lang w:val="en-US"/>
        </w:rPr>
        <w:t xml:space="preserve">41 (6): 2616–2622. </w:t>
      </w:r>
      <w:hyperlink r:id="rId59">
        <w:r w:rsidRPr="00223662">
          <w:rPr>
            <w:color w:val="4169E1"/>
            <w:lang w:val="en-US"/>
          </w:rPr>
          <w:t xml:space="preserve">https://doi.org/10.1128/jcm.41.6.2 </w:t>
        </w:r>
      </w:hyperlink>
      <w:hyperlink r:id="rId60">
        <w:r w:rsidRPr="00223662">
          <w:rPr>
            <w:color w:val="4169E1"/>
            <w:lang w:val="en-US"/>
          </w:rPr>
          <w:t>616-2622.2003</w:t>
        </w:r>
      </w:hyperlink>
    </w:p>
    <w:p w14:paraId="241A2302" w14:textId="77777777" w:rsidR="008C7A05" w:rsidRPr="00223662" w:rsidRDefault="00866A07">
      <w:pPr>
        <w:spacing w:after="50" w:line="259" w:lineRule="auto"/>
        <w:ind w:left="17" w:right="4"/>
        <w:rPr>
          <w:lang w:val="en-US"/>
        </w:rPr>
      </w:pPr>
      <w:r w:rsidRPr="00223662">
        <w:rPr>
          <w:lang w:val="en-US"/>
        </w:rPr>
        <w:t xml:space="preserve">Jagger B.W., Wise H.M., </w:t>
      </w:r>
      <w:proofErr w:type="spellStart"/>
      <w:r w:rsidRPr="00223662">
        <w:rPr>
          <w:lang w:val="en-US"/>
        </w:rPr>
        <w:t>Kash</w:t>
      </w:r>
      <w:proofErr w:type="spellEnd"/>
      <w:r w:rsidRPr="00223662">
        <w:rPr>
          <w:lang w:val="en-US"/>
        </w:rPr>
        <w:t xml:space="preserve"> J.C</w:t>
      </w:r>
      <w:r w:rsidRPr="00223662">
        <w:rPr>
          <w:lang w:val="en-US"/>
        </w:rPr>
        <w:t xml:space="preserve">., Walters K.-A., Wills N.M., Xiao Y.-L., </w:t>
      </w:r>
      <w:proofErr w:type="spellStart"/>
      <w:r w:rsidRPr="00223662">
        <w:rPr>
          <w:lang w:val="en-US"/>
        </w:rPr>
        <w:t>Dunfee</w:t>
      </w:r>
      <w:proofErr w:type="spellEnd"/>
      <w:r w:rsidRPr="00223662">
        <w:rPr>
          <w:lang w:val="en-US"/>
        </w:rPr>
        <w:t xml:space="preserve"> R.L., Schwartzman L.M.,</w:t>
      </w:r>
    </w:p>
    <w:p w14:paraId="19BDCBA9" w14:textId="77777777" w:rsidR="008C7A05" w:rsidRDefault="00866A07">
      <w:pPr>
        <w:spacing w:after="125" w:line="315" w:lineRule="auto"/>
        <w:ind w:left="329" w:right="0" w:firstLine="0"/>
        <w:jc w:val="left"/>
      </w:pPr>
      <w:proofErr w:type="spellStart"/>
      <w:r w:rsidRPr="00223662">
        <w:rPr>
          <w:lang w:val="en-US"/>
        </w:rPr>
        <w:t>Ozinsky</w:t>
      </w:r>
      <w:proofErr w:type="spellEnd"/>
      <w:r w:rsidRPr="00223662">
        <w:rPr>
          <w:lang w:val="en-US"/>
        </w:rPr>
        <w:t xml:space="preserve"> A., Bell G.L., Dalton R.M., Lo A., </w:t>
      </w:r>
      <w:proofErr w:type="spellStart"/>
      <w:r w:rsidRPr="00223662">
        <w:rPr>
          <w:lang w:val="en-US"/>
        </w:rPr>
        <w:t>Efstathiou</w:t>
      </w:r>
      <w:proofErr w:type="spellEnd"/>
      <w:r w:rsidRPr="00223662">
        <w:rPr>
          <w:lang w:val="en-US"/>
        </w:rPr>
        <w:t xml:space="preserve"> S., Atkins J.F., Firth A.E., Taubenberger J.K. &amp; </w:t>
      </w:r>
      <w:proofErr w:type="spellStart"/>
      <w:r w:rsidRPr="00223662">
        <w:rPr>
          <w:lang w:val="en-US"/>
        </w:rPr>
        <w:t>Digard</w:t>
      </w:r>
      <w:proofErr w:type="spellEnd"/>
      <w:r w:rsidRPr="00223662">
        <w:rPr>
          <w:lang w:val="en-US"/>
        </w:rPr>
        <w:t xml:space="preserve"> P. 2012. An overlapping protein-coding region in influenza a virus segment 3 modulates the host response. </w:t>
      </w:r>
      <w:r>
        <w:rPr>
          <w:i/>
        </w:rPr>
        <w:t xml:space="preserve">Science </w:t>
      </w:r>
      <w:r>
        <w:t xml:space="preserve">337 (6091): 199–204. </w:t>
      </w:r>
      <w:hyperlink r:id="rId61">
        <w:r>
          <w:rPr>
            <w:color w:val="4169E1"/>
          </w:rPr>
          <w:t>https://doi.org/10.1126/science.1222213</w:t>
        </w:r>
      </w:hyperlink>
    </w:p>
    <w:p w14:paraId="213AD442" w14:textId="77777777" w:rsidR="008C7A05" w:rsidRPr="00223662" w:rsidRDefault="00866A07">
      <w:pPr>
        <w:ind w:left="314" w:right="4" w:hanging="299"/>
        <w:rPr>
          <w:lang w:val="en-US"/>
        </w:rPr>
      </w:pPr>
      <w:proofErr w:type="spellStart"/>
      <w:r>
        <w:t>Javanian</w:t>
      </w:r>
      <w:proofErr w:type="spellEnd"/>
      <w:r>
        <w:t xml:space="preserve"> M., </w:t>
      </w:r>
      <w:proofErr w:type="spellStart"/>
      <w:r>
        <w:t>Barary</w:t>
      </w:r>
      <w:proofErr w:type="spellEnd"/>
      <w:r>
        <w:t xml:space="preserve"> M., </w:t>
      </w:r>
      <w:proofErr w:type="spellStart"/>
      <w:r>
        <w:t>Ghebrehewet</w:t>
      </w:r>
      <w:proofErr w:type="spellEnd"/>
      <w:r>
        <w:t xml:space="preserve"> S., Koppolu V., </w:t>
      </w:r>
      <w:proofErr w:type="spellStart"/>
      <w:r>
        <w:t>Vasigala</w:t>
      </w:r>
      <w:proofErr w:type="spellEnd"/>
      <w:r>
        <w:t xml:space="preserve"> V. &amp; </w:t>
      </w:r>
      <w:proofErr w:type="spellStart"/>
      <w:proofErr w:type="gramStart"/>
      <w:r>
        <w:t>Ebrahimpour</w:t>
      </w:r>
      <w:proofErr w:type="spellEnd"/>
      <w:proofErr w:type="gramEnd"/>
      <w:r>
        <w:t xml:space="preserve"> S. 2021. </w:t>
      </w:r>
      <w:r w:rsidRPr="00223662">
        <w:rPr>
          <w:lang w:val="en-US"/>
        </w:rPr>
        <w:t xml:space="preserve">A brief review of influenza virus infection. </w:t>
      </w:r>
      <w:r w:rsidRPr="00223662">
        <w:rPr>
          <w:i/>
          <w:lang w:val="en-US"/>
        </w:rPr>
        <w:t>Jo</w:t>
      </w:r>
      <w:r w:rsidRPr="00223662">
        <w:rPr>
          <w:i/>
          <w:lang w:val="en-US"/>
        </w:rPr>
        <w:t xml:space="preserve">urnal of Medical Virology </w:t>
      </w:r>
      <w:r w:rsidRPr="00223662">
        <w:rPr>
          <w:lang w:val="en-US"/>
        </w:rPr>
        <w:t xml:space="preserve">93 (8): 4638–4646. </w:t>
      </w:r>
      <w:hyperlink r:id="rId62">
        <w:r w:rsidRPr="00223662">
          <w:rPr>
            <w:color w:val="4169E1"/>
            <w:lang w:val="en-US"/>
          </w:rPr>
          <w:t xml:space="preserve">https://doi.org/10.1002/jmv. </w:t>
        </w:r>
      </w:hyperlink>
      <w:hyperlink r:id="rId63">
        <w:r w:rsidRPr="00223662">
          <w:rPr>
            <w:color w:val="4169E1"/>
            <w:lang w:val="en-US"/>
          </w:rPr>
          <w:t>26990</w:t>
        </w:r>
      </w:hyperlink>
    </w:p>
    <w:p w14:paraId="68EDB4DA" w14:textId="77777777" w:rsidR="008C7A05" w:rsidRPr="00223662" w:rsidRDefault="00866A07">
      <w:pPr>
        <w:ind w:left="294" w:right="4" w:hanging="279"/>
        <w:rPr>
          <w:lang w:val="en-US"/>
        </w:rPr>
      </w:pPr>
      <w:r w:rsidRPr="00223662">
        <w:rPr>
          <w:lang w:val="en-US"/>
        </w:rPr>
        <w:lastRenderedPageBreak/>
        <w:t xml:space="preserve">Kang T., Lu J., Yu T., Long Y. &amp; Liu G. 2022. Advances in nucleic acid amplification techniques (NAATs): COVID-19 point-of-care </w:t>
      </w:r>
      <w:r w:rsidRPr="00223662">
        <w:rPr>
          <w:lang w:val="en-US"/>
        </w:rPr>
        <w:t xml:space="preserve">diagnostics as an example. </w:t>
      </w:r>
      <w:r w:rsidRPr="00223662">
        <w:rPr>
          <w:i/>
          <w:lang w:val="en-US"/>
        </w:rPr>
        <w:t xml:space="preserve">Biosensors and Bioelectronics </w:t>
      </w:r>
      <w:r w:rsidRPr="00223662">
        <w:rPr>
          <w:lang w:val="en-US"/>
        </w:rPr>
        <w:t xml:space="preserve">206: 114109. </w:t>
      </w:r>
      <w:hyperlink r:id="rId64">
        <w:r w:rsidRPr="00223662">
          <w:rPr>
            <w:color w:val="4169E1"/>
            <w:lang w:val="en-US"/>
          </w:rPr>
          <w:t xml:space="preserve">https: </w:t>
        </w:r>
      </w:hyperlink>
      <w:hyperlink r:id="rId65">
        <w:r w:rsidRPr="00223662">
          <w:rPr>
            <w:color w:val="4169E1"/>
            <w:lang w:val="en-US"/>
          </w:rPr>
          <w:t>//doi.org/10.1016/j.bio</w:t>
        </w:r>
        <w:r w:rsidRPr="00223662">
          <w:rPr>
            <w:color w:val="4169E1"/>
            <w:lang w:val="en-US"/>
          </w:rPr>
          <w:t>s.2022.114109</w:t>
        </w:r>
      </w:hyperlink>
    </w:p>
    <w:p w14:paraId="023FF6FA" w14:textId="77777777" w:rsidR="008C7A05" w:rsidRPr="00223662" w:rsidRDefault="00866A07">
      <w:pPr>
        <w:ind w:left="294" w:right="4" w:hanging="279"/>
        <w:rPr>
          <w:lang w:val="en-US"/>
        </w:rPr>
      </w:pPr>
      <w:r w:rsidRPr="00223662">
        <w:rPr>
          <w:lang w:val="en-US"/>
        </w:rPr>
        <w:t xml:space="preserve">Kim D.-K. &amp; Poudel B. 2013. Tools to detect influenza virus. </w:t>
      </w:r>
      <w:r w:rsidRPr="00223662">
        <w:rPr>
          <w:i/>
          <w:lang w:val="en-US"/>
        </w:rPr>
        <w:t xml:space="preserve">Yonsei Medical Journal </w:t>
      </w:r>
      <w:r w:rsidRPr="00223662">
        <w:rPr>
          <w:lang w:val="en-US"/>
        </w:rPr>
        <w:t xml:space="preserve">54 (3): 560. </w:t>
      </w:r>
      <w:hyperlink r:id="rId66">
        <w:r w:rsidRPr="00223662">
          <w:rPr>
            <w:color w:val="4169E1"/>
            <w:lang w:val="en-US"/>
          </w:rPr>
          <w:t xml:space="preserve">https: </w:t>
        </w:r>
      </w:hyperlink>
      <w:hyperlink r:id="rId67">
        <w:r w:rsidRPr="00223662">
          <w:rPr>
            <w:color w:val="4169E1"/>
            <w:lang w:val="en-US"/>
          </w:rPr>
          <w:t>//doi.org/10.3349/ymj.2013.54.3.560</w:t>
        </w:r>
      </w:hyperlink>
    </w:p>
    <w:p w14:paraId="6AF277E2" w14:textId="77777777" w:rsidR="008C7A05" w:rsidRDefault="00866A07">
      <w:pPr>
        <w:ind w:left="275" w:right="4" w:hanging="260"/>
      </w:pPr>
      <w:r>
        <w:t xml:space="preserve">Kim H., Webster R.G. &amp; </w:t>
      </w:r>
      <w:proofErr w:type="spellStart"/>
      <w:r>
        <w:t>Webby</w:t>
      </w:r>
      <w:proofErr w:type="spellEnd"/>
      <w:r>
        <w:t xml:space="preserve"> R.J. 2018. </w:t>
      </w:r>
      <w:r w:rsidRPr="00223662">
        <w:rPr>
          <w:lang w:val="en-US"/>
        </w:rPr>
        <w:t xml:space="preserve">Influenza virus: Dealing with a drifting and shifting pathogen. </w:t>
      </w:r>
      <w:r>
        <w:rPr>
          <w:i/>
        </w:rPr>
        <w:t xml:space="preserve">Viral </w:t>
      </w:r>
      <w:proofErr w:type="spellStart"/>
      <w:r>
        <w:rPr>
          <w:i/>
        </w:rPr>
        <w:t>Immunology</w:t>
      </w:r>
      <w:proofErr w:type="spellEnd"/>
      <w:r>
        <w:rPr>
          <w:i/>
        </w:rPr>
        <w:t xml:space="preserve"> </w:t>
      </w:r>
      <w:r>
        <w:t>31 (2): 174</w:t>
      </w:r>
      <w:r>
        <w:t xml:space="preserve">–183. </w:t>
      </w:r>
      <w:hyperlink r:id="rId68">
        <w:r>
          <w:rPr>
            <w:color w:val="4169E1"/>
          </w:rPr>
          <w:t>https://doi.org/10.1089/vim.2017.0141</w:t>
        </w:r>
      </w:hyperlink>
    </w:p>
    <w:p w14:paraId="72EE199A" w14:textId="77777777" w:rsidR="008C7A05" w:rsidRDefault="00866A07">
      <w:pPr>
        <w:spacing w:after="125" w:line="315" w:lineRule="auto"/>
        <w:ind w:left="313" w:right="0" w:hanging="298"/>
        <w:jc w:val="left"/>
      </w:pPr>
      <w:proofErr w:type="spellStart"/>
      <w:r>
        <w:t>Kordyukova</w:t>
      </w:r>
      <w:proofErr w:type="spellEnd"/>
      <w:r>
        <w:t xml:space="preserve"> L.V., </w:t>
      </w:r>
      <w:proofErr w:type="spellStart"/>
      <w:r>
        <w:t>Shtykova</w:t>
      </w:r>
      <w:proofErr w:type="spellEnd"/>
      <w:r>
        <w:t xml:space="preserve"> E.V., </w:t>
      </w:r>
      <w:proofErr w:type="spellStart"/>
      <w:r>
        <w:t>Baratova</w:t>
      </w:r>
      <w:proofErr w:type="spellEnd"/>
      <w:r>
        <w:t xml:space="preserve"> L.A., </w:t>
      </w:r>
      <w:proofErr w:type="spellStart"/>
      <w:r>
        <w:t>Svergun</w:t>
      </w:r>
      <w:proofErr w:type="spellEnd"/>
      <w:r>
        <w:t xml:space="preserve"> D.I. &amp; </w:t>
      </w:r>
      <w:proofErr w:type="spellStart"/>
      <w:r>
        <w:t>Batishchev</w:t>
      </w:r>
      <w:proofErr w:type="spellEnd"/>
      <w:r>
        <w:t xml:space="preserve"> O.V. 2018. </w:t>
      </w:r>
      <w:r w:rsidRPr="00223662">
        <w:rPr>
          <w:lang w:val="en-US"/>
        </w:rPr>
        <w:t xml:space="preserve">Matrix proteins of enveloped viruses: </w:t>
      </w:r>
      <w:r w:rsidRPr="00223662">
        <w:rPr>
          <w:lang w:val="en-US"/>
        </w:rPr>
        <w:t xml:space="preserve">A case study of influenza a virus M1 protein. </w:t>
      </w:r>
      <w:r>
        <w:rPr>
          <w:i/>
        </w:rPr>
        <w:t xml:space="preserve">Journal </w:t>
      </w:r>
      <w:proofErr w:type="spellStart"/>
      <w:r>
        <w:rPr>
          <w:i/>
        </w:rPr>
        <w:t>of</w:t>
      </w:r>
      <w:proofErr w:type="spellEnd"/>
      <w:r>
        <w:rPr>
          <w:i/>
        </w:rPr>
        <w:t xml:space="preserve"> </w:t>
      </w:r>
      <w:proofErr w:type="spellStart"/>
      <w:r>
        <w:rPr>
          <w:i/>
        </w:rPr>
        <w:t>Biomolecular</w:t>
      </w:r>
      <w:proofErr w:type="spellEnd"/>
      <w:r>
        <w:rPr>
          <w:i/>
        </w:rPr>
        <w:t xml:space="preserve"> </w:t>
      </w:r>
      <w:proofErr w:type="spellStart"/>
      <w:r>
        <w:rPr>
          <w:i/>
        </w:rPr>
        <w:t>Structure</w:t>
      </w:r>
      <w:proofErr w:type="spellEnd"/>
      <w:r>
        <w:rPr>
          <w:i/>
        </w:rPr>
        <w:t xml:space="preserve"> and Dynamics </w:t>
      </w:r>
      <w:r>
        <w:t xml:space="preserve">37 (3): 671–690. </w:t>
      </w:r>
      <w:hyperlink r:id="rId69">
        <w:r>
          <w:rPr>
            <w:color w:val="4169E1"/>
          </w:rPr>
          <w:t>https://doi.org/10.1080/07391102.2018.1436089</w:t>
        </w:r>
      </w:hyperlink>
    </w:p>
    <w:p w14:paraId="33592D7F" w14:textId="77777777" w:rsidR="008C7A05" w:rsidRDefault="00866A07">
      <w:pPr>
        <w:ind w:left="309" w:right="4" w:hanging="294"/>
      </w:pPr>
      <w:proofErr w:type="spellStart"/>
      <w:r>
        <w:t>Ko</w:t>
      </w:r>
      <w:r>
        <w:t>utsakos</w:t>
      </w:r>
      <w:proofErr w:type="spellEnd"/>
      <w:r>
        <w:t xml:space="preserve"> M., Nguyen T.H., Barclay W.S. &amp; </w:t>
      </w:r>
      <w:proofErr w:type="spellStart"/>
      <w:r>
        <w:t>Kedzierska</w:t>
      </w:r>
      <w:proofErr w:type="spellEnd"/>
      <w:r>
        <w:t xml:space="preserve"> K. 2016. </w:t>
      </w:r>
      <w:r w:rsidRPr="00223662">
        <w:rPr>
          <w:lang w:val="en-US"/>
        </w:rPr>
        <w:t xml:space="preserve">Knowns and unknowns of influenza b viruses. </w:t>
      </w:r>
      <w:r>
        <w:rPr>
          <w:i/>
        </w:rPr>
        <w:t xml:space="preserve">Future </w:t>
      </w:r>
      <w:proofErr w:type="spellStart"/>
      <w:r>
        <w:rPr>
          <w:i/>
        </w:rPr>
        <w:t>Microbiology</w:t>
      </w:r>
      <w:proofErr w:type="spellEnd"/>
      <w:r>
        <w:rPr>
          <w:i/>
        </w:rPr>
        <w:t xml:space="preserve"> </w:t>
      </w:r>
      <w:r>
        <w:t xml:space="preserve">11 (1): 119–135. </w:t>
      </w:r>
      <w:hyperlink r:id="rId70">
        <w:r>
          <w:rPr>
            <w:color w:val="4169E1"/>
          </w:rPr>
          <w:t>https://doi.org/10.2217/fmb.15.120</w:t>
        </w:r>
      </w:hyperlink>
    </w:p>
    <w:p w14:paraId="7F33210C" w14:textId="77777777" w:rsidR="008C7A05" w:rsidRPr="00223662" w:rsidRDefault="00866A07">
      <w:pPr>
        <w:ind w:left="307" w:right="4" w:hanging="292"/>
        <w:rPr>
          <w:lang w:val="en-US"/>
        </w:rPr>
      </w:pPr>
      <w:r>
        <w:t xml:space="preserve">Krammer F., Smith G.J.D., </w:t>
      </w:r>
      <w:proofErr w:type="spellStart"/>
      <w:r>
        <w:t>Fouchier</w:t>
      </w:r>
      <w:proofErr w:type="spellEnd"/>
      <w:r>
        <w:t xml:space="preserve"> R.A.M., </w:t>
      </w:r>
      <w:proofErr w:type="spellStart"/>
      <w:r>
        <w:t>Peiris</w:t>
      </w:r>
      <w:proofErr w:type="spellEnd"/>
      <w:r>
        <w:t xml:space="preserve"> M., </w:t>
      </w:r>
      <w:proofErr w:type="spellStart"/>
      <w:r>
        <w:t>Kedzierska</w:t>
      </w:r>
      <w:proofErr w:type="spellEnd"/>
      <w:r>
        <w:t xml:space="preserve"> K., Doherty P.C., </w:t>
      </w:r>
      <w:proofErr w:type="spellStart"/>
      <w:r>
        <w:t>Palese</w:t>
      </w:r>
      <w:proofErr w:type="spellEnd"/>
      <w:r>
        <w:t xml:space="preserve"> P., Shaw M.L., </w:t>
      </w:r>
      <w:proofErr w:type="spellStart"/>
      <w:r>
        <w:t>Treanor</w:t>
      </w:r>
      <w:proofErr w:type="spellEnd"/>
      <w:r>
        <w:t xml:space="preserve"> J., Webster R.G. &amp; </w:t>
      </w:r>
      <w:proofErr w:type="spellStart"/>
      <w:r>
        <w:t>Garcı́a-Sastre</w:t>
      </w:r>
      <w:proofErr w:type="spellEnd"/>
      <w:r>
        <w:t xml:space="preserve"> A. 2018. </w:t>
      </w:r>
      <w:r w:rsidRPr="00223662">
        <w:rPr>
          <w:lang w:val="en-US"/>
        </w:rPr>
        <w:t xml:space="preserve">Influenza. </w:t>
      </w:r>
      <w:r w:rsidRPr="00223662">
        <w:rPr>
          <w:i/>
          <w:lang w:val="en-US"/>
        </w:rPr>
        <w:t xml:space="preserve">Nature Reviews Disease Primers </w:t>
      </w:r>
      <w:r w:rsidRPr="00223662">
        <w:rPr>
          <w:lang w:val="en-US"/>
        </w:rPr>
        <w:t xml:space="preserve">4 (1). </w:t>
      </w:r>
      <w:hyperlink r:id="rId71">
        <w:r w:rsidRPr="00223662">
          <w:rPr>
            <w:color w:val="4169E1"/>
            <w:lang w:val="en-US"/>
          </w:rPr>
          <w:t>https://doi.org/10.1038/s41572-018-0002-y</w:t>
        </w:r>
      </w:hyperlink>
    </w:p>
    <w:p w14:paraId="6787C73D" w14:textId="77777777" w:rsidR="008C7A05" w:rsidRDefault="00866A07">
      <w:pPr>
        <w:ind w:left="314" w:right="4" w:hanging="299"/>
      </w:pPr>
      <w:r w:rsidRPr="00223662">
        <w:rPr>
          <w:lang w:val="en-US"/>
        </w:rPr>
        <w:t xml:space="preserve">Li J., Macdonald J. &amp; </w:t>
      </w:r>
      <w:proofErr w:type="spellStart"/>
      <w:r w:rsidRPr="00223662">
        <w:rPr>
          <w:lang w:val="en-US"/>
        </w:rPr>
        <w:t>Stetten</w:t>
      </w:r>
      <w:proofErr w:type="spellEnd"/>
      <w:r w:rsidRPr="00223662">
        <w:rPr>
          <w:lang w:val="en-US"/>
        </w:rPr>
        <w:t xml:space="preserve"> F. von 2019. Review: A comprehensive summary of a decade development of the recombinase polymerase amplification. </w:t>
      </w:r>
      <w:r>
        <w:rPr>
          <w:i/>
        </w:rPr>
        <w:t xml:space="preserve">The Analyst </w:t>
      </w:r>
      <w:r>
        <w:t>144 (1): 31–67</w:t>
      </w:r>
      <w:r>
        <w:t xml:space="preserve">. </w:t>
      </w:r>
      <w:hyperlink r:id="rId72">
        <w:r>
          <w:rPr>
            <w:color w:val="4169E1"/>
          </w:rPr>
          <w:t>https://doi.org/10.1039/c8an01621f</w:t>
        </w:r>
      </w:hyperlink>
    </w:p>
    <w:p w14:paraId="5EF34EFE" w14:textId="77777777" w:rsidR="008C7A05" w:rsidRDefault="00866A07">
      <w:pPr>
        <w:ind w:left="293" w:right="4" w:hanging="278"/>
      </w:pPr>
      <w:r w:rsidRPr="00223662">
        <w:rPr>
          <w:lang w:val="en-US"/>
        </w:rPr>
        <w:t xml:space="preserve">Lillis L., </w:t>
      </w:r>
      <w:proofErr w:type="spellStart"/>
      <w:r w:rsidRPr="00223662">
        <w:rPr>
          <w:lang w:val="en-US"/>
        </w:rPr>
        <w:t>Siverson</w:t>
      </w:r>
      <w:proofErr w:type="spellEnd"/>
      <w:r w:rsidRPr="00223662">
        <w:rPr>
          <w:lang w:val="en-US"/>
        </w:rPr>
        <w:t xml:space="preserve"> J., Lee A., Cantera J., Parker M., </w:t>
      </w:r>
      <w:proofErr w:type="spellStart"/>
      <w:r w:rsidRPr="00223662">
        <w:rPr>
          <w:lang w:val="en-US"/>
        </w:rPr>
        <w:t>Piepenburg</w:t>
      </w:r>
      <w:proofErr w:type="spellEnd"/>
      <w:r w:rsidRPr="00223662">
        <w:rPr>
          <w:lang w:val="en-US"/>
        </w:rPr>
        <w:t xml:space="preserve"> O., Lehman D.A. &amp; Boyle D.S. 2016. Factors influencing recombinase</w:t>
      </w:r>
      <w:r w:rsidRPr="00223662">
        <w:rPr>
          <w:lang w:val="en-US"/>
        </w:rPr>
        <w:t xml:space="preserve"> polymerase amplification (RPA) assay outcomes at point of care. </w:t>
      </w:r>
      <w:proofErr w:type="spellStart"/>
      <w:r>
        <w:rPr>
          <w:i/>
        </w:rPr>
        <w:t>Molecular</w:t>
      </w:r>
      <w:proofErr w:type="spellEnd"/>
      <w:r>
        <w:rPr>
          <w:i/>
        </w:rPr>
        <w:t xml:space="preserve"> and </w:t>
      </w:r>
      <w:proofErr w:type="spellStart"/>
      <w:r>
        <w:rPr>
          <w:i/>
        </w:rPr>
        <w:t>Cellular</w:t>
      </w:r>
      <w:proofErr w:type="spellEnd"/>
      <w:r>
        <w:rPr>
          <w:i/>
        </w:rPr>
        <w:t xml:space="preserve"> </w:t>
      </w:r>
      <w:proofErr w:type="spellStart"/>
      <w:r>
        <w:rPr>
          <w:i/>
        </w:rPr>
        <w:t>Probes</w:t>
      </w:r>
      <w:proofErr w:type="spellEnd"/>
      <w:r>
        <w:rPr>
          <w:i/>
        </w:rPr>
        <w:t xml:space="preserve"> </w:t>
      </w:r>
      <w:r>
        <w:t xml:space="preserve">30 (2): 74–78. </w:t>
      </w:r>
      <w:hyperlink r:id="rId73">
        <w:r>
          <w:rPr>
            <w:color w:val="4169E1"/>
          </w:rPr>
          <w:t>https://doi.org/10.1016/j.mcp.2016.01.009</w:t>
        </w:r>
      </w:hyperlink>
    </w:p>
    <w:p w14:paraId="372A4C54" w14:textId="77777777" w:rsidR="008C7A05" w:rsidRPr="00223662" w:rsidRDefault="00866A07">
      <w:pPr>
        <w:ind w:left="314" w:right="4" w:hanging="299"/>
        <w:rPr>
          <w:lang w:val="en-US"/>
        </w:rPr>
      </w:pPr>
      <w:r w:rsidRPr="00223662">
        <w:rPr>
          <w:lang w:val="en-US"/>
        </w:rPr>
        <w:t>Lobato I.M</w:t>
      </w:r>
      <w:r w:rsidRPr="00223662">
        <w:rPr>
          <w:lang w:val="en-US"/>
        </w:rPr>
        <w:t xml:space="preserve">. &amp; </w:t>
      </w:r>
      <w:proofErr w:type="spellStart"/>
      <w:r w:rsidRPr="00223662">
        <w:rPr>
          <w:lang w:val="en-US"/>
        </w:rPr>
        <w:t>OSullivan</w:t>
      </w:r>
      <w:proofErr w:type="spellEnd"/>
      <w:r w:rsidRPr="00223662">
        <w:rPr>
          <w:lang w:val="en-US"/>
        </w:rPr>
        <w:t xml:space="preserve"> C.K. 2018. Recombinase polymerase amplification: Basics, </w:t>
      </w:r>
      <w:proofErr w:type="gramStart"/>
      <w:r w:rsidRPr="00223662">
        <w:rPr>
          <w:lang w:val="en-US"/>
        </w:rPr>
        <w:t>applications</w:t>
      </w:r>
      <w:proofErr w:type="gramEnd"/>
      <w:r w:rsidRPr="00223662">
        <w:rPr>
          <w:lang w:val="en-US"/>
        </w:rPr>
        <w:t xml:space="preserve"> and recent advances. </w:t>
      </w:r>
      <w:proofErr w:type="spellStart"/>
      <w:r w:rsidRPr="00223662">
        <w:rPr>
          <w:i/>
          <w:lang w:val="en-US"/>
        </w:rPr>
        <w:t>TrAC</w:t>
      </w:r>
      <w:proofErr w:type="spellEnd"/>
      <w:r w:rsidRPr="00223662">
        <w:rPr>
          <w:i/>
          <w:lang w:val="en-US"/>
        </w:rPr>
        <w:t xml:space="preserve"> Trends in Analytical Chemistry </w:t>
      </w:r>
      <w:r w:rsidRPr="00223662">
        <w:rPr>
          <w:lang w:val="en-US"/>
        </w:rPr>
        <w:t xml:space="preserve">98: 19–35. </w:t>
      </w:r>
      <w:hyperlink r:id="rId74">
        <w:r w:rsidRPr="00223662">
          <w:rPr>
            <w:color w:val="4169E1"/>
            <w:lang w:val="en-US"/>
          </w:rPr>
          <w:t>https://doi.org/10.1016/j.trac.2017.10.015</w:t>
        </w:r>
      </w:hyperlink>
    </w:p>
    <w:p w14:paraId="6CBEF520" w14:textId="77777777" w:rsidR="008C7A05" w:rsidRPr="00223662" w:rsidRDefault="00866A07">
      <w:pPr>
        <w:ind w:left="314" w:right="4" w:hanging="299"/>
        <w:rPr>
          <w:lang w:val="en-US"/>
        </w:rPr>
      </w:pPr>
      <w:r>
        <w:t xml:space="preserve">Louie R.F., </w:t>
      </w:r>
      <w:proofErr w:type="spellStart"/>
      <w:r>
        <w:t>Kitano</w:t>
      </w:r>
      <w:proofErr w:type="spellEnd"/>
      <w:r>
        <w:t xml:space="preserve"> T., Brock T.K., </w:t>
      </w:r>
      <w:proofErr w:type="spellStart"/>
      <w:r>
        <w:t>Derlet</w:t>
      </w:r>
      <w:proofErr w:type="spellEnd"/>
      <w:r>
        <w:t xml:space="preserve"> R. &amp; Kost G.J. 2009. </w:t>
      </w:r>
      <w:r w:rsidRPr="00223662">
        <w:rPr>
          <w:lang w:val="en-US"/>
        </w:rPr>
        <w:t xml:space="preserve">Point-of-care testing for pandemic influenza and biothreats. </w:t>
      </w:r>
      <w:r w:rsidRPr="00223662">
        <w:rPr>
          <w:i/>
          <w:lang w:val="en-US"/>
        </w:rPr>
        <w:t xml:space="preserve">Disaster Medicine and Public Health Preparedness </w:t>
      </w:r>
      <w:r w:rsidRPr="00223662">
        <w:rPr>
          <w:lang w:val="en-US"/>
        </w:rPr>
        <w:t xml:space="preserve">3 (S2): S193–S202. </w:t>
      </w:r>
      <w:hyperlink r:id="rId75">
        <w:r w:rsidRPr="00223662">
          <w:rPr>
            <w:color w:val="4169E1"/>
            <w:lang w:val="en-US"/>
          </w:rPr>
          <w:t xml:space="preserve">https://doi.org/10 </w:t>
        </w:r>
      </w:hyperlink>
      <w:hyperlink r:id="rId76">
        <w:r w:rsidRPr="00223662">
          <w:rPr>
            <w:color w:val="4169E1"/>
            <w:lang w:val="en-US"/>
          </w:rPr>
          <w:t>.1097/dmp.0b013e3181be6dc4</w:t>
        </w:r>
      </w:hyperlink>
    </w:p>
    <w:p w14:paraId="74CEB8D2" w14:textId="77777777" w:rsidR="008C7A05" w:rsidRDefault="00866A07">
      <w:pPr>
        <w:ind w:left="314" w:right="4" w:hanging="299"/>
      </w:pPr>
      <w:proofErr w:type="spellStart"/>
      <w:r w:rsidRPr="00223662">
        <w:rPr>
          <w:lang w:val="en-US"/>
        </w:rPr>
        <w:t>Lovatt</w:t>
      </w:r>
      <w:proofErr w:type="spellEnd"/>
      <w:r w:rsidRPr="00223662">
        <w:rPr>
          <w:lang w:val="en-US"/>
        </w:rPr>
        <w:t xml:space="preserve"> A. 2002. Applications of quantitative</w:t>
      </w:r>
      <w:r w:rsidRPr="00223662">
        <w:rPr>
          <w:lang w:val="en-US"/>
        </w:rPr>
        <w:t xml:space="preserve"> PCR in the biosafety and genetic stability assessment of biotechnology products. </w:t>
      </w:r>
      <w:r>
        <w:rPr>
          <w:i/>
        </w:rPr>
        <w:t xml:space="preserve">Reviews in </w:t>
      </w:r>
      <w:proofErr w:type="spellStart"/>
      <w:r>
        <w:rPr>
          <w:i/>
        </w:rPr>
        <w:t>Molecular</w:t>
      </w:r>
      <w:proofErr w:type="spellEnd"/>
      <w:r>
        <w:rPr>
          <w:i/>
        </w:rPr>
        <w:t xml:space="preserve"> Biotechnology </w:t>
      </w:r>
      <w:r>
        <w:t xml:space="preserve">82 (3): 279–300. </w:t>
      </w:r>
      <w:hyperlink r:id="rId77">
        <w:r>
          <w:rPr>
            <w:color w:val="4169E1"/>
          </w:rPr>
          <w:t>https://doi.org/10.1016/s1389</w:t>
        </w:r>
      </w:hyperlink>
      <w:hyperlink r:id="rId78">
        <w:r>
          <w:rPr>
            <w:color w:val="4169E1"/>
          </w:rPr>
          <w:t>0352(01)00043-5</w:t>
        </w:r>
      </w:hyperlink>
    </w:p>
    <w:p w14:paraId="39953538" w14:textId="77777777" w:rsidR="008C7A05" w:rsidRDefault="00866A07">
      <w:pPr>
        <w:spacing w:after="181" w:line="259" w:lineRule="auto"/>
        <w:ind w:left="17" w:right="4"/>
      </w:pPr>
      <w:r w:rsidRPr="00223662">
        <w:rPr>
          <w:lang w:val="en-US"/>
        </w:rPr>
        <w:t xml:space="preserve">Luo M. 2011. </w:t>
      </w:r>
      <w:hyperlink r:id="rId79">
        <w:r w:rsidRPr="00223662">
          <w:rPr>
            <w:color w:val="4169E1"/>
            <w:lang w:val="en-US"/>
          </w:rPr>
          <w:t>Influenza virus entry</w:t>
        </w:r>
      </w:hyperlink>
      <w:r w:rsidRPr="00223662">
        <w:rPr>
          <w:lang w:val="en-US"/>
        </w:rPr>
        <w:t xml:space="preserve">. </w:t>
      </w:r>
      <w:r>
        <w:rPr>
          <w:i/>
        </w:rPr>
        <w:t>In</w:t>
      </w:r>
      <w:r>
        <w:t xml:space="preserve">: </w:t>
      </w:r>
      <w:r>
        <w:rPr>
          <w:i/>
        </w:rPr>
        <w:t xml:space="preserve">Viral </w:t>
      </w:r>
      <w:proofErr w:type="spellStart"/>
      <w:r>
        <w:rPr>
          <w:i/>
        </w:rPr>
        <w:t>molecular</w:t>
      </w:r>
      <w:proofErr w:type="spellEnd"/>
      <w:r>
        <w:rPr>
          <w:i/>
        </w:rPr>
        <w:t xml:space="preserve"> </w:t>
      </w:r>
      <w:proofErr w:type="spellStart"/>
      <w:r>
        <w:rPr>
          <w:i/>
        </w:rPr>
        <w:t>machines</w:t>
      </w:r>
      <w:proofErr w:type="spellEnd"/>
      <w:r>
        <w:t>: 201–221. Springer US.</w:t>
      </w:r>
    </w:p>
    <w:p w14:paraId="2C277299" w14:textId="77777777" w:rsidR="008C7A05" w:rsidRPr="00223662" w:rsidRDefault="00866A07">
      <w:pPr>
        <w:spacing w:after="59" w:line="259" w:lineRule="auto"/>
        <w:ind w:left="17" w:right="4"/>
        <w:rPr>
          <w:lang w:val="en-US"/>
        </w:rPr>
      </w:pPr>
      <w:r w:rsidRPr="00223662">
        <w:rPr>
          <w:lang w:val="en-US"/>
        </w:rPr>
        <w:t xml:space="preserve">Lyons D. &amp; </w:t>
      </w:r>
      <w:proofErr w:type="spellStart"/>
      <w:r w:rsidRPr="00223662">
        <w:rPr>
          <w:lang w:val="en-US"/>
        </w:rPr>
        <w:t>Lauring</w:t>
      </w:r>
      <w:proofErr w:type="spellEnd"/>
      <w:r w:rsidRPr="00223662">
        <w:rPr>
          <w:lang w:val="en-US"/>
        </w:rPr>
        <w:t xml:space="preserve"> A. 2018. Mutation and epistasis in influenza virus evolution. </w:t>
      </w:r>
      <w:r w:rsidRPr="00223662">
        <w:rPr>
          <w:i/>
          <w:lang w:val="en-US"/>
        </w:rPr>
        <w:t xml:space="preserve">Viruses </w:t>
      </w:r>
      <w:r w:rsidRPr="00223662">
        <w:rPr>
          <w:lang w:val="en-US"/>
        </w:rPr>
        <w:t>10 (8): 407.</w:t>
      </w:r>
    </w:p>
    <w:p w14:paraId="0064157A" w14:textId="77777777" w:rsidR="008C7A05" w:rsidRPr="00223662" w:rsidRDefault="00866A07">
      <w:pPr>
        <w:spacing w:after="175" w:line="265" w:lineRule="auto"/>
        <w:ind w:left="324" w:right="0" w:hanging="10"/>
        <w:jc w:val="left"/>
        <w:rPr>
          <w:lang w:val="en-US"/>
        </w:rPr>
      </w:pPr>
      <w:hyperlink r:id="rId80">
        <w:r w:rsidRPr="00223662">
          <w:rPr>
            <w:color w:val="4169E1"/>
            <w:lang w:val="en-US"/>
          </w:rPr>
          <w:t>https://doi.or</w:t>
        </w:r>
        <w:r w:rsidRPr="00223662">
          <w:rPr>
            <w:color w:val="4169E1"/>
            <w:lang w:val="en-US"/>
          </w:rPr>
          <w:t>g/10.3390/v10080407</w:t>
        </w:r>
      </w:hyperlink>
    </w:p>
    <w:p w14:paraId="1A989E26" w14:textId="77777777" w:rsidR="008C7A05" w:rsidRPr="00223662" w:rsidRDefault="00866A07">
      <w:pPr>
        <w:spacing w:after="6"/>
        <w:ind w:left="314" w:right="4" w:hanging="299"/>
        <w:rPr>
          <w:lang w:val="en-US"/>
        </w:rPr>
      </w:pPr>
      <w:r w:rsidRPr="00223662">
        <w:rPr>
          <w:lang w:val="en-US"/>
        </w:rPr>
        <w:t xml:space="preserve">Ma H., Bell K.N. &amp; </w:t>
      </w:r>
      <w:proofErr w:type="spellStart"/>
      <w:r w:rsidRPr="00223662">
        <w:rPr>
          <w:lang w:val="en-US"/>
        </w:rPr>
        <w:t>Loker</w:t>
      </w:r>
      <w:proofErr w:type="spellEnd"/>
      <w:r w:rsidRPr="00223662">
        <w:rPr>
          <w:lang w:val="en-US"/>
        </w:rPr>
        <w:t xml:space="preserve"> R.N. 2021. qPCR and </w:t>
      </w:r>
      <w:proofErr w:type="spellStart"/>
      <w:r w:rsidRPr="00223662">
        <w:rPr>
          <w:lang w:val="en-US"/>
        </w:rPr>
        <w:t>qRT</w:t>
      </w:r>
      <w:proofErr w:type="spellEnd"/>
      <w:r w:rsidRPr="00223662">
        <w:rPr>
          <w:lang w:val="en-US"/>
        </w:rPr>
        <w:t xml:space="preserve">-PCR analysis: Regulatory points to consider when conducting biodistribution and vector shedding studies. </w:t>
      </w:r>
      <w:r w:rsidRPr="00223662">
        <w:rPr>
          <w:i/>
          <w:lang w:val="en-US"/>
        </w:rPr>
        <w:t>Molecular Therapy - Methods &amp;amp</w:t>
      </w:r>
      <w:r w:rsidRPr="00223662">
        <w:rPr>
          <w:lang w:val="en-US"/>
        </w:rPr>
        <w:t xml:space="preserve">; </w:t>
      </w:r>
      <w:r w:rsidRPr="00223662">
        <w:rPr>
          <w:i/>
          <w:lang w:val="en-US"/>
        </w:rPr>
        <w:t>Clinical</w:t>
      </w:r>
    </w:p>
    <w:p w14:paraId="6BF7CD74" w14:textId="77777777" w:rsidR="008C7A05" w:rsidRPr="00223662" w:rsidRDefault="00866A07">
      <w:pPr>
        <w:spacing w:after="175" w:line="265" w:lineRule="auto"/>
        <w:ind w:left="324" w:right="0" w:hanging="10"/>
        <w:jc w:val="left"/>
        <w:rPr>
          <w:lang w:val="en-US"/>
        </w:rPr>
      </w:pPr>
      <w:r w:rsidRPr="00223662">
        <w:rPr>
          <w:i/>
          <w:lang w:val="en-US"/>
        </w:rPr>
        <w:t>Dev</w:t>
      </w:r>
      <w:r w:rsidRPr="00223662">
        <w:rPr>
          <w:i/>
          <w:lang w:val="en-US"/>
        </w:rPr>
        <w:t xml:space="preserve">elopment </w:t>
      </w:r>
      <w:r w:rsidRPr="00223662">
        <w:rPr>
          <w:lang w:val="en-US"/>
        </w:rPr>
        <w:t xml:space="preserve">20: 152–168. </w:t>
      </w:r>
      <w:hyperlink r:id="rId81">
        <w:r w:rsidRPr="00223662">
          <w:rPr>
            <w:color w:val="4169E1"/>
            <w:lang w:val="en-US"/>
          </w:rPr>
          <w:t>https://doi.org/10.1016/j.omtm.2020.11.007</w:t>
        </w:r>
      </w:hyperlink>
    </w:p>
    <w:p w14:paraId="1C91C573" w14:textId="77777777" w:rsidR="008C7A05" w:rsidRDefault="00866A07">
      <w:pPr>
        <w:ind w:left="300" w:right="4" w:hanging="285"/>
      </w:pPr>
      <w:r>
        <w:t xml:space="preserve">McCauley J.W. &amp; </w:t>
      </w:r>
      <w:proofErr w:type="spellStart"/>
      <w:r>
        <w:t>Mahy</w:t>
      </w:r>
      <w:proofErr w:type="spellEnd"/>
      <w:r>
        <w:t xml:space="preserve"> B.W.J. 1983. </w:t>
      </w:r>
      <w:r w:rsidRPr="00223662">
        <w:rPr>
          <w:lang w:val="en-US"/>
        </w:rPr>
        <w:t xml:space="preserve">Structure and function of the influenza virus genome. </w:t>
      </w:r>
      <w:proofErr w:type="spellStart"/>
      <w:r>
        <w:rPr>
          <w:i/>
        </w:rPr>
        <w:t>Biochemi</w:t>
      </w:r>
      <w:r>
        <w:rPr>
          <w:i/>
        </w:rPr>
        <w:t>cal</w:t>
      </w:r>
      <w:proofErr w:type="spellEnd"/>
      <w:r>
        <w:rPr>
          <w:i/>
        </w:rPr>
        <w:t xml:space="preserve"> Journal </w:t>
      </w:r>
      <w:r>
        <w:t xml:space="preserve">211 (2): 281–294. </w:t>
      </w:r>
      <w:hyperlink r:id="rId82">
        <w:r>
          <w:rPr>
            <w:color w:val="4169E1"/>
          </w:rPr>
          <w:t>https://doi.org/10.1042/bj2110281</w:t>
        </w:r>
      </w:hyperlink>
    </w:p>
    <w:p w14:paraId="1F507E75" w14:textId="77777777" w:rsidR="008C7A05" w:rsidRDefault="00866A07">
      <w:pPr>
        <w:spacing w:after="179" w:line="259" w:lineRule="auto"/>
        <w:ind w:left="17" w:right="4"/>
      </w:pPr>
      <w:r>
        <w:t xml:space="preserve">Modrow S., Falke D., </w:t>
      </w:r>
      <w:proofErr w:type="spellStart"/>
      <w:r>
        <w:t>Truyen</w:t>
      </w:r>
      <w:proofErr w:type="spellEnd"/>
      <w:r>
        <w:t xml:space="preserve"> U. &amp; Schätzl H. 2010. </w:t>
      </w:r>
      <w:hyperlink r:id="rId83">
        <w:r>
          <w:rPr>
            <w:i/>
            <w:color w:val="4169E1"/>
          </w:rPr>
          <w:t xml:space="preserve">Molekulare </w:t>
        </w:r>
        <w:proofErr w:type="spellStart"/>
        <w:r>
          <w:rPr>
            <w:i/>
            <w:color w:val="4169E1"/>
          </w:rPr>
          <w:t>virologie</w:t>
        </w:r>
        <w:proofErr w:type="spellEnd"/>
      </w:hyperlink>
      <w:r>
        <w:t>. Spektrum Akademischer Verlag.</w:t>
      </w:r>
    </w:p>
    <w:p w14:paraId="6E101263" w14:textId="77777777" w:rsidR="008C7A05" w:rsidRPr="00223662" w:rsidRDefault="00866A07">
      <w:pPr>
        <w:ind w:left="314" w:right="4" w:hanging="299"/>
        <w:rPr>
          <w:lang w:val="en-US"/>
        </w:rPr>
      </w:pPr>
      <w:r>
        <w:lastRenderedPageBreak/>
        <w:t xml:space="preserve">Moore C., </w:t>
      </w:r>
      <w:proofErr w:type="spellStart"/>
      <w:r>
        <w:t>Hibbitts</w:t>
      </w:r>
      <w:proofErr w:type="spellEnd"/>
      <w:r>
        <w:t xml:space="preserve"> S., Owen N., Corden S.A., Harrison G., Fox J., Gelder C. &amp; Westmoreland D. 2004. </w:t>
      </w:r>
      <w:r w:rsidRPr="00223662">
        <w:rPr>
          <w:lang w:val="en-US"/>
        </w:rPr>
        <w:t xml:space="preserve">Development and evaluation of a real-time nucleic acid </w:t>
      </w:r>
      <w:proofErr w:type="gramStart"/>
      <w:r w:rsidRPr="00223662">
        <w:rPr>
          <w:lang w:val="en-US"/>
        </w:rPr>
        <w:t>sequence b</w:t>
      </w:r>
      <w:r w:rsidRPr="00223662">
        <w:rPr>
          <w:lang w:val="en-US"/>
        </w:rPr>
        <w:t>ased</w:t>
      </w:r>
      <w:proofErr w:type="gramEnd"/>
      <w:r w:rsidRPr="00223662">
        <w:rPr>
          <w:lang w:val="en-US"/>
        </w:rPr>
        <w:t xml:space="preserve"> amplification assay for rapid detection of influenza a. </w:t>
      </w:r>
      <w:r w:rsidRPr="00223662">
        <w:rPr>
          <w:i/>
          <w:lang w:val="en-US"/>
        </w:rPr>
        <w:t xml:space="preserve">Journal of Medical Virology </w:t>
      </w:r>
      <w:r w:rsidRPr="00223662">
        <w:rPr>
          <w:lang w:val="en-US"/>
        </w:rPr>
        <w:t xml:space="preserve">74 (4): 619–628. </w:t>
      </w:r>
      <w:hyperlink r:id="rId84">
        <w:r w:rsidRPr="00223662">
          <w:rPr>
            <w:color w:val="4169E1"/>
            <w:lang w:val="en-US"/>
          </w:rPr>
          <w:t>https://doi.org/10.1002/jmv.20221</w:t>
        </w:r>
      </w:hyperlink>
    </w:p>
    <w:p w14:paraId="799E4F88" w14:textId="77777777" w:rsidR="008C7A05" w:rsidRDefault="00866A07">
      <w:pPr>
        <w:ind w:left="303" w:right="4" w:hanging="288"/>
      </w:pPr>
      <w:r w:rsidRPr="00223662">
        <w:rPr>
          <w:lang w:val="en-US"/>
        </w:rPr>
        <w:t xml:space="preserve">Mori Y., </w:t>
      </w:r>
      <w:proofErr w:type="spellStart"/>
      <w:r w:rsidRPr="00223662">
        <w:rPr>
          <w:lang w:val="en-US"/>
        </w:rPr>
        <w:t>Nagamine</w:t>
      </w:r>
      <w:proofErr w:type="spellEnd"/>
      <w:r w:rsidRPr="00223662">
        <w:rPr>
          <w:lang w:val="en-US"/>
        </w:rPr>
        <w:t xml:space="preserve"> K., Tomita N. &amp; </w:t>
      </w:r>
      <w:proofErr w:type="spellStart"/>
      <w:r w:rsidRPr="00223662">
        <w:rPr>
          <w:lang w:val="en-US"/>
        </w:rPr>
        <w:t>Notomi</w:t>
      </w:r>
      <w:proofErr w:type="spellEnd"/>
      <w:r w:rsidRPr="00223662">
        <w:rPr>
          <w:lang w:val="en-US"/>
        </w:rPr>
        <w:t xml:space="preserve"> T. 2001. Detection of loop-mediated isothermal amplification reaction by turbidity derived from magnesium pyrophosphate formation. </w:t>
      </w:r>
      <w:proofErr w:type="spellStart"/>
      <w:r>
        <w:rPr>
          <w:i/>
        </w:rPr>
        <w:t>Biochemical</w:t>
      </w:r>
      <w:proofErr w:type="spellEnd"/>
      <w:r>
        <w:rPr>
          <w:i/>
        </w:rPr>
        <w:t xml:space="preserve"> and </w:t>
      </w:r>
      <w:proofErr w:type="spellStart"/>
      <w:r>
        <w:rPr>
          <w:i/>
        </w:rPr>
        <w:t>Biophysical</w:t>
      </w:r>
      <w:proofErr w:type="spellEnd"/>
      <w:r>
        <w:rPr>
          <w:i/>
        </w:rPr>
        <w:t xml:space="preserve"> Research Communications </w:t>
      </w:r>
      <w:r>
        <w:t xml:space="preserve">289 (1): 150–154. </w:t>
      </w:r>
      <w:hyperlink r:id="rId85">
        <w:r>
          <w:rPr>
            <w:color w:val="4169E1"/>
          </w:rPr>
          <w:t>https://doi.org/10.1006/bbrc.2001.5921</w:t>
        </w:r>
      </w:hyperlink>
    </w:p>
    <w:p w14:paraId="495E0014" w14:textId="77777777" w:rsidR="008C7A05" w:rsidRDefault="00866A07">
      <w:pPr>
        <w:spacing w:after="179" w:line="259" w:lineRule="auto"/>
        <w:ind w:left="17" w:right="4"/>
      </w:pPr>
      <w:proofErr w:type="spellStart"/>
      <w:r>
        <w:t>Mülhardt</w:t>
      </w:r>
      <w:proofErr w:type="spellEnd"/>
      <w:r>
        <w:t xml:space="preserve"> C. 2009. </w:t>
      </w:r>
      <w:hyperlink r:id="rId86">
        <w:r>
          <w:rPr>
            <w:i/>
            <w:color w:val="4169E1"/>
          </w:rPr>
          <w:t xml:space="preserve">Der </w:t>
        </w:r>
        <w:proofErr w:type="spellStart"/>
        <w:r>
          <w:rPr>
            <w:i/>
            <w:color w:val="4169E1"/>
          </w:rPr>
          <w:t>experimentator</w:t>
        </w:r>
        <w:proofErr w:type="spellEnd"/>
        <w:r>
          <w:rPr>
            <w:i/>
            <w:color w:val="4169E1"/>
          </w:rPr>
          <w:t xml:space="preserve">: Molekularbiologie/ </w:t>
        </w:r>
        <w:proofErr w:type="spellStart"/>
        <w:r>
          <w:rPr>
            <w:i/>
            <w:color w:val="4169E1"/>
          </w:rPr>
          <w:t>genomics</w:t>
        </w:r>
        <w:proofErr w:type="spellEnd"/>
      </w:hyperlink>
      <w:r>
        <w:t>. Spektrum Akademischer Verlag.</w:t>
      </w:r>
    </w:p>
    <w:p w14:paraId="3635D9DB" w14:textId="77777777" w:rsidR="008C7A05" w:rsidRPr="00223662" w:rsidRDefault="00866A07">
      <w:pPr>
        <w:spacing w:after="52" w:line="259" w:lineRule="auto"/>
        <w:ind w:left="17" w:right="4"/>
        <w:rPr>
          <w:lang w:val="en-US"/>
        </w:rPr>
      </w:pPr>
      <w:r>
        <w:t xml:space="preserve">Mullis K., </w:t>
      </w:r>
      <w:proofErr w:type="spellStart"/>
      <w:r>
        <w:t>Faloona</w:t>
      </w:r>
      <w:proofErr w:type="spellEnd"/>
      <w:r>
        <w:t xml:space="preserve"> F., Scharf S., </w:t>
      </w:r>
      <w:proofErr w:type="spellStart"/>
      <w:r>
        <w:t>Saiki</w:t>
      </w:r>
      <w:proofErr w:type="spellEnd"/>
      <w:r>
        <w:t xml:space="preserve"> R., Horn G. &amp; Erlich H. 1986. </w:t>
      </w:r>
      <w:r w:rsidRPr="00223662">
        <w:rPr>
          <w:lang w:val="en-US"/>
        </w:rPr>
        <w:t>Specific enzymatic amplification of</w:t>
      </w:r>
    </w:p>
    <w:p w14:paraId="4AF37130" w14:textId="77777777" w:rsidR="008C7A05" w:rsidRPr="00223662" w:rsidRDefault="00866A07">
      <w:pPr>
        <w:spacing w:after="60" w:line="259" w:lineRule="auto"/>
        <w:ind w:left="324" w:right="0" w:hanging="10"/>
        <w:jc w:val="left"/>
        <w:rPr>
          <w:lang w:val="en-US"/>
        </w:rPr>
      </w:pPr>
      <w:r w:rsidRPr="00223662">
        <w:rPr>
          <w:lang w:val="en-US"/>
        </w:rPr>
        <w:t xml:space="preserve">DNA in vitro: The polymerase chain reaction. </w:t>
      </w:r>
      <w:r w:rsidRPr="00223662">
        <w:rPr>
          <w:i/>
          <w:lang w:val="en-US"/>
        </w:rPr>
        <w:t xml:space="preserve">Cold Spring Harbor Symposia on Quantitative Biology </w:t>
      </w:r>
      <w:r w:rsidRPr="00223662">
        <w:rPr>
          <w:lang w:val="en-US"/>
        </w:rPr>
        <w:t>51</w:t>
      </w:r>
    </w:p>
    <w:p w14:paraId="784A14FA" w14:textId="77777777" w:rsidR="008C7A05" w:rsidRDefault="00866A07">
      <w:pPr>
        <w:spacing w:after="175" w:line="265" w:lineRule="auto"/>
        <w:ind w:left="324" w:right="0" w:hanging="10"/>
        <w:jc w:val="left"/>
      </w:pPr>
      <w:r>
        <w:t xml:space="preserve">(0): 263–273. </w:t>
      </w:r>
      <w:hyperlink r:id="rId87">
        <w:r>
          <w:rPr>
            <w:color w:val="4169E1"/>
          </w:rPr>
          <w:t>https://doi.org/10.1101/sqb.1986.051.01.032</w:t>
        </w:r>
      </w:hyperlink>
    </w:p>
    <w:p w14:paraId="4D13B328" w14:textId="77777777" w:rsidR="008C7A05" w:rsidRPr="00223662" w:rsidRDefault="00866A07">
      <w:pPr>
        <w:ind w:left="309" w:right="4" w:hanging="294"/>
        <w:rPr>
          <w:lang w:val="en-US"/>
        </w:rPr>
      </w:pPr>
      <w:proofErr w:type="spellStart"/>
      <w:r>
        <w:t>Muramoto</w:t>
      </w:r>
      <w:proofErr w:type="spellEnd"/>
      <w:r>
        <w:t xml:space="preserve"> Y., </w:t>
      </w:r>
      <w:proofErr w:type="spellStart"/>
      <w:r>
        <w:t>Noda</w:t>
      </w:r>
      <w:proofErr w:type="spellEnd"/>
      <w:r>
        <w:t xml:space="preserve"> T., </w:t>
      </w:r>
      <w:proofErr w:type="spellStart"/>
      <w:r>
        <w:t>Kawakami</w:t>
      </w:r>
      <w:proofErr w:type="spellEnd"/>
      <w:r>
        <w:t xml:space="preserve"> E., </w:t>
      </w:r>
      <w:proofErr w:type="spellStart"/>
      <w:r>
        <w:t>Akkina</w:t>
      </w:r>
      <w:proofErr w:type="spellEnd"/>
      <w:r>
        <w:t xml:space="preserve"> R. &amp;</w:t>
      </w:r>
      <w:r>
        <w:t xml:space="preserve"> </w:t>
      </w:r>
      <w:proofErr w:type="spellStart"/>
      <w:r>
        <w:t>Kawaoka</w:t>
      </w:r>
      <w:proofErr w:type="spellEnd"/>
      <w:r>
        <w:t xml:space="preserve"> Y. 2013. </w:t>
      </w:r>
      <w:r w:rsidRPr="00223662">
        <w:rPr>
          <w:lang w:val="en-US"/>
        </w:rPr>
        <w:t xml:space="preserve">Identification of novel influenza a virus proteins translated from PA mRNA. </w:t>
      </w:r>
      <w:r w:rsidRPr="00223662">
        <w:rPr>
          <w:i/>
          <w:lang w:val="en-US"/>
        </w:rPr>
        <w:t xml:space="preserve">Journal of Virology </w:t>
      </w:r>
      <w:r w:rsidRPr="00223662">
        <w:rPr>
          <w:lang w:val="en-US"/>
        </w:rPr>
        <w:t xml:space="preserve">87 (5): 2455–2462. </w:t>
      </w:r>
      <w:hyperlink r:id="rId88">
        <w:r w:rsidRPr="00223662">
          <w:rPr>
            <w:color w:val="4169E1"/>
            <w:lang w:val="en-US"/>
          </w:rPr>
          <w:t xml:space="preserve">https://doi.org/10.112 </w:t>
        </w:r>
      </w:hyperlink>
      <w:hyperlink r:id="rId89">
        <w:r w:rsidRPr="00223662">
          <w:rPr>
            <w:color w:val="4169E1"/>
            <w:lang w:val="en-US"/>
          </w:rPr>
          <w:t>8/jvi.02656-12</w:t>
        </w:r>
      </w:hyperlink>
    </w:p>
    <w:p w14:paraId="07CCD496" w14:textId="77777777" w:rsidR="008C7A05" w:rsidRDefault="00866A07">
      <w:pPr>
        <w:ind w:left="314" w:right="4" w:hanging="299"/>
      </w:pPr>
      <w:proofErr w:type="spellStart"/>
      <w:r w:rsidRPr="00223662">
        <w:rPr>
          <w:lang w:val="en-US"/>
        </w:rPr>
        <w:t>Nagamine</w:t>
      </w:r>
      <w:proofErr w:type="spellEnd"/>
      <w:r w:rsidRPr="00223662">
        <w:rPr>
          <w:lang w:val="en-US"/>
        </w:rPr>
        <w:t xml:space="preserve"> K., </w:t>
      </w:r>
      <w:proofErr w:type="spellStart"/>
      <w:r w:rsidRPr="00223662">
        <w:rPr>
          <w:lang w:val="en-US"/>
        </w:rPr>
        <w:t>Hase</w:t>
      </w:r>
      <w:proofErr w:type="spellEnd"/>
      <w:r w:rsidRPr="00223662">
        <w:rPr>
          <w:lang w:val="en-US"/>
        </w:rPr>
        <w:t xml:space="preserve"> T. &amp; </w:t>
      </w:r>
      <w:proofErr w:type="spellStart"/>
      <w:r w:rsidRPr="00223662">
        <w:rPr>
          <w:lang w:val="en-US"/>
        </w:rPr>
        <w:t>Notomi</w:t>
      </w:r>
      <w:proofErr w:type="spellEnd"/>
      <w:r w:rsidRPr="00223662">
        <w:rPr>
          <w:lang w:val="en-US"/>
        </w:rPr>
        <w:t xml:space="preserve"> T. 2002. Accelerated reaction by loop-mediated isothermal amplification using loop primers. </w:t>
      </w:r>
      <w:proofErr w:type="spellStart"/>
      <w:r>
        <w:rPr>
          <w:i/>
        </w:rPr>
        <w:t>Molecular</w:t>
      </w:r>
      <w:proofErr w:type="spellEnd"/>
      <w:r>
        <w:rPr>
          <w:i/>
        </w:rPr>
        <w:t xml:space="preserve"> and </w:t>
      </w:r>
      <w:proofErr w:type="spellStart"/>
      <w:r>
        <w:rPr>
          <w:i/>
        </w:rPr>
        <w:t>Cellular</w:t>
      </w:r>
      <w:proofErr w:type="spellEnd"/>
      <w:r>
        <w:rPr>
          <w:i/>
        </w:rPr>
        <w:t xml:space="preserve"> </w:t>
      </w:r>
      <w:proofErr w:type="spellStart"/>
      <w:r>
        <w:rPr>
          <w:i/>
        </w:rPr>
        <w:t>Probes</w:t>
      </w:r>
      <w:proofErr w:type="spellEnd"/>
      <w:r>
        <w:rPr>
          <w:i/>
        </w:rPr>
        <w:t xml:space="preserve"> </w:t>
      </w:r>
      <w:r>
        <w:t>16 (3): 22</w:t>
      </w:r>
      <w:r>
        <w:t xml:space="preserve">3–229. </w:t>
      </w:r>
      <w:hyperlink r:id="rId90">
        <w:r>
          <w:rPr>
            <w:color w:val="4169E1"/>
          </w:rPr>
          <w:t xml:space="preserve">https://doi.org/10.1006/mcpr.2002. </w:t>
        </w:r>
      </w:hyperlink>
      <w:hyperlink r:id="rId91">
        <w:r>
          <w:rPr>
            <w:color w:val="4169E1"/>
          </w:rPr>
          <w:t>0415</w:t>
        </w:r>
      </w:hyperlink>
    </w:p>
    <w:p w14:paraId="580423CE" w14:textId="77777777" w:rsidR="008C7A05" w:rsidRPr="00223662" w:rsidRDefault="00866A07">
      <w:pPr>
        <w:ind w:left="314" w:right="4" w:hanging="299"/>
        <w:rPr>
          <w:lang w:val="en-US"/>
        </w:rPr>
      </w:pPr>
      <w:proofErr w:type="spellStart"/>
      <w:r>
        <w:t>Nayak</w:t>
      </w:r>
      <w:proofErr w:type="spellEnd"/>
      <w:r>
        <w:t xml:space="preserve"> D.P., Balogun R.A., </w:t>
      </w:r>
      <w:r>
        <w:t xml:space="preserve">Yamada H., Zhou Z.H. &amp; </w:t>
      </w:r>
      <w:proofErr w:type="spellStart"/>
      <w:proofErr w:type="gramStart"/>
      <w:r>
        <w:t>Barman</w:t>
      </w:r>
      <w:proofErr w:type="spellEnd"/>
      <w:proofErr w:type="gramEnd"/>
      <w:r>
        <w:t xml:space="preserve"> S. 2009. </w:t>
      </w:r>
      <w:r w:rsidRPr="00223662">
        <w:rPr>
          <w:lang w:val="en-US"/>
        </w:rPr>
        <w:t xml:space="preserve">Influenza virus morphogenesis and budding. </w:t>
      </w:r>
      <w:r w:rsidRPr="00223662">
        <w:rPr>
          <w:i/>
          <w:lang w:val="en-US"/>
        </w:rPr>
        <w:t xml:space="preserve">Virus Research </w:t>
      </w:r>
      <w:r w:rsidRPr="00223662">
        <w:rPr>
          <w:lang w:val="en-US"/>
        </w:rPr>
        <w:t xml:space="preserve">143 (2): 147–161. </w:t>
      </w:r>
      <w:hyperlink r:id="rId92">
        <w:r w:rsidRPr="00223662">
          <w:rPr>
            <w:color w:val="4169E1"/>
            <w:lang w:val="en-US"/>
          </w:rPr>
          <w:t>https://doi.org/10.1016/j.virusres.2009.05.010</w:t>
        </w:r>
      </w:hyperlink>
    </w:p>
    <w:p w14:paraId="31DE8136" w14:textId="77777777" w:rsidR="008C7A05" w:rsidRDefault="00866A07">
      <w:pPr>
        <w:ind w:left="314" w:right="4" w:hanging="299"/>
      </w:pPr>
      <w:r w:rsidRPr="00223662">
        <w:rPr>
          <w:lang w:val="en-US"/>
        </w:rPr>
        <w:t xml:space="preserve">Nicholson K.G., Wood J.M. &amp; </w:t>
      </w:r>
      <w:proofErr w:type="spellStart"/>
      <w:r w:rsidRPr="00223662">
        <w:rPr>
          <w:lang w:val="en-US"/>
        </w:rPr>
        <w:t>Zambon</w:t>
      </w:r>
      <w:proofErr w:type="spellEnd"/>
      <w:r w:rsidRPr="00223662">
        <w:rPr>
          <w:lang w:val="en-US"/>
        </w:rPr>
        <w:t xml:space="preserve"> M. 2003. Influenza. </w:t>
      </w:r>
      <w:r w:rsidRPr="00223662">
        <w:rPr>
          <w:i/>
          <w:lang w:val="en-US"/>
        </w:rPr>
        <w:t xml:space="preserve">The Lancet </w:t>
      </w:r>
      <w:r w:rsidRPr="00223662">
        <w:rPr>
          <w:lang w:val="en-US"/>
        </w:rPr>
        <w:t xml:space="preserve">362 (9397): 1733–1745. </w:t>
      </w:r>
      <w:hyperlink r:id="rId93">
        <w:r w:rsidRPr="00223662">
          <w:rPr>
            <w:color w:val="4169E1"/>
            <w:lang w:val="en-US"/>
          </w:rPr>
          <w:t xml:space="preserve">https://doi. </w:t>
        </w:r>
      </w:hyperlink>
      <w:hyperlink r:id="rId94">
        <w:proofErr w:type="spellStart"/>
        <w:r>
          <w:rPr>
            <w:color w:val="4169E1"/>
          </w:rPr>
          <w:t>org</w:t>
        </w:r>
        <w:proofErr w:type="spellEnd"/>
        <w:r>
          <w:rPr>
            <w:color w:val="4169E1"/>
          </w:rPr>
          <w:t>/10.1016/s0140-6736(03)14854-4</w:t>
        </w:r>
      </w:hyperlink>
    </w:p>
    <w:p w14:paraId="400FB342" w14:textId="77777777" w:rsidR="008C7A05" w:rsidRDefault="00866A07">
      <w:pPr>
        <w:spacing w:after="52" w:line="259" w:lineRule="auto"/>
        <w:ind w:left="17" w:right="4"/>
      </w:pPr>
      <w:proofErr w:type="spellStart"/>
      <w:r>
        <w:t>Njouom</w:t>
      </w:r>
      <w:proofErr w:type="spellEnd"/>
      <w:r>
        <w:t xml:space="preserve"> R., </w:t>
      </w:r>
      <w:proofErr w:type="spellStart"/>
      <w:r>
        <w:t>Monamele</w:t>
      </w:r>
      <w:proofErr w:type="spellEnd"/>
      <w:r>
        <w:t xml:space="preserve"> G.C., </w:t>
      </w:r>
      <w:proofErr w:type="spellStart"/>
      <w:r>
        <w:t>Ermetal</w:t>
      </w:r>
      <w:proofErr w:type="spellEnd"/>
      <w:r>
        <w:t xml:space="preserve"> B., </w:t>
      </w:r>
      <w:proofErr w:type="spellStart"/>
      <w:r>
        <w:t>Tchatchouang</w:t>
      </w:r>
      <w:proofErr w:type="spellEnd"/>
      <w:r>
        <w:t xml:space="preserve"> S., </w:t>
      </w:r>
      <w:proofErr w:type="spellStart"/>
      <w:r>
        <w:t>Moyo-Tetang</w:t>
      </w:r>
      <w:proofErr w:type="spellEnd"/>
      <w:r>
        <w:t xml:space="preserve"> S., McCauley J.W. &amp; Daniels R</w:t>
      </w:r>
      <w:r>
        <w:t>.S.</w:t>
      </w:r>
    </w:p>
    <w:p w14:paraId="355CBF1F" w14:textId="77777777" w:rsidR="008C7A05" w:rsidRDefault="00866A07">
      <w:pPr>
        <w:ind w:left="319" w:right="4"/>
      </w:pPr>
      <w:r w:rsidRPr="00223662">
        <w:rPr>
          <w:lang w:val="en-US"/>
        </w:rPr>
        <w:t xml:space="preserve">2019. Detection of influenza c virus infection among hospitalized patients, </w:t>
      </w:r>
      <w:proofErr w:type="spellStart"/>
      <w:r w:rsidRPr="00223662">
        <w:rPr>
          <w:lang w:val="en-US"/>
        </w:rPr>
        <w:t>cameroon</w:t>
      </w:r>
      <w:proofErr w:type="spellEnd"/>
      <w:r w:rsidRPr="00223662">
        <w:rPr>
          <w:lang w:val="en-US"/>
        </w:rPr>
        <w:t xml:space="preserve">. </w:t>
      </w:r>
      <w:r w:rsidRPr="00223662">
        <w:rPr>
          <w:i/>
          <w:lang w:val="en-US"/>
        </w:rPr>
        <w:t xml:space="preserve">Emerging Infectious Diseases </w:t>
      </w:r>
      <w:r w:rsidRPr="00223662">
        <w:rPr>
          <w:lang w:val="en-US"/>
        </w:rPr>
        <w:t xml:space="preserve">25 (3): 607–609. </w:t>
      </w:r>
      <w:hyperlink r:id="rId95">
        <w:r>
          <w:rPr>
            <w:color w:val="4169E1"/>
          </w:rPr>
          <w:t>https://doi.org/10.3201/eid2503.181213</w:t>
        </w:r>
      </w:hyperlink>
    </w:p>
    <w:p w14:paraId="421CE16D" w14:textId="77777777" w:rsidR="008C7A05" w:rsidRPr="00223662" w:rsidRDefault="00866A07">
      <w:pPr>
        <w:ind w:left="314" w:right="4" w:hanging="299"/>
        <w:rPr>
          <w:lang w:val="en-US"/>
        </w:rPr>
      </w:pPr>
      <w:proofErr w:type="spellStart"/>
      <w:r w:rsidRPr="00223662">
        <w:rPr>
          <w:lang w:val="en-US"/>
        </w:rPr>
        <w:t>Notomi</w:t>
      </w:r>
      <w:proofErr w:type="spellEnd"/>
      <w:r w:rsidRPr="00223662">
        <w:rPr>
          <w:lang w:val="en-US"/>
        </w:rPr>
        <w:t xml:space="preserve"> T. 2000. Loop-mediated isothermal amplification of DNA. </w:t>
      </w:r>
      <w:r w:rsidRPr="00223662">
        <w:rPr>
          <w:i/>
          <w:lang w:val="en-US"/>
        </w:rPr>
        <w:t xml:space="preserve">Nucleic Acids Research </w:t>
      </w:r>
      <w:r w:rsidRPr="00223662">
        <w:rPr>
          <w:lang w:val="en-US"/>
        </w:rPr>
        <w:t xml:space="preserve">28 (12): 63e–63. </w:t>
      </w:r>
      <w:hyperlink r:id="rId96">
        <w:r w:rsidRPr="00223662">
          <w:rPr>
            <w:color w:val="4169E1"/>
            <w:lang w:val="en-US"/>
          </w:rPr>
          <w:t>https://doi.org/10.1093/nar/28.12.e63</w:t>
        </w:r>
      </w:hyperlink>
    </w:p>
    <w:p w14:paraId="6900F247" w14:textId="77777777" w:rsidR="008C7A05" w:rsidRPr="00223662" w:rsidRDefault="00866A07">
      <w:pPr>
        <w:spacing w:after="52" w:line="259" w:lineRule="auto"/>
        <w:ind w:left="17" w:right="4"/>
        <w:rPr>
          <w:lang w:val="en-US"/>
        </w:rPr>
      </w:pPr>
      <w:proofErr w:type="spellStart"/>
      <w:r w:rsidRPr="00223662">
        <w:rPr>
          <w:lang w:val="en-US"/>
        </w:rPr>
        <w:t>ODriscoll</w:t>
      </w:r>
      <w:proofErr w:type="spellEnd"/>
      <w:r w:rsidRPr="00223662">
        <w:rPr>
          <w:lang w:val="en-US"/>
        </w:rPr>
        <w:t xml:space="preserve"> L., </w:t>
      </w:r>
      <w:r w:rsidRPr="00223662">
        <w:rPr>
          <w:lang w:val="en-US"/>
        </w:rPr>
        <w:t xml:space="preserve">Daly C., Saleh M. &amp; </w:t>
      </w:r>
      <w:proofErr w:type="spellStart"/>
      <w:r w:rsidRPr="00223662">
        <w:rPr>
          <w:lang w:val="en-US"/>
        </w:rPr>
        <w:t>Clynes</w:t>
      </w:r>
      <w:proofErr w:type="spellEnd"/>
      <w:r w:rsidRPr="00223662">
        <w:rPr>
          <w:lang w:val="en-US"/>
        </w:rPr>
        <w:t xml:space="preserve"> M. 1993. The use of reverse transcriptase-polymerase chain reaction</w:t>
      </w:r>
    </w:p>
    <w:p w14:paraId="645B8C45" w14:textId="77777777" w:rsidR="008C7A05" w:rsidRDefault="00866A07">
      <w:pPr>
        <w:ind w:left="307" w:right="4"/>
      </w:pPr>
      <w:r w:rsidRPr="00223662">
        <w:rPr>
          <w:lang w:val="en-US"/>
        </w:rPr>
        <w:t xml:space="preserve">(RT-PCR) to investigate specific gene expression in multidrug-resistant cells. </w:t>
      </w:r>
      <w:proofErr w:type="spellStart"/>
      <w:r>
        <w:rPr>
          <w:i/>
        </w:rPr>
        <w:t>Cytotechnology</w:t>
      </w:r>
      <w:proofErr w:type="spellEnd"/>
      <w:r>
        <w:rPr>
          <w:i/>
        </w:rPr>
        <w:t xml:space="preserve"> </w:t>
      </w:r>
      <w:r>
        <w:t xml:space="preserve">12 (1-3): 289–314. </w:t>
      </w:r>
      <w:hyperlink r:id="rId97">
        <w:r>
          <w:rPr>
            <w:color w:val="4169E1"/>
          </w:rPr>
          <w:t>https://doi.org/10.1007/bf00744669</w:t>
        </w:r>
      </w:hyperlink>
    </w:p>
    <w:p w14:paraId="27212449" w14:textId="77777777" w:rsidR="008C7A05" w:rsidRDefault="00866A07">
      <w:pPr>
        <w:ind w:left="303" w:right="4" w:hanging="288"/>
      </w:pPr>
      <w:proofErr w:type="spellStart"/>
      <w:r w:rsidRPr="00223662">
        <w:rPr>
          <w:lang w:val="en-US"/>
        </w:rPr>
        <w:t>Omran</w:t>
      </w:r>
      <w:proofErr w:type="spellEnd"/>
      <w:r w:rsidRPr="00223662">
        <w:rPr>
          <w:lang w:val="en-US"/>
        </w:rPr>
        <w:t xml:space="preserve"> Q.Q., Fedorova O., Liu T. &amp; Pyle A.M. 2022. A molecular beacon assay for monitoring RNA splicing. </w:t>
      </w:r>
      <w:proofErr w:type="spellStart"/>
      <w:r>
        <w:rPr>
          <w:i/>
        </w:rPr>
        <w:t>Nucleic</w:t>
      </w:r>
      <w:proofErr w:type="spellEnd"/>
      <w:r>
        <w:rPr>
          <w:i/>
        </w:rPr>
        <w:t xml:space="preserve"> </w:t>
      </w:r>
      <w:proofErr w:type="spellStart"/>
      <w:r>
        <w:rPr>
          <w:i/>
        </w:rPr>
        <w:t>Acids</w:t>
      </w:r>
      <w:proofErr w:type="spellEnd"/>
      <w:r>
        <w:rPr>
          <w:i/>
        </w:rPr>
        <w:t xml:space="preserve"> Research </w:t>
      </w:r>
      <w:r>
        <w:t xml:space="preserve">50 (13): e74–e74. </w:t>
      </w:r>
      <w:hyperlink r:id="rId98">
        <w:r>
          <w:rPr>
            <w:color w:val="4169E1"/>
          </w:rPr>
          <w:t>https://doi.org/10.1093/nar/gkac242</w:t>
        </w:r>
      </w:hyperlink>
    </w:p>
    <w:p w14:paraId="3D79C99B" w14:textId="77777777" w:rsidR="008C7A05" w:rsidRPr="00223662" w:rsidRDefault="00866A07">
      <w:pPr>
        <w:ind w:left="17" w:right="4"/>
        <w:rPr>
          <w:lang w:val="en-US"/>
        </w:rPr>
      </w:pPr>
      <w:proofErr w:type="spellStart"/>
      <w:r w:rsidRPr="00223662">
        <w:rPr>
          <w:lang w:val="en-US"/>
        </w:rPr>
        <w:t>Özay</w:t>
      </w:r>
      <w:proofErr w:type="spellEnd"/>
      <w:r w:rsidRPr="00223662">
        <w:rPr>
          <w:lang w:val="en-US"/>
        </w:rPr>
        <w:t xml:space="preserve"> B. &amp; McCalla S.E. 2021. A review of reaction enhancement strategies for isothermal nucleic acid amplification reactions. </w:t>
      </w:r>
      <w:r w:rsidRPr="00223662">
        <w:rPr>
          <w:i/>
          <w:lang w:val="en-US"/>
        </w:rPr>
        <w:t xml:space="preserve">Sensors and Actuators Reports </w:t>
      </w:r>
      <w:r w:rsidRPr="00223662">
        <w:rPr>
          <w:lang w:val="en-US"/>
        </w:rPr>
        <w:t xml:space="preserve">3: 100033. </w:t>
      </w:r>
      <w:hyperlink r:id="rId99">
        <w:r w:rsidRPr="00223662">
          <w:rPr>
            <w:color w:val="4169E1"/>
            <w:lang w:val="en-US"/>
          </w:rPr>
          <w:t xml:space="preserve">https://doi.org/10.1016/j.snr.2021.1 </w:t>
        </w:r>
      </w:hyperlink>
      <w:hyperlink r:id="rId100">
        <w:r w:rsidRPr="00223662">
          <w:rPr>
            <w:color w:val="4169E1"/>
            <w:lang w:val="en-US"/>
          </w:rPr>
          <w:t>00033</w:t>
        </w:r>
      </w:hyperlink>
    </w:p>
    <w:p w14:paraId="043804EC" w14:textId="77777777" w:rsidR="008C7A05" w:rsidRDefault="00866A07">
      <w:pPr>
        <w:ind w:left="314" w:right="4" w:hanging="299"/>
      </w:pPr>
      <w:proofErr w:type="spellStart"/>
      <w:r w:rsidRPr="00223662">
        <w:rPr>
          <w:lang w:val="en-US"/>
        </w:rPr>
        <w:t>Parida</w:t>
      </w:r>
      <w:proofErr w:type="spellEnd"/>
      <w:r w:rsidRPr="00223662">
        <w:rPr>
          <w:lang w:val="en-US"/>
        </w:rPr>
        <w:t xml:space="preserve"> M., </w:t>
      </w:r>
      <w:proofErr w:type="spellStart"/>
      <w:r w:rsidRPr="00223662">
        <w:rPr>
          <w:lang w:val="en-US"/>
        </w:rPr>
        <w:t>Sannarangaiah</w:t>
      </w:r>
      <w:proofErr w:type="spellEnd"/>
      <w:r w:rsidRPr="00223662">
        <w:rPr>
          <w:lang w:val="en-US"/>
        </w:rPr>
        <w:t xml:space="preserve"> S., Dash P.K., Rao P.V.L. &amp; Morita K. 2008. Loop mediated isothermal amplification (LAMP): A new generation of innovative gene amplification technique</w:t>
      </w:r>
      <w:r w:rsidRPr="00223662">
        <w:rPr>
          <w:lang w:val="en-US"/>
        </w:rPr>
        <w:t xml:space="preserve">; </w:t>
      </w:r>
      <w:r w:rsidRPr="00223662">
        <w:rPr>
          <w:lang w:val="en-US"/>
        </w:rPr>
        <w:t>perspectives in clinical diagnosis of infec</w:t>
      </w:r>
      <w:r w:rsidRPr="00223662">
        <w:rPr>
          <w:lang w:val="en-US"/>
        </w:rPr>
        <w:t xml:space="preserve">tious diseases. </w:t>
      </w:r>
      <w:r>
        <w:rPr>
          <w:i/>
        </w:rPr>
        <w:t xml:space="preserve">Reviews in Medical </w:t>
      </w:r>
      <w:proofErr w:type="spellStart"/>
      <w:r>
        <w:rPr>
          <w:i/>
        </w:rPr>
        <w:t>Virology</w:t>
      </w:r>
      <w:proofErr w:type="spellEnd"/>
      <w:r>
        <w:rPr>
          <w:i/>
        </w:rPr>
        <w:t xml:space="preserve"> </w:t>
      </w:r>
      <w:r>
        <w:t xml:space="preserve">18 (6): 407–421. </w:t>
      </w:r>
      <w:hyperlink r:id="rId101">
        <w:r>
          <w:rPr>
            <w:color w:val="4169E1"/>
          </w:rPr>
          <w:t>https://doi.org/10.1002/rmv.593</w:t>
        </w:r>
      </w:hyperlink>
    </w:p>
    <w:p w14:paraId="74217B64" w14:textId="77777777" w:rsidR="008C7A05" w:rsidRDefault="00866A07">
      <w:pPr>
        <w:ind w:left="301" w:right="4" w:hanging="286"/>
      </w:pPr>
      <w:r w:rsidRPr="00223662">
        <w:rPr>
          <w:lang w:val="en-US"/>
        </w:rPr>
        <w:t xml:space="preserve">Park J.-W. 2022. Principles and applications of loop-mediated isothermal amplification to point-of-care tests. </w:t>
      </w:r>
      <w:r>
        <w:rPr>
          <w:i/>
        </w:rPr>
        <w:t xml:space="preserve">Biosensors </w:t>
      </w:r>
      <w:r>
        <w:t xml:space="preserve">12 (10): 857. </w:t>
      </w:r>
      <w:hyperlink r:id="rId102">
        <w:r>
          <w:rPr>
            <w:color w:val="4169E1"/>
          </w:rPr>
          <w:t>https://doi.org/10.3390/bios12100857</w:t>
        </w:r>
      </w:hyperlink>
    </w:p>
    <w:p w14:paraId="4387AB3B" w14:textId="77777777" w:rsidR="008C7A05" w:rsidRDefault="00866A07">
      <w:pPr>
        <w:ind w:left="294" w:right="4" w:hanging="279"/>
      </w:pPr>
      <w:r w:rsidRPr="00223662">
        <w:rPr>
          <w:lang w:val="en-US"/>
        </w:rPr>
        <w:lastRenderedPageBreak/>
        <w:t xml:space="preserve">Paterson R.G., Takeda M., </w:t>
      </w:r>
      <w:proofErr w:type="spellStart"/>
      <w:r w:rsidRPr="00223662">
        <w:rPr>
          <w:lang w:val="en-US"/>
        </w:rPr>
        <w:t>Ohigashi</w:t>
      </w:r>
      <w:proofErr w:type="spellEnd"/>
      <w:r w:rsidRPr="00223662">
        <w:rPr>
          <w:lang w:val="en-US"/>
        </w:rPr>
        <w:t xml:space="preserve"> Y., Pinto L.H. &amp; Lamb R.A. 2003. Influenza b virus BM2 protein is an oligomeric integral membrane protein expressed at the cell surface. </w:t>
      </w:r>
      <w:proofErr w:type="spellStart"/>
      <w:r>
        <w:rPr>
          <w:i/>
        </w:rPr>
        <w:t>Virology</w:t>
      </w:r>
      <w:proofErr w:type="spellEnd"/>
      <w:r>
        <w:rPr>
          <w:i/>
        </w:rPr>
        <w:t xml:space="preserve"> </w:t>
      </w:r>
      <w:r>
        <w:t xml:space="preserve">306 (1): 7–17. </w:t>
      </w:r>
      <w:hyperlink r:id="rId103">
        <w:r>
          <w:rPr>
            <w:color w:val="4169E1"/>
          </w:rPr>
          <w:t xml:space="preserve">https: </w:t>
        </w:r>
      </w:hyperlink>
      <w:hyperlink r:id="rId104">
        <w:proofErr w:type="gramStart"/>
        <w:r>
          <w:rPr>
            <w:color w:val="4169E1"/>
          </w:rPr>
          <w:t>//doi.org/10.1016/s0042-6822(</w:t>
        </w:r>
        <w:proofErr w:type="gramEnd"/>
        <w:r>
          <w:rPr>
            <w:color w:val="4169E1"/>
          </w:rPr>
          <w:t>02)00083-1</w:t>
        </w:r>
      </w:hyperlink>
    </w:p>
    <w:p w14:paraId="46C0D2AC" w14:textId="77777777" w:rsidR="008C7A05" w:rsidRDefault="00866A07">
      <w:pPr>
        <w:ind w:left="314" w:right="4" w:hanging="299"/>
      </w:pPr>
      <w:proofErr w:type="spellStart"/>
      <w:r w:rsidRPr="00223662">
        <w:rPr>
          <w:lang w:val="en-US"/>
        </w:rPr>
        <w:t>Piepenburg</w:t>
      </w:r>
      <w:proofErr w:type="spellEnd"/>
      <w:r w:rsidRPr="00223662">
        <w:rPr>
          <w:lang w:val="en-US"/>
        </w:rPr>
        <w:t xml:space="preserve"> O., Williams C.H., Stemple D.L. &amp; </w:t>
      </w:r>
      <w:proofErr w:type="spellStart"/>
      <w:r w:rsidRPr="00223662">
        <w:rPr>
          <w:lang w:val="en-US"/>
        </w:rPr>
        <w:t>Armes</w:t>
      </w:r>
      <w:proofErr w:type="spellEnd"/>
      <w:r w:rsidRPr="00223662">
        <w:rPr>
          <w:lang w:val="en-US"/>
        </w:rPr>
        <w:t xml:space="preserve"> N.A. 2006. DNA </w:t>
      </w:r>
      <w:r w:rsidRPr="00223662">
        <w:rPr>
          <w:lang w:val="en-US"/>
        </w:rPr>
        <w:t xml:space="preserve">detection using recombination proteins. </w:t>
      </w:r>
      <w:r>
        <w:rPr>
          <w:i/>
        </w:rPr>
        <w:t xml:space="preserve">PLoS </w:t>
      </w:r>
      <w:proofErr w:type="spellStart"/>
      <w:r>
        <w:rPr>
          <w:i/>
        </w:rPr>
        <w:t>Biology</w:t>
      </w:r>
      <w:proofErr w:type="spellEnd"/>
      <w:r>
        <w:rPr>
          <w:i/>
        </w:rPr>
        <w:t xml:space="preserve"> </w:t>
      </w:r>
      <w:r>
        <w:t xml:space="preserve">4 (7): e204. </w:t>
      </w:r>
      <w:hyperlink r:id="rId105">
        <w:r>
          <w:rPr>
            <w:color w:val="4169E1"/>
          </w:rPr>
          <w:t>https://doi.org/10.1371/journal.pbio.0040204</w:t>
        </w:r>
      </w:hyperlink>
    </w:p>
    <w:p w14:paraId="6E5EDAF6" w14:textId="77777777" w:rsidR="008C7A05" w:rsidRPr="00223662" w:rsidRDefault="00866A07">
      <w:pPr>
        <w:ind w:left="301" w:right="4" w:hanging="286"/>
        <w:rPr>
          <w:lang w:val="en-US"/>
        </w:rPr>
      </w:pPr>
      <w:proofErr w:type="spellStart"/>
      <w:r>
        <w:t>Pumford</w:t>
      </w:r>
      <w:proofErr w:type="spellEnd"/>
      <w:r>
        <w:t xml:space="preserve"> E.A., Lu J., </w:t>
      </w:r>
      <w:proofErr w:type="spellStart"/>
      <w:r>
        <w:t>Spaczai</w:t>
      </w:r>
      <w:proofErr w:type="spellEnd"/>
      <w:r>
        <w:t xml:space="preserve"> I., </w:t>
      </w:r>
      <w:proofErr w:type="spellStart"/>
      <w:r>
        <w:t>Prasetyo</w:t>
      </w:r>
      <w:proofErr w:type="spellEnd"/>
      <w:r>
        <w:t xml:space="preserve"> M.E., </w:t>
      </w:r>
      <w:r>
        <w:t xml:space="preserve">Zheng E.M., Zhang H. &amp; </w:t>
      </w:r>
      <w:proofErr w:type="spellStart"/>
      <w:r>
        <w:t>Kamei</w:t>
      </w:r>
      <w:proofErr w:type="spellEnd"/>
      <w:r>
        <w:t xml:space="preserve"> D.T. 2020. </w:t>
      </w:r>
      <w:r w:rsidRPr="00223662">
        <w:rPr>
          <w:lang w:val="en-US"/>
        </w:rPr>
        <w:t xml:space="preserve">Developments in integrating nucleic acid isothermal amplification and detection systems for point-of-care diagnostics. </w:t>
      </w:r>
      <w:r w:rsidRPr="00223662">
        <w:rPr>
          <w:i/>
          <w:lang w:val="en-US"/>
        </w:rPr>
        <w:t xml:space="preserve">Biosensors and Bioelectronics </w:t>
      </w:r>
      <w:r w:rsidRPr="00223662">
        <w:rPr>
          <w:lang w:val="en-US"/>
        </w:rPr>
        <w:t xml:space="preserve">170: 112674. </w:t>
      </w:r>
      <w:hyperlink r:id="rId106">
        <w:r w:rsidRPr="00223662">
          <w:rPr>
            <w:color w:val="4169E1"/>
            <w:lang w:val="en-US"/>
          </w:rPr>
          <w:t>https://doi.org/10.1016/j.bios.2020.112674</w:t>
        </w:r>
      </w:hyperlink>
    </w:p>
    <w:p w14:paraId="4802FE56" w14:textId="77777777" w:rsidR="008C7A05" w:rsidRPr="00223662" w:rsidRDefault="00866A07">
      <w:pPr>
        <w:ind w:left="298" w:right="4" w:hanging="283"/>
        <w:rPr>
          <w:lang w:val="en-US"/>
        </w:rPr>
      </w:pPr>
      <w:r w:rsidRPr="00223662">
        <w:rPr>
          <w:lang w:val="en-US"/>
        </w:rPr>
        <w:t xml:space="preserve">Ranasinghe R.T. &amp; Brown T. 2005. Fluorescence based strategies for genetic analysis. </w:t>
      </w:r>
      <w:r w:rsidRPr="00223662">
        <w:rPr>
          <w:i/>
          <w:lang w:val="en-US"/>
        </w:rPr>
        <w:t xml:space="preserve">Chemical Communications </w:t>
      </w:r>
      <w:r w:rsidRPr="00223662">
        <w:rPr>
          <w:lang w:val="en-US"/>
        </w:rPr>
        <w:t xml:space="preserve">(44): 5487. </w:t>
      </w:r>
      <w:hyperlink r:id="rId107">
        <w:r w:rsidRPr="00223662">
          <w:rPr>
            <w:color w:val="4169E1"/>
            <w:lang w:val="en-US"/>
          </w:rPr>
          <w:t>https://doi.org/10.1039/b509522k</w:t>
        </w:r>
      </w:hyperlink>
    </w:p>
    <w:p w14:paraId="35E40388" w14:textId="77777777" w:rsidR="008C7A05" w:rsidRDefault="00866A07">
      <w:pPr>
        <w:spacing w:after="6"/>
        <w:ind w:left="314" w:right="4" w:hanging="299"/>
      </w:pPr>
      <w:proofErr w:type="spellStart"/>
      <w:r w:rsidRPr="00223662">
        <w:rPr>
          <w:lang w:val="en-US"/>
        </w:rPr>
        <w:t>Rı́o</w:t>
      </w:r>
      <w:proofErr w:type="spellEnd"/>
      <w:r w:rsidRPr="00223662">
        <w:rPr>
          <w:lang w:val="en-US"/>
        </w:rPr>
        <w:t xml:space="preserve"> J.S. del, </w:t>
      </w:r>
      <w:proofErr w:type="spellStart"/>
      <w:r w:rsidRPr="00223662">
        <w:rPr>
          <w:lang w:val="en-US"/>
        </w:rPr>
        <w:t>Adly</w:t>
      </w:r>
      <w:proofErr w:type="spellEnd"/>
      <w:r w:rsidRPr="00223662">
        <w:rPr>
          <w:lang w:val="en-US"/>
        </w:rPr>
        <w:t xml:space="preserve"> N.Y., </w:t>
      </w:r>
      <w:proofErr w:type="spellStart"/>
      <w:r w:rsidRPr="00223662">
        <w:rPr>
          <w:lang w:val="en-US"/>
        </w:rPr>
        <w:t>Acero</w:t>
      </w:r>
      <w:proofErr w:type="spellEnd"/>
      <w:r w:rsidRPr="00223662">
        <w:rPr>
          <w:lang w:val="en-US"/>
        </w:rPr>
        <w:t xml:space="preserve">-Sánchez J.L., Henry O.Y.F. &amp; </w:t>
      </w:r>
      <w:proofErr w:type="spellStart"/>
      <w:r w:rsidRPr="00223662">
        <w:rPr>
          <w:lang w:val="en-US"/>
        </w:rPr>
        <w:t>OSullivan</w:t>
      </w:r>
      <w:proofErr w:type="spellEnd"/>
      <w:r w:rsidRPr="00223662">
        <w:rPr>
          <w:lang w:val="en-US"/>
        </w:rPr>
        <w:t xml:space="preserve"> C.K. 2014. Electrochemical detection of </w:t>
      </w:r>
      <w:proofErr w:type="spellStart"/>
      <w:r w:rsidRPr="00223662">
        <w:rPr>
          <w:lang w:val="en-US"/>
        </w:rPr>
        <w:t>francisella</w:t>
      </w:r>
      <w:proofErr w:type="spellEnd"/>
      <w:r w:rsidRPr="00223662">
        <w:rPr>
          <w:lang w:val="en-US"/>
        </w:rPr>
        <w:t xml:space="preserve"> tularensis genomi</w:t>
      </w:r>
      <w:r w:rsidRPr="00223662">
        <w:rPr>
          <w:lang w:val="en-US"/>
        </w:rPr>
        <w:t xml:space="preserve">c DNA using solid-phase recombinase polymerase amplification. </w:t>
      </w:r>
      <w:r>
        <w:rPr>
          <w:i/>
        </w:rPr>
        <w:t>Biosensors</w:t>
      </w:r>
    </w:p>
    <w:p w14:paraId="07684D87" w14:textId="77777777" w:rsidR="008C7A05" w:rsidRDefault="00866A07">
      <w:pPr>
        <w:spacing w:after="175" w:line="265" w:lineRule="auto"/>
        <w:ind w:left="324" w:right="0" w:hanging="10"/>
        <w:jc w:val="left"/>
      </w:pPr>
      <w:r>
        <w:rPr>
          <w:i/>
        </w:rPr>
        <w:t xml:space="preserve">and </w:t>
      </w:r>
      <w:proofErr w:type="spellStart"/>
      <w:r>
        <w:rPr>
          <w:i/>
        </w:rPr>
        <w:t>Bioelectronics</w:t>
      </w:r>
      <w:proofErr w:type="spellEnd"/>
      <w:r>
        <w:rPr>
          <w:i/>
        </w:rPr>
        <w:t xml:space="preserve"> </w:t>
      </w:r>
      <w:r>
        <w:t xml:space="preserve">54: 674–678. </w:t>
      </w:r>
      <w:hyperlink r:id="rId108">
        <w:r>
          <w:rPr>
            <w:color w:val="4169E1"/>
          </w:rPr>
          <w:t>https://doi.org/10.1016/j.bios.2013.11.035</w:t>
        </w:r>
      </w:hyperlink>
    </w:p>
    <w:p w14:paraId="4772F4B5" w14:textId="77777777" w:rsidR="008C7A05" w:rsidRDefault="00866A07">
      <w:pPr>
        <w:ind w:left="304" w:right="4" w:hanging="289"/>
      </w:pPr>
      <w:proofErr w:type="spellStart"/>
      <w:r w:rsidRPr="00223662">
        <w:rPr>
          <w:lang w:val="en-US"/>
        </w:rPr>
        <w:t>Rı́o</w:t>
      </w:r>
      <w:proofErr w:type="spellEnd"/>
      <w:r w:rsidRPr="00223662">
        <w:rPr>
          <w:lang w:val="en-US"/>
        </w:rPr>
        <w:t xml:space="preserve"> J.S. de</w:t>
      </w:r>
      <w:r w:rsidRPr="00223662">
        <w:rPr>
          <w:lang w:val="en-US"/>
        </w:rPr>
        <w:t xml:space="preserve">l, </w:t>
      </w:r>
      <w:proofErr w:type="spellStart"/>
      <w:r w:rsidRPr="00223662">
        <w:rPr>
          <w:lang w:val="en-US"/>
        </w:rPr>
        <w:t>Svobodova</w:t>
      </w:r>
      <w:proofErr w:type="spellEnd"/>
      <w:r w:rsidRPr="00223662">
        <w:rPr>
          <w:lang w:val="en-US"/>
        </w:rPr>
        <w:t xml:space="preserve"> M., Bustos P., </w:t>
      </w:r>
      <w:proofErr w:type="spellStart"/>
      <w:r w:rsidRPr="00223662">
        <w:rPr>
          <w:lang w:val="en-US"/>
        </w:rPr>
        <w:t>Conejeros</w:t>
      </w:r>
      <w:proofErr w:type="spellEnd"/>
      <w:r w:rsidRPr="00223662">
        <w:rPr>
          <w:lang w:val="en-US"/>
        </w:rPr>
        <w:t xml:space="preserve"> P. &amp; O’Sullivan C.K. 2016. Electrochemical detection of </w:t>
      </w:r>
      <w:proofErr w:type="spellStart"/>
      <w:r w:rsidRPr="00223662">
        <w:rPr>
          <w:lang w:val="en-US"/>
        </w:rPr>
        <w:t>piscirickettsia</w:t>
      </w:r>
      <w:proofErr w:type="spellEnd"/>
      <w:r w:rsidRPr="00223662">
        <w:rPr>
          <w:lang w:val="en-US"/>
        </w:rPr>
        <w:t xml:space="preserve"> </w:t>
      </w:r>
      <w:proofErr w:type="spellStart"/>
      <w:r w:rsidRPr="00223662">
        <w:rPr>
          <w:lang w:val="en-US"/>
        </w:rPr>
        <w:t>salmonis</w:t>
      </w:r>
      <w:proofErr w:type="spellEnd"/>
      <w:r w:rsidRPr="00223662">
        <w:rPr>
          <w:lang w:val="en-US"/>
        </w:rPr>
        <w:t xml:space="preserve"> genomic DNA from salmon samples using solid-phase recombinase polymerase amplification. </w:t>
      </w:r>
      <w:r>
        <w:rPr>
          <w:i/>
        </w:rPr>
        <w:t xml:space="preserve">Analytical and </w:t>
      </w:r>
      <w:proofErr w:type="spellStart"/>
      <w:r>
        <w:rPr>
          <w:i/>
        </w:rPr>
        <w:t>Bioanalytical</w:t>
      </w:r>
      <w:proofErr w:type="spellEnd"/>
      <w:r>
        <w:rPr>
          <w:i/>
        </w:rPr>
        <w:t xml:space="preserve"> Chemistry </w:t>
      </w:r>
      <w:r>
        <w:t xml:space="preserve">408 (30): </w:t>
      </w:r>
      <w:r>
        <w:t xml:space="preserve">8611–8620. </w:t>
      </w:r>
      <w:hyperlink r:id="rId109">
        <w:r>
          <w:rPr>
            <w:color w:val="4169E1"/>
          </w:rPr>
          <w:t xml:space="preserve">https://doi.org/10.1007/s002 </w:t>
        </w:r>
      </w:hyperlink>
      <w:hyperlink r:id="rId110">
        <w:r>
          <w:rPr>
            <w:color w:val="4169E1"/>
          </w:rPr>
          <w:t>16-016-9639-0</w:t>
        </w:r>
      </w:hyperlink>
    </w:p>
    <w:p w14:paraId="2022943B" w14:textId="77777777" w:rsidR="008C7A05" w:rsidRDefault="00866A07">
      <w:pPr>
        <w:spacing w:after="175" w:line="265" w:lineRule="auto"/>
        <w:ind w:left="40" w:right="0" w:hanging="10"/>
        <w:jc w:val="left"/>
      </w:pPr>
      <w:r>
        <w:t xml:space="preserve">RKI 2019. </w:t>
      </w:r>
      <w:hyperlink r:id="rId111">
        <w:r>
          <w:rPr>
            <w:color w:val="4169E1"/>
          </w:rPr>
          <w:t xml:space="preserve">Infektionsepidemiologisches </w:t>
        </w:r>
        <w:proofErr w:type="spellStart"/>
        <w:r>
          <w:rPr>
            <w:color w:val="4169E1"/>
          </w:rPr>
          <w:t>jahrbuch</w:t>
        </w:r>
        <w:proofErr w:type="spellEnd"/>
        <w:r>
          <w:rPr>
            <w:color w:val="4169E1"/>
          </w:rPr>
          <w:t xml:space="preserve"> meldepflichtiger </w:t>
        </w:r>
        <w:proofErr w:type="spellStart"/>
        <w:r>
          <w:rPr>
            <w:color w:val="4169E1"/>
          </w:rPr>
          <w:t>krankheiten</w:t>
        </w:r>
        <w:proofErr w:type="spellEnd"/>
        <w:r>
          <w:rPr>
            <w:color w:val="4169E1"/>
          </w:rPr>
          <w:t xml:space="preserve"> für 2018</w:t>
        </w:r>
      </w:hyperlink>
      <w:r>
        <w:t xml:space="preserve">. </w:t>
      </w:r>
      <w:r>
        <w:rPr>
          <w:i/>
        </w:rPr>
        <w:t>Robert-Koch-Institut</w:t>
      </w:r>
      <w:r>
        <w:t>.</w:t>
      </w:r>
    </w:p>
    <w:p w14:paraId="699D520E" w14:textId="77777777" w:rsidR="008C7A05" w:rsidRPr="00223662" w:rsidRDefault="00866A07">
      <w:pPr>
        <w:ind w:left="314" w:right="4" w:hanging="299"/>
        <w:rPr>
          <w:lang w:val="en-US"/>
        </w:rPr>
      </w:pPr>
      <w:r>
        <w:t xml:space="preserve">Sandt C.E. van de, </w:t>
      </w:r>
      <w:proofErr w:type="spellStart"/>
      <w:r>
        <w:t>Bo</w:t>
      </w:r>
      <w:r>
        <w:t>dewes</w:t>
      </w:r>
      <w:proofErr w:type="spellEnd"/>
      <w:r>
        <w:t xml:space="preserve"> R., </w:t>
      </w:r>
      <w:proofErr w:type="spellStart"/>
      <w:r>
        <w:t>Rimmelzwaan</w:t>
      </w:r>
      <w:proofErr w:type="spellEnd"/>
      <w:r>
        <w:t xml:space="preserve"> G.F. &amp; Vries R.D. de 2015. </w:t>
      </w:r>
      <w:r w:rsidRPr="00223662">
        <w:rPr>
          <w:lang w:val="en-US"/>
        </w:rPr>
        <w:t xml:space="preserve">Influenza b viruses: Not to be discounted. </w:t>
      </w:r>
      <w:r w:rsidRPr="00223662">
        <w:rPr>
          <w:i/>
          <w:lang w:val="en-US"/>
        </w:rPr>
        <w:t xml:space="preserve">Future Microbiology </w:t>
      </w:r>
      <w:r w:rsidRPr="00223662">
        <w:rPr>
          <w:lang w:val="en-US"/>
        </w:rPr>
        <w:t xml:space="preserve">10 (9): 1447–1465. </w:t>
      </w:r>
      <w:hyperlink r:id="rId112">
        <w:r w:rsidRPr="00223662">
          <w:rPr>
            <w:color w:val="4169E1"/>
            <w:lang w:val="en-US"/>
          </w:rPr>
          <w:t>https://doi.org/10.2217/fmb.15.65</w:t>
        </w:r>
      </w:hyperlink>
    </w:p>
    <w:p w14:paraId="5361CCE2" w14:textId="77777777" w:rsidR="008C7A05" w:rsidRPr="00223662" w:rsidRDefault="00866A07">
      <w:pPr>
        <w:ind w:left="309" w:right="4" w:hanging="294"/>
        <w:rPr>
          <w:lang w:val="en-US"/>
        </w:rPr>
      </w:pPr>
      <w:proofErr w:type="spellStart"/>
      <w:r w:rsidRPr="00223662">
        <w:rPr>
          <w:lang w:val="en-US"/>
        </w:rPr>
        <w:t>Sanj</w:t>
      </w:r>
      <w:r w:rsidRPr="00223662">
        <w:rPr>
          <w:lang w:val="en-US"/>
        </w:rPr>
        <w:t>uán</w:t>
      </w:r>
      <w:proofErr w:type="spellEnd"/>
      <w:r w:rsidRPr="00223662">
        <w:rPr>
          <w:lang w:val="en-US"/>
        </w:rPr>
        <w:t xml:space="preserve"> R. &amp; Domingo-</w:t>
      </w:r>
      <w:proofErr w:type="spellStart"/>
      <w:r w:rsidRPr="00223662">
        <w:rPr>
          <w:lang w:val="en-US"/>
        </w:rPr>
        <w:t>Calap</w:t>
      </w:r>
      <w:proofErr w:type="spellEnd"/>
      <w:r w:rsidRPr="00223662">
        <w:rPr>
          <w:lang w:val="en-US"/>
        </w:rPr>
        <w:t xml:space="preserve"> P. 2016. Mechanisms of viral mutation. </w:t>
      </w:r>
      <w:r w:rsidRPr="00223662">
        <w:rPr>
          <w:i/>
          <w:lang w:val="en-US"/>
        </w:rPr>
        <w:t xml:space="preserve">Cellular and Molecular Life Sciences </w:t>
      </w:r>
      <w:r w:rsidRPr="00223662">
        <w:rPr>
          <w:lang w:val="en-US"/>
        </w:rPr>
        <w:t xml:space="preserve">73 (23): 4433–4448. </w:t>
      </w:r>
      <w:hyperlink r:id="rId113">
        <w:r w:rsidRPr="00223662">
          <w:rPr>
            <w:color w:val="4169E1"/>
            <w:lang w:val="en-US"/>
          </w:rPr>
          <w:t>https://doi.org/10.1007/s00018-016-2299-6</w:t>
        </w:r>
      </w:hyperlink>
    </w:p>
    <w:p w14:paraId="69FDE639" w14:textId="77777777" w:rsidR="008C7A05" w:rsidRPr="00223662" w:rsidRDefault="00866A07">
      <w:pPr>
        <w:ind w:left="314" w:right="4" w:hanging="299"/>
        <w:rPr>
          <w:lang w:val="en-US"/>
        </w:rPr>
      </w:pPr>
      <w:r w:rsidRPr="00223662">
        <w:rPr>
          <w:lang w:val="en-US"/>
        </w:rPr>
        <w:t xml:space="preserve">Shao W., Li X., </w:t>
      </w:r>
      <w:proofErr w:type="spellStart"/>
      <w:r w:rsidRPr="00223662">
        <w:rPr>
          <w:lang w:val="en-US"/>
        </w:rPr>
        <w:t>Goraya</w:t>
      </w:r>
      <w:proofErr w:type="spellEnd"/>
      <w:r w:rsidRPr="00223662">
        <w:rPr>
          <w:lang w:val="en-US"/>
        </w:rPr>
        <w:t xml:space="preserve"> M., Wang S. &amp; Chen J.-L. 2017. Evolution of influenza a virus by mutation and re-assortment. </w:t>
      </w:r>
      <w:r w:rsidRPr="00223662">
        <w:rPr>
          <w:i/>
          <w:lang w:val="en-US"/>
        </w:rPr>
        <w:t xml:space="preserve">International Journal of Molecular Sciences </w:t>
      </w:r>
      <w:r w:rsidRPr="00223662">
        <w:rPr>
          <w:lang w:val="en-US"/>
        </w:rPr>
        <w:t xml:space="preserve">18 (8): 1650. </w:t>
      </w:r>
      <w:hyperlink r:id="rId114">
        <w:r w:rsidRPr="00223662">
          <w:rPr>
            <w:color w:val="4169E1"/>
            <w:lang w:val="en-US"/>
          </w:rPr>
          <w:t>https://doi.org/10.3390/ijms</w:t>
        </w:r>
        <w:r w:rsidRPr="00223662">
          <w:rPr>
            <w:color w:val="4169E1"/>
            <w:lang w:val="en-US"/>
          </w:rPr>
          <w:t xml:space="preserve">18 </w:t>
        </w:r>
      </w:hyperlink>
      <w:hyperlink r:id="rId115">
        <w:r w:rsidRPr="00223662">
          <w:rPr>
            <w:color w:val="4169E1"/>
            <w:lang w:val="en-US"/>
          </w:rPr>
          <w:t>081650</w:t>
        </w:r>
      </w:hyperlink>
    </w:p>
    <w:p w14:paraId="4C75F6AB" w14:textId="77777777" w:rsidR="008C7A05" w:rsidRDefault="00866A07">
      <w:pPr>
        <w:ind w:left="314" w:right="4" w:hanging="299"/>
      </w:pPr>
      <w:r w:rsidRPr="00223662">
        <w:rPr>
          <w:lang w:val="en-US"/>
        </w:rPr>
        <w:t xml:space="preserve">Sharma A., </w:t>
      </w:r>
      <w:proofErr w:type="spellStart"/>
      <w:r w:rsidRPr="00223662">
        <w:rPr>
          <w:lang w:val="en-US"/>
        </w:rPr>
        <w:t>Balda</w:t>
      </w:r>
      <w:proofErr w:type="spellEnd"/>
      <w:r w:rsidRPr="00223662">
        <w:rPr>
          <w:lang w:val="en-US"/>
        </w:rPr>
        <w:t xml:space="preserve"> S., </w:t>
      </w:r>
      <w:proofErr w:type="spellStart"/>
      <w:r w:rsidRPr="00223662">
        <w:rPr>
          <w:lang w:val="en-US"/>
        </w:rPr>
        <w:t>Apreja</w:t>
      </w:r>
      <w:proofErr w:type="spellEnd"/>
      <w:r w:rsidRPr="00223662">
        <w:rPr>
          <w:lang w:val="en-US"/>
        </w:rPr>
        <w:t xml:space="preserve"> M., </w:t>
      </w:r>
      <w:proofErr w:type="spellStart"/>
      <w:r w:rsidRPr="00223662">
        <w:rPr>
          <w:lang w:val="en-US"/>
        </w:rPr>
        <w:t>Kataria</w:t>
      </w:r>
      <w:proofErr w:type="spellEnd"/>
      <w:r w:rsidRPr="00223662">
        <w:rPr>
          <w:lang w:val="en-US"/>
        </w:rPr>
        <w:t xml:space="preserve"> K., </w:t>
      </w:r>
      <w:proofErr w:type="spellStart"/>
      <w:r w:rsidRPr="00223662">
        <w:rPr>
          <w:lang w:val="en-US"/>
        </w:rPr>
        <w:t>Capalash</w:t>
      </w:r>
      <w:proofErr w:type="spellEnd"/>
      <w:r w:rsidRPr="00223662">
        <w:rPr>
          <w:lang w:val="en-US"/>
        </w:rPr>
        <w:t xml:space="preserve"> N. &amp; Sharma P. 2021. COVID-19 diagnosis: Current and future techniques. </w:t>
      </w:r>
      <w:r w:rsidRPr="00223662">
        <w:rPr>
          <w:i/>
          <w:lang w:val="en-US"/>
        </w:rPr>
        <w:t xml:space="preserve">International Journal of Biological Macromolecules </w:t>
      </w:r>
      <w:r w:rsidRPr="00223662">
        <w:rPr>
          <w:lang w:val="en-US"/>
        </w:rPr>
        <w:t xml:space="preserve">193: 1835–1844. </w:t>
      </w:r>
      <w:hyperlink r:id="rId116">
        <w:r>
          <w:rPr>
            <w:color w:val="4169E1"/>
          </w:rPr>
          <w:t xml:space="preserve">https://doi. </w:t>
        </w:r>
      </w:hyperlink>
      <w:hyperlink r:id="rId117">
        <w:proofErr w:type="spellStart"/>
        <w:r>
          <w:rPr>
            <w:color w:val="4169E1"/>
          </w:rPr>
          <w:t>org</w:t>
        </w:r>
        <w:proofErr w:type="spellEnd"/>
        <w:r>
          <w:rPr>
            <w:color w:val="4169E1"/>
          </w:rPr>
          <w:t>/10.1016/j.ijbiomac.2021.11.016</w:t>
        </w:r>
      </w:hyperlink>
    </w:p>
    <w:p w14:paraId="6484CF6B" w14:textId="77777777" w:rsidR="008C7A05" w:rsidRDefault="00866A07">
      <w:pPr>
        <w:spacing w:after="6"/>
        <w:ind w:left="314" w:right="4" w:hanging="299"/>
      </w:pPr>
      <w:r>
        <w:t xml:space="preserve">Shin Y., Perera A.P., Kim K.W. &amp; Park M.K. 2013. </w:t>
      </w:r>
      <w:r w:rsidRPr="00223662">
        <w:rPr>
          <w:lang w:val="en-US"/>
        </w:rPr>
        <w:t>Real-time, label-free i</w:t>
      </w:r>
      <w:r w:rsidRPr="00223662">
        <w:rPr>
          <w:lang w:val="en-US"/>
        </w:rPr>
        <w:t xml:space="preserve">sothermal solid-phase amplification/detection (ISAD) device for rapid detection of genetic alteration in cancers. </w:t>
      </w:r>
      <w:r>
        <w:rPr>
          <w:i/>
        </w:rPr>
        <w:t xml:space="preserve">Lab on a Chip </w:t>
      </w:r>
      <w:r>
        <w:t>13 (11):</w:t>
      </w:r>
    </w:p>
    <w:p w14:paraId="561618C8" w14:textId="77777777" w:rsidR="008C7A05" w:rsidRDefault="00866A07">
      <w:pPr>
        <w:spacing w:after="175" w:line="265" w:lineRule="auto"/>
        <w:ind w:left="324" w:right="0" w:hanging="10"/>
        <w:jc w:val="left"/>
      </w:pPr>
      <w:r>
        <w:t xml:space="preserve">2106. </w:t>
      </w:r>
      <w:hyperlink r:id="rId118">
        <w:r>
          <w:rPr>
            <w:color w:val="4169E1"/>
          </w:rPr>
          <w:t>https://doi.org/10.1039/c3lc50129a</w:t>
        </w:r>
      </w:hyperlink>
    </w:p>
    <w:p w14:paraId="28C1937D" w14:textId="77777777" w:rsidR="008C7A05" w:rsidRDefault="00866A07">
      <w:pPr>
        <w:ind w:left="314" w:right="4" w:hanging="299"/>
      </w:pPr>
      <w:r w:rsidRPr="00223662">
        <w:rPr>
          <w:lang w:val="en-US"/>
        </w:rPr>
        <w:t xml:space="preserve">Silva S.J.R. da, Pardee K. &amp; Pena L. 2019. Loop-mediated isothermal amplification (LAMP) for the diagnosis of zika virus: A review. </w:t>
      </w:r>
      <w:proofErr w:type="spellStart"/>
      <w:r>
        <w:rPr>
          <w:i/>
        </w:rPr>
        <w:t>Viruses</w:t>
      </w:r>
      <w:proofErr w:type="spellEnd"/>
      <w:r>
        <w:rPr>
          <w:i/>
        </w:rPr>
        <w:t xml:space="preserve"> </w:t>
      </w:r>
      <w:r>
        <w:t xml:space="preserve">12 (1): 19. </w:t>
      </w:r>
      <w:hyperlink r:id="rId119">
        <w:r>
          <w:rPr>
            <w:color w:val="4169E1"/>
          </w:rPr>
          <w:t>https://doi.org/10.3390/v12010019</w:t>
        </w:r>
      </w:hyperlink>
    </w:p>
    <w:p w14:paraId="2543EC4B" w14:textId="77777777" w:rsidR="008C7A05" w:rsidRPr="00223662" w:rsidRDefault="00866A07">
      <w:pPr>
        <w:ind w:left="314" w:right="4" w:hanging="299"/>
        <w:rPr>
          <w:lang w:val="en-US"/>
        </w:rPr>
      </w:pPr>
      <w:proofErr w:type="spellStart"/>
      <w:r>
        <w:t>Soroka</w:t>
      </w:r>
      <w:proofErr w:type="spellEnd"/>
      <w:r>
        <w:t xml:space="preserve"> M., </w:t>
      </w:r>
      <w:proofErr w:type="spellStart"/>
      <w:r>
        <w:t>Wasowicz</w:t>
      </w:r>
      <w:proofErr w:type="spellEnd"/>
      <w:r>
        <w:t xml:space="preserve"> B. &amp; </w:t>
      </w:r>
      <w:proofErr w:type="spellStart"/>
      <w:r>
        <w:t>Rymaszewska</w:t>
      </w:r>
      <w:proofErr w:type="spellEnd"/>
      <w:r>
        <w:t xml:space="preserve"> A. 2021. </w:t>
      </w:r>
      <w:r w:rsidRPr="00223662">
        <w:rPr>
          <w:lang w:val="en-US"/>
        </w:rPr>
        <w:t xml:space="preserve">Loop-mediated isothermal amplification (LAMP): The better sibling of PCR? </w:t>
      </w:r>
      <w:r w:rsidRPr="00223662">
        <w:rPr>
          <w:i/>
          <w:lang w:val="en-US"/>
        </w:rPr>
        <w:t xml:space="preserve">Cells </w:t>
      </w:r>
      <w:r w:rsidRPr="00223662">
        <w:rPr>
          <w:lang w:val="en-US"/>
        </w:rPr>
        <w:t xml:space="preserve">10 (8): 1931. </w:t>
      </w:r>
      <w:hyperlink r:id="rId120">
        <w:r w:rsidRPr="00223662">
          <w:rPr>
            <w:color w:val="4169E1"/>
            <w:lang w:val="en-US"/>
          </w:rPr>
          <w:t>https://doi.org/10.3390/cells100819</w:t>
        </w:r>
        <w:r w:rsidRPr="00223662">
          <w:rPr>
            <w:color w:val="4169E1"/>
            <w:lang w:val="en-US"/>
          </w:rPr>
          <w:t>31</w:t>
        </w:r>
      </w:hyperlink>
    </w:p>
    <w:p w14:paraId="39CCB078" w14:textId="77777777" w:rsidR="008C7A05" w:rsidRPr="00223662" w:rsidRDefault="00866A07">
      <w:pPr>
        <w:spacing w:after="52" w:line="259" w:lineRule="auto"/>
        <w:ind w:left="17" w:right="4"/>
        <w:rPr>
          <w:lang w:val="en-US"/>
        </w:rPr>
      </w:pPr>
      <w:r w:rsidRPr="00223662">
        <w:rPr>
          <w:lang w:val="en-US"/>
        </w:rPr>
        <w:t xml:space="preserve">Sreejith K.R., </w:t>
      </w:r>
      <w:proofErr w:type="spellStart"/>
      <w:r w:rsidRPr="00223662">
        <w:rPr>
          <w:lang w:val="en-US"/>
        </w:rPr>
        <w:t>Ooi</w:t>
      </w:r>
      <w:proofErr w:type="spellEnd"/>
      <w:r w:rsidRPr="00223662">
        <w:rPr>
          <w:lang w:val="en-US"/>
        </w:rPr>
        <w:t xml:space="preserve"> C.H., </w:t>
      </w:r>
      <w:proofErr w:type="spellStart"/>
      <w:r w:rsidRPr="00223662">
        <w:rPr>
          <w:lang w:val="en-US"/>
        </w:rPr>
        <w:t>Jin</w:t>
      </w:r>
      <w:proofErr w:type="spellEnd"/>
      <w:r w:rsidRPr="00223662">
        <w:rPr>
          <w:lang w:val="en-US"/>
        </w:rPr>
        <w:t xml:space="preserve"> J., Dao D.V. &amp; Nguyen N.-T. 2018. Digital polymerase chain reaction technology</w:t>
      </w:r>
    </w:p>
    <w:p w14:paraId="7C9AC069" w14:textId="77777777" w:rsidR="008C7A05" w:rsidRPr="00223662" w:rsidRDefault="00866A07">
      <w:pPr>
        <w:ind w:left="291" w:right="4"/>
        <w:rPr>
          <w:lang w:val="en-US"/>
        </w:rPr>
      </w:pPr>
      <w:r w:rsidRPr="00223662">
        <w:rPr>
          <w:lang w:val="en-US"/>
        </w:rPr>
        <w:t xml:space="preserve">– recent advances and future perspectives. </w:t>
      </w:r>
      <w:r w:rsidRPr="00223662">
        <w:rPr>
          <w:i/>
          <w:lang w:val="en-US"/>
        </w:rPr>
        <w:t xml:space="preserve">Lab on a Chip </w:t>
      </w:r>
      <w:r w:rsidRPr="00223662">
        <w:rPr>
          <w:lang w:val="en-US"/>
        </w:rPr>
        <w:t xml:space="preserve">18 (24): 3717–3732. </w:t>
      </w:r>
      <w:hyperlink r:id="rId121">
        <w:r w:rsidRPr="00223662">
          <w:rPr>
            <w:color w:val="4169E1"/>
            <w:lang w:val="en-US"/>
          </w:rPr>
          <w:t xml:space="preserve">https://doi.org/10.1039/c8 </w:t>
        </w:r>
      </w:hyperlink>
      <w:hyperlink r:id="rId122">
        <w:r w:rsidRPr="00223662">
          <w:rPr>
            <w:color w:val="4169E1"/>
            <w:lang w:val="en-US"/>
          </w:rPr>
          <w:t>lc00990b</w:t>
        </w:r>
      </w:hyperlink>
    </w:p>
    <w:p w14:paraId="57D46DA9" w14:textId="77777777" w:rsidR="008C7A05" w:rsidRPr="00223662" w:rsidRDefault="00866A07">
      <w:pPr>
        <w:spacing w:after="61" w:line="259" w:lineRule="auto"/>
        <w:ind w:left="17" w:right="4"/>
        <w:rPr>
          <w:lang w:val="en-US"/>
        </w:rPr>
      </w:pPr>
      <w:proofErr w:type="spellStart"/>
      <w:r w:rsidRPr="00223662">
        <w:rPr>
          <w:lang w:val="en-US"/>
        </w:rPr>
        <w:t>Świerczyńska</w:t>
      </w:r>
      <w:proofErr w:type="spellEnd"/>
      <w:r w:rsidRPr="00223662">
        <w:rPr>
          <w:lang w:val="en-US"/>
        </w:rPr>
        <w:t xml:space="preserve"> M., </w:t>
      </w:r>
      <w:proofErr w:type="spellStart"/>
      <w:r w:rsidRPr="00223662">
        <w:rPr>
          <w:lang w:val="en-US"/>
        </w:rPr>
        <w:t>Mirowska-Guzel</w:t>
      </w:r>
      <w:proofErr w:type="spellEnd"/>
      <w:r w:rsidRPr="00223662">
        <w:rPr>
          <w:lang w:val="en-US"/>
        </w:rPr>
        <w:t xml:space="preserve"> D.M. &amp; </w:t>
      </w:r>
      <w:proofErr w:type="spellStart"/>
      <w:r w:rsidRPr="00223662">
        <w:rPr>
          <w:lang w:val="en-US"/>
        </w:rPr>
        <w:t>Pindelska</w:t>
      </w:r>
      <w:proofErr w:type="spellEnd"/>
      <w:r w:rsidRPr="00223662">
        <w:rPr>
          <w:lang w:val="en-US"/>
        </w:rPr>
        <w:t xml:space="preserve"> E. 2022. Antiviral drugs in influenza. </w:t>
      </w:r>
      <w:r w:rsidRPr="00223662">
        <w:rPr>
          <w:i/>
          <w:lang w:val="en-US"/>
        </w:rPr>
        <w:t>International</w:t>
      </w:r>
    </w:p>
    <w:p w14:paraId="0B7FCD6E" w14:textId="77777777" w:rsidR="008C7A05" w:rsidRPr="00223662" w:rsidRDefault="00866A07">
      <w:pPr>
        <w:spacing w:after="110" w:line="321" w:lineRule="auto"/>
        <w:ind w:left="324" w:right="0" w:hanging="10"/>
        <w:jc w:val="left"/>
        <w:rPr>
          <w:lang w:val="en-US"/>
        </w:rPr>
      </w:pPr>
      <w:r w:rsidRPr="00223662">
        <w:rPr>
          <w:i/>
          <w:lang w:val="en-US"/>
        </w:rPr>
        <w:lastRenderedPageBreak/>
        <w:t xml:space="preserve">Journal of Environmental Research and Public Health </w:t>
      </w:r>
      <w:r w:rsidRPr="00223662">
        <w:rPr>
          <w:lang w:val="en-US"/>
        </w:rPr>
        <w:t xml:space="preserve">19 (5): 3018. </w:t>
      </w:r>
      <w:hyperlink r:id="rId123">
        <w:r w:rsidRPr="00223662">
          <w:rPr>
            <w:color w:val="4169E1"/>
            <w:lang w:val="en-US"/>
          </w:rPr>
          <w:t>https://doi.org/10.3390/ijerph19</w:t>
        </w:r>
        <w:r w:rsidRPr="00223662">
          <w:rPr>
            <w:color w:val="4169E1"/>
            <w:lang w:val="en-US"/>
          </w:rPr>
          <w:t xml:space="preserve">05 </w:t>
        </w:r>
      </w:hyperlink>
      <w:hyperlink r:id="rId124">
        <w:r w:rsidRPr="00223662">
          <w:rPr>
            <w:color w:val="4169E1"/>
            <w:lang w:val="en-US"/>
          </w:rPr>
          <w:t>3018</w:t>
        </w:r>
      </w:hyperlink>
    </w:p>
    <w:p w14:paraId="40F8B10E" w14:textId="77777777" w:rsidR="008C7A05" w:rsidRDefault="00866A07">
      <w:pPr>
        <w:ind w:left="321" w:right="4" w:hanging="306"/>
      </w:pPr>
      <w:r w:rsidRPr="00223662">
        <w:rPr>
          <w:lang w:val="en-US"/>
        </w:rPr>
        <w:t xml:space="preserve">Takeuchi K. &amp; Lamb R.A. 1994. Influenza virus M2 protein ion channel activity stabilizes the native form of fowl plague </w:t>
      </w:r>
      <w:r w:rsidRPr="00223662">
        <w:rPr>
          <w:lang w:val="en-US"/>
        </w:rPr>
        <w:t xml:space="preserve">virus hemagglutinin during intracellular transport. </w:t>
      </w:r>
      <w:r>
        <w:rPr>
          <w:i/>
        </w:rPr>
        <w:t xml:space="preserve">Journal </w:t>
      </w:r>
      <w:proofErr w:type="spellStart"/>
      <w:r>
        <w:rPr>
          <w:i/>
        </w:rPr>
        <w:t>of</w:t>
      </w:r>
      <w:proofErr w:type="spellEnd"/>
      <w:r>
        <w:rPr>
          <w:i/>
        </w:rPr>
        <w:t xml:space="preserve"> </w:t>
      </w:r>
      <w:proofErr w:type="spellStart"/>
      <w:r>
        <w:rPr>
          <w:i/>
        </w:rPr>
        <w:t>Virology</w:t>
      </w:r>
      <w:proofErr w:type="spellEnd"/>
      <w:r>
        <w:rPr>
          <w:i/>
        </w:rPr>
        <w:t xml:space="preserve"> </w:t>
      </w:r>
      <w:r>
        <w:t xml:space="preserve">68 (2): 911–919. </w:t>
      </w:r>
      <w:hyperlink r:id="rId125">
        <w:r>
          <w:rPr>
            <w:color w:val="4169E1"/>
          </w:rPr>
          <w:t>https://doi.org/10.1128/jvi.68.2.911-919.1994</w:t>
        </w:r>
      </w:hyperlink>
    </w:p>
    <w:p w14:paraId="1FAD337D" w14:textId="77777777" w:rsidR="008C7A05" w:rsidRPr="00223662" w:rsidRDefault="00866A07">
      <w:pPr>
        <w:ind w:left="309" w:right="4" w:hanging="294"/>
        <w:rPr>
          <w:lang w:val="en-US"/>
        </w:rPr>
      </w:pPr>
      <w:r>
        <w:t>Tan M., Liao C., Liang</w:t>
      </w:r>
      <w:r>
        <w:t xml:space="preserve"> L., Yi X., Zhou Z. &amp; Wei G. 2022. </w:t>
      </w:r>
      <w:r w:rsidRPr="00223662">
        <w:rPr>
          <w:lang w:val="en-US"/>
        </w:rPr>
        <w:t xml:space="preserve">Recent advances in recombinase polymerase amplification: Principle, advantages, </w:t>
      </w:r>
      <w:proofErr w:type="gramStart"/>
      <w:r w:rsidRPr="00223662">
        <w:rPr>
          <w:lang w:val="en-US"/>
        </w:rPr>
        <w:t>disadvantages</w:t>
      </w:r>
      <w:proofErr w:type="gramEnd"/>
      <w:r w:rsidRPr="00223662">
        <w:rPr>
          <w:lang w:val="en-US"/>
        </w:rPr>
        <w:t xml:space="preserve"> and applications. </w:t>
      </w:r>
      <w:r w:rsidRPr="00223662">
        <w:rPr>
          <w:i/>
          <w:lang w:val="en-US"/>
        </w:rPr>
        <w:t xml:space="preserve">Frontiers in Cellular and Infection Microbiology </w:t>
      </w:r>
      <w:r w:rsidRPr="00223662">
        <w:rPr>
          <w:lang w:val="en-US"/>
        </w:rPr>
        <w:t xml:space="preserve">12. </w:t>
      </w:r>
      <w:hyperlink r:id="rId126">
        <w:r w:rsidRPr="00223662">
          <w:rPr>
            <w:color w:val="4169E1"/>
            <w:lang w:val="en-US"/>
          </w:rPr>
          <w:t>https://doi.org/10.3389/fcimb.2022.1019071</w:t>
        </w:r>
      </w:hyperlink>
    </w:p>
    <w:p w14:paraId="529D0E3D" w14:textId="77777777" w:rsidR="008C7A05" w:rsidRDefault="00866A07">
      <w:pPr>
        <w:ind w:left="306" w:right="4" w:hanging="291"/>
      </w:pPr>
      <w:r w:rsidRPr="00223662">
        <w:rPr>
          <w:lang w:val="en-US"/>
        </w:rPr>
        <w:t xml:space="preserve">Thornton B. &amp; </w:t>
      </w:r>
      <w:proofErr w:type="spellStart"/>
      <w:r w:rsidRPr="00223662">
        <w:rPr>
          <w:lang w:val="en-US"/>
        </w:rPr>
        <w:t>Basu</w:t>
      </w:r>
      <w:proofErr w:type="spellEnd"/>
      <w:r w:rsidRPr="00223662">
        <w:rPr>
          <w:lang w:val="en-US"/>
        </w:rPr>
        <w:t xml:space="preserve"> C. 2011. Real-time PCR (qPCR) primer design using free online software. </w:t>
      </w:r>
      <w:proofErr w:type="spellStart"/>
      <w:r>
        <w:rPr>
          <w:i/>
        </w:rPr>
        <w:t>Biochemistry</w:t>
      </w:r>
      <w:proofErr w:type="spellEnd"/>
      <w:r>
        <w:rPr>
          <w:i/>
        </w:rPr>
        <w:t xml:space="preserve"> and </w:t>
      </w:r>
      <w:proofErr w:type="spellStart"/>
      <w:r>
        <w:rPr>
          <w:i/>
        </w:rPr>
        <w:t>Molecular</w:t>
      </w:r>
      <w:proofErr w:type="spellEnd"/>
      <w:r>
        <w:rPr>
          <w:i/>
        </w:rPr>
        <w:t xml:space="preserve"> </w:t>
      </w:r>
      <w:proofErr w:type="spellStart"/>
      <w:r>
        <w:rPr>
          <w:i/>
        </w:rPr>
        <w:t>Biology</w:t>
      </w:r>
      <w:proofErr w:type="spellEnd"/>
      <w:r>
        <w:rPr>
          <w:i/>
        </w:rPr>
        <w:t xml:space="preserve"> Education </w:t>
      </w:r>
      <w:r>
        <w:t xml:space="preserve">39 (2): 145–154. </w:t>
      </w:r>
      <w:hyperlink r:id="rId127">
        <w:r>
          <w:rPr>
            <w:color w:val="4169E1"/>
          </w:rPr>
          <w:t>https://doi.org/10.1002/bmb.20461</w:t>
        </w:r>
      </w:hyperlink>
    </w:p>
    <w:p w14:paraId="6E380D1A" w14:textId="77777777" w:rsidR="008C7A05" w:rsidRPr="00223662" w:rsidRDefault="00866A07">
      <w:pPr>
        <w:spacing w:after="175" w:line="265" w:lineRule="auto"/>
        <w:ind w:left="33" w:right="0" w:hanging="10"/>
        <w:jc w:val="left"/>
        <w:rPr>
          <w:lang w:val="en-US"/>
        </w:rPr>
      </w:pPr>
      <w:r w:rsidRPr="00223662">
        <w:rPr>
          <w:lang w:val="en-US"/>
        </w:rPr>
        <w:t xml:space="preserve">Tiago Lopes J.C. Isabel </w:t>
      </w:r>
      <w:proofErr w:type="spellStart"/>
      <w:r w:rsidRPr="00223662">
        <w:rPr>
          <w:lang w:val="en-US"/>
        </w:rPr>
        <w:t>Barata</w:t>
      </w:r>
      <w:proofErr w:type="spellEnd"/>
      <w:r w:rsidRPr="00223662">
        <w:rPr>
          <w:lang w:val="en-US"/>
        </w:rPr>
        <w:t xml:space="preserve"> 2020. </w:t>
      </w:r>
      <w:hyperlink r:id="rId128">
        <w:r w:rsidRPr="00223662">
          <w:rPr>
            <w:color w:val="4169E1"/>
            <w:lang w:val="en-US"/>
          </w:rPr>
          <w:t>Arabidopsis thaliana germination assays</w:t>
        </w:r>
      </w:hyperlink>
      <w:r w:rsidRPr="00223662">
        <w:rPr>
          <w:lang w:val="en-US"/>
        </w:rPr>
        <w:t xml:space="preserve">. </w:t>
      </w:r>
      <w:proofErr w:type="spellStart"/>
      <w:r w:rsidRPr="00223662">
        <w:rPr>
          <w:i/>
          <w:lang w:val="en-US"/>
        </w:rPr>
        <w:t>iGEM</w:t>
      </w:r>
      <w:proofErr w:type="spellEnd"/>
      <w:r w:rsidRPr="00223662">
        <w:rPr>
          <w:i/>
          <w:lang w:val="en-US"/>
        </w:rPr>
        <w:t xml:space="preserve">; Pine </w:t>
      </w:r>
      <w:proofErr w:type="spellStart"/>
      <w:r w:rsidRPr="00223662">
        <w:rPr>
          <w:i/>
          <w:lang w:val="en-US"/>
        </w:rPr>
        <w:t>nemato</w:t>
      </w:r>
      <w:proofErr w:type="spellEnd"/>
      <w:r w:rsidRPr="00223662">
        <w:rPr>
          <w:i/>
          <w:lang w:val="en-US"/>
        </w:rPr>
        <w:t xml:space="preserve"> fight</w:t>
      </w:r>
      <w:r w:rsidRPr="00223662">
        <w:rPr>
          <w:lang w:val="en-US"/>
        </w:rPr>
        <w:t>.</w:t>
      </w:r>
    </w:p>
    <w:p w14:paraId="775BA191" w14:textId="77777777" w:rsidR="008C7A05" w:rsidRPr="00223662" w:rsidRDefault="00866A07">
      <w:pPr>
        <w:ind w:left="305" w:right="4" w:hanging="290"/>
        <w:rPr>
          <w:lang w:val="en-US"/>
        </w:rPr>
      </w:pPr>
      <w:r w:rsidRPr="00223662">
        <w:rPr>
          <w:lang w:val="en-US"/>
        </w:rPr>
        <w:t xml:space="preserve">To J., Surya W. &amp; Torres J. </w:t>
      </w:r>
      <w:r w:rsidRPr="00223662">
        <w:rPr>
          <w:lang w:val="en-US"/>
        </w:rPr>
        <w:t xml:space="preserve">2016. </w:t>
      </w:r>
      <w:hyperlink r:id="rId129">
        <w:r w:rsidRPr="00223662">
          <w:rPr>
            <w:color w:val="4169E1"/>
            <w:lang w:val="en-US"/>
          </w:rPr>
          <w:t xml:space="preserve">Targeting the channel activity of </w:t>
        </w:r>
        <w:proofErr w:type="spellStart"/>
        <w:r w:rsidRPr="00223662">
          <w:rPr>
            <w:color w:val="4169E1"/>
            <w:lang w:val="en-US"/>
          </w:rPr>
          <w:t>viroporins</w:t>
        </w:r>
        <w:proofErr w:type="spellEnd"/>
      </w:hyperlink>
      <w:r w:rsidRPr="00223662">
        <w:rPr>
          <w:lang w:val="en-US"/>
        </w:rPr>
        <w:t xml:space="preserve">. </w:t>
      </w:r>
      <w:r w:rsidRPr="00223662">
        <w:rPr>
          <w:i/>
          <w:lang w:val="en-US"/>
        </w:rPr>
        <w:t>In</w:t>
      </w:r>
      <w:r w:rsidRPr="00223662">
        <w:rPr>
          <w:lang w:val="en-US"/>
        </w:rPr>
        <w:t xml:space="preserve">: </w:t>
      </w:r>
      <w:r w:rsidRPr="00223662">
        <w:rPr>
          <w:i/>
          <w:lang w:val="en-US"/>
        </w:rPr>
        <w:t>Advances in protein chemistry and structural biology</w:t>
      </w:r>
      <w:r w:rsidRPr="00223662">
        <w:rPr>
          <w:lang w:val="en-US"/>
        </w:rPr>
        <w:t>: 307–355. Elsevier.</w:t>
      </w:r>
    </w:p>
    <w:p w14:paraId="11523316" w14:textId="77777777" w:rsidR="008C7A05" w:rsidRPr="00223662" w:rsidRDefault="00866A07">
      <w:pPr>
        <w:ind w:left="321" w:right="4" w:hanging="306"/>
        <w:rPr>
          <w:lang w:val="en-US"/>
        </w:rPr>
      </w:pPr>
      <w:r w:rsidRPr="00223662">
        <w:rPr>
          <w:lang w:val="en-US"/>
        </w:rPr>
        <w:t xml:space="preserve">To J. &amp; Torres J. 2019. </w:t>
      </w:r>
      <w:proofErr w:type="spellStart"/>
      <w:r w:rsidRPr="00223662">
        <w:rPr>
          <w:lang w:val="en-US"/>
        </w:rPr>
        <w:t>Viroporins</w:t>
      </w:r>
      <w:proofErr w:type="spellEnd"/>
      <w:r w:rsidRPr="00223662">
        <w:rPr>
          <w:lang w:val="en-US"/>
        </w:rPr>
        <w:t xml:space="preserve"> in the influenza virus. </w:t>
      </w:r>
      <w:r w:rsidRPr="00223662">
        <w:rPr>
          <w:i/>
          <w:lang w:val="en-US"/>
        </w:rPr>
        <w:t xml:space="preserve">Cells </w:t>
      </w:r>
      <w:r w:rsidRPr="00223662">
        <w:rPr>
          <w:lang w:val="en-US"/>
        </w:rPr>
        <w:t xml:space="preserve">8 (7): 654. </w:t>
      </w:r>
      <w:hyperlink r:id="rId130">
        <w:r w:rsidRPr="00223662">
          <w:rPr>
            <w:color w:val="4169E1"/>
            <w:lang w:val="en-US"/>
          </w:rPr>
          <w:t xml:space="preserve">https://doi.org/10.3390/cells807 </w:t>
        </w:r>
      </w:hyperlink>
      <w:hyperlink r:id="rId131">
        <w:r w:rsidRPr="00223662">
          <w:rPr>
            <w:color w:val="4169E1"/>
            <w:lang w:val="en-US"/>
          </w:rPr>
          <w:t>065</w:t>
        </w:r>
        <w:r w:rsidRPr="00223662">
          <w:rPr>
            <w:color w:val="4169E1"/>
            <w:lang w:val="en-US"/>
          </w:rPr>
          <w:t>4</w:t>
        </w:r>
      </w:hyperlink>
    </w:p>
    <w:p w14:paraId="197E8CC4" w14:textId="77777777" w:rsidR="008C7A05" w:rsidRDefault="00866A07">
      <w:pPr>
        <w:ind w:left="321" w:right="4" w:hanging="306"/>
      </w:pPr>
      <w:proofErr w:type="spellStart"/>
      <w:r>
        <w:t>Tomita</w:t>
      </w:r>
      <w:proofErr w:type="spellEnd"/>
      <w:r>
        <w:t xml:space="preserve"> N., Mori Y., </w:t>
      </w:r>
      <w:proofErr w:type="spellStart"/>
      <w:r>
        <w:t>Kanda</w:t>
      </w:r>
      <w:proofErr w:type="spellEnd"/>
      <w:r>
        <w:t xml:space="preserve"> H. &amp; </w:t>
      </w:r>
      <w:proofErr w:type="spellStart"/>
      <w:r>
        <w:t>Notomi</w:t>
      </w:r>
      <w:proofErr w:type="spellEnd"/>
      <w:r>
        <w:t xml:space="preserve"> T. 2008. </w:t>
      </w:r>
      <w:r w:rsidRPr="00223662">
        <w:rPr>
          <w:lang w:val="en-US"/>
        </w:rPr>
        <w:t xml:space="preserve">Loop-mediated isothermal amplification (LAMP) of gene sequences and simple visual detection of products. </w:t>
      </w:r>
      <w:r>
        <w:rPr>
          <w:i/>
        </w:rPr>
        <w:t xml:space="preserve">Nature </w:t>
      </w:r>
      <w:proofErr w:type="spellStart"/>
      <w:r>
        <w:rPr>
          <w:i/>
        </w:rPr>
        <w:t>Protocols</w:t>
      </w:r>
      <w:proofErr w:type="spellEnd"/>
      <w:r>
        <w:rPr>
          <w:i/>
        </w:rPr>
        <w:t xml:space="preserve"> </w:t>
      </w:r>
      <w:r>
        <w:t xml:space="preserve">3 (5): 877–882. </w:t>
      </w:r>
      <w:hyperlink r:id="rId132">
        <w:r>
          <w:rPr>
            <w:color w:val="4169E1"/>
          </w:rPr>
          <w:t xml:space="preserve">https://doi.org/10.1 </w:t>
        </w:r>
      </w:hyperlink>
      <w:hyperlink r:id="rId133">
        <w:r>
          <w:rPr>
            <w:color w:val="4169E1"/>
          </w:rPr>
          <w:t>038/nprot.2008.57</w:t>
        </w:r>
      </w:hyperlink>
    </w:p>
    <w:p w14:paraId="26EAF067" w14:textId="77777777" w:rsidR="008C7A05" w:rsidRDefault="00866A07">
      <w:pPr>
        <w:spacing w:after="50" w:line="259" w:lineRule="auto"/>
        <w:ind w:left="17" w:right="4"/>
      </w:pPr>
      <w:proofErr w:type="spellStart"/>
      <w:r>
        <w:t>Uyeki</w:t>
      </w:r>
      <w:proofErr w:type="spellEnd"/>
      <w:r>
        <w:t xml:space="preserve"> T.M., Bernstein H.H., Bradley J.S., </w:t>
      </w:r>
      <w:proofErr w:type="spellStart"/>
      <w:r>
        <w:t>Englund</w:t>
      </w:r>
      <w:proofErr w:type="spellEnd"/>
      <w:r>
        <w:t xml:space="preserve"> J.A., File T.M., F</w:t>
      </w:r>
      <w:r>
        <w:t xml:space="preserve">ry A.M., </w:t>
      </w:r>
      <w:proofErr w:type="spellStart"/>
      <w:r>
        <w:t>Gravenstein</w:t>
      </w:r>
      <w:proofErr w:type="spellEnd"/>
      <w:r>
        <w:t xml:space="preserve"> S., Hayden</w:t>
      </w:r>
    </w:p>
    <w:p w14:paraId="1E1577E9" w14:textId="77777777" w:rsidR="008C7A05" w:rsidRDefault="00866A07">
      <w:pPr>
        <w:ind w:left="331" w:right="4"/>
      </w:pPr>
      <w:r>
        <w:t xml:space="preserve">F.G., Harper S.A., </w:t>
      </w:r>
      <w:proofErr w:type="spellStart"/>
      <w:r>
        <w:t>Hirshon</w:t>
      </w:r>
      <w:proofErr w:type="spellEnd"/>
      <w:r>
        <w:t xml:space="preserve"> J.M., </w:t>
      </w:r>
      <w:proofErr w:type="spellStart"/>
      <w:r>
        <w:t>Ison</w:t>
      </w:r>
      <w:proofErr w:type="spellEnd"/>
      <w:r>
        <w:t xml:space="preserve"> M.G., Johnston B.L., Knight S.L., </w:t>
      </w:r>
      <w:proofErr w:type="spellStart"/>
      <w:r>
        <w:t>McGeer</w:t>
      </w:r>
      <w:proofErr w:type="spellEnd"/>
      <w:r>
        <w:t xml:space="preserve"> A., Riley L.E., Wolfe C.R., Alexander P.E. &amp; Pavia A.T. 2018. </w:t>
      </w:r>
      <w:r w:rsidRPr="00223662">
        <w:rPr>
          <w:lang w:val="en-US"/>
        </w:rPr>
        <w:t xml:space="preserve">Clinical practice guidelines by the infectious </w:t>
      </w:r>
      <w:proofErr w:type="gramStart"/>
      <w:r w:rsidRPr="00223662">
        <w:rPr>
          <w:lang w:val="en-US"/>
        </w:rPr>
        <w:t>diseases</w:t>
      </w:r>
      <w:proofErr w:type="gramEnd"/>
      <w:r w:rsidRPr="00223662">
        <w:rPr>
          <w:lang w:val="en-US"/>
        </w:rPr>
        <w:t xml:space="preserve"> society of </w:t>
      </w:r>
      <w:proofErr w:type="spellStart"/>
      <w:r w:rsidRPr="00223662">
        <w:rPr>
          <w:lang w:val="en-US"/>
        </w:rPr>
        <w:t>america</w:t>
      </w:r>
      <w:proofErr w:type="spellEnd"/>
      <w:r w:rsidRPr="00223662">
        <w:rPr>
          <w:lang w:val="en-US"/>
        </w:rPr>
        <w:t>: 2018 up</w:t>
      </w:r>
      <w:r w:rsidRPr="00223662">
        <w:rPr>
          <w:lang w:val="en-US"/>
        </w:rPr>
        <w:t xml:space="preserve">date on diagnosis, treatment, chemoprophylaxis, and institutional outbreak management of seasonal </w:t>
      </w:r>
      <w:proofErr w:type="spellStart"/>
      <w:r w:rsidRPr="00223662">
        <w:rPr>
          <w:lang w:val="en-US"/>
        </w:rPr>
        <w:t>influenzaa</w:t>
      </w:r>
      <w:proofErr w:type="spellEnd"/>
      <w:r w:rsidRPr="00223662">
        <w:rPr>
          <w:lang w:val="en-US"/>
        </w:rPr>
        <w:t xml:space="preserve">. </w:t>
      </w:r>
      <w:r>
        <w:rPr>
          <w:i/>
        </w:rPr>
        <w:t xml:space="preserve">Clinical </w:t>
      </w:r>
      <w:proofErr w:type="spellStart"/>
      <w:r>
        <w:rPr>
          <w:i/>
        </w:rPr>
        <w:t>Infectious</w:t>
      </w:r>
      <w:proofErr w:type="spellEnd"/>
      <w:r>
        <w:rPr>
          <w:i/>
        </w:rPr>
        <w:t xml:space="preserve"> </w:t>
      </w:r>
      <w:proofErr w:type="spellStart"/>
      <w:r>
        <w:rPr>
          <w:i/>
        </w:rPr>
        <w:t>Diseases</w:t>
      </w:r>
      <w:proofErr w:type="spellEnd"/>
      <w:r>
        <w:rPr>
          <w:i/>
        </w:rPr>
        <w:t xml:space="preserve"> </w:t>
      </w:r>
      <w:r>
        <w:t xml:space="preserve">68 (6): e1–e47. </w:t>
      </w:r>
      <w:hyperlink r:id="rId134">
        <w:r>
          <w:rPr>
            <w:color w:val="4169E1"/>
          </w:rPr>
          <w:t>https://doi.org/10.1093/cid/ciy866</w:t>
        </w:r>
      </w:hyperlink>
    </w:p>
    <w:p w14:paraId="38A5ECFA" w14:textId="77777777" w:rsidR="008C7A05" w:rsidRDefault="00866A07">
      <w:pPr>
        <w:ind w:left="314" w:right="4" w:hanging="299"/>
      </w:pPr>
      <w:proofErr w:type="spellStart"/>
      <w:r w:rsidRPr="00223662">
        <w:rPr>
          <w:lang w:val="en-US"/>
        </w:rPr>
        <w:t>Uyeki</w:t>
      </w:r>
      <w:proofErr w:type="spellEnd"/>
      <w:r w:rsidRPr="00223662">
        <w:rPr>
          <w:lang w:val="en-US"/>
        </w:rPr>
        <w:t xml:space="preserve"> T.M., Hui D.S., </w:t>
      </w:r>
      <w:proofErr w:type="spellStart"/>
      <w:r w:rsidRPr="00223662">
        <w:rPr>
          <w:lang w:val="en-US"/>
        </w:rPr>
        <w:t>Zambon</w:t>
      </w:r>
      <w:proofErr w:type="spellEnd"/>
      <w:r w:rsidRPr="00223662">
        <w:rPr>
          <w:lang w:val="en-US"/>
        </w:rPr>
        <w:t xml:space="preserve"> M., Wentworth D.E. &amp; Monto A.S. 2022. </w:t>
      </w:r>
      <w:r>
        <w:t xml:space="preserve">Influenza. </w:t>
      </w:r>
      <w:r>
        <w:rPr>
          <w:i/>
        </w:rPr>
        <w:t xml:space="preserve">The Lancet </w:t>
      </w:r>
      <w:r>
        <w:t xml:space="preserve">400 (10353): 693–706. </w:t>
      </w:r>
      <w:hyperlink r:id="rId135">
        <w:r>
          <w:rPr>
            <w:color w:val="4169E1"/>
          </w:rPr>
          <w:t>https://doi.org/10.1016/s0140-6736(22)00982-5</w:t>
        </w:r>
      </w:hyperlink>
    </w:p>
    <w:p w14:paraId="508109A9" w14:textId="77777777" w:rsidR="008C7A05" w:rsidRPr="00223662" w:rsidRDefault="00866A07">
      <w:pPr>
        <w:spacing w:after="52" w:line="259" w:lineRule="auto"/>
        <w:ind w:left="17" w:right="4"/>
        <w:rPr>
          <w:lang w:val="en-US"/>
        </w:rPr>
      </w:pPr>
      <w:r w:rsidRPr="00223662">
        <w:rPr>
          <w:lang w:val="en-US"/>
        </w:rPr>
        <w:t xml:space="preserve">Valera E., </w:t>
      </w:r>
      <w:proofErr w:type="spellStart"/>
      <w:r w:rsidRPr="00223662">
        <w:rPr>
          <w:lang w:val="en-US"/>
        </w:rPr>
        <w:t>Jankelow</w:t>
      </w:r>
      <w:proofErr w:type="spellEnd"/>
      <w:r w:rsidRPr="00223662">
        <w:rPr>
          <w:lang w:val="en-US"/>
        </w:rPr>
        <w:t xml:space="preserve"> A., Lim J., </w:t>
      </w:r>
      <w:proofErr w:type="spellStart"/>
      <w:r w:rsidRPr="00223662">
        <w:rPr>
          <w:lang w:val="en-US"/>
        </w:rPr>
        <w:t>Kindratenko</w:t>
      </w:r>
      <w:proofErr w:type="spellEnd"/>
      <w:r w:rsidRPr="00223662">
        <w:rPr>
          <w:lang w:val="en-US"/>
        </w:rPr>
        <w:t xml:space="preserve"> V., Ganguli A., White K., Kumar J. &amp; Bashir R. 2021. COVID-</w:t>
      </w:r>
    </w:p>
    <w:p w14:paraId="015C863E" w14:textId="77777777" w:rsidR="008C7A05" w:rsidRPr="00223662" w:rsidRDefault="00866A07">
      <w:pPr>
        <w:ind w:left="321" w:right="4"/>
        <w:rPr>
          <w:lang w:val="en-US"/>
        </w:rPr>
      </w:pPr>
      <w:r w:rsidRPr="00223662">
        <w:rPr>
          <w:lang w:val="en-US"/>
        </w:rPr>
        <w:t xml:space="preserve">19 point-of-care diagnostics: Present and future. </w:t>
      </w:r>
      <w:r w:rsidRPr="00223662">
        <w:rPr>
          <w:i/>
          <w:lang w:val="en-US"/>
        </w:rPr>
        <w:t xml:space="preserve">ACS Nano </w:t>
      </w:r>
      <w:r w:rsidRPr="00223662">
        <w:rPr>
          <w:lang w:val="en-US"/>
        </w:rPr>
        <w:t xml:space="preserve">15 (5): 7899–7906. </w:t>
      </w:r>
      <w:hyperlink r:id="rId136">
        <w:r w:rsidRPr="00223662">
          <w:rPr>
            <w:color w:val="4169E1"/>
            <w:lang w:val="en-US"/>
          </w:rPr>
          <w:t xml:space="preserve">https://doi.org/10.1021/ </w:t>
        </w:r>
      </w:hyperlink>
      <w:hyperlink r:id="rId137">
        <w:r w:rsidRPr="00223662">
          <w:rPr>
            <w:color w:val="4169E1"/>
            <w:lang w:val="en-US"/>
          </w:rPr>
          <w:t>acsnano.1c02981</w:t>
        </w:r>
      </w:hyperlink>
    </w:p>
    <w:p w14:paraId="5596B6F0" w14:textId="77777777" w:rsidR="008C7A05" w:rsidRPr="00223662" w:rsidRDefault="00866A07">
      <w:pPr>
        <w:ind w:left="321" w:right="4" w:hanging="306"/>
        <w:rPr>
          <w:lang w:val="en-US"/>
        </w:rPr>
      </w:pPr>
      <w:proofErr w:type="spellStart"/>
      <w:r w:rsidRPr="00223662">
        <w:rPr>
          <w:lang w:val="en-US"/>
        </w:rPr>
        <w:t>Vasin</w:t>
      </w:r>
      <w:proofErr w:type="spellEnd"/>
      <w:r w:rsidRPr="00223662">
        <w:rPr>
          <w:lang w:val="en-US"/>
        </w:rPr>
        <w:t xml:space="preserve"> A.V., </w:t>
      </w:r>
      <w:proofErr w:type="spellStart"/>
      <w:r w:rsidRPr="00223662">
        <w:rPr>
          <w:lang w:val="en-US"/>
        </w:rPr>
        <w:t>Temkina</w:t>
      </w:r>
      <w:proofErr w:type="spellEnd"/>
      <w:r w:rsidRPr="00223662">
        <w:rPr>
          <w:lang w:val="en-US"/>
        </w:rPr>
        <w:t xml:space="preserve"> O.A., Egorov V.V., </w:t>
      </w:r>
      <w:proofErr w:type="spellStart"/>
      <w:r w:rsidRPr="00223662">
        <w:rPr>
          <w:lang w:val="en-US"/>
        </w:rPr>
        <w:t>Klotchenko</w:t>
      </w:r>
      <w:proofErr w:type="spellEnd"/>
      <w:r w:rsidRPr="00223662">
        <w:rPr>
          <w:lang w:val="en-US"/>
        </w:rPr>
        <w:t xml:space="preserve"> S.A., </w:t>
      </w:r>
      <w:proofErr w:type="spellStart"/>
      <w:r w:rsidRPr="00223662">
        <w:rPr>
          <w:lang w:val="en-US"/>
        </w:rPr>
        <w:t>Plotnikova</w:t>
      </w:r>
      <w:proofErr w:type="spellEnd"/>
      <w:r w:rsidRPr="00223662">
        <w:rPr>
          <w:lang w:val="en-US"/>
        </w:rPr>
        <w:t xml:space="preserve"> M.A. &amp; Kiselev </w:t>
      </w:r>
      <w:r w:rsidRPr="00223662">
        <w:rPr>
          <w:lang w:val="en-US"/>
        </w:rPr>
        <w:t xml:space="preserve">O.I. 2014. Molecular mechanisms enhancing the proteome of influenza a </w:t>
      </w:r>
      <w:proofErr w:type="gramStart"/>
      <w:r w:rsidRPr="00223662">
        <w:rPr>
          <w:lang w:val="en-US"/>
        </w:rPr>
        <w:t>viruses</w:t>
      </w:r>
      <w:proofErr w:type="gramEnd"/>
      <w:r w:rsidRPr="00223662">
        <w:rPr>
          <w:lang w:val="en-US"/>
        </w:rPr>
        <w:t>: An overview of recently discovered proteins.</w:t>
      </w:r>
    </w:p>
    <w:p w14:paraId="11F4FACB" w14:textId="77777777" w:rsidR="008C7A05" w:rsidRPr="00223662" w:rsidRDefault="00866A07">
      <w:pPr>
        <w:spacing w:after="175" w:line="265" w:lineRule="auto"/>
        <w:ind w:left="324" w:right="0" w:hanging="10"/>
        <w:jc w:val="left"/>
        <w:rPr>
          <w:lang w:val="en-US"/>
        </w:rPr>
      </w:pPr>
      <w:r w:rsidRPr="00223662">
        <w:rPr>
          <w:i/>
          <w:lang w:val="en-US"/>
        </w:rPr>
        <w:t xml:space="preserve">Virus Research </w:t>
      </w:r>
      <w:r w:rsidRPr="00223662">
        <w:rPr>
          <w:lang w:val="en-US"/>
        </w:rPr>
        <w:t xml:space="preserve">185: 53–63. </w:t>
      </w:r>
      <w:hyperlink r:id="rId138">
        <w:r w:rsidRPr="00223662">
          <w:rPr>
            <w:color w:val="4169E1"/>
            <w:lang w:val="en-US"/>
          </w:rPr>
          <w:t>https://doi.org/10.1016/j.virusres.2014.03.015</w:t>
        </w:r>
      </w:hyperlink>
    </w:p>
    <w:p w14:paraId="7E46085F" w14:textId="77777777" w:rsidR="008C7A05" w:rsidRPr="00223662" w:rsidRDefault="00866A07">
      <w:pPr>
        <w:spacing w:after="52" w:line="259" w:lineRule="auto"/>
        <w:ind w:left="17" w:right="4"/>
        <w:rPr>
          <w:lang w:val="en-US"/>
        </w:rPr>
      </w:pPr>
      <w:proofErr w:type="spellStart"/>
      <w:r w:rsidRPr="00223662">
        <w:rPr>
          <w:lang w:val="en-US"/>
        </w:rPr>
        <w:t>Velthuis</w:t>
      </w:r>
      <w:proofErr w:type="spellEnd"/>
      <w:r w:rsidRPr="00223662">
        <w:rPr>
          <w:lang w:val="en-US"/>
        </w:rPr>
        <w:t xml:space="preserve"> A.J.W. </w:t>
      </w:r>
      <w:proofErr w:type="spellStart"/>
      <w:r w:rsidRPr="00223662">
        <w:rPr>
          <w:lang w:val="en-US"/>
        </w:rPr>
        <w:t>te</w:t>
      </w:r>
      <w:proofErr w:type="spellEnd"/>
      <w:r w:rsidRPr="00223662">
        <w:rPr>
          <w:lang w:val="en-US"/>
        </w:rPr>
        <w:t xml:space="preserve"> &amp; Fodor E. 2016. Influenza virus RNA polymerase: Insights into the mechanisms of viral</w:t>
      </w:r>
    </w:p>
    <w:p w14:paraId="5FBC216A" w14:textId="77777777" w:rsidR="008C7A05" w:rsidRDefault="00866A07">
      <w:pPr>
        <w:spacing w:after="175" w:line="265" w:lineRule="auto"/>
        <w:ind w:left="324" w:right="0" w:hanging="10"/>
        <w:jc w:val="left"/>
      </w:pPr>
      <w:r w:rsidRPr="00223662">
        <w:rPr>
          <w:lang w:val="en-US"/>
        </w:rPr>
        <w:t xml:space="preserve">RNA synthesis. </w:t>
      </w:r>
      <w:r w:rsidRPr="00223662">
        <w:rPr>
          <w:i/>
          <w:lang w:val="en-US"/>
        </w:rPr>
        <w:t xml:space="preserve">Nature Reviews Microbiology </w:t>
      </w:r>
      <w:r w:rsidRPr="00223662">
        <w:rPr>
          <w:lang w:val="en-US"/>
        </w:rPr>
        <w:t xml:space="preserve">14 (8): 479–493. </w:t>
      </w:r>
      <w:hyperlink r:id="rId139">
        <w:r>
          <w:rPr>
            <w:color w:val="4169E1"/>
          </w:rPr>
          <w:t>https://doi.org/10.1038/nrmicro.2</w:t>
        </w:r>
        <w:r>
          <w:rPr>
            <w:color w:val="4169E1"/>
          </w:rPr>
          <w:t>016.87</w:t>
        </w:r>
      </w:hyperlink>
    </w:p>
    <w:p w14:paraId="4F5AD7EB" w14:textId="77777777" w:rsidR="008C7A05" w:rsidRDefault="00866A07">
      <w:pPr>
        <w:ind w:left="321" w:right="4" w:hanging="306"/>
      </w:pPr>
      <w:proofErr w:type="spellStart"/>
      <w:r>
        <w:t>Vemula</w:t>
      </w:r>
      <w:proofErr w:type="spellEnd"/>
      <w:r>
        <w:t xml:space="preserve"> S., Zhao J., Liu J., Wang X., Biswas S. &amp; Hewlett I. 2016. </w:t>
      </w:r>
      <w:r w:rsidRPr="00223662">
        <w:rPr>
          <w:lang w:val="en-US"/>
        </w:rPr>
        <w:t xml:space="preserve">Current approaches for diagnosis of influenza virus infections in humans. </w:t>
      </w:r>
      <w:proofErr w:type="spellStart"/>
      <w:r>
        <w:rPr>
          <w:i/>
        </w:rPr>
        <w:t>Viruses</w:t>
      </w:r>
      <w:proofErr w:type="spellEnd"/>
      <w:r>
        <w:rPr>
          <w:i/>
        </w:rPr>
        <w:t xml:space="preserve"> </w:t>
      </w:r>
      <w:r>
        <w:t xml:space="preserve">8 (4): 96. </w:t>
      </w:r>
      <w:hyperlink r:id="rId140">
        <w:r>
          <w:rPr>
            <w:color w:val="4169E1"/>
          </w:rPr>
          <w:t>https</w:t>
        </w:r>
        <w:r>
          <w:rPr>
            <w:color w:val="4169E1"/>
          </w:rPr>
          <w:t>://doi.org/10.3390/v8040096</w:t>
        </w:r>
      </w:hyperlink>
    </w:p>
    <w:p w14:paraId="6B1A283D" w14:textId="77777777" w:rsidR="008C7A05" w:rsidRPr="00223662" w:rsidRDefault="00866A07">
      <w:pPr>
        <w:spacing w:after="61" w:line="259" w:lineRule="auto"/>
        <w:ind w:left="17" w:right="4"/>
        <w:rPr>
          <w:lang w:val="en-US"/>
        </w:rPr>
      </w:pPr>
      <w:r w:rsidRPr="00223662">
        <w:rPr>
          <w:lang w:val="en-US"/>
        </w:rPr>
        <w:t xml:space="preserve">Whitley R.J. 2007. The role of oseltamivir in the treatment and prevention of influenza in children. </w:t>
      </w:r>
      <w:r w:rsidRPr="00223662">
        <w:rPr>
          <w:i/>
          <w:lang w:val="en-US"/>
        </w:rPr>
        <w:t>Expert</w:t>
      </w:r>
    </w:p>
    <w:p w14:paraId="65868C24" w14:textId="77777777" w:rsidR="008C7A05" w:rsidRPr="00223662" w:rsidRDefault="00866A07">
      <w:pPr>
        <w:spacing w:after="179" w:line="259" w:lineRule="auto"/>
        <w:ind w:left="324" w:right="0" w:hanging="10"/>
        <w:jc w:val="left"/>
        <w:rPr>
          <w:lang w:val="en-US"/>
        </w:rPr>
      </w:pPr>
      <w:r w:rsidRPr="00223662">
        <w:rPr>
          <w:i/>
          <w:lang w:val="en-US"/>
        </w:rPr>
        <w:t>Opinion on Drug Metabolism &amp;amp</w:t>
      </w:r>
      <w:r w:rsidRPr="00223662">
        <w:rPr>
          <w:lang w:val="en-US"/>
        </w:rPr>
        <w:t xml:space="preserve">; </w:t>
      </w:r>
      <w:r w:rsidRPr="00223662">
        <w:rPr>
          <w:i/>
          <w:lang w:val="en-US"/>
        </w:rPr>
        <w:t xml:space="preserve">Toxicology </w:t>
      </w:r>
      <w:r w:rsidRPr="00223662">
        <w:rPr>
          <w:lang w:val="en-US"/>
        </w:rPr>
        <w:t xml:space="preserve">3 (5): 755–767. </w:t>
      </w:r>
      <w:hyperlink r:id="rId141">
        <w:r w:rsidRPr="00223662">
          <w:rPr>
            <w:color w:val="4169E1"/>
            <w:lang w:val="en-US"/>
          </w:rPr>
          <w:t>https://doi.org/10.1517/17425255.3.5.755</w:t>
        </w:r>
      </w:hyperlink>
    </w:p>
    <w:p w14:paraId="75BB3524" w14:textId="77777777" w:rsidR="008C7A05" w:rsidRDefault="00866A07">
      <w:pPr>
        <w:ind w:left="324" w:right="4" w:hanging="309"/>
      </w:pPr>
      <w:r>
        <w:t xml:space="preserve">Wood G.S., </w:t>
      </w:r>
      <w:proofErr w:type="spellStart"/>
      <w:r>
        <w:t>Tung</w:t>
      </w:r>
      <w:proofErr w:type="spellEnd"/>
      <w:r>
        <w:t xml:space="preserve"> R.M., </w:t>
      </w:r>
      <w:proofErr w:type="spellStart"/>
      <w:r>
        <w:t>Heaffner</w:t>
      </w:r>
      <w:proofErr w:type="spellEnd"/>
      <w:r>
        <w:t xml:space="preserve"> A.C., Crooks C.F., Liao S., Orozco R., </w:t>
      </w:r>
      <w:proofErr w:type="spellStart"/>
      <w:r>
        <w:t>Veelken</w:t>
      </w:r>
      <w:proofErr w:type="spellEnd"/>
      <w:r>
        <w:t xml:space="preserve"> H., Kadin M.E., Koh H., </w:t>
      </w:r>
      <w:proofErr w:type="spellStart"/>
      <w:r>
        <w:t>Heald</w:t>
      </w:r>
      <w:proofErr w:type="spellEnd"/>
      <w:r>
        <w:t xml:space="preserve"> P., </w:t>
      </w:r>
      <w:proofErr w:type="spellStart"/>
      <w:r>
        <w:t>Barnhill</w:t>
      </w:r>
      <w:proofErr w:type="spellEnd"/>
      <w:r>
        <w:t xml:space="preserve"> R.L. &amp; </w:t>
      </w:r>
      <w:proofErr w:type="spellStart"/>
      <w:r>
        <w:t>Sklar</w:t>
      </w:r>
      <w:proofErr w:type="spellEnd"/>
      <w:r>
        <w:t xml:space="preserve"> J. 1994. </w:t>
      </w:r>
      <w:r w:rsidRPr="00223662">
        <w:rPr>
          <w:lang w:val="en-US"/>
        </w:rPr>
        <w:t>Det</w:t>
      </w:r>
      <w:r w:rsidRPr="00223662">
        <w:rPr>
          <w:lang w:val="en-US"/>
        </w:rPr>
        <w:t xml:space="preserve">ection of clonal t-cell receptor </w:t>
      </w:r>
      <w:r>
        <w:t>γ</w:t>
      </w:r>
      <w:r w:rsidRPr="00223662">
        <w:rPr>
          <w:lang w:val="en-US"/>
        </w:rPr>
        <w:t xml:space="preserve"> </w:t>
      </w:r>
      <w:r w:rsidRPr="00223662">
        <w:rPr>
          <w:lang w:val="en-US"/>
        </w:rPr>
        <w:t xml:space="preserve">gene rearrangements in early mycosis </w:t>
      </w:r>
      <w:r w:rsidRPr="00223662">
        <w:rPr>
          <w:lang w:val="en-US"/>
        </w:rPr>
        <w:lastRenderedPageBreak/>
        <w:t>fungoides/</w:t>
      </w:r>
      <w:proofErr w:type="spellStart"/>
      <w:r w:rsidRPr="00223662">
        <w:rPr>
          <w:lang w:val="en-US"/>
        </w:rPr>
        <w:t>sezary</w:t>
      </w:r>
      <w:proofErr w:type="spellEnd"/>
      <w:r w:rsidRPr="00223662">
        <w:rPr>
          <w:lang w:val="en-US"/>
        </w:rPr>
        <w:t xml:space="preserve"> syndrome by polymerase chain reaction and denaturing gradient gel electrophoresis (PCR/DGGE). </w:t>
      </w:r>
      <w:r>
        <w:rPr>
          <w:i/>
        </w:rPr>
        <w:t xml:space="preserve">Journal </w:t>
      </w:r>
      <w:proofErr w:type="spellStart"/>
      <w:r>
        <w:rPr>
          <w:i/>
        </w:rPr>
        <w:t>of</w:t>
      </w:r>
      <w:proofErr w:type="spellEnd"/>
      <w:r>
        <w:rPr>
          <w:i/>
        </w:rPr>
        <w:t xml:space="preserve"> Investigative </w:t>
      </w:r>
      <w:proofErr w:type="spellStart"/>
      <w:r>
        <w:rPr>
          <w:i/>
        </w:rPr>
        <w:t>Dermatology</w:t>
      </w:r>
      <w:proofErr w:type="spellEnd"/>
      <w:r>
        <w:rPr>
          <w:i/>
        </w:rPr>
        <w:t xml:space="preserve"> </w:t>
      </w:r>
      <w:r>
        <w:t xml:space="preserve">103 (1): 34–41. </w:t>
      </w:r>
      <w:hyperlink r:id="rId142">
        <w:r>
          <w:rPr>
            <w:color w:val="4169E1"/>
          </w:rPr>
          <w:t xml:space="preserve">https://doi.org/10 </w:t>
        </w:r>
      </w:hyperlink>
      <w:hyperlink r:id="rId143">
        <w:r>
          <w:rPr>
            <w:color w:val="4169E1"/>
          </w:rPr>
          <w:t>.1111/1523-1747.ep12389114</w:t>
        </w:r>
      </w:hyperlink>
    </w:p>
    <w:p w14:paraId="29F28DC8" w14:textId="77777777" w:rsidR="008C7A05" w:rsidRPr="00223662" w:rsidRDefault="00866A07">
      <w:pPr>
        <w:spacing w:after="61" w:line="259" w:lineRule="auto"/>
        <w:ind w:left="17" w:right="4"/>
        <w:rPr>
          <w:lang w:val="en-US"/>
        </w:rPr>
      </w:pPr>
      <w:proofErr w:type="spellStart"/>
      <w:r>
        <w:t>Woźniak-Kosek</w:t>
      </w:r>
      <w:proofErr w:type="spellEnd"/>
      <w:r>
        <w:t xml:space="preserve"> A H.G. </w:t>
      </w:r>
      <w:proofErr w:type="spellStart"/>
      <w:r>
        <w:t>Kempińska-Mir</w:t>
      </w:r>
      <w:r>
        <w:t>osławska</w:t>
      </w:r>
      <w:proofErr w:type="spellEnd"/>
      <w:r>
        <w:t xml:space="preserve"> B 2014. </w:t>
      </w:r>
      <w:r w:rsidRPr="00223662">
        <w:rPr>
          <w:color w:val="4169E1"/>
          <w:lang w:val="en-US"/>
        </w:rPr>
        <w:t>Detection of the influenza virus yesterday and now.</w:t>
      </w:r>
    </w:p>
    <w:p w14:paraId="5935F41E" w14:textId="77777777" w:rsidR="008C7A05" w:rsidRPr="00223662" w:rsidRDefault="00866A07">
      <w:pPr>
        <w:spacing w:after="179" w:line="259" w:lineRule="auto"/>
        <w:ind w:left="324" w:right="0" w:hanging="10"/>
        <w:jc w:val="left"/>
        <w:rPr>
          <w:lang w:val="en-US"/>
        </w:rPr>
      </w:pPr>
      <w:r w:rsidRPr="00223662">
        <w:rPr>
          <w:i/>
          <w:lang w:val="en-US"/>
        </w:rPr>
        <w:t xml:space="preserve">Acta </w:t>
      </w:r>
      <w:proofErr w:type="spellStart"/>
      <w:r w:rsidRPr="00223662">
        <w:rPr>
          <w:i/>
          <w:lang w:val="en-US"/>
        </w:rPr>
        <w:t>Biochimica</w:t>
      </w:r>
      <w:proofErr w:type="spellEnd"/>
      <w:r w:rsidRPr="00223662">
        <w:rPr>
          <w:i/>
          <w:lang w:val="en-US"/>
        </w:rPr>
        <w:t xml:space="preserve"> Polonica. </w:t>
      </w:r>
      <w:r w:rsidRPr="00223662">
        <w:rPr>
          <w:lang w:val="en-US"/>
        </w:rPr>
        <w:t>61(3): 465–470.</w:t>
      </w:r>
    </w:p>
    <w:p w14:paraId="05E30129" w14:textId="77777777" w:rsidR="008C7A05" w:rsidRPr="00223662" w:rsidRDefault="00866A07">
      <w:pPr>
        <w:ind w:left="303" w:right="4" w:hanging="288"/>
        <w:rPr>
          <w:lang w:val="en-US"/>
        </w:rPr>
      </w:pPr>
      <w:r w:rsidRPr="00223662">
        <w:rPr>
          <w:lang w:val="en-US"/>
        </w:rPr>
        <w:t xml:space="preserve">Yamanaka E.S., </w:t>
      </w:r>
      <w:proofErr w:type="spellStart"/>
      <w:r w:rsidRPr="00223662">
        <w:rPr>
          <w:lang w:val="en-US"/>
        </w:rPr>
        <w:t>Tortajada</w:t>
      </w:r>
      <w:proofErr w:type="spellEnd"/>
      <w:r w:rsidRPr="00223662">
        <w:rPr>
          <w:lang w:val="en-US"/>
        </w:rPr>
        <w:t xml:space="preserve">-Genaro L.A. &amp; </w:t>
      </w:r>
      <w:proofErr w:type="spellStart"/>
      <w:r w:rsidRPr="00223662">
        <w:rPr>
          <w:lang w:val="en-US"/>
        </w:rPr>
        <w:t>Maquieira</w:t>
      </w:r>
      <w:proofErr w:type="spellEnd"/>
      <w:r w:rsidRPr="00223662">
        <w:rPr>
          <w:lang w:val="en-US"/>
        </w:rPr>
        <w:t xml:space="preserve"> </w:t>
      </w:r>
      <w:proofErr w:type="spellStart"/>
      <w:r w:rsidRPr="00223662">
        <w:rPr>
          <w:lang w:val="en-US"/>
        </w:rPr>
        <w:t>Ángel</w:t>
      </w:r>
      <w:proofErr w:type="spellEnd"/>
      <w:r w:rsidRPr="00223662">
        <w:rPr>
          <w:lang w:val="en-US"/>
        </w:rPr>
        <w:t xml:space="preserve"> 2017. Low-cost genotyping method based on allele-specific recombinase polymerase amplifica</w:t>
      </w:r>
      <w:r w:rsidRPr="00223662">
        <w:rPr>
          <w:lang w:val="en-US"/>
        </w:rPr>
        <w:t xml:space="preserve">tion and colorimetric microarray detection. </w:t>
      </w:r>
      <w:proofErr w:type="spellStart"/>
      <w:r w:rsidRPr="00223662">
        <w:rPr>
          <w:i/>
          <w:lang w:val="en-US"/>
        </w:rPr>
        <w:t>Microchimica</w:t>
      </w:r>
      <w:proofErr w:type="spellEnd"/>
      <w:r w:rsidRPr="00223662">
        <w:rPr>
          <w:i/>
          <w:lang w:val="en-US"/>
        </w:rPr>
        <w:t xml:space="preserve"> Acta </w:t>
      </w:r>
      <w:r w:rsidRPr="00223662">
        <w:rPr>
          <w:lang w:val="en-US"/>
        </w:rPr>
        <w:t xml:space="preserve">184 (5): 1453–1462. </w:t>
      </w:r>
      <w:hyperlink r:id="rId144">
        <w:r w:rsidRPr="00223662">
          <w:rPr>
            <w:color w:val="4169E1"/>
            <w:lang w:val="en-US"/>
          </w:rPr>
          <w:t>https://doi.org/10.1007/s00604-017-2144-0</w:t>
        </w:r>
      </w:hyperlink>
    </w:p>
    <w:p w14:paraId="70B048B3" w14:textId="77777777" w:rsidR="008C7A05" w:rsidRPr="00223662" w:rsidRDefault="00866A07">
      <w:pPr>
        <w:ind w:left="311" w:right="4" w:hanging="296"/>
        <w:rPr>
          <w:lang w:val="en-US"/>
        </w:rPr>
      </w:pPr>
      <w:proofErr w:type="spellStart"/>
      <w:r w:rsidRPr="00223662">
        <w:rPr>
          <w:lang w:val="en-US"/>
        </w:rPr>
        <w:t>Yoo</w:t>
      </w:r>
      <w:proofErr w:type="spellEnd"/>
      <w:r w:rsidRPr="00223662">
        <w:rPr>
          <w:lang w:val="en-US"/>
        </w:rPr>
        <w:t xml:space="preserve"> H.M., Kim I.-H. &amp; Kim S. 2021. Nucleic acid testing of SARS-CoV-2. </w:t>
      </w:r>
      <w:r w:rsidRPr="00223662">
        <w:rPr>
          <w:i/>
          <w:lang w:val="en-US"/>
        </w:rPr>
        <w:t xml:space="preserve">International Journal of Molecular Sciences </w:t>
      </w:r>
      <w:r w:rsidRPr="00223662">
        <w:rPr>
          <w:lang w:val="en-US"/>
        </w:rPr>
        <w:t xml:space="preserve">22 (11): 6150. </w:t>
      </w:r>
      <w:hyperlink r:id="rId145">
        <w:r w:rsidRPr="00223662">
          <w:rPr>
            <w:color w:val="4169E1"/>
            <w:lang w:val="en-US"/>
          </w:rPr>
          <w:t>https://doi.org/10.3390/ijms22116150</w:t>
        </w:r>
      </w:hyperlink>
    </w:p>
    <w:p w14:paraId="35E1EDD2" w14:textId="77777777" w:rsidR="008C7A05" w:rsidRDefault="00866A07">
      <w:pPr>
        <w:ind w:left="321" w:right="4" w:hanging="306"/>
      </w:pPr>
      <w:proofErr w:type="spellStart"/>
      <w:r w:rsidRPr="00223662">
        <w:rPr>
          <w:lang w:val="en-US"/>
        </w:rPr>
        <w:t>Yoo</w:t>
      </w:r>
      <w:proofErr w:type="spellEnd"/>
      <w:r w:rsidRPr="00223662">
        <w:rPr>
          <w:lang w:val="en-US"/>
        </w:rPr>
        <w:t xml:space="preserve"> S.J., Kwon T. &amp; </w:t>
      </w:r>
      <w:proofErr w:type="spellStart"/>
      <w:r w:rsidRPr="00223662">
        <w:rPr>
          <w:lang w:val="en-US"/>
        </w:rPr>
        <w:t>Lyoo</w:t>
      </w:r>
      <w:proofErr w:type="spellEnd"/>
      <w:r w:rsidRPr="00223662">
        <w:rPr>
          <w:lang w:val="en-US"/>
        </w:rPr>
        <w:t xml:space="preserve"> Y.S. 2018. Challenges of influenza a </w:t>
      </w:r>
      <w:proofErr w:type="gramStart"/>
      <w:r w:rsidRPr="00223662">
        <w:rPr>
          <w:lang w:val="en-US"/>
        </w:rPr>
        <w:t>viruses</w:t>
      </w:r>
      <w:proofErr w:type="gramEnd"/>
      <w:r w:rsidRPr="00223662">
        <w:rPr>
          <w:lang w:val="en-US"/>
        </w:rPr>
        <w:t xml:space="preserve"> in humans and animals and current animal vaccines as an effective control measure. </w:t>
      </w:r>
      <w:r>
        <w:rPr>
          <w:i/>
        </w:rPr>
        <w:t xml:space="preserve">Clinical and Experimental Vaccine Research </w:t>
      </w:r>
      <w:r>
        <w:t xml:space="preserve">7 (1): 1. </w:t>
      </w:r>
      <w:hyperlink r:id="rId146">
        <w:r>
          <w:rPr>
            <w:color w:val="4169E1"/>
          </w:rPr>
          <w:t>https://doi.org/10.7774/cevr.2018.7.1.1</w:t>
        </w:r>
      </w:hyperlink>
    </w:p>
    <w:p w14:paraId="376D4F41" w14:textId="77777777" w:rsidR="008C7A05" w:rsidRPr="00223662" w:rsidRDefault="00866A07">
      <w:pPr>
        <w:ind w:left="309" w:right="4" w:hanging="294"/>
        <w:rPr>
          <w:lang w:val="en-US"/>
        </w:rPr>
      </w:pPr>
      <w:proofErr w:type="spellStart"/>
      <w:r w:rsidRPr="00223662">
        <w:rPr>
          <w:lang w:val="en-US"/>
        </w:rPr>
        <w:t>Zaraket</w:t>
      </w:r>
      <w:proofErr w:type="spellEnd"/>
      <w:r w:rsidRPr="00223662">
        <w:rPr>
          <w:lang w:val="en-US"/>
        </w:rPr>
        <w:t xml:space="preserve"> H., Hurt A.C., Clinch B., Barr I. &amp; Lee N. 2021. Burden of influenza b virus infection and considerations for clinical management.</w:t>
      </w:r>
      <w:r w:rsidRPr="00223662">
        <w:rPr>
          <w:lang w:val="en-US"/>
        </w:rPr>
        <w:t xml:space="preserve"> </w:t>
      </w:r>
      <w:r w:rsidRPr="00223662">
        <w:rPr>
          <w:i/>
          <w:lang w:val="en-US"/>
        </w:rPr>
        <w:t xml:space="preserve">Antiviral Research </w:t>
      </w:r>
      <w:r w:rsidRPr="00223662">
        <w:rPr>
          <w:lang w:val="en-US"/>
        </w:rPr>
        <w:t xml:space="preserve">185: 104970. </w:t>
      </w:r>
      <w:hyperlink r:id="rId147">
        <w:r w:rsidRPr="00223662">
          <w:rPr>
            <w:color w:val="4169E1"/>
            <w:lang w:val="en-US"/>
          </w:rPr>
          <w:t xml:space="preserve">https://doi.org/10.1016/j.antiviral.20 </w:t>
        </w:r>
      </w:hyperlink>
      <w:hyperlink r:id="rId148">
        <w:r w:rsidRPr="00223662">
          <w:rPr>
            <w:color w:val="4169E1"/>
            <w:lang w:val="en-US"/>
          </w:rPr>
          <w:t>20.104970</w:t>
        </w:r>
      </w:hyperlink>
    </w:p>
    <w:p w14:paraId="778652C4" w14:textId="77777777" w:rsidR="008C7A05" w:rsidRPr="00223662" w:rsidRDefault="00866A07">
      <w:pPr>
        <w:ind w:left="304" w:right="4" w:hanging="289"/>
        <w:rPr>
          <w:lang w:val="en-US"/>
        </w:rPr>
      </w:pPr>
      <w:r w:rsidRPr="00223662">
        <w:rPr>
          <w:lang w:val="en-US"/>
        </w:rPr>
        <w:t xml:space="preserve">Zhao Y., Chen F., Li Q., Wang L. &amp; Fan C. 2015. Isothermal amplification of nucleic acids. </w:t>
      </w:r>
      <w:r w:rsidRPr="00223662">
        <w:rPr>
          <w:i/>
          <w:lang w:val="en-US"/>
        </w:rPr>
        <w:t xml:space="preserve">Chemical Reviews </w:t>
      </w:r>
      <w:r w:rsidRPr="00223662">
        <w:rPr>
          <w:lang w:val="en-US"/>
        </w:rPr>
        <w:t xml:space="preserve">115 (22): 12491–12545. </w:t>
      </w:r>
      <w:hyperlink r:id="rId149">
        <w:r w:rsidRPr="00223662">
          <w:rPr>
            <w:color w:val="4169E1"/>
            <w:lang w:val="en-US"/>
          </w:rPr>
          <w:t>https://doi.org/10.1021/acs.chemrev.5b00428</w:t>
        </w:r>
      </w:hyperlink>
    </w:p>
    <w:p w14:paraId="77222774" w14:textId="77777777" w:rsidR="008C7A05" w:rsidRPr="00223662" w:rsidRDefault="00866A07">
      <w:pPr>
        <w:spacing w:after="52" w:line="259" w:lineRule="auto"/>
        <w:ind w:left="17" w:right="4"/>
        <w:rPr>
          <w:lang w:val="en-US"/>
        </w:rPr>
      </w:pPr>
      <w:r w:rsidRPr="00223662">
        <w:rPr>
          <w:lang w:val="en-US"/>
        </w:rPr>
        <w:t>Zhong J. &amp; Zhao X. 2018. Isothermal amplification technologies for the detection of foodborne pathogens.</w:t>
      </w:r>
    </w:p>
    <w:p w14:paraId="74508FE3" w14:textId="77777777" w:rsidR="008C7A05" w:rsidRPr="00223662" w:rsidRDefault="00866A07">
      <w:pPr>
        <w:spacing w:after="175" w:line="265" w:lineRule="auto"/>
        <w:ind w:left="324" w:right="0" w:hanging="10"/>
        <w:jc w:val="left"/>
        <w:rPr>
          <w:lang w:val="en-US"/>
        </w:rPr>
      </w:pPr>
      <w:r w:rsidRPr="00223662">
        <w:rPr>
          <w:i/>
          <w:lang w:val="en-US"/>
        </w:rPr>
        <w:t>Food Analytic</w:t>
      </w:r>
      <w:r w:rsidRPr="00223662">
        <w:rPr>
          <w:i/>
          <w:lang w:val="en-US"/>
        </w:rPr>
        <w:t xml:space="preserve">al Methods </w:t>
      </w:r>
      <w:r w:rsidRPr="00223662">
        <w:rPr>
          <w:lang w:val="en-US"/>
        </w:rPr>
        <w:t xml:space="preserve">11 (6): 1543–1560. </w:t>
      </w:r>
      <w:hyperlink r:id="rId150">
        <w:r w:rsidRPr="00223662">
          <w:rPr>
            <w:color w:val="4169E1"/>
            <w:lang w:val="en-US"/>
          </w:rPr>
          <w:t>https://doi.org/10.1007/s12161-018-1177-2</w:t>
        </w:r>
      </w:hyperlink>
    </w:p>
    <w:sectPr w:rsidR="008C7A05" w:rsidRPr="00223662">
      <w:footerReference w:type="even" r:id="rId151"/>
      <w:footerReference w:type="default" r:id="rId152"/>
      <w:footerReference w:type="first" r:id="rId153"/>
      <w:pgSz w:w="12240" w:h="15840"/>
      <w:pgMar w:top="1408" w:right="1401" w:bottom="1401" w:left="1410" w:header="72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3E60D" w14:textId="77777777" w:rsidR="00000000" w:rsidRDefault="00866A07">
      <w:pPr>
        <w:spacing w:after="0" w:line="240" w:lineRule="auto"/>
      </w:pPr>
      <w:r>
        <w:separator/>
      </w:r>
    </w:p>
  </w:endnote>
  <w:endnote w:type="continuationSeparator" w:id="0">
    <w:p w14:paraId="2A57D185" w14:textId="77777777" w:rsidR="00000000" w:rsidRDefault="00866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8360D" w14:textId="77777777" w:rsidR="008C7A05" w:rsidRDefault="00866A07">
    <w:pPr>
      <w:spacing w:after="0" w:line="259" w:lineRule="auto"/>
      <w:ind w:left="0" w:right="9"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1BE4" w14:textId="77777777" w:rsidR="008C7A05" w:rsidRDefault="00866A07">
    <w:pPr>
      <w:spacing w:after="0" w:line="259" w:lineRule="auto"/>
      <w:ind w:left="0" w:right="9"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F298A" w14:textId="77777777" w:rsidR="008C7A05" w:rsidRDefault="00866A07">
    <w:pPr>
      <w:spacing w:after="0" w:line="259" w:lineRule="auto"/>
      <w:ind w:left="0" w:right="9"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6F998" w14:textId="77777777" w:rsidR="00000000" w:rsidRDefault="00866A07">
      <w:pPr>
        <w:spacing w:after="0" w:line="240" w:lineRule="auto"/>
      </w:pPr>
      <w:r>
        <w:separator/>
      </w:r>
    </w:p>
  </w:footnote>
  <w:footnote w:type="continuationSeparator" w:id="0">
    <w:p w14:paraId="3800E9F3" w14:textId="77777777" w:rsidR="00000000" w:rsidRDefault="00866A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A05"/>
    <w:rsid w:val="00223662"/>
    <w:rsid w:val="00866A07"/>
    <w:rsid w:val="008C7A05"/>
    <w:rsid w:val="00F256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E396"/>
  <w15:docId w15:val="{8BE9B483-DC3E-4E53-8F48-4A8B4E96C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18" w:line="317" w:lineRule="auto"/>
      <w:ind w:left="32" w:right="6" w:hanging="2"/>
      <w:jc w:val="both"/>
    </w:pPr>
    <w:rPr>
      <w:rFonts w:ascii="Times New Roman" w:eastAsia="Times New Roman" w:hAnsi="Times New Roman" w:cs="Times New Roman"/>
      <w:color w:val="000000"/>
      <w:sz w:val="20"/>
    </w:rPr>
  </w:style>
  <w:style w:type="paragraph" w:styleId="berschrift1">
    <w:name w:val="heading 1"/>
    <w:next w:val="Standard"/>
    <w:link w:val="berschrift1Zchn"/>
    <w:uiPriority w:val="9"/>
    <w:qFormat/>
    <w:pPr>
      <w:keepNext/>
      <w:keepLines/>
      <w:spacing w:after="0"/>
      <w:ind w:left="40" w:hanging="10"/>
      <w:outlineLvl w:val="0"/>
    </w:pPr>
    <w:rPr>
      <w:rFonts w:ascii="Times New Roman" w:eastAsia="Times New Roman" w:hAnsi="Times New Roman" w:cs="Times New Roman"/>
      <w:b/>
      <w:color w:val="000000"/>
      <w:sz w:val="29"/>
    </w:rPr>
  </w:style>
  <w:style w:type="paragraph" w:styleId="berschrift2">
    <w:name w:val="heading 2"/>
    <w:next w:val="Standard"/>
    <w:link w:val="berschrift2Zchn"/>
    <w:uiPriority w:val="9"/>
    <w:unhideWhenUsed/>
    <w:qFormat/>
    <w:pPr>
      <w:keepNext/>
      <w:keepLines/>
      <w:spacing w:after="140"/>
      <w:ind w:left="40" w:hanging="10"/>
      <w:outlineLvl w:val="1"/>
    </w:pPr>
    <w:rPr>
      <w:rFonts w:ascii="Times New Roman" w:eastAsia="Times New Roman" w:hAnsi="Times New Roman" w:cs="Times New Roman"/>
      <w:b/>
      <w:color w:val="000000"/>
      <w:sz w:val="24"/>
    </w:rPr>
  </w:style>
  <w:style w:type="paragraph" w:styleId="berschrift3">
    <w:name w:val="heading 3"/>
    <w:next w:val="Standard"/>
    <w:link w:val="berschrift3Zchn"/>
    <w:uiPriority w:val="9"/>
    <w:unhideWhenUsed/>
    <w:qFormat/>
    <w:pPr>
      <w:keepNext/>
      <w:keepLines/>
      <w:spacing w:after="189"/>
      <w:ind w:left="40" w:hanging="10"/>
      <w:outlineLvl w:val="2"/>
    </w:pPr>
    <w:rPr>
      <w:rFonts w:ascii="Times New Roman" w:eastAsia="Times New Roman" w:hAnsi="Times New Roman" w:cs="Times New Roman"/>
      <w:b/>
      <w:color w:val="00000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Times New Roman" w:eastAsia="Times New Roman" w:hAnsi="Times New Roman" w:cs="Times New Roman"/>
      <w:b/>
      <w:color w:val="000000"/>
      <w:sz w:val="24"/>
    </w:rPr>
  </w:style>
  <w:style w:type="character" w:customStyle="1" w:styleId="berschrift1Zchn">
    <w:name w:val="Überschrift 1 Zchn"/>
    <w:link w:val="berschrift1"/>
    <w:rPr>
      <w:rFonts w:ascii="Times New Roman" w:eastAsia="Times New Roman" w:hAnsi="Times New Roman" w:cs="Times New Roman"/>
      <w:b/>
      <w:color w:val="000000"/>
      <w:sz w:val="29"/>
    </w:rPr>
  </w:style>
  <w:style w:type="character" w:customStyle="1" w:styleId="berschrift3Zchn">
    <w:name w:val="Überschrift 3 Zchn"/>
    <w:link w:val="berschrift3"/>
    <w:rPr>
      <w:rFonts w:ascii="Times New Roman" w:eastAsia="Times New Roman" w:hAnsi="Times New Roman" w:cs="Times New Roman"/>
      <w:b/>
      <w:color w:val="000000"/>
      <w:sz w:val="20"/>
    </w:rPr>
  </w:style>
  <w:style w:type="paragraph" w:styleId="Verzeichnis1">
    <w:name w:val="toc 1"/>
    <w:hidden/>
    <w:pPr>
      <w:spacing w:after="80"/>
      <w:ind w:left="20" w:right="15" w:hanging="5"/>
    </w:pPr>
    <w:rPr>
      <w:rFonts w:ascii="Calibri" w:eastAsia="Calibri" w:hAnsi="Calibri" w:cs="Calibri"/>
      <w:color w:val="000000"/>
    </w:rPr>
  </w:style>
  <w:style w:type="paragraph" w:styleId="Verzeichnis2">
    <w:name w:val="toc 2"/>
    <w:hidden/>
    <w:pPr>
      <w:ind w:left="15" w:right="15"/>
    </w:pPr>
    <w:rPr>
      <w:rFonts w:ascii="Calibri" w:eastAsia="Calibri" w:hAnsi="Calibri" w:cs="Calibri"/>
      <w:color w:val="000000"/>
    </w:rPr>
  </w:style>
  <w:style w:type="paragraph" w:styleId="Verzeichnis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677/jme.0.0250169" TargetMode="External"/><Relationship Id="rId117" Type="http://schemas.openxmlformats.org/officeDocument/2006/relationships/hyperlink" Target="https://doi.org/10.1016/j.ijbiomac.2021.11.016" TargetMode="External"/><Relationship Id="rId21" Type="http://schemas.openxmlformats.org/officeDocument/2006/relationships/hyperlink" Target="https://doi.org/10.1007/s12268-020-1458-3" TargetMode="External"/><Relationship Id="rId42" Type="http://schemas.openxmlformats.org/officeDocument/2006/relationships/hyperlink" Target="https://doi.org/10.1099/vir.0.042499-0" TargetMode="External"/><Relationship Id="rId47" Type="http://schemas.openxmlformats.org/officeDocument/2006/relationships/hyperlink" Target="https://doi.org/10.1073/pnas.87.5.1874" TargetMode="External"/><Relationship Id="rId63" Type="http://schemas.openxmlformats.org/officeDocument/2006/relationships/hyperlink" Target="https://doi.org/10.1002/jmv.26990" TargetMode="External"/><Relationship Id="rId68" Type="http://schemas.openxmlformats.org/officeDocument/2006/relationships/hyperlink" Target="https://doi.org/10.1089/vim.2017.0141" TargetMode="External"/><Relationship Id="rId84" Type="http://schemas.openxmlformats.org/officeDocument/2006/relationships/hyperlink" Target="https://doi.org/10.1002/jmv.20221" TargetMode="External"/><Relationship Id="rId89" Type="http://schemas.openxmlformats.org/officeDocument/2006/relationships/hyperlink" Target="https://doi.org/10.1128/jvi.02656-12" TargetMode="External"/><Relationship Id="rId112" Type="http://schemas.openxmlformats.org/officeDocument/2006/relationships/hyperlink" Target="https://doi.org/10.2217/fmb.15.65" TargetMode="External"/><Relationship Id="rId133" Type="http://schemas.openxmlformats.org/officeDocument/2006/relationships/hyperlink" Target="https://doi.org/10.1038/nprot.2008.57" TargetMode="External"/><Relationship Id="rId138" Type="http://schemas.openxmlformats.org/officeDocument/2006/relationships/hyperlink" Target="https://doi.org/10.1016/j.virusres.2014.03.015" TargetMode="External"/><Relationship Id="rId154" Type="http://schemas.openxmlformats.org/officeDocument/2006/relationships/fontTable" Target="fontTable.xml"/><Relationship Id="rId16" Type="http://schemas.openxmlformats.org/officeDocument/2006/relationships/hyperlink" Target="https://doi.org/10.1073/pnas.1321656111" TargetMode="External"/><Relationship Id="rId107" Type="http://schemas.openxmlformats.org/officeDocument/2006/relationships/hyperlink" Target="https://doi.org/10.1039/b509522k" TargetMode="External"/><Relationship Id="rId11" Type="http://schemas.openxmlformats.org/officeDocument/2006/relationships/image" Target="media/image6.jpg"/><Relationship Id="rId32" Type="http://schemas.openxmlformats.org/officeDocument/2006/relationships/hyperlink" Target="https://doi.org/10.1186/s13054-019-2491-9" TargetMode="External"/><Relationship Id="rId37" Type="http://schemas.openxmlformats.org/officeDocument/2006/relationships/hyperlink" Target="https://doi.org/10.1373/clinchem.2015.245829" TargetMode="External"/><Relationship Id="rId53" Type="http://schemas.openxmlformats.org/officeDocument/2006/relationships/hyperlink" Target="https://doi.org/10.3390/s20154182" TargetMode="External"/><Relationship Id="rId58" Type="http://schemas.openxmlformats.org/officeDocument/2006/relationships/hyperlink" Target="https://doi.org/10.1016/s0140-6736(17)33293-2" TargetMode="External"/><Relationship Id="rId74" Type="http://schemas.openxmlformats.org/officeDocument/2006/relationships/hyperlink" Target="https://doi.org/10.1016/j.trac.2017.10.015" TargetMode="External"/><Relationship Id="rId79" Type="http://schemas.openxmlformats.org/officeDocument/2006/relationships/hyperlink" Target="https://doi.org/10.1007/978-1-4614-0980-9_9" TargetMode="External"/><Relationship Id="rId102" Type="http://schemas.openxmlformats.org/officeDocument/2006/relationships/hyperlink" Target="https://doi.org/10.3390/bios12100857" TargetMode="External"/><Relationship Id="rId123" Type="http://schemas.openxmlformats.org/officeDocument/2006/relationships/hyperlink" Target="https://doi.org/10.3390/ijerph19053018" TargetMode="External"/><Relationship Id="rId128" Type="http://schemas.openxmlformats.org/officeDocument/2006/relationships/hyperlink" Target="https://2020.igem.org/Team:NOVA_LxPortugal/Experiments" TargetMode="External"/><Relationship Id="rId144" Type="http://schemas.openxmlformats.org/officeDocument/2006/relationships/hyperlink" Target="https://doi.org/10.1007/s00604-017-2144-0" TargetMode="External"/><Relationship Id="rId149" Type="http://schemas.openxmlformats.org/officeDocument/2006/relationships/hyperlink" Target="https://doi.org/10.1021/acs.chemrev.5b00428" TargetMode="External"/><Relationship Id="rId5" Type="http://schemas.openxmlformats.org/officeDocument/2006/relationships/endnotes" Target="endnotes.xml"/><Relationship Id="rId90" Type="http://schemas.openxmlformats.org/officeDocument/2006/relationships/hyperlink" Target="https://doi.org/10.1006/mcpr.2002.0415" TargetMode="External"/><Relationship Id="rId95" Type="http://schemas.openxmlformats.org/officeDocument/2006/relationships/hyperlink" Target="https://doi.org/10.3201/eid2503.181213" TargetMode="External"/><Relationship Id="rId22" Type="http://schemas.openxmlformats.org/officeDocument/2006/relationships/hyperlink" Target="https://doi.org/10.1128/mbio.00135-13" TargetMode="External"/><Relationship Id="rId27" Type="http://schemas.openxmlformats.org/officeDocument/2006/relationships/hyperlink" Target="https://doi.org/10.1677/jme.1.01755" TargetMode="External"/><Relationship Id="rId43" Type="http://schemas.openxmlformats.org/officeDocument/2006/relationships/hyperlink" Target="https://doi.org/10.1038/s41598-017-12012-3" TargetMode="External"/><Relationship Id="rId48" Type="http://schemas.openxmlformats.org/officeDocument/2006/relationships/hyperlink" Target="https://doi.org/10.1073/pnas.87.5.1874" TargetMode="External"/><Relationship Id="rId64" Type="http://schemas.openxmlformats.org/officeDocument/2006/relationships/hyperlink" Target="https://doi.org/10.1016/j.bios.2022.114109" TargetMode="External"/><Relationship Id="rId69" Type="http://schemas.openxmlformats.org/officeDocument/2006/relationships/hyperlink" Target="https://doi.org/10.1080/07391102.2018.1436089" TargetMode="External"/><Relationship Id="rId113" Type="http://schemas.openxmlformats.org/officeDocument/2006/relationships/hyperlink" Target="https://doi.org/10.1007/s00018-016-2299-6" TargetMode="External"/><Relationship Id="rId118" Type="http://schemas.openxmlformats.org/officeDocument/2006/relationships/hyperlink" Target="https://doi.org/10.1039/c3lc50129a" TargetMode="External"/><Relationship Id="rId134" Type="http://schemas.openxmlformats.org/officeDocument/2006/relationships/hyperlink" Target="https://doi.org/10.1093/cid/ciy866" TargetMode="External"/><Relationship Id="rId139" Type="http://schemas.openxmlformats.org/officeDocument/2006/relationships/hyperlink" Target="https://doi.org/10.1038/nrmicro.2016.87" TargetMode="External"/><Relationship Id="rId80" Type="http://schemas.openxmlformats.org/officeDocument/2006/relationships/hyperlink" Target="https://doi.org/10.3390/v10080407" TargetMode="External"/><Relationship Id="rId85" Type="http://schemas.openxmlformats.org/officeDocument/2006/relationships/hyperlink" Target="https://doi.org/10.1006/bbrc.2001.5921" TargetMode="External"/><Relationship Id="rId150" Type="http://schemas.openxmlformats.org/officeDocument/2006/relationships/hyperlink" Target="https://doi.org/10.1007/s12161-018-1177-2" TargetMode="External"/><Relationship Id="rId155" Type="http://schemas.openxmlformats.org/officeDocument/2006/relationships/theme" Target="theme/theme1.xml"/><Relationship Id="rId12" Type="http://schemas.openxmlformats.org/officeDocument/2006/relationships/hyperlink" Target="https://doi.org/10.1007/978-3-658-20624-6" TargetMode="External"/><Relationship Id="rId17" Type="http://schemas.openxmlformats.org/officeDocument/2006/relationships/hyperlink" Target="https://doi.org/10.1016/j.ab.2018.01.021" TargetMode="External"/><Relationship Id="rId25" Type="http://schemas.openxmlformats.org/officeDocument/2006/relationships/hyperlink" Target="https://doi.org/10.1677/jme.0.0250169" TargetMode="External"/><Relationship Id="rId33" Type="http://schemas.openxmlformats.org/officeDocument/2006/relationships/hyperlink" Target="https://doi.org/10.1038/350091a0" TargetMode="External"/><Relationship Id="rId38" Type="http://schemas.openxmlformats.org/officeDocument/2006/relationships/hyperlink" Target="https://doi.org/10.1373/clinchem.2015.245829" TargetMode="External"/><Relationship Id="rId46" Type="http://schemas.openxmlformats.org/officeDocument/2006/relationships/hyperlink" Target="https://doi.org/10.1177/0897190015587696" TargetMode="External"/><Relationship Id="rId59" Type="http://schemas.openxmlformats.org/officeDocument/2006/relationships/hyperlink" Target="https://doi.org/10.1128/jcm.41.6.2616-2622.2003" TargetMode="External"/><Relationship Id="rId67" Type="http://schemas.openxmlformats.org/officeDocument/2006/relationships/hyperlink" Target="https://doi.org/10.3349/ymj.2013.54.3.560" TargetMode="External"/><Relationship Id="rId103" Type="http://schemas.openxmlformats.org/officeDocument/2006/relationships/hyperlink" Target="https://doi.org/10.1016/s0042-6822(02)00083-1" TargetMode="External"/><Relationship Id="rId108" Type="http://schemas.openxmlformats.org/officeDocument/2006/relationships/hyperlink" Target="https://doi.org/10.1016/j.bios.2013.11.035" TargetMode="External"/><Relationship Id="rId116" Type="http://schemas.openxmlformats.org/officeDocument/2006/relationships/hyperlink" Target="https://doi.org/10.1016/j.ijbiomac.2021.11.016" TargetMode="External"/><Relationship Id="rId124" Type="http://schemas.openxmlformats.org/officeDocument/2006/relationships/hyperlink" Target="https://doi.org/10.3390/ijerph19053018" TargetMode="External"/><Relationship Id="rId129" Type="http://schemas.openxmlformats.org/officeDocument/2006/relationships/hyperlink" Target="https://doi.org/10.1016/bs.apcsb.2015.12.003" TargetMode="External"/><Relationship Id="rId137" Type="http://schemas.openxmlformats.org/officeDocument/2006/relationships/hyperlink" Target="https://doi.org/10.1021/acsnano.1c02981" TargetMode="External"/><Relationship Id="rId20" Type="http://schemas.openxmlformats.org/officeDocument/2006/relationships/hyperlink" Target="https://doi.org/10.1007/s11427-021-1964-4" TargetMode="External"/><Relationship Id="rId41" Type="http://schemas.openxmlformats.org/officeDocument/2006/relationships/hyperlink" Target="https://doi.org/10.1007/s12098-020-03214-1" TargetMode="External"/><Relationship Id="rId54" Type="http://schemas.openxmlformats.org/officeDocument/2006/relationships/hyperlink" Target="https://doi.org/10.1093/bioinformatics/bty701" TargetMode="External"/><Relationship Id="rId62" Type="http://schemas.openxmlformats.org/officeDocument/2006/relationships/hyperlink" Target="https://doi.org/10.1002/jmv.26990" TargetMode="External"/><Relationship Id="rId70" Type="http://schemas.openxmlformats.org/officeDocument/2006/relationships/hyperlink" Target="https://doi.org/10.2217/fmb.15.120" TargetMode="External"/><Relationship Id="rId75" Type="http://schemas.openxmlformats.org/officeDocument/2006/relationships/hyperlink" Target="https://doi.org/10.1097/dmp.0b013e3181be6dc4" TargetMode="External"/><Relationship Id="rId83" Type="http://schemas.openxmlformats.org/officeDocument/2006/relationships/hyperlink" Target="https://doi.org/10.1007/978-3-8274-2241-5" TargetMode="External"/><Relationship Id="rId88" Type="http://schemas.openxmlformats.org/officeDocument/2006/relationships/hyperlink" Target="https://doi.org/10.1128/jvi.02656-12" TargetMode="External"/><Relationship Id="rId91" Type="http://schemas.openxmlformats.org/officeDocument/2006/relationships/hyperlink" Target="https://doi.org/10.1006/mcpr.2002.0415" TargetMode="External"/><Relationship Id="rId96" Type="http://schemas.openxmlformats.org/officeDocument/2006/relationships/hyperlink" Target="https://doi.org/10.1093/nar/28.12.e63" TargetMode="External"/><Relationship Id="rId111" Type="http://schemas.openxmlformats.org/officeDocument/2006/relationships/hyperlink" Target="https://www.rki.de/DE/Content/Infekt/Jahrbuch/Jahrbuch_2018.pdf?__blob=publicationFile" TargetMode="External"/><Relationship Id="rId132" Type="http://schemas.openxmlformats.org/officeDocument/2006/relationships/hyperlink" Target="https://doi.org/10.1038/nprot.2008.57" TargetMode="External"/><Relationship Id="rId140" Type="http://schemas.openxmlformats.org/officeDocument/2006/relationships/hyperlink" Target="https://doi.org/10.3390/v8040096" TargetMode="External"/><Relationship Id="rId145" Type="http://schemas.openxmlformats.org/officeDocument/2006/relationships/hyperlink" Target="https://doi.org/10.3390/ijms22116150" TargetMode="External"/><Relationship Id="rId153"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hyperlink" Target="https://doi.org/10.3390/biology9080182" TargetMode="External"/><Relationship Id="rId23" Type="http://schemas.openxmlformats.org/officeDocument/2006/relationships/hyperlink" Target="https://doi.org/10.1016/j.jinf.2015.07.008" TargetMode="External"/><Relationship Id="rId28" Type="http://schemas.openxmlformats.org/officeDocument/2006/relationships/hyperlink" Target="https://doi.org/10.1056/nejmp078013" TargetMode="External"/><Relationship Id="rId36" Type="http://schemas.openxmlformats.org/officeDocument/2006/relationships/hyperlink" Target="https://doi.org/10.1016/j.cytogfr.2021.06.001" TargetMode="External"/><Relationship Id="rId49" Type="http://schemas.openxmlformats.org/officeDocument/2006/relationships/hyperlink" Target="https://doi.org/10.5694/j.1326-5377.2006.tb00705.x" TargetMode="External"/><Relationship Id="rId57" Type="http://schemas.openxmlformats.org/officeDocument/2006/relationships/hyperlink" Target="https://doi.org/10.1016/j.aca.2021.339338" TargetMode="External"/><Relationship Id="rId106" Type="http://schemas.openxmlformats.org/officeDocument/2006/relationships/hyperlink" Target="https://doi.org/10.1016/j.bios.2020.112674" TargetMode="External"/><Relationship Id="rId114" Type="http://schemas.openxmlformats.org/officeDocument/2006/relationships/hyperlink" Target="https://doi.org/10.3390/ijms18081650" TargetMode="External"/><Relationship Id="rId119" Type="http://schemas.openxmlformats.org/officeDocument/2006/relationships/hyperlink" Target="https://doi.org/10.3390/v12010019" TargetMode="External"/><Relationship Id="rId127" Type="http://schemas.openxmlformats.org/officeDocument/2006/relationships/hyperlink" Target="https://doi.org/10.1002/bmb.20461" TargetMode="External"/><Relationship Id="rId10" Type="http://schemas.openxmlformats.org/officeDocument/2006/relationships/image" Target="media/image5.jpg"/><Relationship Id="rId31" Type="http://schemas.openxmlformats.org/officeDocument/2006/relationships/hyperlink" Target="https://doi.org/10.1002/1873-3468.12118" TargetMode="External"/><Relationship Id="rId44" Type="http://schemas.openxmlformats.org/officeDocument/2006/relationships/hyperlink" Target="https://doi.org/10.1016/j.bios.2021.113155" TargetMode="External"/><Relationship Id="rId52" Type="http://schemas.openxmlformats.org/officeDocument/2006/relationships/hyperlink" Target="https://doi.org/10.1371/journal.ppat.1003176" TargetMode="External"/><Relationship Id="rId60" Type="http://schemas.openxmlformats.org/officeDocument/2006/relationships/hyperlink" Target="https://doi.org/10.1128/jcm.41.6.2616-2622.2003" TargetMode="External"/><Relationship Id="rId65" Type="http://schemas.openxmlformats.org/officeDocument/2006/relationships/hyperlink" Target="https://doi.org/10.1016/j.bios.2022.114109" TargetMode="External"/><Relationship Id="rId73" Type="http://schemas.openxmlformats.org/officeDocument/2006/relationships/hyperlink" Target="https://doi.org/10.1016/j.mcp.2016.01.009" TargetMode="External"/><Relationship Id="rId78" Type="http://schemas.openxmlformats.org/officeDocument/2006/relationships/hyperlink" Target="https://doi.org/10.1016/s1389-0352(01)00043-5" TargetMode="External"/><Relationship Id="rId81" Type="http://schemas.openxmlformats.org/officeDocument/2006/relationships/hyperlink" Target="https://doi.org/10.1016/j.omtm.2020.11.007" TargetMode="External"/><Relationship Id="rId86" Type="http://schemas.openxmlformats.org/officeDocument/2006/relationships/hyperlink" Target="https://doi.org/10.1007/978-3-8274-2158-6" TargetMode="External"/><Relationship Id="rId94" Type="http://schemas.openxmlformats.org/officeDocument/2006/relationships/hyperlink" Target="https://doi.org/10.1016/s0140-6736(03)14854-4" TargetMode="External"/><Relationship Id="rId99" Type="http://schemas.openxmlformats.org/officeDocument/2006/relationships/hyperlink" Target="https://doi.org/10.1016/j.snr.2021.100033" TargetMode="External"/><Relationship Id="rId101" Type="http://schemas.openxmlformats.org/officeDocument/2006/relationships/hyperlink" Target="https://doi.org/10.1002/rmv.593" TargetMode="External"/><Relationship Id="rId122" Type="http://schemas.openxmlformats.org/officeDocument/2006/relationships/hyperlink" Target="https://doi.org/10.1039/c8lc00990b" TargetMode="External"/><Relationship Id="rId130" Type="http://schemas.openxmlformats.org/officeDocument/2006/relationships/hyperlink" Target="https://doi.org/10.3390/cells8070654" TargetMode="External"/><Relationship Id="rId135" Type="http://schemas.openxmlformats.org/officeDocument/2006/relationships/hyperlink" Target="https://doi.org/10.1016/s0140-6736(22)00982-5" TargetMode="External"/><Relationship Id="rId143" Type="http://schemas.openxmlformats.org/officeDocument/2006/relationships/hyperlink" Target="https://doi.org/10.1111/1523-1747.ep12389114" TargetMode="External"/><Relationship Id="rId148" Type="http://schemas.openxmlformats.org/officeDocument/2006/relationships/hyperlink" Target="https://doi.org/10.1016/j.antiviral.2020.104970" TargetMode="External"/><Relationship Id="rId15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g"/><Relationship Id="rId13" Type="http://schemas.openxmlformats.org/officeDocument/2006/relationships/hyperlink" Target="https://doi.org/10.1126/science.1228172" TargetMode="External"/><Relationship Id="rId18" Type="http://schemas.openxmlformats.org/officeDocument/2006/relationships/hyperlink" Target="https://doi.org/10.1016/j.ab.2018.01.021" TargetMode="External"/><Relationship Id="rId39" Type="http://schemas.openxmlformats.org/officeDocument/2006/relationships/hyperlink" Target="https://doi.org/10.1385/mb:20:2:163" TargetMode="External"/><Relationship Id="rId109" Type="http://schemas.openxmlformats.org/officeDocument/2006/relationships/hyperlink" Target="https://doi.org/10.1007/s00216-016-9639-0" TargetMode="External"/><Relationship Id="rId34" Type="http://schemas.openxmlformats.org/officeDocument/2006/relationships/hyperlink" Target="https://doi.org/10.1038/350091a0" TargetMode="External"/><Relationship Id="rId50" Type="http://schemas.openxmlformats.org/officeDocument/2006/relationships/hyperlink" Target="https://doi.org/10.5694/j.1326-5377.2006.tb00705.x" TargetMode="External"/><Relationship Id="rId55" Type="http://schemas.openxmlformats.org/officeDocument/2006/relationships/hyperlink" Target="https://doi.org/10.1016/j.jmoldx.2022.08.005" TargetMode="External"/><Relationship Id="rId76" Type="http://schemas.openxmlformats.org/officeDocument/2006/relationships/hyperlink" Target="https://doi.org/10.1097/dmp.0b013e3181be6dc4" TargetMode="External"/><Relationship Id="rId97" Type="http://schemas.openxmlformats.org/officeDocument/2006/relationships/hyperlink" Target="https://doi.org/10.1007/bf00744669" TargetMode="External"/><Relationship Id="rId104" Type="http://schemas.openxmlformats.org/officeDocument/2006/relationships/hyperlink" Target="https://doi.org/10.1016/s0042-6822(02)00083-1" TargetMode="External"/><Relationship Id="rId120" Type="http://schemas.openxmlformats.org/officeDocument/2006/relationships/hyperlink" Target="https://doi.org/10.3390/cells10081931" TargetMode="External"/><Relationship Id="rId125" Type="http://schemas.openxmlformats.org/officeDocument/2006/relationships/hyperlink" Target="https://doi.org/10.1128/jvi.68.2.911-919.1994" TargetMode="External"/><Relationship Id="rId141" Type="http://schemas.openxmlformats.org/officeDocument/2006/relationships/hyperlink" Target="https://doi.org/10.1517/17425255.3.5.755" TargetMode="External"/><Relationship Id="rId146" Type="http://schemas.openxmlformats.org/officeDocument/2006/relationships/hyperlink" Target="https://doi.org/10.7774/cevr.2018.7.1.1" TargetMode="External"/><Relationship Id="rId7" Type="http://schemas.openxmlformats.org/officeDocument/2006/relationships/image" Target="media/image2.jpg"/><Relationship Id="rId71" Type="http://schemas.openxmlformats.org/officeDocument/2006/relationships/hyperlink" Target="https://doi.org/10.1038/s41572-018-0002-y" TargetMode="External"/><Relationship Id="rId92" Type="http://schemas.openxmlformats.org/officeDocument/2006/relationships/hyperlink" Target="https://doi.org/10.1016/j.virusres.2009.05.010" TargetMode="External"/><Relationship Id="rId2" Type="http://schemas.openxmlformats.org/officeDocument/2006/relationships/settings" Target="settings.xml"/><Relationship Id="rId29" Type="http://schemas.openxmlformats.org/officeDocument/2006/relationships/hyperlink" Target="https://doi.org/10.1007/s00239-008-9119-z" TargetMode="External"/><Relationship Id="rId24" Type="http://schemas.openxmlformats.org/officeDocument/2006/relationships/hyperlink" Target="https://doi.org/10.1016/j.jinf.2015.07.008" TargetMode="External"/><Relationship Id="rId40" Type="http://schemas.openxmlformats.org/officeDocument/2006/relationships/hyperlink" Target="https://doi.org/10.1007/s12098-020-03214-1" TargetMode="External"/><Relationship Id="rId45" Type="http://schemas.openxmlformats.org/officeDocument/2006/relationships/hyperlink" Target="https://doi.org/10.1016/j.bios.2021.113155" TargetMode="External"/><Relationship Id="rId66" Type="http://schemas.openxmlformats.org/officeDocument/2006/relationships/hyperlink" Target="https://doi.org/10.3349/ymj.2013.54.3.560" TargetMode="External"/><Relationship Id="rId87" Type="http://schemas.openxmlformats.org/officeDocument/2006/relationships/hyperlink" Target="https://doi.org/10.1101/sqb.1986.051.01.032" TargetMode="External"/><Relationship Id="rId110" Type="http://schemas.openxmlformats.org/officeDocument/2006/relationships/hyperlink" Target="https://doi.org/10.1007/s00216-016-9639-0" TargetMode="External"/><Relationship Id="rId115" Type="http://schemas.openxmlformats.org/officeDocument/2006/relationships/hyperlink" Target="https://doi.org/10.3390/ijms18081650" TargetMode="External"/><Relationship Id="rId131" Type="http://schemas.openxmlformats.org/officeDocument/2006/relationships/hyperlink" Target="https://doi.org/10.3390/cells8070654" TargetMode="External"/><Relationship Id="rId136" Type="http://schemas.openxmlformats.org/officeDocument/2006/relationships/hyperlink" Target="https://doi.org/10.1021/acsnano.1c02981" TargetMode="External"/><Relationship Id="rId61" Type="http://schemas.openxmlformats.org/officeDocument/2006/relationships/hyperlink" Target="https://doi.org/10.1126/science.1222213" TargetMode="External"/><Relationship Id="rId82" Type="http://schemas.openxmlformats.org/officeDocument/2006/relationships/hyperlink" Target="https://doi.org/10.1042/bj2110281" TargetMode="External"/><Relationship Id="rId152" Type="http://schemas.openxmlformats.org/officeDocument/2006/relationships/footer" Target="footer2.xml"/><Relationship Id="rId19" Type="http://schemas.openxmlformats.org/officeDocument/2006/relationships/hyperlink" Target="https://doi.org/10.1016/b978-0-12-420037-1.00002-6" TargetMode="External"/><Relationship Id="rId14" Type="http://schemas.openxmlformats.org/officeDocument/2006/relationships/hyperlink" Target="https://doi.org/10.3390/biology9080182" TargetMode="External"/><Relationship Id="rId30" Type="http://schemas.openxmlformats.org/officeDocument/2006/relationships/hyperlink" Target="https://doi.org/10.3389/fimmu.2018.00320" TargetMode="External"/><Relationship Id="rId35" Type="http://schemas.openxmlformats.org/officeDocument/2006/relationships/hyperlink" Target="https://doi.org/10.1016/j.cytogfr.2021.06.001" TargetMode="External"/><Relationship Id="rId56" Type="http://schemas.openxmlformats.org/officeDocument/2006/relationships/hyperlink" Target="https://doi.org/10.1039/d0ay01768j" TargetMode="External"/><Relationship Id="rId77" Type="http://schemas.openxmlformats.org/officeDocument/2006/relationships/hyperlink" Target="https://doi.org/10.1016/s1389-0352(01)00043-5" TargetMode="External"/><Relationship Id="rId100" Type="http://schemas.openxmlformats.org/officeDocument/2006/relationships/hyperlink" Target="https://doi.org/10.1016/j.snr.2021.100033" TargetMode="External"/><Relationship Id="rId105" Type="http://schemas.openxmlformats.org/officeDocument/2006/relationships/hyperlink" Target="https://doi.org/10.1371/journal.pbio.0040204" TargetMode="External"/><Relationship Id="rId126" Type="http://schemas.openxmlformats.org/officeDocument/2006/relationships/hyperlink" Target="https://doi.org/10.3389/fcimb.2022.1019071" TargetMode="External"/><Relationship Id="rId147" Type="http://schemas.openxmlformats.org/officeDocument/2006/relationships/hyperlink" Target="https://doi.org/10.1016/j.antiviral.2020.104970" TargetMode="External"/><Relationship Id="rId8" Type="http://schemas.openxmlformats.org/officeDocument/2006/relationships/image" Target="media/image3.png"/><Relationship Id="rId51" Type="http://schemas.openxmlformats.org/officeDocument/2006/relationships/hyperlink" Target="https://doi.org/10.1128/jvi.78.11.5576-5583.2004" TargetMode="External"/><Relationship Id="rId72" Type="http://schemas.openxmlformats.org/officeDocument/2006/relationships/hyperlink" Target="https://doi.org/10.1039/c8an01621f" TargetMode="External"/><Relationship Id="rId93" Type="http://schemas.openxmlformats.org/officeDocument/2006/relationships/hyperlink" Target="https://doi.org/10.1016/s0140-6736(03)14854-4" TargetMode="External"/><Relationship Id="rId98" Type="http://schemas.openxmlformats.org/officeDocument/2006/relationships/hyperlink" Target="https://doi.org/10.1093/nar/gkac242" TargetMode="External"/><Relationship Id="rId121" Type="http://schemas.openxmlformats.org/officeDocument/2006/relationships/hyperlink" Target="https://doi.org/10.1039/c8lc00990b" TargetMode="External"/><Relationship Id="rId142" Type="http://schemas.openxmlformats.org/officeDocument/2006/relationships/hyperlink" Target="https://doi.org/10.1111/1523-1747.ep12389114" TargetMode="External"/><Relationship Id="rId3"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10244</Words>
  <Characters>64538</Characters>
  <Application>Microsoft Office Word</Application>
  <DocSecurity>0</DocSecurity>
  <Lines>537</Lines>
  <Paragraphs>149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Rublack</dc:creator>
  <cp:keywords/>
  <cp:lastModifiedBy>Julius Rublack</cp:lastModifiedBy>
  <cp:revision>3</cp:revision>
  <dcterms:created xsi:type="dcterms:W3CDTF">2023-03-01T14:53:00Z</dcterms:created>
  <dcterms:modified xsi:type="dcterms:W3CDTF">2023-03-01T14:53:00Z</dcterms:modified>
</cp:coreProperties>
</file>