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sz w:val="20"/>
        </w:rPr>
        <w:id w:val="461388182"/>
        <w:docPartObj>
          <w:docPartGallery w:val="Table of Contents"/>
        </w:docPartObj>
      </w:sdtPr>
      <w:sdtEndPr/>
      <w:sdtContent>
        <w:p w14:paraId="630EA66D" w14:textId="77777777" w:rsidR="009D64B7" w:rsidRDefault="008B75B9">
          <w:pPr>
            <w:pStyle w:val="Verzeichnis1"/>
            <w:tabs>
              <w:tab w:val="right" w:leader="dot" w:pos="9459"/>
            </w:tabs>
          </w:pPr>
          <w:r>
            <w:fldChar w:fldCharType="begin"/>
          </w:r>
          <w:r>
            <w:instrText xml:space="preserve"> TOC \o "1-3" \h \z \u </w:instrText>
          </w:r>
          <w:r>
            <w:fldChar w:fldCharType="separate"/>
          </w:r>
          <w:hyperlink w:anchor="_Toc28890">
            <w:r>
              <w:rPr>
                <w:rFonts w:ascii="Times New Roman" w:eastAsia="Times New Roman" w:hAnsi="Times New Roman" w:cs="Times New Roman"/>
                <w:b/>
                <w:sz w:val="29"/>
              </w:rPr>
              <w:t>Inhaltsverzeichnis</w:t>
            </w:r>
            <w:r>
              <w:rPr>
                <w:rFonts w:ascii="Times New Roman" w:eastAsia="Times New Roman" w:hAnsi="Times New Roman" w:cs="Times New Roman"/>
                <w:b/>
                <w:sz w:val="20"/>
              </w:rPr>
              <w:t>1 Material und Methoden</w:t>
            </w:r>
            <w:r>
              <w:tab/>
            </w:r>
            <w:r>
              <w:fldChar w:fldCharType="begin"/>
            </w:r>
            <w:r>
              <w:instrText>PAGEREF _Toc28890 \h</w:instrText>
            </w:r>
            <w:r>
              <w:fldChar w:fldCharType="separate"/>
            </w:r>
            <w:r>
              <w:rPr>
                <w:rFonts w:ascii="Times New Roman" w:eastAsia="Times New Roman" w:hAnsi="Times New Roman" w:cs="Times New Roman"/>
                <w:b/>
                <w:sz w:val="20"/>
              </w:rPr>
              <w:t>2</w:t>
            </w:r>
            <w:r>
              <w:fldChar w:fldCharType="end"/>
            </w:r>
          </w:hyperlink>
        </w:p>
        <w:p w14:paraId="44138288" w14:textId="77777777" w:rsidR="009D64B7" w:rsidRDefault="008B75B9">
          <w:pPr>
            <w:pStyle w:val="Verzeichnis2"/>
            <w:tabs>
              <w:tab w:val="right" w:leader="dot" w:pos="9459"/>
            </w:tabs>
          </w:pPr>
          <w:hyperlink w:anchor="_Toc28891">
            <w:r>
              <w:rPr>
                <w:rFonts w:ascii="Times New Roman" w:eastAsia="Times New Roman" w:hAnsi="Times New Roman" w:cs="Times New Roman"/>
                <w:sz w:val="20"/>
              </w:rPr>
              <w:t>1.1 Bioinformatische Methoden</w:t>
            </w:r>
            <w:r>
              <w:tab/>
            </w:r>
            <w:r>
              <w:fldChar w:fldCharType="begin"/>
            </w:r>
            <w:r>
              <w:instrText>PAGEREF _Toc28891 \h</w:instrText>
            </w:r>
            <w:r>
              <w:fldChar w:fldCharType="separate"/>
            </w:r>
            <w:r>
              <w:rPr>
                <w:rFonts w:ascii="Times New Roman" w:eastAsia="Times New Roman" w:hAnsi="Times New Roman" w:cs="Times New Roman"/>
                <w:sz w:val="20"/>
              </w:rPr>
              <w:t>2</w:t>
            </w:r>
            <w:r>
              <w:fldChar w:fldCharType="end"/>
            </w:r>
          </w:hyperlink>
        </w:p>
        <w:p w14:paraId="3B837A91" w14:textId="77777777" w:rsidR="009D64B7" w:rsidRDefault="008B75B9">
          <w:pPr>
            <w:pStyle w:val="Verzeichnis3"/>
            <w:tabs>
              <w:tab w:val="right" w:leader="dot" w:pos="9459"/>
            </w:tabs>
          </w:pPr>
          <w:hyperlink w:anchor="_Toc28892">
            <w:r>
              <w:rPr>
                <w:rFonts w:ascii="Times New Roman" w:eastAsia="Times New Roman" w:hAnsi="Times New Roman" w:cs="Times New Roman"/>
                <w:sz w:val="20"/>
              </w:rPr>
              <w:t>1.1.1 Primer- und Sondendesign für die Rekombinase Polymerase Amplifikation</w:t>
            </w:r>
            <w:r>
              <w:tab/>
            </w:r>
            <w:r>
              <w:fldChar w:fldCharType="begin"/>
            </w:r>
            <w:r>
              <w:instrText>PAGEREF _Toc28892 \h</w:instrText>
            </w:r>
            <w:r>
              <w:fldChar w:fldCharType="separate"/>
            </w:r>
            <w:r>
              <w:rPr>
                <w:rFonts w:ascii="Times New Roman" w:eastAsia="Times New Roman" w:hAnsi="Times New Roman" w:cs="Times New Roman"/>
                <w:sz w:val="20"/>
              </w:rPr>
              <w:t>2</w:t>
            </w:r>
            <w:r>
              <w:fldChar w:fldCharType="end"/>
            </w:r>
          </w:hyperlink>
        </w:p>
        <w:p w14:paraId="3E01DA60" w14:textId="77777777" w:rsidR="009D64B7" w:rsidRDefault="008B75B9">
          <w:pPr>
            <w:pStyle w:val="Verzeichnis3"/>
            <w:tabs>
              <w:tab w:val="right" w:leader="dot" w:pos="9459"/>
            </w:tabs>
          </w:pPr>
          <w:hyperlink w:anchor="_Toc28893">
            <w:r>
              <w:rPr>
                <w:rFonts w:ascii="Times New Roman" w:eastAsia="Times New Roman" w:hAnsi="Times New Roman" w:cs="Times New Roman"/>
                <w:sz w:val="20"/>
              </w:rPr>
              <w:t>1.1.2 Fluoreszenzsonden und deren Modifikationen</w:t>
            </w:r>
            <w:r>
              <w:tab/>
            </w:r>
            <w:r>
              <w:fldChar w:fldCharType="begin"/>
            </w:r>
            <w:r>
              <w:instrText>PAGEREF _Toc28893 \h</w:instrText>
            </w:r>
            <w:r>
              <w:fldChar w:fldCharType="separate"/>
            </w:r>
            <w:r>
              <w:rPr>
                <w:rFonts w:ascii="Times New Roman" w:eastAsia="Times New Roman" w:hAnsi="Times New Roman" w:cs="Times New Roman"/>
                <w:sz w:val="20"/>
              </w:rPr>
              <w:t>2</w:t>
            </w:r>
            <w:r>
              <w:fldChar w:fldCharType="end"/>
            </w:r>
          </w:hyperlink>
        </w:p>
        <w:p w14:paraId="68237C93" w14:textId="77777777" w:rsidR="009D64B7" w:rsidRDefault="008B75B9">
          <w:pPr>
            <w:pStyle w:val="Verzeichnis3"/>
            <w:tabs>
              <w:tab w:val="right" w:leader="dot" w:pos="9459"/>
            </w:tabs>
          </w:pPr>
          <w:hyperlink w:anchor="_Toc28894">
            <w:r>
              <w:rPr>
                <w:rFonts w:ascii="Times New Roman" w:eastAsia="Times New Roman" w:hAnsi="Times New Roman" w:cs="Times New Roman"/>
                <w:sz w:val="20"/>
              </w:rPr>
              <w:t>1.1.3 Statistische Auswertung der Amplifikationen</w:t>
            </w:r>
            <w:r>
              <w:tab/>
            </w:r>
            <w:r>
              <w:fldChar w:fldCharType="begin"/>
            </w:r>
            <w:r>
              <w:instrText>PAGEREF _Toc28894 \h</w:instrText>
            </w:r>
            <w:r>
              <w:fldChar w:fldCharType="separate"/>
            </w:r>
            <w:r>
              <w:rPr>
                <w:rFonts w:ascii="Times New Roman" w:eastAsia="Times New Roman" w:hAnsi="Times New Roman" w:cs="Times New Roman"/>
                <w:sz w:val="20"/>
              </w:rPr>
              <w:t>3</w:t>
            </w:r>
            <w:r>
              <w:fldChar w:fldCharType="end"/>
            </w:r>
          </w:hyperlink>
        </w:p>
        <w:p w14:paraId="346EFC3A" w14:textId="77777777" w:rsidR="009D64B7" w:rsidRDefault="008B75B9">
          <w:pPr>
            <w:pStyle w:val="Verzeichnis3"/>
            <w:tabs>
              <w:tab w:val="right" w:leader="dot" w:pos="9459"/>
            </w:tabs>
          </w:pPr>
          <w:hyperlink w:anchor="_Toc28895">
            <w:r>
              <w:rPr>
                <w:rFonts w:ascii="Times New Roman" w:eastAsia="Times New Roman" w:hAnsi="Times New Roman" w:cs="Times New Roman"/>
                <w:sz w:val="20"/>
              </w:rPr>
              <w:t>1.1.4 Vergleich von Anstiegszeiten</w:t>
            </w:r>
            <w:r>
              <w:tab/>
            </w:r>
            <w:r>
              <w:fldChar w:fldCharType="begin"/>
            </w:r>
            <w:r>
              <w:instrText>PAGEREF _Toc28895 \h</w:instrText>
            </w:r>
            <w:r>
              <w:fldChar w:fldCharType="separate"/>
            </w:r>
            <w:r>
              <w:rPr>
                <w:rFonts w:ascii="Times New Roman" w:eastAsia="Times New Roman" w:hAnsi="Times New Roman" w:cs="Times New Roman"/>
                <w:sz w:val="20"/>
              </w:rPr>
              <w:t>5</w:t>
            </w:r>
            <w:r>
              <w:fldChar w:fldCharType="end"/>
            </w:r>
          </w:hyperlink>
        </w:p>
        <w:p w14:paraId="20CF1B55" w14:textId="77777777" w:rsidR="009D64B7" w:rsidRDefault="008B75B9">
          <w:pPr>
            <w:pStyle w:val="Verzeichnis3"/>
            <w:tabs>
              <w:tab w:val="right" w:leader="dot" w:pos="9459"/>
            </w:tabs>
          </w:pPr>
          <w:hyperlink w:anchor="_Toc28896">
            <w:r>
              <w:rPr>
                <w:rFonts w:ascii="Times New Roman" w:eastAsia="Times New Roman" w:hAnsi="Times New Roman" w:cs="Times New Roman"/>
                <w:sz w:val="20"/>
              </w:rPr>
              <w:t>1.1.5 Probit-Analyse</w:t>
            </w:r>
            <w:r>
              <w:tab/>
            </w:r>
            <w:r>
              <w:fldChar w:fldCharType="begin"/>
            </w:r>
            <w:r>
              <w:instrText>PAGEREF _Toc28896 \h</w:instrText>
            </w:r>
            <w:r>
              <w:fldChar w:fldCharType="separate"/>
            </w:r>
            <w:r>
              <w:rPr>
                <w:rFonts w:ascii="Times New Roman" w:eastAsia="Times New Roman" w:hAnsi="Times New Roman" w:cs="Times New Roman"/>
                <w:sz w:val="20"/>
              </w:rPr>
              <w:t>6</w:t>
            </w:r>
            <w:r>
              <w:fldChar w:fldCharType="end"/>
            </w:r>
          </w:hyperlink>
        </w:p>
        <w:p w14:paraId="445852B0" w14:textId="77777777" w:rsidR="009D64B7" w:rsidRDefault="008B75B9">
          <w:pPr>
            <w:pStyle w:val="Verzeichnis2"/>
            <w:tabs>
              <w:tab w:val="right" w:leader="dot" w:pos="9459"/>
            </w:tabs>
          </w:pPr>
          <w:hyperlink w:anchor="_Toc28897">
            <w:r>
              <w:rPr>
                <w:rFonts w:ascii="Times New Roman" w:eastAsia="Times New Roman" w:hAnsi="Times New Roman" w:cs="Times New Roman"/>
                <w:sz w:val="20"/>
              </w:rPr>
              <w:t>1.2 Herstellung synthetischer RNA-Standards</w:t>
            </w:r>
            <w:r>
              <w:tab/>
            </w:r>
            <w:r>
              <w:fldChar w:fldCharType="begin"/>
            </w:r>
            <w:r>
              <w:instrText>PAGEREF _Toc28897 \h</w:instrText>
            </w:r>
            <w:r>
              <w:fldChar w:fldCharType="separate"/>
            </w:r>
            <w:r>
              <w:rPr>
                <w:rFonts w:ascii="Times New Roman" w:eastAsia="Times New Roman" w:hAnsi="Times New Roman" w:cs="Times New Roman"/>
                <w:sz w:val="20"/>
              </w:rPr>
              <w:t>6</w:t>
            </w:r>
            <w:r>
              <w:fldChar w:fldCharType="end"/>
            </w:r>
          </w:hyperlink>
        </w:p>
        <w:p w14:paraId="0B68F65E" w14:textId="77777777" w:rsidR="009D64B7" w:rsidRDefault="008B75B9">
          <w:pPr>
            <w:pStyle w:val="Verzeichnis3"/>
            <w:tabs>
              <w:tab w:val="right" w:leader="dot" w:pos="9459"/>
            </w:tabs>
          </w:pPr>
          <w:hyperlink w:anchor="_Toc28898">
            <w:r>
              <w:rPr>
                <w:rFonts w:ascii="Times New Roman" w:eastAsia="Times New Roman" w:hAnsi="Times New Roman" w:cs="Times New Roman"/>
                <w:sz w:val="20"/>
              </w:rPr>
              <w:t>1.2.1 Transforma</w:t>
            </w:r>
            <w:r>
              <w:rPr>
                <w:rFonts w:ascii="Times New Roman" w:eastAsia="Times New Roman" w:hAnsi="Times New Roman" w:cs="Times New Roman"/>
                <w:sz w:val="20"/>
              </w:rPr>
              <w:t xml:space="preserve">tion von </w:t>
            </w:r>
            <w:r>
              <w:rPr>
                <w:rFonts w:ascii="Times New Roman" w:eastAsia="Times New Roman" w:hAnsi="Times New Roman" w:cs="Times New Roman"/>
                <w:i/>
                <w:sz w:val="20"/>
              </w:rPr>
              <w:t xml:space="preserve">E. coli </w:t>
            </w:r>
            <w:r>
              <w:rPr>
                <w:rFonts w:ascii="Times New Roman" w:eastAsia="Times New Roman" w:hAnsi="Times New Roman" w:cs="Times New Roman"/>
                <w:sz w:val="20"/>
              </w:rPr>
              <w:t>mit Plasmid-DNA</w:t>
            </w:r>
            <w:r>
              <w:tab/>
            </w:r>
            <w:r>
              <w:fldChar w:fldCharType="begin"/>
            </w:r>
            <w:r>
              <w:instrText>PAGEREF _Toc28898 \h</w:instrText>
            </w:r>
            <w:r>
              <w:fldChar w:fldCharType="separate"/>
            </w:r>
            <w:r>
              <w:rPr>
                <w:rFonts w:ascii="Times New Roman" w:eastAsia="Times New Roman" w:hAnsi="Times New Roman" w:cs="Times New Roman"/>
                <w:sz w:val="20"/>
              </w:rPr>
              <w:t>6</w:t>
            </w:r>
            <w:r>
              <w:fldChar w:fldCharType="end"/>
            </w:r>
          </w:hyperlink>
        </w:p>
        <w:p w14:paraId="54C0321D" w14:textId="77777777" w:rsidR="009D64B7" w:rsidRDefault="008B75B9">
          <w:pPr>
            <w:pStyle w:val="Verzeichnis3"/>
            <w:tabs>
              <w:tab w:val="right" w:leader="dot" w:pos="9459"/>
            </w:tabs>
          </w:pPr>
          <w:hyperlink w:anchor="_Toc28899">
            <w:r>
              <w:rPr>
                <w:rFonts w:ascii="Times New Roman" w:eastAsia="Times New Roman" w:hAnsi="Times New Roman" w:cs="Times New Roman"/>
                <w:sz w:val="20"/>
              </w:rPr>
              <w:t>1.2.2 Extraktion der Plasmid-DNA aus Übernachtkulturen</w:t>
            </w:r>
            <w:r>
              <w:tab/>
            </w:r>
            <w:r>
              <w:fldChar w:fldCharType="begin"/>
            </w:r>
            <w:r>
              <w:instrText>PAGEREF _Toc28899 \h</w:instrText>
            </w:r>
            <w:r>
              <w:fldChar w:fldCharType="separate"/>
            </w:r>
            <w:r>
              <w:rPr>
                <w:rFonts w:ascii="Times New Roman" w:eastAsia="Times New Roman" w:hAnsi="Times New Roman" w:cs="Times New Roman"/>
                <w:sz w:val="20"/>
              </w:rPr>
              <w:t>7</w:t>
            </w:r>
            <w:r>
              <w:fldChar w:fldCharType="end"/>
            </w:r>
          </w:hyperlink>
        </w:p>
        <w:p w14:paraId="6C4F64B0" w14:textId="77777777" w:rsidR="009D64B7" w:rsidRDefault="008B75B9">
          <w:pPr>
            <w:pStyle w:val="Verzeichnis3"/>
            <w:tabs>
              <w:tab w:val="right" w:leader="dot" w:pos="9459"/>
            </w:tabs>
          </w:pPr>
          <w:hyperlink w:anchor="_Toc28900">
            <w:r>
              <w:rPr>
                <w:rFonts w:ascii="Times New Roman" w:eastAsia="Times New Roman" w:hAnsi="Times New Roman" w:cs="Times New Roman"/>
                <w:sz w:val="20"/>
              </w:rPr>
              <w:t>1.2.3 Sequenzierung der extrahierten Plasmide</w:t>
            </w:r>
            <w:r>
              <w:tab/>
            </w:r>
            <w:r>
              <w:fldChar w:fldCharType="begin"/>
            </w:r>
            <w:r>
              <w:instrText>PAGE</w:instrText>
            </w:r>
            <w:r>
              <w:instrText>REF _Toc28900 \h</w:instrText>
            </w:r>
            <w:r>
              <w:fldChar w:fldCharType="separate"/>
            </w:r>
            <w:r>
              <w:rPr>
                <w:rFonts w:ascii="Times New Roman" w:eastAsia="Times New Roman" w:hAnsi="Times New Roman" w:cs="Times New Roman"/>
                <w:sz w:val="20"/>
              </w:rPr>
              <w:t>7</w:t>
            </w:r>
            <w:r>
              <w:fldChar w:fldCharType="end"/>
            </w:r>
          </w:hyperlink>
        </w:p>
        <w:p w14:paraId="3CD6B231" w14:textId="77777777" w:rsidR="009D64B7" w:rsidRDefault="008B75B9">
          <w:pPr>
            <w:pStyle w:val="Verzeichnis3"/>
            <w:tabs>
              <w:tab w:val="right" w:leader="dot" w:pos="9459"/>
            </w:tabs>
          </w:pPr>
          <w:hyperlink w:anchor="_Toc28901">
            <w:r>
              <w:rPr>
                <w:rFonts w:ascii="Times New Roman" w:eastAsia="Times New Roman" w:hAnsi="Times New Roman" w:cs="Times New Roman"/>
                <w:sz w:val="20"/>
              </w:rPr>
              <w:t>1.2.4 Restriktionsverdau zur Plasmidlinearisierung</w:t>
            </w:r>
            <w:r>
              <w:tab/>
            </w:r>
            <w:r>
              <w:fldChar w:fldCharType="begin"/>
            </w:r>
            <w:r>
              <w:instrText>PAGEREF _Toc28901 \h</w:instrText>
            </w:r>
            <w:r>
              <w:fldChar w:fldCharType="separate"/>
            </w:r>
            <w:r>
              <w:rPr>
                <w:rFonts w:ascii="Times New Roman" w:eastAsia="Times New Roman" w:hAnsi="Times New Roman" w:cs="Times New Roman"/>
                <w:sz w:val="20"/>
              </w:rPr>
              <w:t>8</w:t>
            </w:r>
            <w:r>
              <w:fldChar w:fldCharType="end"/>
            </w:r>
          </w:hyperlink>
        </w:p>
        <w:p w14:paraId="137EDE31" w14:textId="77777777" w:rsidR="009D64B7" w:rsidRDefault="008B75B9">
          <w:pPr>
            <w:pStyle w:val="Verzeichnis3"/>
            <w:tabs>
              <w:tab w:val="right" w:leader="dot" w:pos="9459"/>
            </w:tabs>
          </w:pPr>
          <w:hyperlink w:anchor="_Toc28902">
            <w:r>
              <w:rPr>
                <w:rFonts w:ascii="Times New Roman" w:eastAsia="Times New Roman" w:hAnsi="Times New Roman" w:cs="Times New Roman"/>
                <w:sz w:val="20"/>
              </w:rPr>
              <w:t>1.2.5 DNA-Reinigung des Restriktionsverdaus</w:t>
            </w:r>
            <w:r>
              <w:tab/>
            </w:r>
            <w:r>
              <w:fldChar w:fldCharType="begin"/>
            </w:r>
            <w:r>
              <w:instrText>PAGEREF _Toc28902 \h</w:instrText>
            </w:r>
            <w:r>
              <w:fldChar w:fldCharType="separate"/>
            </w:r>
            <w:r>
              <w:rPr>
                <w:rFonts w:ascii="Times New Roman" w:eastAsia="Times New Roman" w:hAnsi="Times New Roman" w:cs="Times New Roman"/>
                <w:sz w:val="20"/>
              </w:rPr>
              <w:t>8</w:t>
            </w:r>
            <w:r>
              <w:fldChar w:fldCharType="end"/>
            </w:r>
          </w:hyperlink>
        </w:p>
        <w:p w14:paraId="051EAFDB" w14:textId="77777777" w:rsidR="009D64B7" w:rsidRDefault="008B75B9">
          <w:pPr>
            <w:pStyle w:val="Verzeichnis3"/>
            <w:tabs>
              <w:tab w:val="right" w:leader="dot" w:pos="9459"/>
            </w:tabs>
          </w:pPr>
          <w:hyperlink w:anchor="_Toc28903">
            <w:r>
              <w:rPr>
                <w:rFonts w:ascii="Times New Roman" w:eastAsia="Times New Roman" w:hAnsi="Times New Roman" w:cs="Times New Roman"/>
                <w:sz w:val="20"/>
              </w:rPr>
              <w:t xml:space="preserve">1.2.6 </w:t>
            </w:r>
            <w:r>
              <w:rPr>
                <w:rFonts w:ascii="Times New Roman" w:eastAsia="Times New Roman" w:hAnsi="Times New Roman" w:cs="Times New Roman"/>
                <w:i/>
                <w:sz w:val="20"/>
              </w:rPr>
              <w:t xml:space="preserve">In Vitro </w:t>
            </w:r>
            <w:r>
              <w:rPr>
                <w:rFonts w:ascii="Times New Roman" w:eastAsia="Times New Roman" w:hAnsi="Times New Roman" w:cs="Times New Roman"/>
                <w:sz w:val="20"/>
              </w:rPr>
              <w:t>Transkription zur Herstellung von viralen RNA-Standards</w:t>
            </w:r>
            <w:r>
              <w:tab/>
            </w:r>
            <w:r>
              <w:fldChar w:fldCharType="begin"/>
            </w:r>
            <w:r>
              <w:instrText>PAGEREF _Toc28903 \h</w:instrText>
            </w:r>
            <w:r>
              <w:fldChar w:fldCharType="separate"/>
            </w:r>
            <w:r>
              <w:rPr>
                <w:rFonts w:ascii="Times New Roman" w:eastAsia="Times New Roman" w:hAnsi="Times New Roman" w:cs="Times New Roman"/>
                <w:sz w:val="20"/>
              </w:rPr>
              <w:t>8</w:t>
            </w:r>
            <w:r>
              <w:fldChar w:fldCharType="end"/>
            </w:r>
          </w:hyperlink>
        </w:p>
        <w:p w14:paraId="054D24ED" w14:textId="77777777" w:rsidR="009D64B7" w:rsidRDefault="008B75B9">
          <w:pPr>
            <w:pStyle w:val="Verzeichnis3"/>
            <w:tabs>
              <w:tab w:val="right" w:leader="dot" w:pos="9459"/>
            </w:tabs>
          </w:pPr>
          <w:hyperlink w:anchor="_Toc28904">
            <w:r>
              <w:rPr>
                <w:rFonts w:ascii="Times New Roman" w:eastAsia="Times New Roman" w:hAnsi="Times New Roman" w:cs="Times New Roman"/>
                <w:sz w:val="20"/>
              </w:rPr>
              <w:t>1.2.7 RiboGreen Assay zur Quantifizierung von RNA</w:t>
            </w:r>
            <w:r>
              <w:tab/>
            </w:r>
            <w:r>
              <w:fldChar w:fldCharType="begin"/>
            </w:r>
            <w:r>
              <w:instrText>PAGEREF _Toc28904 \h</w:instrText>
            </w:r>
            <w:r>
              <w:fldChar w:fldCharType="separate"/>
            </w:r>
            <w:r>
              <w:rPr>
                <w:rFonts w:ascii="Times New Roman" w:eastAsia="Times New Roman" w:hAnsi="Times New Roman" w:cs="Times New Roman"/>
                <w:sz w:val="20"/>
              </w:rPr>
              <w:t>9</w:t>
            </w:r>
            <w:r>
              <w:fldChar w:fldCharType="end"/>
            </w:r>
          </w:hyperlink>
        </w:p>
        <w:p w14:paraId="7B8E4CB2" w14:textId="77777777" w:rsidR="009D64B7" w:rsidRDefault="008B75B9">
          <w:pPr>
            <w:pStyle w:val="Verzeichnis2"/>
            <w:tabs>
              <w:tab w:val="right" w:leader="dot" w:pos="9459"/>
            </w:tabs>
          </w:pPr>
          <w:hyperlink w:anchor="_Toc28905">
            <w:r>
              <w:rPr>
                <w:rFonts w:ascii="Times New Roman" w:eastAsia="Times New Roman" w:hAnsi="Times New Roman" w:cs="Times New Roman"/>
                <w:sz w:val="20"/>
              </w:rPr>
              <w:t>1.3 Erstellung von RNA-Kontr</w:t>
            </w:r>
            <w:r>
              <w:rPr>
                <w:rFonts w:ascii="Times New Roman" w:eastAsia="Times New Roman" w:hAnsi="Times New Roman" w:cs="Times New Roman"/>
                <w:sz w:val="20"/>
              </w:rPr>
              <w:t>ollproben mit humanem Nukleinsäure-Hintergrund</w:t>
            </w:r>
            <w:r>
              <w:tab/>
            </w:r>
            <w:r>
              <w:fldChar w:fldCharType="begin"/>
            </w:r>
            <w:r>
              <w:instrText>PAGEREF _Toc28905 \h</w:instrText>
            </w:r>
            <w:r>
              <w:fldChar w:fldCharType="separate"/>
            </w:r>
            <w:r>
              <w:rPr>
                <w:rFonts w:ascii="Times New Roman" w:eastAsia="Times New Roman" w:hAnsi="Times New Roman" w:cs="Times New Roman"/>
                <w:sz w:val="20"/>
              </w:rPr>
              <w:t>9</w:t>
            </w:r>
            <w:r>
              <w:fldChar w:fldCharType="end"/>
            </w:r>
          </w:hyperlink>
        </w:p>
        <w:p w14:paraId="1D213623" w14:textId="77777777" w:rsidR="009D64B7" w:rsidRDefault="008B75B9">
          <w:pPr>
            <w:pStyle w:val="Verzeichnis2"/>
            <w:tabs>
              <w:tab w:val="right" w:leader="dot" w:pos="9459"/>
            </w:tabs>
          </w:pPr>
          <w:hyperlink w:anchor="_Toc28906">
            <w:r>
              <w:rPr>
                <w:rFonts w:ascii="Times New Roman" w:eastAsia="Times New Roman" w:hAnsi="Times New Roman" w:cs="Times New Roman"/>
                <w:sz w:val="20"/>
              </w:rPr>
              <w:t>1.4 Nukleinsäure Amplifikation</w:t>
            </w:r>
            <w:r>
              <w:tab/>
            </w:r>
            <w:r>
              <w:fldChar w:fldCharType="begin"/>
            </w:r>
            <w:r>
              <w:instrText>PAGEREF _Toc28906 \h</w:instrText>
            </w:r>
            <w:r>
              <w:fldChar w:fldCharType="separate"/>
            </w:r>
            <w:r>
              <w:rPr>
                <w:rFonts w:ascii="Times New Roman" w:eastAsia="Times New Roman" w:hAnsi="Times New Roman" w:cs="Times New Roman"/>
                <w:sz w:val="20"/>
              </w:rPr>
              <w:t>10</w:t>
            </w:r>
            <w:r>
              <w:fldChar w:fldCharType="end"/>
            </w:r>
          </w:hyperlink>
        </w:p>
        <w:p w14:paraId="1E269EBB" w14:textId="77777777" w:rsidR="009D64B7" w:rsidRDefault="008B75B9">
          <w:pPr>
            <w:pStyle w:val="Verzeichnis3"/>
            <w:tabs>
              <w:tab w:val="right" w:leader="dot" w:pos="9459"/>
            </w:tabs>
          </w:pPr>
          <w:hyperlink w:anchor="_Toc28907">
            <w:r>
              <w:rPr>
                <w:rFonts w:ascii="Times New Roman" w:eastAsia="Times New Roman" w:hAnsi="Times New Roman" w:cs="Times New Roman"/>
                <w:sz w:val="20"/>
              </w:rPr>
              <w:t>1.4.1 Reverse Transkription Real Time Polymerase Kettenreaktion (RT-qPCR)</w:t>
            </w:r>
            <w:r>
              <w:tab/>
            </w:r>
            <w:r>
              <w:fldChar w:fldCharType="begin"/>
            </w:r>
            <w:r>
              <w:instrText>PAGEREF _Toc28907 \h</w:instrText>
            </w:r>
            <w:r>
              <w:fldChar w:fldCharType="separate"/>
            </w:r>
            <w:r>
              <w:rPr>
                <w:rFonts w:ascii="Times New Roman" w:eastAsia="Times New Roman" w:hAnsi="Times New Roman" w:cs="Times New Roman"/>
                <w:sz w:val="20"/>
              </w:rPr>
              <w:t>10</w:t>
            </w:r>
            <w:r>
              <w:fldChar w:fldCharType="end"/>
            </w:r>
          </w:hyperlink>
        </w:p>
        <w:p w14:paraId="4AA42062" w14:textId="77777777" w:rsidR="009D64B7" w:rsidRDefault="008B75B9">
          <w:pPr>
            <w:pStyle w:val="Verzeichnis3"/>
            <w:tabs>
              <w:tab w:val="right" w:leader="dot" w:pos="9459"/>
            </w:tabs>
          </w:pPr>
          <w:hyperlink w:anchor="_Toc28908">
            <w:r>
              <w:rPr>
                <w:rFonts w:ascii="Times New Roman" w:eastAsia="Times New Roman" w:hAnsi="Times New Roman" w:cs="Times New Roman"/>
                <w:sz w:val="20"/>
              </w:rPr>
              <w:t>1.4.2 Reverse Transkription Rekombinase Polymerase Amplifikation im 50 µl Ansatz</w:t>
            </w:r>
            <w:r>
              <w:tab/>
            </w:r>
            <w:r>
              <w:fldChar w:fldCharType="begin"/>
            </w:r>
            <w:r>
              <w:instrText>PAGEREF _Toc28908 \h</w:instrText>
            </w:r>
            <w:r>
              <w:fldChar w:fldCharType="separate"/>
            </w:r>
            <w:r>
              <w:rPr>
                <w:rFonts w:ascii="Times New Roman" w:eastAsia="Times New Roman" w:hAnsi="Times New Roman" w:cs="Times New Roman"/>
                <w:sz w:val="20"/>
              </w:rPr>
              <w:t>10</w:t>
            </w:r>
            <w:r>
              <w:fldChar w:fldCharType="end"/>
            </w:r>
          </w:hyperlink>
        </w:p>
        <w:p w14:paraId="157B2F23" w14:textId="77777777" w:rsidR="009D64B7" w:rsidRDefault="008B75B9">
          <w:pPr>
            <w:pStyle w:val="Verzeichnis3"/>
            <w:tabs>
              <w:tab w:val="right" w:leader="dot" w:pos="9459"/>
            </w:tabs>
          </w:pPr>
          <w:hyperlink w:anchor="_Toc28909">
            <w:r>
              <w:rPr>
                <w:rFonts w:ascii="Times New Roman" w:eastAsia="Times New Roman" w:hAnsi="Times New Roman" w:cs="Times New Roman"/>
                <w:sz w:val="20"/>
              </w:rPr>
              <w:t>1.4.3 Reverse Transkription Rekombinase Polymerase Amplifikation im low-volume Ansatz</w:t>
            </w:r>
            <w:r>
              <w:tab/>
            </w:r>
            <w:r>
              <w:fldChar w:fldCharType="begin"/>
            </w:r>
            <w:r>
              <w:instrText>PAGEREF _Toc28909 \h</w:instrText>
            </w:r>
            <w:r>
              <w:fldChar w:fldCharType="separate"/>
            </w:r>
            <w:r>
              <w:rPr>
                <w:rFonts w:ascii="Times New Roman" w:eastAsia="Times New Roman" w:hAnsi="Times New Roman" w:cs="Times New Roman"/>
                <w:sz w:val="20"/>
              </w:rPr>
              <w:t>12</w:t>
            </w:r>
            <w:r>
              <w:fldChar w:fldCharType="end"/>
            </w:r>
          </w:hyperlink>
        </w:p>
        <w:p w14:paraId="31CC1BE5" w14:textId="77777777" w:rsidR="009D64B7" w:rsidRDefault="008B75B9">
          <w:pPr>
            <w:pStyle w:val="Verzeichnis3"/>
            <w:tabs>
              <w:tab w:val="right" w:leader="dot" w:pos="9459"/>
            </w:tabs>
          </w:pPr>
          <w:hyperlink w:anchor="_Toc28910">
            <w:r>
              <w:rPr>
                <w:rFonts w:ascii="Times New Roman" w:eastAsia="Times New Roman" w:hAnsi="Times New Roman" w:cs="Times New Roman"/>
                <w:sz w:val="20"/>
              </w:rPr>
              <w:t>1.4.4 Primerscreening für die RT-RPA</w:t>
            </w:r>
            <w:r>
              <w:tab/>
            </w:r>
            <w:r>
              <w:fldChar w:fldCharType="begin"/>
            </w:r>
            <w:r>
              <w:instrText>PAGEREF _Toc28910 \h</w:instrText>
            </w:r>
            <w:r>
              <w:fldChar w:fldCharType="separate"/>
            </w:r>
            <w:r>
              <w:rPr>
                <w:rFonts w:ascii="Times New Roman" w:eastAsia="Times New Roman" w:hAnsi="Times New Roman" w:cs="Times New Roman"/>
                <w:sz w:val="20"/>
              </w:rPr>
              <w:t>13</w:t>
            </w:r>
            <w:r>
              <w:fldChar w:fldCharType="end"/>
            </w:r>
          </w:hyperlink>
        </w:p>
        <w:p w14:paraId="7E56F349" w14:textId="77777777" w:rsidR="009D64B7" w:rsidRDefault="008B75B9">
          <w:pPr>
            <w:pStyle w:val="Verzeichnis3"/>
            <w:tabs>
              <w:tab w:val="right" w:leader="dot" w:pos="9459"/>
            </w:tabs>
          </w:pPr>
          <w:hyperlink w:anchor="_Toc28911">
            <w:r>
              <w:rPr>
                <w:rFonts w:ascii="Times New Roman" w:eastAsia="Times New Roman" w:hAnsi="Times New Roman" w:cs="Times New Roman"/>
                <w:sz w:val="20"/>
              </w:rPr>
              <w:t>1.4.5 Optimierung der Reaktionstemperatur für die Rekombinase Polymerase Amplifikation</w:t>
            </w:r>
            <w:r>
              <w:tab/>
            </w:r>
            <w:r>
              <w:fldChar w:fldCharType="begin"/>
            </w:r>
            <w:r>
              <w:instrText>PAGEREF _Toc28911 \h</w:instrText>
            </w:r>
            <w:r>
              <w:fldChar w:fldCharType="separate"/>
            </w:r>
            <w:r>
              <w:rPr>
                <w:rFonts w:ascii="Times New Roman" w:eastAsia="Times New Roman" w:hAnsi="Times New Roman" w:cs="Times New Roman"/>
                <w:sz w:val="20"/>
              </w:rPr>
              <w:t>13</w:t>
            </w:r>
            <w:r>
              <w:fldChar w:fldCharType="end"/>
            </w:r>
          </w:hyperlink>
        </w:p>
        <w:p w14:paraId="68C02237" w14:textId="77777777" w:rsidR="009D64B7" w:rsidRDefault="008B75B9">
          <w:pPr>
            <w:pStyle w:val="Verzeichnis3"/>
            <w:tabs>
              <w:tab w:val="right" w:leader="dot" w:pos="9459"/>
            </w:tabs>
          </w:pPr>
          <w:hyperlink w:anchor="_Toc28912">
            <w:r>
              <w:rPr>
                <w:rFonts w:ascii="Times New Roman" w:eastAsia="Times New Roman" w:hAnsi="Times New Roman" w:cs="Times New Roman"/>
                <w:sz w:val="20"/>
              </w:rPr>
              <w:t>1.4.6 Optimierung des Mischzeitpunktes der Rekombinase Polymerase Amplifikation</w:t>
            </w:r>
            <w:r>
              <w:tab/>
            </w:r>
            <w:r>
              <w:fldChar w:fldCharType="begin"/>
            </w:r>
            <w:r>
              <w:instrText>PAGEREF _Toc28912 \h</w:instrText>
            </w:r>
            <w:r>
              <w:fldChar w:fldCharType="separate"/>
            </w:r>
            <w:r>
              <w:rPr>
                <w:rFonts w:ascii="Times New Roman" w:eastAsia="Times New Roman" w:hAnsi="Times New Roman" w:cs="Times New Roman"/>
                <w:sz w:val="20"/>
              </w:rPr>
              <w:t>13</w:t>
            </w:r>
            <w:r>
              <w:fldChar w:fldCharType="end"/>
            </w:r>
          </w:hyperlink>
        </w:p>
        <w:p w14:paraId="2DED8AFF" w14:textId="77777777" w:rsidR="009D64B7" w:rsidRDefault="008B75B9">
          <w:pPr>
            <w:pStyle w:val="Verzeichnis3"/>
            <w:tabs>
              <w:tab w:val="right" w:leader="dot" w:pos="9459"/>
            </w:tabs>
          </w:pPr>
          <w:hyperlink w:anchor="_Toc28913">
            <w:r>
              <w:rPr>
                <w:rFonts w:ascii="Times New Roman" w:eastAsia="Times New Roman" w:hAnsi="Times New Roman" w:cs="Times New Roman"/>
                <w:sz w:val="20"/>
              </w:rPr>
              <w:t>1.4.7 Optimierung der Primerassymetrie der Rekombinase Polymerase Amplifikation</w:t>
            </w:r>
            <w:r>
              <w:tab/>
            </w:r>
            <w:r>
              <w:fldChar w:fldCharType="begin"/>
            </w:r>
            <w:r>
              <w:instrText>PAGEREF _Toc28913 \h</w:instrText>
            </w:r>
            <w:r>
              <w:fldChar w:fldCharType="separate"/>
            </w:r>
            <w:r>
              <w:rPr>
                <w:rFonts w:ascii="Times New Roman" w:eastAsia="Times New Roman" w:hAnsi="Times New Roman" w:cs="Times New Roman"/>
                <w:sz w:val="20"/>
              </w:rPr>
              <w:t>13</w:t>
            </w:r>
            <w:r>
              <w:fldChar w:fldCharType="end"/>
            </w:r>
          </w:hyperlink>
        </w:p>
        <w:p w14:paraId="0CFA2B83" w14:textId="77777777" w:rsidR="009D64B7" w:rsidRDefault="008B75B9">
          <w:pPr>
            <w:pStyle w:val="Verzeichnis3"/>
            <w:tabs>
              <w:tab w:val="right" w:leader="dot" w:pos="9459"/>
            </w:tabs>
          </w:pPr>
          <w:hyperlink w:anchor="_Toc28914">
            <w:r>
              <w:rPr>
                <w:rFonts w:ascii="Times New Roman" w:eastAsia="Times New Roman" w:hAnsi="Times New Roman" w:cs="Times New Roman"/>
                <w:sz w:val="20"/>
              </w:rPr>
              <w:t>1.4.8 Ei</w:t>
            </w:r>
            <w:r>
              <w:rPr>
                <w:rFonts w:ascii="Times New Roman" w:eastAsia="Times New Roman" w:hAnsi="Times New Roman" w:cs="Times New Roman"/>
                <w:sz w:val="20"/>
              </w:rPr>
              <w:t>nfluss der Primerassymetrie auf die Rekombinase Polymerase Amplifikation</w:t>
            </w:r>
            <w:r>
              <w:tab/>
            </w:r>
            <w:r>
              <w:fldChar w:fldCharType="begin"/>
            </w:r>
            <w:r>
              <w:instrText>PAGEREF _Toc28914 \h</w:instrText>
            </w:r>
            <w:r>
              <w:fldChar w:fldCharType="separate"/>
            </w:r>
            <w:r>
              <w:rPr>
                <w:rFonts w:ascii="Times New Roman" w:eastAsia="Times New Roman" w:hAnsi="Times New Roman" w:cs="Times New Roman"/>
                <w:sz w:val="20"/>
              </w:rPr>
              <w:t>13</w:t>
            </w:r>
            <w:r>
              <w:fldChar w:fldCharType="end"/>
            </w:r>
          </w:hyperlink>
        </w:p>
        <w:p w14:paraId="7463F004" w14:textId="77777777" w:rsidR="009D64B7" w:rsidRDefault="008B75B9">
          <w:pPr>
            <w:pStyle w:val="Verzeichnis3"/>
            <w:tabs>
              <w:tab w:val="right" w:leader="dot" w:pos="9459"/>
            </w:tabs>
          </w:pPr>
          <w:hyperlink w:anchor="_Toc28915">
            <w:r>
              <w:rPr>
                <w:rFonts w:ascii="Times New Roman" w:eastAsia="Times New Roman" w:hAnsi="Times New Roman" w:cs="Times New Roman"/>
                <w:sz w:val="20"/>
              </w:rPr>
              <w:t>1.4.9 Ermittlung der Sensitivität von RT-PCR und RT-RPA</w:t>
            </w:r>
            <w:r>
              <w:tab/>
            </w:r>
            <w:r>
              <w:fldChar w:fldCharType="begin"/>
            </w:r>
            <w:r>
              <w:instrText>PAGEREF _Toc28915 \h</w:instrText>
            </w:r>
            <w:r>
              <w:fldChar w:fldCharType="separate"/>
            </w:r>
            <w:r>
              <w:rPr>
                <w:rFonts w:ascii="Times New Roman" w:eastAsia="Times New Roman" w:hAnsi="Times New Roman" w:cs="Times New Roman"/>
                <w:sz w:val="20"/>
              </w:rPr>
              <w:t>14</w:t>
            </w:r>
            <w:r>
              <w:fldChar w:fldCharType="end"/>
            </w:r>
          </w:hyperlink>
        </w:p>
        <w:p w14:paraId="38FBC8D5" w14:textId="77777777" w:rsidR="009D64B7" w:rsidRDefault="008B75B9">
          <w:r>
            <w:fldChar w:fldCharType="end"/>
          </w:r>
        </w:p>
      </w:sdtContent>
    </w:sdt>
    <w:p w14:paraId="00178F8F" w14:textId="77777777" w:rsidR="002604BD" w:rsidRDefault="002604BD">
      <w:pPr>
        <w:tabs>
          <w:tab w:val="center" w:pos="2204"/>
        </w:tabs>
        <w:spacing w:after="204" w:line="259" w:lineRule="auto"/>
        <w:ind w:left="0" w:right="0" w:firstLine="0"/>
        <w:jc w:val="left"/>
        <w:rPr>
          <w:b/>
          <w:sz w:val="29"/>
        </w:rPr>
      </w:pPr>
    </w:p>
    <w:p w14:paraId="3013C46B" w14:textId="77777777" w:rsidR="002604BD" w:rsidRDefault="002604BD">
      <w:pPr>
        <w:tabs>
          <w:tab w:val="center" w:pos="2204"/>
        </w:tabs>
        <w:spacing w:after="204" w:line="259" w:lineRule="auto"/>
        <w:ind w:left="0" w:right="0" w:firstLine="0"/>
        <w:jc w:val="left"/>
        <w:rPr>
          <w:b/>
          <w:sz w:val="29"/>
        </w:rPr>
      </w:pPr>
    </w:p>
    <w:p w14:paraId="4F688CF0" w14:textId="77777777" w:rsidR="002604BD" w:rsidRDefault="002604BD">
      <w:pPr>
        <w:tabs>
          <w:tab w:val="center" w:pos="2204"/>
        </w:tabs>
        <w:spacing w:after="204" w:line="259" w:lineRule="auto"/>
        <w:ind w:left="0" w:right="0" w:firstLine="0"/>
        <w:jc w:val="left"/>
        <w:rPr>
          <w:b/>
          <w:sz w:val="29"/>
        </w:rPr>
      </w:pPr>
    </w:p>
    <w:p w14:paraId="3880D453" w14:textId="77777777" w:rsidR="002604BD" w:rsidRDefault="002604BD">
      <w:pPr>
        <w:tabs>
          <w:tab w:val="center" w:pos="2204"/>
        </w:tabs>
        <w:spacing w:after="204" w:line="259" w:lineRule="auto"/>
        <w:ind w:left="0" w:right="0" w:firstLine="0"/>
        <w:jc w:val="left"/>
        <w:rPr>
          <w:b/>
          <w:sz w:val="29"/>
        </w:rPr>
      </w:pPr>
    </w:p>
    <w:p w14:paraId="2E546521" w14:textId="78F3B557" w:rsidR="009D64B7" w:rsidRDefault="008B75B9">
      <w:pPr>
        <w:tabs>
          <w:tab w:val="center" w:pos="2204"/>
        </w:tabs>
        <w:spacing w:after="204" w:line="259" w:lineRule="auto"/>
        <w:ind w:left="0" w:right="0" w:firstLine="0"/>
        <w:jc w:val="left"/>
      </w:pPr>
      <w:r>
        <w:rPr>
          <w:b/>
          <w:sz w:val="29"/>
        </w:rPr>
        <w:lastRenderedPageBreak/>
        <w:t>1</w:t>
      </w:r>
      <w:r>
        <w:rPr>
          <w:b/>
          <w:sz w:val="29"/>
        </w:rPr>
        <w:tab/>
        <w:t>Material und Methoden</w:t>
      </w:r>
    </w:p>
    <w:p w14:paraId="76B85CFB" w14:textId="77777777" w:rsidR="009D64B7" w:rsidRDefault="008B75B9">
      <w:pPr>
        <w:pStyle w:val="berschrift2"/>
        <w:tabs>
          <w:tab w:val="center" w:pos="2274"/>
        </w:tabs>
        <w:ind w:left="0" w:firstLine="0"/>
      </w:pPr>
      <w:bookmarkStart w:id="0" w:name="_Toc28891"/>
      <w:r>
        <w:t>1.1</w:t>
      </w:r>
      <w:r>
        <w:tab/>
        <w:t>Bioinformatische Methoden</w:t>
      </w:r>
      <w:bookmarkEnd w:id="0"/>
    </w:p>
    <w:p w14:paraId="19D3F9A7" w14:textId="77777777" w:rsidR="009D64B7" w:rsidRDefault="008B75B9">
      <w:pPr>
        <w:spacing w:after="271"/>
        <w:ind w:left="47" w:right="14"/>
      </w:pPr>
      <w:r>
        <w:t xml:space="preserve">Das folgende Kapitel umfasst die mithilfe der Bioinformatik durchgeführten Methoden wie </w:t>
      </w:r>
      <w:proofErr w:type="spellStart"/>
      <w:r>
        <w:t>Primerdesign</w:t>
      </w:r>
      <w:proofErr w:type="spellEnd"/>
      <w:r>
        <w:t xml:space="preserve"> sowie die Modifikation von Primern und Sonden. Des Weiteren wird die Auswertung der Messdaten und deren Vergleich erläutert.</w:t>
      </w:r>
    </w:p>
    <w:p w14:paraId="741D47DE" w14:textId="77777777" w:rsidR="009D64B7" w:rsidRDefault="008B75B9">
      <w:pPr>
        <w:pStyle w:val="berschrift3"/>
        <w:tabs>
          <w:tab w:val="center" w:pos="4468"/>
        </w:tabs>
        <w:ind w:left="0" w:firstLine="0"/>
      </w:pPr>
      <w:bookmarkStart w:id="1" w:name="_Toc28892"/>
      <w:r>
        <w:t>1.1.1</w:t>
      </w:r>
      <w:r>
        <w:tab/>
        <w:t xml:space="preserve">Primer- und </w:t>
      </w:r>
      <w:proofErr w:type="spellStart"/>
      <w:r>
        <w:t>Sondendesign</w:t>
      </w:r>
      <w:proofErr w:type="spellEnd"/>
      <w:r>
        <w:t xml:space="preserve"> für die </w:t>
      </w:r>
      <w:proofErr w:type="spellStart"/>
      <w:r>
        <w:t>Rekombinase</w:t>
      </w:r>
      <w:proofErr w:type="spellEnd"/>
      <w:r>
        <w:t xml:space="preserve"> Polymerase Amplifikation</w:t>
      </w:r>
      <w:bookmarkEnd w:id="1"/>
    </w:p>
    <w:p w14:paraId="225B0570" w14:textId="5913E441" w:rsidR="009D64B7" w:rsidRDefault="008B75B9">
      <w:pPr>
        <w:spacing w:after="324"/>
        <w:ind w:left="47" w:right="14"/>
      </w:pPr>
      <w:r>
        <w:t xml:space="preserve">Für die Erstellung der </w:t>
      </w:r>
      <w:r w:rsidR="002604BD">
        <w:t>RPA-Primer</w:t>
      </w:r>
      <w:r>
        <w:t xml:space="preserve"> und Sonden zur Detektion des Influenza A und B Virus wurde das von Higgins et al. (</w:t>
      </w:r>
      <w:r>
        <w:rPr>
          <w:color w:val="4169E1"/>
        </w:rPr>
        <w:t>2018</w:t>
      </w:r>
      <w:r>
        <w:t xml:space="preserve">) entwickelte Programm </w:t>
      </w:r>
      <w:proofErr w:type="spellStart"/>
      <w:r>
        <w:rPr>
          <w:i/>
        </w:rPr>
        <w:t>PrimedRPA</w:t>
      </w:r>
      <w:proofErr w:type="spellEnd"/>
      <w:r>
        <w:rPr>
          <w:i/>
        </w:rPr>
        <w:t xml:space="preserve"> </w:t>
      </w:r>
      <w:r>
        <w:t>verwendet. Die Parameter für die Ausführung des Programm</w:t>
      </w:r>
      <w:r>
        <w:t xml:space="preserve">s sind in Tabelle </w:t>
      </w:r>
      <w:r>
        <w:rPr>
          <w:color w:val="4169E1"/>
        </w:rPr>
        <w:t xml:space="preserve">1 </w:t>
      </w:r>
      <w:r>
        <w:t>angegeben.</w:t>
      </w:r>
    </w:p>
    <w:p w14:paraId="18EC61D9" w14:textId="77777777" w:rsidR="009D64B7" w:rsidRDefault="008B75B9">
      <w:pPr>
        <w:spacing w:after="0" w:line="259" w:lineRule="auto"/>
        <w:ind w:left="31" w:right="0" w:hanging="10"/>
        <w:jc w:val="center"/>
      </w:pPr>
      <w:r>
        <w:t xml:space="preserve">Tabelle 1: Parameter für das </w:t>
      </w:r>
      <w:proofErr w:type="spellStart"/>
      <w:r>
        <w:t>Primerdesign</w:t>
      </w:r>
      <w:proofErr w:type="spellEnd"/>
      <w:r>
        <w:t xml:space="preserve"> mit dem </w:t>
      </w:r>
      <w:proofErr w:type="spellStart"/>
      <w:r>
        <w:t>PrimedRPA</w:t>
      </w:r>
      <w:proofErr w:type="spellEnd"/>
      <w:r>
        <w:t xml:space="preserve"> Programm</w:t>
      </w:r>
    </w:p>
    <w:tbl>
      <w:tblPr>
        <w:tblStyle w:val="TableGrid"/>
        <w:tblW w:w="6518" w:type="dxa"/>
        <w:tblInd w:w="1481" w:type="dxa"/>
        <w:tblCellMar>
          <w:top w:w="20" w:type="dxa"/>
          <w:left w:w="0" w:type="dxa"/>
          <w:bottom w:w="0" w:type="dxa"/>
          <w:right w:w="115" w:type="dxa"/>
        </w:tblCellMar>
        <w:tblLook w:val="04A0" w:firstRow="1" w:lastRow="0" w:firstColumn="1" w:lastColumn="0" w:noHBand="0" w:noVBand="1"/>
      </w:tblPr>
      <w:tblGrid>
        <w:gridCol w:w="4756"/>
        <w:gridCol w:w="1762"/>
      </w:tblGrid>
      <w:tr w:rsidR="009D64B7" w14:paraId="0EF80563" w14:textId="77777777">
        <w:trPr>
          <w:trHeight w:val="342"/>
        </w:trPr>
        <w:tc>
          <w:tcPr>
            <w:tcW w:w="4756" w:type="dxa"/>
            <w:tcBorders>
              <w:top w:val="single" w:sz="6" w:space="0" w:color="000000"/>
              <w:left w:val="nil"/>
              <w:bottom w:val="single" w:sz="4" w:space="0" w:color="000000"/>
              <w:right w:val="nil"/>
            </w:tcBorders>
          </w:tcPr>
          <w:p w14:paraId="3F72723C" w14:textId="77777777" w:rsidR="009D64B7" w:rsidRDefault="008B75B9">
            <w:pPr>
              <w:spacing w:after="0" w:line="259" w:lineRule="auto"/>
              <w:ind w:left="120" w:right="0" w:firstLine="0"/>
              <w:jc w:val="left"/>
            </w:pPr>
            <w:r>
              <w:t>Parameter</w:t>
            </w:r>
          </w:p>
        </w:tc>
        <w:tc>
          <w:tcPr>
            <w:tcW w:w="1762" w:type="dxa"/>
            <w:tcBorders>
              <w:top w:val="single" w:sz="6" w:space="0" w:color="000000"/>
              <w:left w:val="nil"/>
              <w:bottom w:val="single" w:sz="4" w:space="0" w:color="000000"/>
              <w:right w:val="nil"/>
            </w:tcBorders>
          </w:tcPr>
          <w:p w14:paraId="24954EAD" w14:textId="77777777" w:rsidR="009D64B7" w:rsidRDefault="008B75B9">
            <w:pPr>
              <w:spacing w:after="0" w:line="259" w:lineRule="auto"/>
              <w:ind w:left="0" w:right="0" w:firstLine="0"/>
              <w:jc w:val="left"/>
            </w:pPr>
            <w:r>
              <w:t>Wert</w:t>
            </w:r>
          </w:p>
        </w:tc>
      </w:tr>
      <w:tr w:rsidR="009D64B7" w14:paraId="5AC9DBFA" w14:textId="77777777">
        <w:trPr>
          <w:trHeight w:val="287"/>
        </w:trPr>
        <w:tc>
          <w:tcPr>
            <w:tcW w:w="4756" w:type="dxa"/>
            <w:tcBorders>
              <w:top w:val="single" w:sz="4" w:space="0" w:color="000000"/>
              <w:left w:val="nil"/>
              <w:bottom w:val="nil"/>
              <w:right w:val="nil"/>
            </w:tcBorders>
          </w:tcPr>
          <w:p w14:paraId="5BF365D4" w14:textId="77777777" w:rsidR="009D64B7" w:rsidRDefault="008B75B9">
            <w:pPr>
              <w:spacing w:after="0" w:line="259" w:lineRule="auto"/>
              <w:ind w:left="120" w:right="0" w:firstLine="0"/>
              <w:jc w:val="left"/>
            </w:pPr>
            <w:r>
              <w:t>Länge der Primer</w:t>
            </w:r>
          </w:p>
        </w:tc>
        <w:tc>
          <w:tcPr>
            <w:tcW w:w="1762" w:type="dxa"/>
            <w:tcBorders>
              <w:top w:val="single" w:sz="4" w:space="0" w:color="000000"/>
              <w:left w:val="nil"/>
              <w:bottom w:val="nil"/>
              <w:right w:val="nil"/>
            </w:tcBorders>
          </w:tcPr>
          <w:p w14:paraId="23965F11" w14:textId="77777777" w:rsidR="009D64B7" w:rsidRDefault="008B75B9">
            <w:pPr>
              <w:spacing w:after="0" w:line="259" w:lineRule="auto"/>
              <w:ind w:left="0" w:right="0" w:firstLine="0"/>
              <w:jc w:val="left"/>
            </w:pPr>
            <w:r>
              <w:t>30 - 34 bp</w:t>
            </w:r>
          </w:p>
        </w:tc>
      </w:tr>
      <w:tr w:rsidR="009D64B7" w14:paraId="5A976565" w14:textId="77777777">
        <w:trPr>
          <w:trHeight w:val="239"/>
        </w:trPr>
        <w:tc>
          <w:tcPr>
            <w:tcW w:w="4756" w:type="dxa"/>
            <w:tcBorders>
              <w:top w:val="nil"/>
              <w:left w:val="nil"/>
              <w:bottom w:val="nil"/>
              <w:right w:val="nil"/>
            </w:tcBorders>
          </w:tcPr>
          <w:p w14:paraId="0D08E6A2" w14:textId="77777777" w:rsidR="009D64B7" w:rsidRDefault="008B75B9">
            <w:pPr>
              <w:spacing w:after="0" w:line="259" w:lineRule="auto"/>
              <w:ind w:left="120" w:right="0" w:firstLine="0"/>
              <w:jc w:val="left"/>
            </w:pPr>
            <w:r>
              <w:t>Länge der Sonde</w:t>
            </w:r>
          </w:p>
        </w:tc>
        <w:tc>
          <w:tcPr>
            <w:tcW w:w="1762" w:type="dxa"/>
            <w:tcBorders>
              <w:top w:val="nil"/>
              <w:left w:val="nil"/>
              <w:bottom w:val="nil"/>
              <w:right w:val="nil"/>
            </w:tcBorders>
          </w:tcPr>
          <w:p w14:paraId="29847C0A" w14:textId="77777777" w:rsidR="009D64B7" w:rsidRDefault="008B75B9">
            <w:pPr>
              <w:spacing w:after="0" w:line="259" w:lineRule="auto"/>
              <w:ind w:left="0" w:right="0" w:firstLine="0"/>
              <w:jc w:val="left"/>
            </w:pPr>
            <w:r>
              <w:t>50 bp</w:t>
            </w:r>
          </w:p>
        </w:tc>
      </w:tr>
      <w:tr w:rsidR="009D64B7" w14:paraId="2DD76EC3" w14:textId="77777777">
        <w:trPr>
          <w:trHeight w:val="239"/>
        </w:trPr>
        <w:tc>
          <w:tcPr>
            <w:tcW w:w="4756" w:type="dxa"/>
            <w:tcBorders>
              <w:top w:val="nil"/>
              <w:left w:val="nil"/>
              <w:bottom w:val="nil"/>
              <w:right w:val="nil"/>
            </w:tcBorders>
          </w:tcPr>
          <w:p w14:paraId="7D19C4C1" w14:textId="77777777" w:rsidR="009D64B7" w:rsidRDefault="008B75B9">
            <w:pPr>
              <w:spacing w:after="0" w:line="259" w:lineRule="auto"/>
              <w:ind w:left="120" w:right="0" w:firstLine="0"/>
              <w:jc w:val="left"/>
            </w:pPr>
            <w:proofErr w:type="spellStart"/>
            <w:r>
              <w:t>Sondentyp</w:t>
            </w:r>
            <w:proofErr w:type="spellEnd"/>
          </w:p>
        </w:tc>
        <w:tc>
          <w:tcPr>
            <w:tcW w:w="1762" w:type="dxa"/>
            <w:tcBorders>
              <w:top w:val="nil"/>
              <w:left w:val="nil"/>
              <w:bottom w:val="nil"/>
              <w:right w:val="nil"/>
            </w:tcBorders>
          </w:tcPr>
          <w:p w14:paraId="609E23FC" w14:textId="77777777" w:rsidR="009D64B7" w:rsidRDefault="008B75B9">
            <w:pPr>
              <w:spacing w:after="0" w:line="259" w:lineRule="auto"/>
              <w:ind w:left="0" w:right="0" w:firstLine="0"/>
              <w:jc w:val="left"/>
            </w:pPr>
            <w:proofErr w:type="spellStart"/>
            <w:r>
              <w:t>Exonuclease</w:t>
            </w:r>
            <w:proofErr w:type="spellEnd"/>
            <w:r>
              <w:t xml:space="preserve"> Sonde</w:t>
            </w:r>
          </w:p>
        </w:tc>
      </w:tr>
      <w:tr w:rsidR="009D64B7" w14:paraId="2FD680E9" w14:textId="77777777">
        <w:trPr>
          <w:trHeight w:val="239"/>
        </w:trPr>
        <w:tc>
          <w:tcPr>
            <w:tcW w:w="4756" w:type="dxa"/>
            <w:tcBorders>
              <w:top w:val="nil"/>
              <w:left w:val="nil"/>
              <w:bottom w:val="nil"/>
              <w:right w:val="nil"/>
            </w:tcBorders>
          </w:tcPr>
          <w:p w14:paraId="3CC0FE1D" w14:textId="77777777" w:rsidR="009D64B7" w:rsidRDefault="008B75B9">
            <w:pPr>
              <w:spacing w:after="0" w:line="259" w:lineRule="auto"/>
              <w:ind w:left="120" w:right="0" w:firstLine="0"/>
              <w:jc w:val="left"/>
            </w:pPr>
            <w:r>
              <w:t>Nukleotid-Wiederholungs-Grenzwert</w:t>
            </w:r>
          </w:p>
        </w:tc>
        <w:tc>
          <w:tcPr>
            <w:tcW w:w="1762" w:type="dxa"/>
            <w:tcBorders>
              <w:top w:val="nil"/>
              <w:left w:val="nil"/>
              <w:bottom w:val="nil"/>
              <w:right w:val="nil"/>
            </w:tcBorders>
          </w:tcPr>
          <w:p w14:paraId="52E17F1E" w14:textId="77777777" w:rsidR="009D64B7" w:rsidRDefault="008B75B9">
            <w:pPr>
              <w:spacing w:after="0" w:line="259" w:lineRule="auto"/>
              <w:ind w:left="0" w:right="0" w:firstLine="0"/>
              <w:jc w:val="left"/>
            </w:pPr>
            <w:r>
              <w:t>5 bp</w:t>
            </w:r>
          </w:p>
        </w:tc>
      </w:tr>
      <w:tr w:rsidR="009D64B7" w14:paraId="1261EC49" w14:textId="77777777">
        <w:trPr>
          <w:trHeight w:val="289"/>
        </w:trPr>
        <w:tc>
          <w:tcPr>
            <w:tcW w:w="4756" w:type="dxa"/>
            <w:tcBorders>
              <w:top w:val="nil"/>
              <w:left w:val="nil"/>
              <w:bottom w:val="nil"/>
              <w:right w:val="nil"/>
            </w:tcBorders>
          </w:tcPr>
          <w:p w14:paraId="531C2A68" w14:textId="77777777" w:rsidR="009D64B7" w:rsidRDefault="008B75B9">
            <w:pPr>
              <w:spacing w:after="0" w:line="259" w:lineRule="auto"/>
              <w:ind w:left="120" w:right="0" w:firstLine="0"/>
              <w:jc w:val="left"/>
            </w:pPr>
            <w:r>
              <w:t>GC-Gehalt für Primer und Sonde</w:t>
            </w:r>
          </w:p>
        </w:tc>
        <w:tc>
          <w:tcPr>
            <w:tcW w:w="1762" w:type="dxa"/>
            <w:tcBorders>
              <w:top w:val="nil"/>
              <w:left w:val="nil"/>
              <w:bottom w:val="nil"/>
              <w:right w:val="nil"/>
            </w:tcBorders>
          </w:tcPr>
          <w:p w14:paraId="7A93C7B9" w14:textId="77777777" w:rsidR="009D64B7" w:rsidRDefault="008B75B9">
            <w:pPr>
              <w:spacing w:after="0" w:line="259" w:lineRule="auto"/>
              <w:ind w:left="0" w:right="0" w:firstLine="0"/>
              <w:jc w:val="left"/>
            </w:pPr>
            <w:r>
              <w:t>40 - 60 %</w:t>
            </w:r>
          </w:p>
        </w:tc>
      </w:tr>
      <w:tr w:rsidR="009D64B7" w14:paraId="1C5DE241" w14:textId="77777777">
        <w:trPr>
          <w:trHeight w:val="289"/>
        </w:trPr>
        <w:tc>
          <w:tcPr>
            <w:tcW w:w="4756" w:type="dxa"/>
            <w:tcBorders>
              <w:top w:val="nil"/>
              <w:left w:val="nil"/>
              <w:bottom w:val="nil"/>
              <w:right w:val="nil"/>
            </w:tcBorders>
          </w:tcPr>
          <w:p w14:paraId="51B26B89" w14:textId="77777777" w:rsidR="009D64B7" w:rsidRDefault="008B75B9">
            <w:pPr>
              <w:spacing w:after="0" w:line="259" w:lineRule="auto"/>
              <w:ind w:left="120" w:right="0" w:firstLine="0"/>
              <w:jc w:val="left"/>
            </w:pPr>
            <w:r>
              <w:t>Hintergrund-Kreuzreaktivitäts-Grenzwert</w:t>
            </w:r>
          </w:p>
        </w:tc>
        <w:tc>
          <w:tcPr>
            <w:tcW w:w="1762" w:type="dxa"/>
            <w:tcBorders>
              <w:top w:val="nil"/>
              <w:left w:val="nil"/>
              <w:bottom w:val="nil"/>
              <w:right w:val="nil"/>
            </w:tcBorders>
          </w:tcPr>
          <w:p w14:paraId="44D43764" w14:textId="77777777" w:rsidR="009D64B7" w:rsidRDefault="008B75B9">
            <w:pPr>
              <w:spacing w:after="0" w:line="259" w:lineRule="auto"/>
              <w:ind w:left="0" w:right="0" w:firstLine="0"/>
              <w:jc w:val="left"/>
            </w:pPr>
            <w:r>
              <w:t>65 %</w:t>
            </w:r>
          </w:p>
        </w:tc>
      </w:tr>
      <w:tr w:rsidR="009D64B7" w14:paraId="09D457AD" w14:textId="77777777">
        <w:trPr>
          <w:trHeight w:val="295"/>
        </w:trPr>
        <w:tc>
          <w:tcPr>
            <w:tcW w:w="4756" w:type="dxa"/>
            <w:tcBorders>
              <w:top w:val="nil"/>
              <w:left w:val="nil"/>
              <w:bottom w:val="single" w:sz="6" w:space="0" w:color="000000"/>
              <w:right w:val="nil"/>
            </w:tcBorders>
          </w:tcPr>
          <w:p w14:paraId="58BD92CE" w14:textId="77777777" w:rsidR="009D64B7" w:rsidRDefault="008B75B9">
            <w:pPr>
              <w:spacing w:after="0" w:line="259" w:lineRule="auto"/>
              <w:ind w:left="120" w:right="0" w:firstLine="0"/>
              <w:jc w:val="left"/>
            </w:pPr>
            <w:r>
              <w:t xml:space="preserve">Prozentuale Primer-Sonden </w:t>
            </w:r>
            <w:proofErr w:type="spellStart"/>
            <w:r>
              <w:t>Dimersierungstoleranz</w:t>
            </w:r>
            <w:proofErr w:type="spellEnd"/>
          </w:p>
        </w:tc>
        <w:tc>
          <w:tcPr>
            <w:tcW w:w="1762" w:type="dxa"/>
            <w:tcBorders>
              <w:top w:val="nil"/>
              <w:left w:val="nil"/>
              <w:bottom w:val="single" w:sz="6" w:space="0" w:color="000000"/>
              <w:right w:val="nil"/>
            </w:tcBorders>
          </w:tcPr>
          <w:p w14:paraId="7BB5D5B4" w14:textId="77777777" w:rsidR="009D64B7" w:rsidRDefault="008B75B9">
            <w:pPr>
              <w:spacing w:after="0" w:line="259" w:lineRule="auto"/>
              <w:ind w:left="0" w:right="0" w:firstLine="0"/>
              <w:jc w:val="left"/>
            </w:pPr>
            <w:r>
              <w:t>40 %</w:t>
            </w:r>
          </w:p>
        </w:tc>
      </w:tr>
    </w:tbl>
    <w:p w14:paraId="32342FEF" w14:textId="77777777" w:rsidR="009D64B7" w:rsidRDefault="008B75B9">
      <w:pPr>
        <w:spacing w:after="270"/>
        <w:ind w:left="47" w:right="14"/>
      </w:pPr>
      <w:r>
        <w:t>Als Referenzsequenz für das Influenza A Virus dienten die Sequenzen des Virusgenomsegmentes 7 der Subtypen H1N1 (</w:t>
      </w:r>
      <w:proofErr w:type="spellStart"/>
      <w:r>
        <w:t>GenBank</w:t>
      </w:r>
      <w:proofErr w:type="spellEnd"/>
      <w:r>
        <w:t xml:space="preserve"> Nr.: MT341937) und H3N2 (</w:t>
      </w:r>
      <w:proofErr w:type="spellStart"/>
      <w:r>
        <w:t>GenBank</w:t>
      </w:r>
      <w:proofErr w:type="spellEnd"/>
      <w:r>
        <w:t xml:space="preserve"> Nr.: MT244214). Die Primer und Sonden wurden so gewählt, </w:t>
      </w:r>
      <w:proofErr w:type="gramStart"/>
      <w:r>
        <w:t>das</w:t>
      </w:r>
      <w:proofErr w:type="gramEnd"/>
      <w:r>
        <w:t xml:space="preserve"> sie 3 oder weniger Basenfehlpaarungen zwi</w:t>
      </w:r>
      <w:r>
        <w:t>schen den beiden Subtypen aufweisen. Für das Influenza B Virus diente das Virusgenomsegment 8 (</w:t>
      </w:r>
      <w:proofErr w:type="spellStart"/>
      <w:r>
        <w:t>GenBank</w:t>
      </w:r>
      <w:proofErr w:type="spellEnd"/>
      <w:r>
        <w:t xml:space="preserve"> Nr.: MT637911) als Referenzsequenz. Alle konstruierten Primer/Sonden Sets wurden mit dem Online-Programm </w:t>
      </w:r>
      <w:proofErr w:type="spellStart"/>
      <w:r>
        <w:rPr>
          <w:i/>
        </w:rPr>
        <w:t>PrimerDimer</w:t>
      </w:r>
      <w:proofErr w:type="spellEnd"/>
      <w:r>
        <w:rPr>
          <w:color w:val="4169E1"/>
          <w:vertAlign w:val="superscript"/>
        </w:rPr>
        <w:footnoteReference w:id="1"/>
      </w:r>
      <w:r>
        <w:rPr>
          <w:color w:val="4169E1"/>
          <w:vertAlign w:val="superscript"/>
        </w:rPr>
        <w:t xml:space="preserve"> </w:t>
      </w:r>
      <w:r>
        <w:t>von Johnston et al. (</w:t>
      </w:r>
      <w:r>
        <w:rPr>
          <w:color w:val="4169E1"/>
        </w:rPr>
        <w:t>2019</w:t>
      </w:r>
      <w:r>
        <w:t>) auf Eig</w:t>
      </w:r>
      <w:r>
        <w:t xml:space="preserve">enhybridisierung und </w:t>
      </w:r>
      <w:proofErr w:type="spellStart"/>
      <w:r>
        <w:t>Dimerbildung</w:t>
      </w:r>
      <w:proofErr w:type="spellEnd"/>
      <w:r>
        <w:t xml:space="preserve"> mit den anderen Konstrukten untersucht. Im Anschluss wurden die Primer-Sonden-Sets mit DNA-Sequenzen des gleichen Virusgenomsegmentes von älteren Stämmen verglichen und mögliche Fehlpaarungen durch die Einführung von degen</w:t>
      </w:r>
      <w:r>
        <w:t xml:space="preserve">erierten Primern vermieden. Für das Alignment wurde das Online-Programm </w:t>
      </w:r>
      <w:proofErr w:type="spellStart"/>
      <w:r>
        <w:rPr>
          <w:i/>
        </w:rPr>
        <w:t>Clustal</w:t>
      </w:r>
      <w:proofErr w:type="spellEnd"/>
      <w:r>
        <w:rPr>
          <w:i/>
        </w:rPr>
        <w:t xml:space="preserve"> Omega</w:t>
      </w:r>
      <w:r>
        <w:rPr>
          <w:color w:val="4169E1"/>
          <w:vertAlign w:val="superscript"/>
        </w:rPr>
        <w:footnoteReference w:id="2"/>
      </w:r>
      <w:r>
        <w:rPr>
          <w:color w:val="4169E1"/>
          <w:vertAlign w:val="superscript"/>
        </w:rPr>
        <w:t xml:space="preserve"> </w:t>
      </w:r>
      <w:r>
        <w:t>verwendet (</w:t>
      </w:r>
      <w:r>
        <w:rPr>
          <w:color w:val="4169E1"/>
        </w:rPr>
        <w:t>Sievers and Higgins 2017</w:t>
      </w:r>
      <w:r>
        <w:t>). Für die Influenza A Primer-Sonden-Sets wurden zusätzlich degenerierte Basen eingeführt, um eine optimales Alignment an die Sequenz</w:t>
      </w:r>
      <w:r>
        <w:t xml:space="preserve">en der beiden Subtypen zu gewährleisten. Bei den Influenza B Primer/Sonden Sets war dies nicht notwendig, da die Sequenzen im gewählten Bereich vollständig </w:t>
      </w:r>
      <w:proofErr w:type="gramStart"/>
      <w:r>
        <w:t>Homolog</w:t>
      </w:r>
      <w:proofErr w:type="gramEnd"/>
      <w:r>
        <w:t xml:space="preserve"> sind.</w:t>
      </w:r>
    </w:p>
    <w:p w14:paraId="171FC47C" w14:textId="77777777" w:rsidR="009D64B7" w:rsidRDefault="008B75B9">
      <w:pPr>
        <w:pStyle w:val="berschrift3"/>
        <w:tabs>
          <w:tab w:val="center" w:pos="3007"/>
        </w:tabs>
        <w:ind w:left="0" w:firstLine="0"/>
      </w:pPr>
      <w:bookmarkStart w:id="2" w:name="_Toc28893"/>
      <w:r>
        <w:t>1.1.2</w:t>
      </w:r>
      <w:r>
        <w:tab/>
        <w:t>Fluoreszenzsonden und deren Modifikationen</w:t>
      </w:r>
      <w:bookmarkEnd w:id="2"/>
    </w:p>
    <w:p w14:paraId="38C188A9" w14:textId="77777777" w:rsidR="009D64B7" w:rsidRDefault="008B75B9">
      <w:pPr>
        <w:ind w:left="47" w:right="14"/>
      </w:pPr>
      <w:r>
        <w:t>Der Mechanismus der Signalgenerierung</w:t>
      </w:r>
      <w:r>
        <w:t xml:space="preserve"> von Fluoreszenzsonden ist bei PCR und RPA gleich. Es Beruht auf wie bereits erwähnt (siehe </w:t>
      </w:r>
      <w:r>
        <w:rPr>
          <w:b/>
        </w:rPr>
        <w:t>??</w:t>
      </w:r>
      <w:r>
        <w:t xml:space="preserve">) dem FRET-Prinzip, welches während der Reaktion durch die räumliche Trennung des Reporterfluorophors und des </w:t>
      </w:r>
      <w:proofErr w:type="spellStart"/>
      <w:r>
        <w:t>Quenchers</w:t>
      </w:r>
      <w:proofErr w:type="spellEnd"/>
      <w:r>
        <w:t xml:space="preserve"> außer Kraft gesetzt wird.</w:t>
      </w:r>
    </w:p>
    <w:p w14:paraId="73A49D66" w14:textId="77777777" w:rsidR="009D64B7" w:rsidRDefault="008B75B9">
      <w:pPr>
        <w:spacing w:after="185" w:line="259" w:lineRule="auto"/>
        <w:ind w:left="55" w:right="0" w:hanging="10"/>
        <w:jc w:val="left"/>
      </w:pPr>
      <w:r>
        <w:rPr>
          <w:b/>
        </w:rPr>
        <w:lastRenderedPageBreak/>
        <w:t>PCR-Sonden</w:t>
      </w:r>
    </w:p>
    <w:p w14:paraId="0D374260" w14:textId="21369A80" w:rsidR="009D64B7" w:rsidRDefault="008B75B9">
      <w:pPr>
        <w:spacing w:after="110"/>
        <w:ind w:left="47" w:right="14"/>
      </w:pPr>
      <w:r>
        <w:t xml:space="preserve">Alle </w:t>
      </w:r>
      <w:r>
        <w:t xml:space="preserve">verwendeten PCR-Sonden wurden am 5´-Ende mit einem Reporterfluorophor und am 3´-Ende mit einem </w:t>
      </w:r>
      <w:proofErr w:type="spellStart"/>
      <w:r>
        <w:t>Quencher</w:t>
      </w:r>
      <w:proofErr w:type="spellEnd"/>
      <w:r>
        <w:t xml:space="preserve"> markiert. Zusätzlich wurde an der 9 Basenposition ein zweiter </w:t>
      </w:r>
      <w:proofErr w:type="spellStart"/>
      <w:r>
        <w:t>Quencher</w:t>
      </w:r>
      <w:proofErr w:type="spellEnd"/>
      <w:r>
        <w:t xml:space="preserve"> </w:t>
      </w:r>
      <w:r w:rsidR="002604BD">
        <w:t>eingebaut,</w:t>
      </w:r>
      <w:r>
        <w:t xml:space="preserve"> um unspezifische Signale zu verringern (</w:t>
      </w:r>
      <w:proofErr w:type="spellStart"/>
      <w:r>
        <w:rPr>
          <w:color w:val="4169E1"/>
        </w:rPr>
        <w:t>Biomers</w:t>
      </w:r>
      <w:proofErr w:type="spellEnd"/>
      <w:r>
        <w:rPr>
          <w:color w:val="4169E1"/>
        </w:rPr>
        <w:t xml:space="preserve"> 2023b</w:t>
      </w:r>
      <w:r>
        <w:t>).</w:t>
      </w:r>
    </w:p>
    <w:p w14:paraId="1BFA1B25" w14:textId="77777777" w:rsidR="009D64B7" w:rsidRDefault="008B75B9">
      <w:pPr>
        <w:spacing w:after="185" w:line="259" w:lineRule="auto"/>
        <w:ind w:left="55" w:right="0" w:hanging="10"/>
        <w:jc w:val="left"/>
      </w:pPr>
      <w:r>
        <w:rPr>
          <w:b/>
        </w:rPr>
        <w:t>RPA-Sonden</w:t>
      </w:r>
    </w:p>
    <w:p w14:paraId="64F00BBE" w14:textId="77777777" w:rsidR="009D64B7" w:rsidRDefault="008B75B9">
      <w:pPr>
        <w:ind w:left="47" w:right="14"/>
      </w:pPr>
      <w:r>
        <w:t xml:space="preserve">Das </w:t>
      </w:r>
      <w:r>
        <w:t>Design der RPA-Sonden erfolgte wie in Behrmann et al. (</w:t>
      </w:r>
      <w:r>
        <w:rPr>
          <w:color w:val="4169E1"/>
        </w:rPr>
        <w:t>2020</w:t>
      </w:r>
      <w:r>
        <w:t xml:space="preserve">) beschrieben durchgeführt. Dazu wurde die erste </w:t>
      </w:r>
      <w:proofErr w:type="spellStart"/>
      <w:r>
        <w:t>Thymin</w:t>
      </w:r>
      <w:proofErr w:type="spellEnd"/>
      <w:r>
        <w:t>-Base nach ca. 30 bp mit dem Reporterfluorophor markiert, gefolgt von einer a-basischen</w:t>
      </w:r>
    </w:p>
    <w:p w14:paraId="67FF65CB" w14:textId="77777777" w:rsidR="009D64B7" w:rsidRDefault="008B75B9">
      <w:pPr>
        <w:spacing w:after="50" w:line="259" w:lineRule="auto"/>
        <w:ind w:left="47" w:right="14"/>
      </w:pPr>
      <w:r>
        <w:t>Seite. Diese besteht aus einem Zuckerphosphat-Rückgrat</w:t>
      </w:r>
      <w:r>
        <w:t xml:space="preserve"> ohne </w:t>
      </w:r>
      <w:proofErr w:type="spellStart"/>
      <w:r>
        <w:t>Nucleobase</w:t>
      </w:r>
      <w:proofErr w:type="spellEnd"/>
      <w:r>
        <w:t>. Nachfolgend wurde über interne</w:t>
      </w:r>
    </w:p>
    <w:p w14:paraId="4BF0FA8E" w14:textId="77777777" w:rsidR="009D64B7" w:rsidRDefault="008B75B9">
      <w:pPr>
        <w:ind w:left="47" w:right="14"/>
      </w:pPr>
      <w:r>
        <w:t xml:space="preserve">“linker” an die Phosphatgruppen des DNA-Rückgrades der nächsten zwei Nukleotide ein entsprechender </w:t>
      </w:r>
      <w:proofErr w:type="spellStart"/>
      <w:r>
        <w:t>Quencher</w:t>
      </w:r>
      <w:proofErr w:type="spellEnd"/>
      <w:r>
        <w:t xml:space="preserve"> gekoppelt (siehe Abbildung </w:t>
      </w:r>
      <w:r>
        <w:rPr>
          <w:color w:val="4169E1"/>
        </w:rPr>
        <w:t>1</w:t>
      </w:r>
      <w:r>
        <w:t xml:space="preserve">). Am 3´-Ende wurde die Sonde mit einem </w:t>
      </w:r>
      <w:proofErr w:type="spellStart"/>
      <w:r>
        <w:t>dreikettigen</w:t>
      </w:r>
      <w:proofErr w:type="spellEnd"/>
      <w:r>
        <w:t xml:space="preserve"> Kohlenstoff-</w:t>
      </w:r>
    </w:p>
    <w:p w14:paraId="76C9034F" w14:textId="77777777" w:rsidR="009D64B7" w:rsidRDefault="008B75B9">
      <w:pPr>
        <w:spacing w:after="59" w:line="259" w:lineRule="auto"/>
        <w:ind w:left="47" w:right="14"/>
      </w:pPr>
      <w:r>
        <w:t>Rest versehen, um eine Kettenverlängerung der Sonde zu</w:t>
      </w:r>
      <w:r>
        <w:t xml:space="preserve"> unterbinden (</w:t>
      </w:r>
      <w:r>
        <w:rPr>
          <w:color w:val="4169E1"/>
        </w:rPr>
        <w:t>Behrmann et al. 2020</w:t>
      </w:r>
      <w:r>
        <w:t xml:space="preserve">; </w:t>
      </w:r>
      <w:proofErr w:type="spellStart"/>
      <w:r>
        <w:rPr>
          <w:color w:val="4169E1"/>
        </w:rPr>
        <w:t>Biomers</w:t>
      </w:r>
      <w:proofErr w:type="spellEnd"/>
      <w:r>
        <w:rPr>
          <w:color w:val="4169E1"/>
        </w:rPr>
        <w:t xml:space="preserve"> 2023a</w:t>
      </w:r>
      <w:r>
        <w:t>).</w:t>
      </w:r>
    </w:p>
    <w:p w14:paraId="1890D2DB" w14:textId="77777777" w:rsidR="009D64B7" w:rsidRDefault="008B75B9">
      <w:pPr>
        <w:spacing w:after="50" w:line="259" w:lineRule="auto"/>
        <w:ind w:left="47" w:right="14"/>
      </w:pPr>
      <w:r>
        <w:t>Zusätzlich wurde für das Influenza A Virus eine zweite Sonde mit der gleichen Sequenz, wie beschrieben</w:t>
      </w:r>
    </w:p>
    <w:p w14:paraId="06F5D76E" w14:textId="77777777" w:rsidR="009D64B7" w:rsidRDefault="008B75B9">
      <w:pPr>
        <w:ind w:left="47" w:right="14"/>
      </w:pPr>
      <w:r>
        <w:t xml:space="preserve">Modifiziert. Die Kopplung des </w:t>
      </w:r>
      <w:proofErr w:type="spellStart"/>
      <w:r>
        <w:t>Quenchers</w:t>
      </w:r>
      <w:proofErr w:type="spellEnd"/>
      <w:r>
        <w:t xml:space="preserve"> erfolgte jedoch an das nachfolgende </w:t>
      </w:r>
      <w:proofErr w:type="spellStart"/>
      <w:r>
        <w:t>dT</w:t>
      </w:r>
      <w:proofErr w:type="spellEnd"/>
      <w:r>
        <w:t>-Nukleotid (siehe Abbil</w:t>
      </w:r>
      <w:r>
        <w:t xml:space="preserve">dung </w:t>
      </w:r>
      <w:r>
        <w:rPr>
          <w:color w:val="4169E1"/>
        </w:rPr>
        <w:t>1</w:t>
      </w:r>
      <w:r>
        <w:t>B).</w:t>
      </w:r>
    </w:p>
    <w:p w14:paraId="20564F76" w14:textId="77777777" w:rsidR="009D64B7" w:rsidRDefault="008B75B9">
      <w:pPr>
        <w:spacing w:after="278" w:line="259" w:lineRule="auto"/>
        <w:ind w:left="762" w:right="0" w:firstLine="0"/>
        <w:jc w:val="left"/>
      </w:pPr>
      <w:r>
        <w:rPr>
          <w:noProof/>
        </w:rPr>
        <w:drawing>
          <wp:inline distT="0" distB="0" distL="0" distR="0" wp14:anchorId="4CE069C5" wp14:editId="58468ED2">
            <wp:extent cx="5051945" cy="2212652"/>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7"/>
                    <a:stretch>
                      <a:fillRect/>
                    </a:stretch>
                  </pic:blipFill>
                  <pic:spPr>
                    <a:xfrm>
                      <a:off x="0" y="0"/>
                      <a:ext cx="5051945" cy="2212652"/>
                    </a:xfrm>
                    <a:prstGeom prst="rect">
                      <a:avLst/>
                    </a:prstGeom>
                  </pic:spPr>
                </pic:pic>
              </a:graphicData>
            </a:graphic>
          </wp:inline>
        </w:drawing>
      </w:r>
    </w:p>
    <w:p w14:paraId="2A3313B2" w14:textId="77777777" w:rsidR="009D64B7" w:rsidRDefault="008B75B9">
      <w:pPr>
        <w:spacing w:after="458" w:line="261" w:lineRule="auto"/>
        <w:ind w:left="47" w:right="14"/>
      </w:pPr>
      <w:r>
        <w:t xml:space="preserve">Abbildung 1: </w:t>
      </w:r>
      <w:r>
        <w:rPr>
          <w:b/>
        </w:rPr>
        <w:t>Schematischer Aufbau der RPA-Sonden</w:t>
      </w:r>
      <w:r>
        <w:t xml:space="preserve">: Modell der RPA </w:t>
      </w:r>
      <w:proofErr w:type="spellStart"/>
      <w:r>
        <w:t>sonden</w:t>
      </w:r>
      <w:proofErr w:type="spellEnd"/>
      <w:r>
        <w:t xml:space="preserve"> mit Reporterfluorophor, </w:t>
      </w:r>
      <w:proofErr w:type="spellStart"/>
      <w:r>
        <w:t>Quencher</w:t>
      </w:r>
      <w:proofErr w:type="spellEnd"/>
      <w:r>
        <w:t xml:space="preserve">, a-basischer Seite und Kohlenstoffrest gebunden an die Ziel-DNA. </w:t>
      </w:r>
      <w:r>
        <w:rPr>
          <w:b/>
        </w:rPr>
        <w:t>A</w:t>
      </w:r>
      <w:r>
        <w:t xml:space="preserve">: Sonde mit intern gebundenem </w:t>
      </w:r>
      <w:proofErr w:type="spellStart"/>
      <w:r>
        <w:t>Quencher</w:t>
      </w:r>
      <w:proofErr w:type="spellEnd"/>
      <w:r>
        <w:t xml:space="preserve"> (</w:t>
      </w:r>
      <w:proofErr w:type="spellStart"/>
      <w:r>
        <w:rPr>
          <w:i/>
        </w:rPr>
        <w:t>internally</w:t>
      </w:r>
      <w:proofErr w:type="spellEnd"/>
      <w:r>
        <w:rPr>
          <w:i/>
        </w:rPr>
        <w:t xml:space="preserve"> </w:t>
      </w:r>
      <w:proofErr w:type="spellStart"/>
      <w:r>
        <w:rPr>
          <w:i/>
        </w:rPr>
        <w:t>quenched</w:t>
      </w:r>
      <w:proofErr w:type="spellEnd"/>
      <w:r>
        <w:t xml:space="preserve">). </w:t>
      </w:r>
      <w:r>
        <w:rPr>
          <w:b/>
        </w:rPr>
        <w:t>B</w:t>
      </w:r>
      <w:r>
        <w:t xml:space="preserve">: Sonde mit </w:t>
      </w:r>
      <w:proofErr w:type="spellStart"/>
      <w:r>
        <w:t>dT</w:t>
      </w:r>
      <w:proofErr w:type="spellEnd"/>
      <w:r>
        <w:t xml:space="preserve">-gekoppeltem </w:t>
      </w:r>
      <w:proofErr w:type="spellStart"/>
      <w:r>
        <w:t>Quechner</w:t>
      </w:r>
      <w:proofErr w:type="spellEnd"/>
      <w:r>
        <w:t xml:space="preserve"> (</w:t>
      </w:r>
      <w:proofErr w:type="spellStart"/>
      <w:r>
        <w:rPr>
          <w:i/>
        </w:rPr>
        <w:t>dT-quenched</w:t>
      </w:r>
      <w:proofErr w:type="spellEnd"/>
      <w:r>
        <w:t>).</w:t>
      </w:r>
    </w:p>
    <w:p w14:paraId="0487657D" w14:textId="77777777" w:rsidR="009D64B7" w:rsidRDefault="008B75B9">
      <w:pPr>
        <w:pStyle w:val="berschrift3"/>
        <w:tabs>
          <w:tab w:val="center" w:pos="2982"/>
        </w:tabs>
        <w:ind w:left="0" w:firstLine="0"/>
      </w:pPr>
      <w:bookmarkStart w:id="3" w:name="_Toc28894"/>
      <w:r>
        <w:t>1.1.3</w:t>
      </w:r>
      <w:r>
        <w:tab/>
        <w:t xml:space="preserve">Statistische </w:t>
      </w:r>
      <w:r>
        <w:t>Auswertung der Amplifikationen</w:t>
      </w:r>
      <w:bookmarkEnd w:id="3"/>
    </w:p>
    <w:p w14:paraId="594D2D5F" w14:textId="77777777" w:rsidR="009D64B7" w:rsidRDefault="008B75B9">
      <w:pPr>
        <w:ind w:left="47" w:right="14"/>
      </w:pPr>
      <w:r>
        <w:t>Für die Entwicklung und Optimierung von Amplifikationsverfahren ist eine einheitliche statistische Auswertung notwendig (</w:t>
      </w:r>
      <w:r>
        <w:rPr>
          <w:color w:val="4169E1"/>
        </w:rPr>
        <w:t xml:space="preserve">Rödiger, </w:t>
      </w:r>
      <w:proofErr w:type="spellStart"/>
      <w:r>
        <w:rPr>
          <w:color w:val="4169E1"/>
        </w:rPr>
        <w:t>Burdukiewicz</w:t>
      </w:r>
      <w:proofErr w:type="spellEnd"/>
      <w:r>
        <w:rPr>
          <w:color w:val="4169E1"/>
        </w:rPr>
        <w:t>, and Schierack 2015</w:t>
      </w:r>
      <w:r>
        <w:t>). Als Werkzeug einer digitalen Analyse wurde die “open source”</w:t>
      </w:r>
      <w:r>
        <w:t xml:space="preserve"> Programmiersprache R verwendet, welche für spezifische Anwendungen durch die Verwendung sogenannter “</w:t>
      </w:r>
      <w:proofErr w:type="spellStart"/>
      <w:r>
        <w:t>packages</w:t>
      </w:r>
      <w:proofErr w:type="spellEnd"/>
      <w:r>
        <w:t>” beliebig erweiterbar ist (</w:t>
      </w:r>
      <w:proofErr w:type="spellStart"/>
      <w:r>
        <w:rPr>
          <w:color w:val="4169E1"/>
        </w:rPr>
        <w:t>Pabinger</w:t>
      </w:r>
      <w:proofErr w:type="spellEnd"/>
      <w:r>
        <w:rPr>
          <w:color w:val="4169E1"/>
        </w:rPr>
        <w:t xml:space="preserve"> et al. 2014</w:t>
      </w:r>
      <w:r>
        <w:t>).</w:t>
      </w:r>
    </w:p>
    <w:p w14:paraId="00D281DD" w14:textId="77777777" w:rsidR="009D64B7" w:rsidRDefault="008B75B9">
      <w:pPr>
        <w:spacing w:after="50" w:line="259" w:lineRule="auto"/>
        <w:ind w:left="55" w:right="0" w:hanging="10"/>
        <w:jc w:val="left"/>
      </w:pPr>
      <w:r>
        <w:rPr>
          <w:b/>
        </w:rPr>
        <w:t>Normalisierung der Fluoreszenz-Daten:</w:t>
      </w:r>
    </w:p>
    <w:p w14:paraId="26CCA16D" w14:textId="77777777" w:rsidR="009D64B7" w:rsidRDefault="008B75B9">
      <w:pPr>
        <w:ind w:left="47" w:right="14"/>
      </w:pPr>
      <w:r>
        <w:t>Für die Normalisierung der Daten wurde der Mittelwert der</w:t>
      </w:r>
      <w:r>
        <w:t xml:space="preserve"> ersten fünf Messwerte jeder Amplifikationskurve berechnet, wie bei Ritz and </w:t>
      </w:r>
      <w:proofErr w:type="spellStart"/>
      <w:r>
        <w:t>Spiess</w:t>
      </w:r>
      <w:proofErr w:type="spellEnd"/>
      <w:r>
        <w:t xml:space="preserve"> (</w:t>
      </w:r>
      <w:r>
        <w:rPr>
          <w:color w:val="4169E1"/>
        </w:rPr>
        <w:t>2008</w:t>
      </w:r>
      <w:r>
        <w:t>) beschrieben und von diesem Datensatz subtrahiert.</w:t>
      </w:r>
    </w:p>
    <w:p w14:paraId="13599789" w14:textId="77777777" w:rsidR="009D64B7" w:rsidRDefault="008B75B9">
      <w:pPr>
        <w:spacing w:after="50" w:line="259" w:lineRule="auto"/>
        <w:ind w:left="55" w:right="0" w:hanging="10"/>
        <w:jc w:val="left"/>
      </w:pPr>
      <w:r>
        <w:rPr>
          <w:b/>
        </w:rPr>
        <w:t>Ermittlung signifikanter Amplifikationen:</w:t>
      </w:r>
    </w:p>
    <w:p w14:paraId="6F1725F1" w14:textId="77777777" w:rsidR="009D64B7" w:rsidRDefault="008B75B9">
      <w:pPr>
        <w:spacing w:after="163"/>
        <w:ind w:left="47" w:right="14"/>
      </w:pPr>
      <w:r>
        <w:lastRenderedPageBreak/>
        <w:t>Die Überprüfung, ob es sich bei den gemessenen Fluoreszenz-Datensatz um e</w:t>
      </w:r>
      <w:r>
        <w:t xml:space="preserve">ine positive Amplifikation handelt, wurde mit dem </w:t>
      </w:r>
      <w:proofErr w:type="spellStart"/>
      <w:r>
        <w:rPr>
          <w:i/>
        </w:rPr>
        <w:t>chipPCR</w:t>
      </w:r>
      <w:proofErr w:type="spellEnd"/>
      <w:r>
        <w:rPr>
          <w:i/>
        </w:rPr>
        <w:t xml:space="preserve"> </w:t>
      </w:r>
      <w:r>
        <w:t xml:space="preserve">Paket, von Rödiger, </w:t>
      </w:r>
      <w:proofErr w:type="spellStart"/>
      <w:r>
        <w:t>Burdukiewicz</w:t>
      </w:r>
      <w:proofErr w:type="spellEnd"/>
      <w:r>
        <w:t>, and Schierack (</w:t>
      </w:r>
      <w:r>
        <w:rPr>
          <w:color w:val="4169E1"/>
        </w:rPr>
        <w:t>2015</w:t>
      </w:r>
      <w:r>
        <w:t xml:space="preserve">) entwickelt, durchgeführt. Für die Auswertung wurden folgende Tests aus diesem </w:t>
      </w:r>
      <w:proofErr w:type="spellStart"/>
      <w:r>
        <w:t>package</w:t>
      </w:r>
      <w:proofErr w:type="spellEnd"/>
      <w:r>
        <w:t xml:space="preserve"> vorgenommen.</w:t>
      </w:r>
    </w:p>
    <w:p w14:paraId="66177576" w14:textId="77777777" w:rsidR="009D64B7" w:rsidRDefault="008B75B9">
      <w:pPr>
        <w:ind w:left="47" w:right="14"/>
      </w:pPr>
      <w:r>
        <w:rPr>
          <w:i/>
        </w:rPr>
        <w:t xml:space="preserve">Shapiro-Wilk Test: </w:t>
      </w:r>
      <w:r>
        <w:t xml:space="preserve">Negative Amplifikationen </w:t>
      </w:r>
      <w:r>
        <w:t xml:space="preserve">unterliegen einem gleichmäßig starken Rauschen, weswegen eine Normalverteilung der Daten gegeben ist. Bei positiven Amplifikationen hingegen sind die Daten durch den linearen Anstieg in der exponentiellen Phase der Amplifikation nicht mehr normalverteilt. </w:t>
      </w:r>
      <w:r>
        <w:t>Anhand dieser Gesetzmäßigkeit lassen sich durch einen Test auf Normalverteilung positive von negativen Amplifikationen unterscheiden (</w:t>
      </w:r>
      <w:r>
        <w:rPr>
          <w:color w:val="4169E1"/>
        </w:rPr>
        <w:t>Rödiger et al. 2022</w:t>
      </w:r>
      <w:r>
        <w:t>). Mithilfe des Shapiro-Wilk Tests für Normalität (beschrieben durch SHAPIRO and WILK (</w:t>
      </w:r>
      <w:r>
        <w:rPr>
          <w:color w:val="4169E1"/>
        </w:rPr>
        <w:t>1965</w:t>
      </w:r>
      <w:r>
        <w:t>)) für Norma</w:t>
      </w:r>
      <w:r>
        <w:t xml:space="preserve">lität wird der Datensatz auf Normalverteilung getestet. Bei errechneten P-Werten von </w:t>
      </w:r>
      <w:r>
        <w:t>≥ 5 ∗ 10</w:t>
      </w:r>
      <w:r>
        <w:rPr>
          <w:vertAlign w:val="superscript"/>
        </w:rPr>
        <w:t xml:space="preserve">−4 </w:t>
      </w:r>
      <w:r>
        <w:t>liegt keine Normalverteilung mehr vor und der Datensatz wird als positive Amplifikation gewertet.</w:t>
      </w:r>
    </w:p>
    <w:p w14:paraId="2D022F79" w14:textId="77777777" w:rsidR="009D64B7" w:rsidRDefault="008B75B9">
      <w:pPr>
        <w:ind w:left="47" w:right="14"/>
      </w:pPr>
      <w:r>
        <w:rPr>
          <w:i/>
        </w:rPr>
        <w:t xml:space="preserve">Residuen Wachstums Test: </w:t>
      </w:r>
      <w:r>
        <w:t>Bei diesem Test wird die Stabilität d</w:t>
      </w:r>
      <w:r>
        <w:t xml:space="preserve">er Residuen in der linearen Phase des Anstiegs untersucht. Residuen lassen sich bei einer linearen Regression als Abweichung der einzelnen Messwerte zu der vorhergesagten Gerade verstehen. Dabei wird der horizontale Abstand der einzelnen Messpunkte zu der </w:t>
      </w:r>
      <w:r>
        <w:t>berechneten geraden verwendet (</w:t>
      </w:r>
      <w:proofErr w:type="spellStart"/>
      <w:r>
        <w:rPr>
          <w:color w:val="4169E1"/>
        </w:rPr>
        <w:t>Fahrmeir</w:t>
      </w:r>
      <w:proofErr w:type="spellEnd"/>
      <w:r>
        <w:rPr>
          <w:color w:val="4169E1"/>
        </w:rPr>
        <w:t xml:space="preserve"> et al. 2016</w:t>
      </w:r>
      <w:r>
        <w:t xml:space="preserve">). Bei negativen Amplifikationen weichen die Fluoreszenzwerte von dem linearen Modell ab. Dadurch korrelieren die Residuen im Gegensatz zu positiven Amplifikationen stark mit den Fluoreszenzwerten. Anhand </w:t>
      </w:r>
      <w:r>
        <w:t>eines Schwellenwertes von 0,5 wird diese Korrelation untersucht und der Datensatz als positive bzw. negative Amplifikation eingestuft (</w:t>
      </w:r>
      <w:r>
        <w:rPr>
          <w:color w:val="4169E1"/>
        </w:rPr>
        <w:t>Rödiger et al. 2022</w:t>
      </w:r>
      <w:r>
        <w:t>).</w:t>
      </w:r>
    </w:p>
    <w:p w14:paraId="47E3F53F" w14:textId="77777777" w:rsidR="009D64B7" w:rsidRDefault="008B75B9">
      <w:pPr>
        <w:ind w:left="47" w:right="14"/>
      </w:pPr>
      <w:r>
        <w:rPr>
          <w:i/>
        </w:rPr>
        <w:t xml:space="preserve">Vergleichs Test: </w:t>
      </w:r>
      <w:r>
        <w:t>Innerhalb dieses Tests wird untersucht, ob die ersten 20 % des Datensatzes sich si</w:t>
      </w:r>
      <w:r>
        <w:t xml:space="preserve">gnifikant von den letzten 15 % unterscheiden. Dazu werden die beiden Datengruppen mit dem </w:t>
      </w:r>
      <w:proofErr w:type="spellStart"/>
      <w:r>
        <w:t>Wilcoxon</w:t>
      </w:r>
      <w:proofErr w:type="spellEnd"/>
      <w:r>
        <w:t>-Mann-</w:t>
      </w:r>
      <w:proofErr w:type="spellStart"/>
      <w:r>
        <w:t>WhitneyTest</w:t>
      </w:r>
      <w:proofErr w:type="spellEnd"/>
      <w:r>
        <w:t>, beschrieben durch Mann and Whitney (</w:t>
      </w:r>
      <w:r>
        <w:rPr>
          <w:color w:val="4169E1"/>
        </w:rPr>
        <w:t>1947</w:t>
      </w:r>
      <w:r>
        <w:t xml:space="preserve">), verglichen. Dieser Test erlaubt eine Aussage, ob zwei unabhängige Datengruppen sich signifikant </w:t>
      </w:r>
      <w:r>
        <w:t>voneinander unterscheiden (</w:t>
      </w:r>
      <w:r>
        <w:rPr>
          <w:color w:val="4169E1"/>
        </w:rPr>
        <w:t>Mann and Whitney 1947</w:t>
      </w:r>
      <w:r>
        <w:t>). Bei einem p-Wert &lt; 0,05 besteht ein solcher Unterschied und es handelt sich um eine positive Amplifikation.</w:t>
      </w:r>
    </w:p>
    <w:p w14:paraId="0F4445E2" w14:textId="77777777" w:rsidR="009D64B7" w:rsidRDefault="008B75B9">
      <w:pPr>
        <w:spacing w:after="212"/>
        <w:ind w:left="47" w:right="14"/>
      </w:pPr>
      <w:r>
        <w:rPr>
          <w:i/>
        </w:rPr>
        <w:t xml:space="preserve">Signal Level Test: </w:t>
      </w:r>
      <w:r>
        <w:t>Dieser Test vergleicht zwei aus dem Datensatz berechnete Werte. Ersterer berechnet sich aus Formel (</w:t>
      </w:r>
      <w:r>
        <w:rPr>
          <w:color w:val="4169E1"/>
        </w:rPr>
        <w:t>1</w:t>
      </w:r>
      <w:r>
        <w:t>), wobei MAD</w:t>
      </w:r>
      <w:r>
        <w:rPr>
          <w:color w:val="4169E1"/>
          <w:vertAlign w:val="superscript"/>
        </w:rPr>
        <w:footnoteReference w:id="3"/>
      </w:r>
      <w:r>
        <w:rPr>
          <w:color w:val="4169E1"/>
          <w:vertAlign w:val="superscript"/>
        </w:rPr>
        <w:t xml:space="preserve"> </w:t>
      </w:r>
      <w:r>
        <w:t xml:space="preserve">(engl. </w:t>
      </w:r>
      <w:proofErr w:type="spellStart"/>
      <w:r>
        <w:rPr>
          <w:i/>
        </w:rPr>
        <w:t>mean</w:t>
      </w:r>
      <w:proofErr w:type="spellEnd"/>
      <w:r>
        <w:rPr>
          <w:i/>
        </w:rPr>
        <w:t xml:space="preserve">-absolut </w:t>
      </w:r>
      <w:proofErr w:type="spellStart"/>
      <w:r>
        <w:rPr>
          <w:i/>
        </w:rPr>
        <w:t>deviation</w:t>
      </w:r>
      <w:proofErr w:type="spellEnd"/>
      <w:r>
        <w:t>) für die absolute Standardabweichung steht (siehe R-Dokumentation). Der zweite Wert ist das Signal-Rausch-Verhältnis</w:t>
      </w:r>
      <w:r>
        <w:rPr>
          <w:color w:val="4169E1"/>
          <w:vertAlign w:val="superscript"/>
        </w:rPr>
        <w:footnoteReference w:id="4"/>
      </w:r>
      <w:r>
        <w:rPr>
          <w:color w:val="4169E1"/>
          <w:vertAlign w:val="superscript"/>
        </w:rPr>
        <w:t xml:space="preserve"> </w:t>
      </w:r>
      <w:r>
        <w:t xml:space="preserve">(SNR, engl. </w:t>
      </w:r>
      <w:proofErr w:type="spellStart"/>
      <w:r>
        <w:rPr>
          <w:i/>
        </w:rPr>
        <w:t>signal</w:t>
      </w:r>
      <w:proofErr w:type="spellEnd"/>
      <w:r>
        <w:rPr>
          <w:i/>
        </w:rPr>
        <w:t xml:space="preserve"> </w:t>
      </w:r>
      <w:proofErr w:type="spellStart"/>
      <w:r>
        <w:rPr>
          <w:i/>
        </w:rPr>
        <w:t>noise</w:t>
      </w:r>
      <w:proofErr w:type="spellEnd"/>
      <w:r>
        <w:rPr>
          <w:i/>
        </w:rPr>
        <w:t xml:space="preserve"> </w:t>
      </w:r>
      <w:proofErr w:type="spellStart"/>
      <w:r>
        <w:rPr>
          <w:i/>
        </w:rPr>
        <w:t>ratio</w:t>
      </w:r>
      <w:proofErr w:type="spellEnd"/>
      <w:r>
        <w:t>), berechnet mit Formel (</w:t>
      </w:r>
      <w:r>
        <w:rPr>
          <w:color w:val="4169E1"/>
        </w:rPr>
        <w:t>2</w:t>
      </w:r>
      <w:r>
        <w:t xml:space="preserve">) (siehe R-Dokumentation). Bei einem um 25 % erhöhtem Wert des SNR im Vergleich </w:t>
      </w:r>
      <w:r>
        <w:t>zum ersten Wert wird die Amplifikation als positiv gewertet (</w:t>
      </w:r>
      <w:r>
        <w:rPr>
          <w:color w:val="4169E1"/>
        </w:rPr>
        <w:t>Rödiger et al. 2022</w:t>
      </w:r>
      <w:r>
        <w:t>).</w:t>
      </w:r>
    </w:p>
    <w:tbl>
      <w:tblPr>
        <w:tblStyle w:val="TableGrid"/>
        <w:tblpPr w:vertAnchor="text" w:tblpX="2297" w:tblpY="158"/>
        <w:tblOverlap w:val="never"/>
        <w:tblW w:w="7146" w:type="dxa"/>
        <w:tblInd w:w="0" w:type="dxa"/>
        <w:tblCellMar>
          <w:top w:w="24" w:type="dxa"/>
          <w:left w:w="0" w:type="dxa"/>
          <w:bottom w:w="0" w:type="dxa"/>
          <w:right w:w="0" w:type="dxa"/>
        </w:tblCellMar>
        <w:tblLook w:val="04A0" w:firstRow="1" w:lastRow="0" w:firstColumn="1" w:lastColumn="0" w:noHBand="0" w:noVBand="1"/>
      </w:tblPr>
      <w:tblGrid>
        <w:gridCol w:w="6891"/>
        <w:gridCol w:w="255"/>
      </w:tblGrid>
      <w:tr w:rsidR="009D64B7" w14:paraId="50CC58C4" w14:textId="77777777">
        <w:trPr>
          <w:trHeight w:val="500"/>
        </w:trPr>
        <w:tc>
          <w:tcPr>
            <w:tcW w:w="6891" w:type="dxa"/>
            <w:tcBorders>
              <w:top w:val="nil"/>
              <w:left w:val="nil"/>
              <w:bottom w:val="nil"/>
              <w:right w:val="nil"/>
            </w:tcBorders>
          </w:tcPr>
          <w:p w14:paraId="4939BA54" w14:textId="77777777" w:rsidR="009D64B7" w:rsidRDefault="008B75B9">
            <w:pPr>
              <w:tabs>
                <w:tab w:val="center" w:pos="2314"/>
                <w:tab w:val="center" w:pos="3789"/>
              </w:tabs>
              <w:spacing w:after="17" w:line="259" w:lineRule="auto"/>
              <w:ind w:left="0" w:right="0" w:firstLine="0"/>
              <w:jc w:val="left"/>
            </w:pPr>
            <w:r>
              <w:t>𝑀𝑒𝑑𝑖𝑎𝑛</w:t>
            </w:r>
            <w:r>
              <w:t xml:space="preserve"> + 2 ∗ </w:t>
            </w:r>
            <w:r>
              <w:t>𝑀𝐴𝐷</w:t>
            </w:r>
            <w:r>
              <w:tab/>
            </w:r>
            <w:r>
              <w:t>𝑚𝑖𝑡</w:t>
            </w:r>
            <w:r>
              <w:tab/>
            </w:r>
            <w:r>
              <w:t>𝑀𝐴𝐷</w:t>
            </w:r>
            <w:r>
              <w:t xml:space="preserve"> = </w:t>
            </w:r>
            <w:r>
              <w:t>𝑛</w:t>
            </w:r>
            <w:r>
              <w:rPr>
                <w:vertAlign w:val="superscript"/>
              </w:rPr>
              <w:t>−</w:t>
            </w:r>
            <w:r>
              <w:rPr>
                <w:vertAlign w:val="superscript"/>
              </w:rPr>
              <w:t xml:space="preserve">1 </w:t>
            </w:r>
            <w:r>
              <w:t>∑∣</w:t>
            </w:r>
            <w:r>
              <w:t>𝑂</w:t>
            </w:r>
            <w:r>
              <w:rPr>
                <w:vertAlign w:val="subscript"/>
              </w:rPr>
              <w:t>𝑖</w:t>
            </w:r>
            <w:r>
              <w:rPr>
                <w:vertAlign w:val="subscript"/>
              </w:rPr>
              <w:t xml:space="preserve"> </w:t>
            </w:r>
            <w:r>
              <w:t>−</w:t>
            </w:r>
            <w:r>
              <w:t xml:space="preserve"> </w:t>
            </w:r>
            <w:r>
              <w:t>𝑂</w:t>
            </w:r>
            <w:r>
              <w:t>∣</w:t>
            </w:r>
          </w:p>
          <w:p w14:paraId="46AE1071" w14:textId="77777777" w:rsidR="009D64B7" w:rsidRDefault="008B75B9">
            <w:pPr>
              <w:spacing w:after="0" w:line="259" w:lineRule="auto"/>
              <w:ind w:left="1073" w:right="0" w:firstLine="0"/>
              <w:jc w:val="center"/>
            </w:pPr>
            <w:r>
              <w:rPr>
                <w:sz w:val="14"/>
              </w:rPr>
              <w:t>𝑖</w:t>
            </w:r>
            <w:r>
              <w:rPr>
                <w:sz w:val="14"/>
              </w:rPr>
              <w:t>=1</w:t>
            </w:r>
          </w:p>
        </w:tc>
        <w:tc>
          <w:tcPr>
            <w:tcW w:w="255" w:type="dxa"/>
            <w:tcBorders>
              <w:top w:val="nil"/>
              <w:left w:val="nil"/>
              <w:bottom w:val="nil"/>
              <w:right w:val="nil"/>
            </w:tcBorders>
          </w:tcPr>
          <w:p w14:paraId="1EB9966B" w14:textId="77777777" w:rsidR="009D64B7" w:rsidRDefault="008B75B9">
            <w:pPr>
              <w:spacing w:after="0" w:line="259" w:lineRule="auto"/>
              <w:ind w:left="0" w:right="0" w:firstLine="0"/>
            </w:pPr>
            <w:r>
              <w:t>(1)</w:t>
            </w:r>
          </w:p>
        </w:tc>
      </w:tr>
      <w:tr w:rsidR="009D64B7" w14:paraId="38F3717D" w14:textId="77777777">
        <w:trPr>
          <w:trHeight w:val="544"/>
        </w:trPr>
        <w:tc>
          <w:tcPr>
            <w:tcW w:w="6891" w:type="dxa"/>
            <w:tcBorders>
              <w:top w:val="nil"/>
              <w:left w:val="nil"/>
              <w:bottom w:val="nil"/>
              <w:right w:val="nil"/>
            </w:tcBorders>
          </w:tcPr>
          <w:p w14:paraId="4A76457F" w14:textId="77777777" w:rsidR="009D64B7" w:rsidRDefault="008B75B9">
            <w:pPr>
              <w:spacing w:after="0" w:line="259" w:lineRule="auto"/>
              <w:ind w:left="1329" w:right="0" w:firstLine="0"/>
              <w:jc w:val="left"/>
            </w:pPr>
            <w:r>
              <w:t>𝑀𝑖𝑡𝑡𝑒𝑙𝑤𝑒𝑟𝑡</w:t>
            </w:r>
            <w:r>
              <w:t xml:space="preserve"> </w:t>
            </w:r>
            <w:r>
              <w:t>𝑑𝑒𝑟</w:t>
            </w:r>
            <w:r>
              <w:t xml:space="preserve"> </w:t>
            </w:r>
            <w:r>
              <w:t>𝐹𝑙𝑢𝑜𝑟𝑒𝑠𝑧𝑒𝑛𝑠𝑤𝑒𝑟𝑡𝑒</w:t>
            </w:r>
          </w:p>
          <w:p w14:paraId="3655015D" w14:textId="77777777" w:rsidR="009D64B7" w:rsidRDefault="008B75B9">
            <w:pPr>
              <w:spacing w:after="0" w:line="259" w:lineRule="auto"/>
              <w:ind w:left="115" w:right="0" w:firstLine="0"/>
              <w:jc w:val="left"/>
            </w:pPr>
            <w:r>
              <w:t>𝑆𝑁𝑅</w:t>
            </w:r>
            <w:r>
              <w:t xml:space="preserve"> = </w:t>
            </w:r>
            <w:r>
              <w:rPr>
                <w:rFonts w:ascii="Calibri" w:eastAsia="Calibri" w:hAnsi="Calibri" w:cs="Calibri"/>
                <w:noProof/>
                <w:sz w:val="22"/>
              </w:rPr>
              <mc:AlternateContent>
                <mc:Choice Requires="wpg">
                  <w:drawing>
                    <wp:inline distT="0" distB="0" distL="0" distR="0" wp14:anchorId="25E1E97B" wp14:editId="66C6C955">
                      <wp:extent cx="2457323" cy="5061"/>
                      <wp:effectExtent l="0" t="0" r="0" b="0"/>
                      <wp:docPr id="22856" name="Group 22856"/>
                      <wp:cNvGraphicFramePr/>
                      <a:graphic xmlns:a="http://schemas.openxmlformats.org/drawingml/2006/main">
                        <a:graphicData uri="http://schemas.microsoft.com/office/word/2010/wordprocessingGroup">
                          <wpg:wgp>
                            <wpg:cNvGrpSpPr/>
                            <wpg:grpSpPr>
                              <a:xfrm>
                                <a:off x="0" y="0"/>
                                <a:ext cx="2457323" cy="5061"/>
                                <a:chOff x="0" y="0"/>
                                <a:chExt cx="2457323" cy="5061"/>
                              </a:xfrm>
                            </wpg:grpSpPr>
                            <wps:wsp>
                              <wps:cNvPr id="442" name="Shape 442"/>
                              <wps:cNvSpPr/>
                              <wps:spPr>
                                <a:xfrm>
                                  <a:off x="0" y="0"/>
                                  <a:ext cx="2457323" cy="0"/>
                                </a:xfrm>
                                <a:custGeom>
                                  <a:avLst/>
                                  <a:gdLst/>
                                  <a:ahLst/>
                                  <a:cxnLst/>
                                  <a:rect l="0" t="0" r="0" b="0"/>
                                  <a:pathLst>
                                    <a:path w="2457323">
                                      <a:moveTo>
                                        <a:pt x="0" y="0"/>
                                      </a:moveTo>
                                      <a:lnTo>
                                        <a:pt x="245732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56" style="width:193.49pt;height:0.3985pt;mso-position-horizontal-relative:char;mso-position-vertical-relative:line" coordsize="24573,50">
                      <v:shape id="Shape 442" style="position:absolute;width:24573;height:0;left:0;top:0;" coordsize="2457323,0" path="m0,0l2457323,0">
                        <v:stroke weight="0.3985pt" endcap="flat" joinstyle="miter" miterlimit="10" on="true" color="#000000"/>
                        <v:fill on="false" color="#000000" opacity="0"/>
                      </v:shape>
                    </v:group>
                  </w:pict>
                </mc:Fallback>
              </mc:AlternateContent>
            </w:r>
          </w:p>
          <w:p w14:paraId="762219A9" w14:textId="77777777" w:rsidR="009D64B7" w:rsidRDefault="008B75B9">
            <w:pPr>
              <w:spacing w:after="0" w:line="259" w:lineRule="auto"/>
              <w:ind w:left="876" w:right="0" w:firstLine="0"/>
              <w:jc w:val="left"/>
            </w:pPr>
            <w:r>
              <w:t>𝑆𝑡𝑎𝑛𝑑𝑎𝑟𝑑𝑎𝑏𝑤𝑒𝑖𝑐</w:t>
            </w:r>
            <w:r>
              <w:t>ℎ</w:t>
            </w:r>
            <w:r>
              <w:t>𝑢𝑛𝑔</w:t>
            </w:r>
            <w:r>
              <w:t xml:space="preserve"> </w:t>
            </w:r>
            <w:r>
              <w:t>𝑑𝑒𝑟</w:t>
            </w:r>
            <w:r>
              <w:t xml:space="preserve"> </w:t>
            </w:r>
            <w:r>
              <w:t>𝐹𝑙𝑢𝑜𝑟𝑒𝑠𝑧𝑒𝑛𝑠𝑤𝑒𝑟𝑡𝑒</w:t>
            </w:r>
          </w:p>
        </w:tc>
        <w:tc>
          <w:tcPr>
            <w:tcW w:w="255" w:type="dxa"/>
            <w:tcBorders>
              <w:top w:val="nil"/>
              <w:left w:val="nil"/>
              <w:bottom w:val="nil"/>
              <w:right w:val="nil"/>
            </w:tcBorders>
            <w:vAlign w:val="center"/>
          </w:tcPr>
          <w:p w14:paraId="153F502C" w14:textId="77777777" w:rsidR="009D64B7" w:rsidRDefault="008B75B9">
            <w:pPr>
              <w:spacing w:after="0" w:line="259" w:lineRule="auto"/>
              <w:ind w:left="0" w:right="0" w:firstLine="0"/>
            </w:pPr>
            <w:r>
              <w:t>(2)</w:t>
            </w:r>
          </w:p>
        </w:tc>
      </w:tr>
    </w:tbl>
    <w:p w14:paraId="6E55A984" w14:textId="77777777" w:rsidR="009D64B7" w:rsidRDefault="008B75B9">
      <w:pPr>
        <w:spacing w:after="19" w:line="259" w:lineRule="auto"/>
        <w:ind w:left="3100"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269DD0" wp14:editId="2B812FE5">
                <wp:simplePos x="0" y="0"/>
                <wp:positionH relativeFrom="column">
                  <wp:posOffset>4428427</wp:posOffset>
                </wp:positionH>
                <wp:positionV relativeFrom="paragraph">
                  <wp:posOffset>110857</wp:posOffset>
                </wp:positionV>
                <wp:extent cx="97168" cy="5061"/>
                <wp:effectExtent l="0" t="0" r="0" b="0"/>
                <wp:wrapSquare wrapText="bothSides"/>
                <wp:docPr id="20918" name="Group 20918"/>
                <wp:cNvGraphicFramePr/>
                <a:graphic xmlns:a="http://schemas.openxmlformats.org/drawingml/2006/main">
                  <a:graphicData uri="http://schemas.microsoft.com/office/word/2010/wordprocessingGroup">
                    <wpg:wgp>
                      <wpg:cNvGrpSpPr/>
                      <wpg:grpSpPr>
                        <a:xfrm>
                          <a:off x="0" y="0"/>
                          <a:ext cx="97168" cy="5061"/>
                          <a:chOff x="0" y="0"/>
                          <a:chExt cx="97168" cy="5061"/>
                        </a:xfrm>
                      </wpg:grpSpPr>
                      <wps:wsp>
                        <wps:cNvPr id="437" name="Shape 437"/>
                        <wps:cNvSpPr/>
                        <wps:spPr>
                          <a:xfrm>
                            <a:off x="0" y="0"/>
                            <a:ext cx="97168" cy="0"/>
                          </a:xfrm>
                          <a:custGeom>
                            <a:avLst/>
                            <a:gdLst/>
                            <a:ahLst/>
                            <a:cxnLst/>
                            <a:rect l="0" t="0" r="0" b="0"/>
                            <a:pathLst>
                              <a:path w="97168">
                                <a:moveTo>
                                  <a:pt x="0" y="0"/>
                                </a:moveTo>
                                <a:lnTo>
                                  <a:pt x="9716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18" style="width:7.651pt;height:0.3985pt;position:absolute;mso-position-horizontal-relative:text;mso-position-horizontal:absolute;margin-left:348.695pt;mso-position-vertical-relative:text;margin-top:8.72888pt;" coordsize="971,50">
                <v:shape id="Shape 437" style="position:absolute;width:971;height:0;left:0;top:0;" coordsize="97168,0" path="m0,0l97168,0">
                  <v:stroke weight="0.3985pt" endcap="flat" joinstyle="miter" miterlimit="10" on="true" color="#000000"/>
                  <v:fill on="false" color="#000000" opacity="0"/>
                </v:shape>
                <w10:wrap type="square"/>
              </v:group>
            </w:pict>
          </mc:Fallback>
        </mc:AlternateContent>
      </w:r>
      <w:r>
        <w:rPr>
          <w:sz w:val="14"/>
        </w:rPr>
        <w:t>𝑛</w:t>
      </w:r>
    </w:p>
    <w:p w14:paraId="67551660" w14:textId="77777777" w:rsidR="009D64B7" w:rsidRDefault="008B75B9">
      <w:pPr>
        <w:spacing w:before="280" w:after="438"/>
        <w:ind w:left="47" w:right="14"/>
      </w:pPr>
      <w:r>
        <w:rPr>
          <w:i/>
        </w:rPr>
        <w:t xml:space="preserve">Polygon Test: </w:t>
      </w:r>
      <w:r>
        <w:t>Innerhalb dieses Tests wird der Anstieg pro Zeitintervall mit Formel (</w:t>
      </w:r>
      <w:r>
        <w:rPr>
          <w:color w:val="4169E1"/>
        </w:rPr>
        <w:t>3</w:t>
      </w:r>
      <w:r>
        <w:t xml:space="preserve">) aufsummiert. Bei positiven Amplifikationen erreicht die Summe höhere Werte als bei negativen Amplifikationen, da hier das stärkere Rauschen </w:t>
      </w:r>
      <w:r>
        <w:lastRenderedPageBreak/>
        <w:t>der Daten die Endsumme niedrig hält. Als Sc</w:t>
      </w:r>
      <w:r>
        <w:t>hwellenwert für eine positive Amplifikation wurde hier empirisch ein Wert von 10 festgelegt. (</w:t>
      </w:r>
      <w:r>
        <w:rPr>
          <w:color w:val="4169E1"/>
        </w:rPr>
        <w:t xml:space="preserve">Rödiger, </w:t>
      </w:r>
      <w:proofErr w:type="spellStart"/>
      <w:r>
        <w:rPr>
          <w:color w:val="4169E1"/>
        </w:rPr>
        <w:t>Burdukiewicz</w:t>
      </w:r>
      <w:proofErr w:type="spellEnd"/>
      <w:r>
        <w:rPr>
          <w:color w:val="4169E1"/>
        </w:rPr>
        <w:t>, and Schierack 2015</w:t>
      </w:r>
      <w:r>
        <w:t>).</w:t>
      </w:r>
    </w:p>
    <w:p w14:paraId="46485098" w14:textId="77777777" w:rsidR="009D64B7" w:rsidRDefault="008B75B9">
      <w:pPr>
        <w:tabs>
          <w:tab w:val="center" w:pos="4740"/>
          <w:tab w:val="right" w:pos="9459"/>
        </w:tabs>
        <w:spacing w:after="338" w:line="264" w:lineRule="auto"/>
        <w:ind w:left="0" w:right="0" w:firstLine="0"/>
        <w:jc w:val="left"/>
      </w:pPr>
      <w:r>
        <w:rPr>
          <w:rFonts w:ascii="Calibri" w:eastAsia="Calibri" w:hAnsi="Calibri" w:cs="Calibri"/>
          <w:sz w:val="22"/>
        </w:rPr>
        <w:tab/>
      </w:r>
      <w:r>
        <w:t>((</w:t>
      </w:r>
      <w:r>
        <w:t>𝑥</w:t>
      </w:r>
      <w:r>
        <w:rPr>
          <w:vertAlign w:val="subscript"/>
        </w:rPr>
        <w:t xml:space="preserve">2 </w:t>
      </w:r>
      <w:r>
        <w:t>−</w:t>
      </w:r>
      <w:r>
        <w:t xml:space="preserve"> </w:t>
      </w:r>
      <w:r>
        <w:t>𝑥</w:t>
      </w:r>
      <w:r>
        <w:rPr>
          <w:vertAlign w:val="subscript"/>
        </w:rPr>
        <w:t>1</w:t>
      </w:r>
      <w:r>
        <w:t>)) ∗ ((</w:t>
      </w:r>
      <w:r>
        <w:t>𝑦</w:t>
      </w:r>
      <w:r>
        <w:rPr>
          <w:vertAlign w:val="subscript"/>
        </w:rPr>
        <w:t xml:space="preserve">2 </w:t>
      </w:r>
      <w:r>
        <w:t xml:space="preserve">+ </w:t>
      </w:r>
      <w:r>
        <w:t>𝑦</w:t>
      </w:r>
      <w:r>
        <w:rPr>
          <w:vertAlign w:val="subscript"/>
        </w:rPr>
        <w:t>1</w:t>
      </w:r>
      <w:r>
        <w:t>)) =̂ (Δ</w:t>
      </w:r>
      <w:r>
        <w:t>𝑡</w:t>
      </w:r>
      <w:r>
        <w:t>) ∗ ((</w:t>
      </w:r>
      <w:r>
        <w:t>𝑦</w:t>
      </w:r>
      <w:r>
        <w:rPr>
          <w:vertAlign w:val="subscript"/>
        </w:rPr>
        <w:t xml:space="preserve">2 </w:t>
      </w:r>
      <w:r>
        <w:t xml:space="preserve">+ </w:t>
      </w:r>
      <w:r>
        <w:t>𝑦</w:t>
      </w:r>
      <w:r>
        <w:rPr>
          <w:vertAlign w:val="subscript"/>
        </w:rPr>
        <w:t>1</w:t>
      </w:r>
      <w:r>
        <w:t>))</w:t>
      </w:r>
      <w:r>
        <w:tab/>
      </w:r>
      <w:r>
        <w:t>(3)</w:t>
      </w:r>
    </w:p>
    <w:p w14:paraId="5F48AA63" w14:textId="77777777" w:rsidR="009D64B7" w:rsidRDefault="008B75B9">
      <w:pPr>
        <w:spacing w:after="373"/>
        <w:ind w:left="47" w:right="14"/>
      </w:pPr>
      <w:r>
        <w:t>Des Weiteren wird oft bei Analysen von Echtzeit-Amplifikationsmethoden mit einen Schwellenwert gearbeitet. Sollte dieser während der Messung nicht überschritten werden, wird die Amplifikation als negativ eingestuft (</w:t>
      </w:r>
      <w:r>
        <w:rPr>
          <w:color w:val="4169E1"/>
        </w:rPr>
        <w:t>Aranha et al. 2021</w:t>
      </w:r>
      <w:r>
        <w:t>). Um dies zu berücksi</w:t>
      </w:r>
      <w:r>
        <w:t xml:space="preserve">chtigen wurde ein weiterer Test, der </w:t>
      </w:r>
      <w:r>
        <w:rPr>
          <w:i/>
        </w:rPr>
        <w:t>Schwellenwert Test</w:t>
      </w:r>
      <w:r>
        <w:t xml:space="preserve">, eingeführt. Für die Berechnung des Schwellenwertes wurde die von Frey, </w:t>
      </w:r>
      <w:proofErr w:type="spellStart"/>
      <w:r>
        <w:t>Canzio</w:t>
      </w:r>
      <w:proofErr w:type="spellEnd"/>
      <w:r>
        <w:t xml:space="preserve">, and </w:t>
      </w:r>
      <w:proofErr w:type="spellStart"/>
      <w:r>
        <w:t>Zurakowski</w:t>
      </w:r>
      <w:proofErr w:type="spellEnd"/>
      <w:r>
        <w:t xml:space="preserve"> (</w:t>
      </w:r>
      <w:r>
        <w:rPr>
          <w:color w:val="4169E1"/>
        </w:rPr>
        <w:t>1998</w:t>
      </w:r>
      <w:r>
        <w:t>) beschriebene Methode verwendet. Diese beruht auf dem Median der gesamten Daten, zu welchem ein Fak</w:t>
      </w:r>
      <w:r>
        <w:t xml:space="preserve">tor addiert wird. Der Faktor bildet sich dabei aus der Standardabweichung </w:t>
      </w:r>
      <w:r>
        <w:rPr>
          <w:i/>
        </w:rPr>
        <w:t xml:space="preserve">SD </w:t>
      </w:r>
      <w:r>
        <w:t xml:space="preserve">der Daten multipliziert mit einem Term bestehend aus der Probenanzahl </w:t>
      </w:r>
      <w:r>
        <w:rPr>
          <w:i/>
        </w:rPr>
        <w:t>n</w:t>
      </w:r>
      <w:r>
        <w:rPr>
          <w:i/>
          <w:vertAlign w:val="subscript"/>
        </w:rPr>
        <w:t xml:space="preserve">1 </w:t>
      </w:r>
      <w:r>
        <w:t xml:space="preserve">und den Werten einer einseitigen </w:t>
      </w:r>
      <w:proofErr w:type="spellStart"/>
      <w:r>
        <w:t>Student’s</w:t>
      </w:r>
      <w:proofErr w:type="spellEnd"/>
      <w:r>
        <w:t xml:space="preserve"> t-Verteilung (siehe Formel (</w:t>
      </w:r>
      <w:r>
        <w:rPr>
          <w:color w:val="4169E1"/>
        </w:rPr>
        <w:t>4</w:t>
      </w:r>
      <w:r>
        <w:t>)) (</w:t>
      </w:r>
      <w:r>
        <w:rPr>
          <w:color w:val="4169E1"/>
        </w:rPr>
        <w:t xml:space="preserve">Frey, </w:t>
      </w:r>
      <w:proofErr w:type="spellStart"/>
      <w:r>
        <w:rPr>
          <w:color w:val="4169E1"/>
        </w:rPr>
        <w:t>Canzio</w:t>
      </w:r>
      <w:proofErr w:type="spellEnd"/>
      <w:r>
        <w:rPr>
          <w:color w:val="4169E1"/>
        </w:rPr>
        <w:t xml:space="preserve">, and </w:t>
      </w:r>
      <w:proofErr w:type="spellStart"/>
      <w:r>
        <w:rPr>
          <w:color w:val="4169E1"/>
        </w:rPr>
        <w:t>Zurakowski</w:t>
      </w:r>
      <w:proofErr w:type="spellEnd"/>
      <w:r>
        <w:rPr>
          <w:color w:val="4169E1"/>
        </w:rPr>
        <w:t xml:space="preserve"> 1</w:t>
      </w:r>
      <w:r>
        <w:rPr>
          <w:color w:val="4169E1"/>
        </w:rPr>
        <w:t>998</w:t>
      </w:r>
      <w:r>
        <w:t xml:space="preserve">). Die </w:t>
      </w:r>
      <w:proofErr w:type="spellStart"/>
      <w:r>
        <w:t>Student’s</w:t>
      </w:r>
      <w:proofErr w:type="spellEnd"/>
      <w:r>
        <w:t xml:space="preserve"> t-Verteilung ist dabei eine Art der Wahrscheinlichkeitsverteilung, welche es erlaubt möglichst genaue Berechnungen für kleine Stichproben durchzuführen (</w:t>
      </w:r>
      <w:r>
        <w:rPr>
          <w:color w:val="4169E1"/>
        </w:rPr>
        <w:t>Fisher 1992</w:t>
      </w:r>
      <w:r>
        <w:t>). Für die Schwellenwertberechnung wurden mindestens sechs Negativkontro</w:t>
      </w:r>
      <w:r>
        <w:t>llen als Datensatz verwendet. Das Konfidenzintervall für die t-Verteilung wurde bei 0,99 (99 %) festgelegt.</w:t>
      </w:r>
    </w:p>
    <w:p w14:paraId="01BD89A3" w14:textId="77777777" w:rsidR="009D64B7" w:rsidRDefault="008B75B9">
      <w:pPr>
        <w:tabs>
          <w:tab w:val="center" w:pos="3377"/>
          <w:tab w:val="center" w:pos="7255"/>
        </w:tabs>
        <w:spacing w:after="0"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6173D6F" wp14:editId="149C8B9E">
                <wp:extent cx="111214" cy="5061"/>
                <wp:effectExtent l="0" t="0" r="0" b="0"/>
                <wp:docPr id="20926" name="Group 20926"/>
                <wp:cNvGraphicFramePr/>
                <a:graphic xmlns:a="http://schemas.openxmlformats.org/drawingml/2006/main">
                  <a:graphicData uri="http://schemas.microsoft.com/office/word/2010/wordprocessingGroup">
                    <wpg:wgp>
                      <wpg:cNvGrpSpPr/>
                      <wpg:grpSpPr>
                        <a:xfrm>
                          <a:off x="0" y="0"/>
                          <a:ext cx="111214" cy="5061"/>
                          <a:chOff x="0" y="0"/>
                          <a:chExt cx="111214" cy="5061"/>
                        </a:xfrm>
                      </wpg:grpSpPr>
                      <wps:wsp>
                        <wps:cNvPr id="562" name="Shape 562"/>
                        <wps:cNvSpPr/>
                        <wps:spPr>
                          <a:xfrm>
                            <a:off x="0" y="0"/>
                            <a:ext cx="111214" cy="0"/>
                          </a:xfrm>
                          <a:custGeom>
                            <a:avLst/>
                            <a:gdLst/>
                            <a:ahLst/>
                            <a:cxnLst/>
                            <a:rect l="0" t="0" r="0" b="0"/>
                            <a:pathLst>
                              <a:path w="111214">
                                <a:moveTo>
                                  <a:pt x="0" y="0"/>
                                </a:moveTo>
                                <a:lnTo>
                                  <a:pt x="11121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26" style="width:8.757pt;height:0.3985pt;mso-position-horizontal-relative:char;mso-position-vertical-relative:line" coordsize="1112,50">
                <v:shape id="Shape 562" style="position:absolute;width:1112;height:0;left:0;top:0;" coordsize="111214,0" path="m0,0l111214,0">
                  <v:stroke weight="0.3985pt" endcap="flat" joinstyle="miter" miterlimit="10" on="true" color="#000000"/>
                  <v:fill on="false" color="#000000" opacity="0"/>
                </v:shape>
              </v:group>
            </w:pict>
          </mc:Fallback>
        </mc:AlternateContent>
      </w:r>
      <w:r>
        <w:tab/>
      </w:r>
      <w:proofErr w:type="gramStart"/>
      <w:r>
        <w:t>∑(</w:t>
      </w:r>
      <w:proofErr w:type="gramEnd"/>
      <w:r>
        <w:t>𝑥</w:t>
      </w:r>
      <w:r>
        <w:t xml:space="preserve"> − </w:t>
      </w:r>
      <w:r>
        <w:t>𝑋</w:t>
      </w:r>
      <w:r>
        <w:t>)</w:t>
      </w:r>
      <w:r>
        <w:rPr>
          <w:vertAlign w:val="superscript"/>
        </w:rPr>
        <w:t>2</w:t>
      </w:r>
    </w:p>
    <w:p w14:paraId="5F55D461" w14:textId="77777777" w:rsidR="009D64B7" w:rsidRDefault="008B75B9">
      <w:pPr>
        <w:tabs>
          <w:tab w:val="center" w:pos="3194"/>
          <w:tab w:val="center" w:pos="5565"/>
          <w:tab w:val="right" w:pos="9459"/>
        </w:tabs>
        <w:spacing w:after="0" w:line="264"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4A4DA07" wp14:editId="534D3022">
                <wp:simplePos x="0" y="0"/>
                <wp:positionH relativeFrom="column">
                  <wp:posOffset>2806801</wp:posOffset>
                </wp:positionH>
                <wp:positionV relativeFrom="paragraph">
                  <wp:posOffset>-122799</wp:posOffset>
                </wp:positionV>
                <wp:extent cx="380937" cy="193447"/>
                <wp:effectExtent l="0" t="0" r="0" b="0"/>
                <wp:wrapNone/>
                <wp:docPr id="20927" name="Group 20927"/>
                <wp:cNvGraphicFramePr/>
                <a:graphic xmlns:a="http://schemas.openxmlformats.org/drawingml/2006/main">
                  <a:graphicData uri="http://schemas.microsoft.com/office/word/2010/wordprocessingGroup">
                    <wpg:wgp>
                      <wpg:cNvGrpSpPr/>
                      <wpg:grpSpPr>
                        <a:xfrm>
                          <a:off x="0" y="0"/>
                          <a:ext cx="380937" cy="193447"/>
                          <a:chOff x="0" y="0"/>
                          <a:chExt cx="380937" cy="193447"/>
                        </a:xfrm>
                      </wpg:grpSpPr>
                      <wps:wsp>
                        <wps:cNvPr id="565" name="Shape 565"/>
                        <wps:cNvSpPr/>
                        <wps:spPr>
                          <a:xfrm>
                            <a:off x="0" y="0"/>
                            <a:ext cx="380937" cy="0"/>
                          </a:xfrm>
                          <a:custGeom>
                            <a:avLst/>
                            <a:gdLst/>
                            <a:ahLst/>
                            <a:cxnLst/>
                            <a:rect l="0" t="0" r="0" b="0"/>
                            <a:pathLst>
                              <a:path w="380937">
                                <a:moveTo>
                                  <a:pt x="0" y="0"/>
                                </a:moveTo>
                                <a:lnTo>
                                  <a:pt x="38093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67" name="Rectangle 567"/>
                        <wps:cNvSpPr/>
                        <wps:spPr>
                          <a:xfrm>
                            <a:off x="267805" y="37442"/>
                            <a:ext cx="84139" cy="168278"/>
                          </a:xfrm>
                          <a:prstGeom prst="rect">
                            <a:avLst/>
                          </a:prstGeom>
                          <a:ln>
                            <a:noFill/>
                          </a:ln>
                        </wps:spPr>
                        <wps:txbx>
                          <w:txbxContent>
                            <w:p w14:paraId="6F7A1215" w14:textId="77777777" w:rsidR="009D64B7" w:rsidRDefault="008B75B9">
                              <w:pPr>
                                <w:spacing w:after="160" w:line="259" w:lineRule="auto"/>
                                <w:ind w:left="0" w:right="0" w:firstLine="0"/>
                                <w:jc w:val="left"/>
                              </w:pPr>
                              <w:r>
                                <w:rPr>
                                  <w:w w:val="99"/>
                                </w:rPr>
                                <w:t>1</w:t>
                              </w:r>
                            </w:p>
                          </w:txbxContent>
                        </wps:txbx>
                        <wps:bodyPr horzOverflow="overflow" vert="horz" lIns="0" tIns="0" rIns="0" bIns="0" rtlCol="0">
                          <a:noAutofit/>
                        </wps:bodyPr>
                      </wps:wsp>
                      <wps:wsp>
                        <wps:cNvPr id="568" name="Shape 568"/>
                        <wps:cNvSpPr/>
                        <wps:spPr>
                          <a:xfrm>
                            <a:off x="233121" y="193447"/>
                            <a:ext cx="132639" cy="0"/>
                          </a:xfrm>
                          <a:custGeom>
                            <a:avLst/>
                            <a:gdLst/>
                            <a:ahLst/>
                            <a:cxnLst/>
                            <a:rect l="0" t="0" r="0" b="0"/>
                            <a:pathLst>
                              <a:path w="132639">
                                <a:moveTo>
                                  <a:pt x="0" y="0"/>
                                </a:moveTo>
                                <a:lnTo>
                                  <a:pt x="13263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27" style="width:29.995pt;height:15.232pt;position:absolute;z-index:-2147483616;mso-position-horizontal-relative:text;mso-position-horizontal:absolute;margin-left:221.008pt;mso-position-vertical-relative:text;margin-top:-9.66928pt;" coordsize="3809,1934">
                <v:shape id="Shape 565" style="position:absolute;width:3809;height:0;left:0;top:0;" coordsize="380937,0" path="m0,0l380937,0">
                  <v:stroke weight="0.3985pt" endcap="flat" joinstyle="miter" miterlimit="10" on="true" color="#000000"/>
                  <v:fill on="false" color="#000000" opacity="0"/>
                </v:shape>
                <v:rect id="Rectangle 567" style="position:absolute;width:841;height:1682;left:2678;top:374;" filled="f" stroked="f">
                  <v:textbox inset="0,0,0,0">
                    <w:txbxContent>
                      <w:p>
                        <w:pPr>
                          <w:spacing w:before="0" w:after="160" w:line="259" w:lineRule="auto"/>
                          <w:ind w:left="0" w:right="0" w:firstLine="0"/>
                          <w:jc w:val="left"/>
                        </w:pPr>
                        <w:r>
                          <w:rPr>
                            <w:rFonts w:cs="Times New Roman" w:hAnsi="Times New Roman" w:eastAsia="Times New Roman" w:ascii="Times New Roman"/>
                            <w:w w:val="99"/>
                          </w:rPr>
                          <w:t xml:space="preserve">1</w:t>
                        </w:r>
                      </w:p>
                    </w:txbxContent>
                  </v:textbox>
                </v:rect>
                <v:shape id="Shape 568" style="position:absolute;width:1326;height:0;left:2331;top:1934;" coordsize="132639,0" path="m0,0l132639,0">
                  <v:stroke weight="0.3985pt" endcap="flat" joinstyle="miter" miterlimit="10"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33C7047" wp14:editId="50AC2B29">
                <wp:simplePos x="0" y="0"/>
                <wp:positionH relativeFrom="column">
                  <wp:posOffset>4101961</wp:posOffset>
                </wp:positionH>
                <wp:positionV relativeFrom="paragraph">
                  <wp:posOffset>-162308</wp:posOffset>
                </wp:positionV>
                <wp:extent cx="858025" cy="406400"/>
                <wp:effectExtent l="0" t="0" r="0" b="0"/>
                <wp:wrapNone/>
                <wp:docPr id="20928" name="Group 20928"/>
                <wp:cNvGraphicFramePr/>
                <a:graphic xmlns:a="http://schemas.openxmlformats.org/drawingml/2006/main">
                  <a:graphicData uri="http://schemas.microsoft.com/office/word/2010/wordprocessingGroup">
                    <wpg:wgp>
                      <wpg:cNvGrpSpPr/>
                      <wpg:grpSpPr>
                        <a:xfrm>
                          <a:off x="0" y="0"/>
                          <a:ext cx="858025" cy="406400"/>
                          <a:chOff x="0" y="0"/>
                          <a:chExt cx="858025" cy="406400"/>
                        </a:xfrm>
                      </wpg:grpSpPr>
                      <wps:wsp>
                        <wps:cNvPr id="572" name="Rectangle 572"/>
                        <wps:cNvSpPr/>
                        <wps:spPr>
                          <a:xfrm>
                            <a:off x="31991" y="142687"/>
                            <a:ext cx="168278" cy="168278"/>
                          </a:xfrm>
                          <a:prstGeom prst="rect">
                            <a:avLst/>
                          </a:prstGeom>
                          <a:ln>
                            <a:noFill/>
                          </a:ln>
                        </wps:spPr>
                        <wps:txbx>
                          <w:txbxContent>
                            <w:p w14:paraId="6A738712" w14:textId="77777777" w:rsidR="009D64B7" w:rsidRDefault="008B75B9">
                              <w:pPr>
                                <w:spacing w:after="160" w:line="259" w:lineRule="auto"/>
                                <w:ind w:left="0" w:right="0" w:firstLine="0"/>
                                <w:jc w:val="left"/>
                              </w:pPr>
                              <w:r>
                                <w:rPr>
                                  <w:w w:val="182"/>
                                </w:rPr>
                                <w:t>√</w:t>
                              </w:r>
                            </w:p>
                          </w:txbxContent>
                        </wps:txbx>
                        <wps:bodyPr horzOverflow="overflow" vert="horz" lIns="0" tIns="0" rIns="0" bIns="0" rtlCol="0">
                          <a:noAutofit/>
                        </wps:bodyPr>
                      </wps:wsp>
                      <wps:wsp>
                        <wps:cNvPr id="573" name="Shape 573"/>
                        <wps:cNvSpPr/>
                        <wps:spPr>
                          <a:xfrm>
                            <a:off x="158521" y="25781"/>
                            <a:ext cx="699503" cy="0"/>
                          </a:xfrm>
                          <a:custGeom>
                            <a:avLst/>
                            <a:gdLst/>
                            <a:ahLst/>
                            <a:cxnLst/>
                            <a:rect l="0" t="0" r="0" b="0"/>
                            <a:pathLst>
                              <a:path w="699503">
                                <a:moveTo>
                                  <a:pt x="0" y="0"/>
                                </a:moveTo>
                                <a:lnTo>
                                  <a:pt x="6995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75" name="Rectangle 575"/>
                        <wps:cNvSpPr/>
                        <wps:spPr>
                          <a:xfrm>
                            <a:off x="428904" y="138799"/>
                            <a:ext cx="47589" cy="117795"/>
                          </a:xfrm>
                          <a:prstGeom prst="rect">
                            <a:avLst/>
                          </a:prstGeom>
                          <a:ln>
                            <a:noFill/>
                          </a:ln>
                        </wps:spPr>
                        <wps:txbx>
                          <w:txbxContent>
                            <w:p w14:paraId="5AA66AD8" w14:textId="77777777" w:rsidR="009D64B7" w:rsidRDefault="008B75B9">
                              <w:pPr>
                                <w:spacing w:after="160" w:line="259" w:lineRule="auto"/>
                                <w:ind w:left="0" w:right="0" w:firstLine="0"/>
                                <w:jc w:val="left"/>
                              </w:pPr>
                              <w:r>
                                <w:rPr>
                                  <w:w w:val="51"/>
                                  <w:sz w:val="14"/>
                                </w:rPr>
                                <w:t>𝑖</w:t>
                              </w:r>
                            </w:p>
                          </w:txbxContent>
                        </wps:txbx>
                        <wps:bodyPr horzOverflow="overflow" vert="horz" lIns="0" tIns="0" rIns="0" bIns="0" rtlCol="0">
                          <a:noAutofit/>
                        </wps:bodyPr>
                      </wps:wsp>
                      <wps:wsp>
                        <wps:cNvPr id="577" name="Shape 577"/>
                        <wps:cNvSpPr/>
                        <wps:spPr>
                          <a:xfrm>
                            <a:off x="625691" y="74803"/>
                            <a:ext cx="111214" cy="0"/>
                          </a:xfrm>
                          <a:custGeom>
                            <a:avLst/>
                            <a:gdLst/>
                            <a:ahLst/>
                            <a:cxnLst/>
                            <a:rect l="0" t="0" r="0" b="0"/>
                            <a:pathLst>
                              <a:path w="111214">
                                <a:moveTo>
                                  <a:pt x="0" y="0"/>
                                </a:moveTo>
                                <a:lnTo>
                                  <a:pt x="11121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173698" y="232956"/>
                            <a:ext cx="669137" cy="0"/>
                          </a:xfrm>
                          <a:custGeom>
                            <a:avLst/>
                            <a:gdLst/>
                            <a:ahLst/>
                            <a:cxnLst/>
                            <a:rect l="0" t="0" r="0" b="0"/>
                            <a:pathLst>
                              <a:path w="669137">
                                <a:moveTo>
                                  <a:pt x="0" y="0"/>
                                </a:moveTo>
                                <a:lnTo>
                                  <a:pt x="66913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81" name="Rectangle 581"/>
                        <wps:cNvSpPr/>
                        <wps:spPr>
                          <a:xfrm>
                            <a:off x="332981" y="249417"/>
                            <a:ext cx="100967" cy="168278"/>
                          </a:xfrm>
                          <a:prstGeom prst="rect">
                            <a:avLst/>
                          </a:prstGeom>
                          <a:ln>
                            <a:noFill/>
                          </a:ln>
                        </wps:spPr>
                        <wps:txbx>
                          <w:txbxContent>
                            <w:p w14:paraId="51032BE3" w14:textId="77777777" w:rsidR="009D64B7" w:rsidRDefault="008B75B9">
                              <w:pPr>
                                <w:spacing w:after="160" w:line="259" w:lineRule="auto"/>
                                <w:ind w:left="0" w:right="0" w:firstLine="0"/>
                                <w:jc w:val="left"/>
                              </w:pPr>
                              <w:r>
                                <w:rPr>
                                  <w:w w:val="77"/>
                                </w:rPr>
                                <w:t>𝑛</w:t>
                              </w:r>
                            </w:p>
                          </w:txbxContent>
                        </wps:txbx>
                        <wps:bodyPr horzOverflow="overflow" vert="horz" lIns="0" tIns="0" rIns="0" bIns="0" rtlCol="0">
                          <a:noAutofit/>
                        </wps:bodyPr>
                      </wps:wsp>
                      <wps:wsp>
                        <wps:cNvPr id="582" name="Rectangle 582"/>
                        <wps:cNvSpPr/>
                        <wps:spPr>
                          <a:xfrm>
                            <a:off x="408902" y="311266"/>
                            <a:ext cx="67025" cy="117795"/>
                          </a:xfrm>
                          <a:prstGeom prst="rect">
                            <a:avLst/>
                          </a:prstGeom>
                          <a:ln>
                            <a:noFill/>
                          </a:ln>
                        </wps:spPr>
                        <wps:txbx>
                          <w:txbxContent>
                            <w:p w14:paraId="770FADDA" w14:textId="77777777" w:rsidR="009D64B7" w:rsidRDefault="008B75B9">
                              <w:pPr>
                                <w:spacing w:after="160" w:line="259" w:lineRule="auto"/>
                                <w:ind w:left="0" w:right="0" w:firstLine="0"/>
                                <w:jc w:val="left"/>
                              </w:pPr>
                              <w:r>
                                <w:rPr>
                                  <w:w w:val="113"/>
                                  <w:sz w:val="14"/>
                                </w:rPr>
                                <w:t>2</w:t>
                              </w:r>
                            </w:p>
                          </w:txbxContent>
                        </wps:txbx>
                        <wps:bodyPr horzOverflow="overflow" vert="horz" lIns="0" tIns="0" rIns="0" bIns="0" rtlCol="0">
                          <a:noAutofit/>
                        </wps:bodyPr>
                      </wps:wsp>
                      <wps:wsp>
                        <wps:cNvPr id="583" name="Rectangle 583"/>
                        <wps:cNvSpPr/>
                        <wps:spPr>
                          <a:xfrm>
                            <a:off x="493738" y="249417"/>
                            <a:ext cx="252418" cy="168278"/>
                          </a:xfrm>
                          <a:prstGeom prst="rect">
                            <a:avLst/>
                          </a:prstGeom>
                          <a:ln>
                            <a:noFill/>
                          </a:ln>
                        </wps:spPr>
                        <wps:txbx>
                          <w:txbxContent>
                            <w:p w14:paraId="5F62D0AA" w14:textId="77777777" w:rsidR="009D64B7" w:rsidRDefault="008B75B9">
                              <w:pPr>
                                <w:spacing w:after="160" w:line="259" w:lineRule="auto"/>
                                <w:ind w:left="0" w:right="0" w:firstLine="0"/>
                                <w:jc w:val="left"/>
                              </w:pPr>
                              <w:r>
                                <w:rPr>
                                  <w:spacing w:val="44"/>
                                  <w:w w:val="120"/>
                                </w:rPr>
                                <w:t>−1</w:t>
                              </w:r>
                            </w:p>
                          </w:txbxContent>
                        </wps:txbx>
                        <wps:bodyPr horzOverflow="overflow" vert="horz" lIns="0" tIns="0" rIns="0" bIns="0" rtlCol="0">
                          <a:noAutofit/>
                        </wps:bodyPr>
                      </wps:wsp>
                    </wpg:wgp>
                  </a:graphicData>
                </a:graphic>
              </wp:anchor>
            </w:drawing>
          </mc:Choice>
          <mc:Fallback xmlns:a="http://schemas.openxmlformats.org/drawingml/2006/main">
            <w:pict>
              <v:group id="Group 20928" style="width:67.561pt;height:32pt;position:absolute;z-index:-2147483605;mso-position-horizontal-relative:text;mso-position-horizontal:absolute;margin-left:322.989pt;mso-position-vertical-relative:text;margin-top:-12.7803pt;" coordsize="8580,4064">
                <v:rect id="Rectangle 572" style="position:absolute;width:1682;height:1682;left:319;top:1426;" filled="f" stroked="f">
                  <v:textbox inset="0,0,0,0">
                    <w:txbxContent>
                      <w:p>
                        <w:pPr>
                          <w:spacing w:before="0" w:after="160" w:line="259" w:lineRule="auto"/>
                          <w:ind w:left="0" w:right="0" w:firstLine="0"/>
                          <w:jc w:val="left"/>
                        </w:pPr>
                        <w:r>
                          <w:rPr>
                            <w:rFonts w:cs="Times New Roman" w:hAnsi="Times New Roman" w:eastAsia="Times New Roman" w:ascii="Times New Roman"/>
                            <w:w w:val="182"/>
                          </w:rPr>
                          <w:t xml:space="preserve">√</w:t>
                        </w:r>
                      </w:p>
                    </w:txbxContent>
                  </v:textbox>
                </v:rect>
                <v:shape id="Shape 573" style="position:absolute;width:6995;height:0;left:1585;top:257;" coordsize="699503,0" path="m0,0l699503,0">
                  <v:stroke weight="0.3985pt" endcap="flat" joinstyle="miter" miterlimit="10" on="true" color="#000000"/>
                  <v:fill on="false" color="#000000" opacity="0"/>
                </v:shape>
                <v:rect id="Rectangle 575" style="position:absolute;width:475;height:1177;left:4289;top:1387;" filled="f" stroked="f">
                  <v:textbox inset="0,0,0,0">
                    <w:txbxContent>
                      <w:p>
                        <w:pPr>
                          <w:spacing w:before="0" w:after="160" w:line="259" w:lineRule="auto"/>
                          <w:ind w:left="0" w:right="0" w:firstLine="0"/>
                          <w:jc w:val="left"/>
                        </w:pPr>
                        <w:r>
                          <w:rPr>
                            <w:rFonts w:cs="Times New Roman" w:hAnsi="Times New Roman" w:eastAsia="Times New Roman" w:ascii="Times New Roman"/>
                            <w:w w:val="51"/>
                            <w:sz w:val="14"/>
                          </w:rPr>
                          <w:t xml:space="preserve">𝑖</w:t>
                        </w:r>
                      </w:p>
                    </w:txbxContent>
                  </v:textbox>
                </v:rect>
                <v:shape id="Shape 577" style="position:absolute;width:1112;height:0;left:6256;top:748;" coordsize="111214,0" path="m0,0l111214,0">
                  <v:stroke weight="0.3985pt" endcap="flat" joinstyle="miter" miterlimit="10" on="true" color="#000000"/>
                  <v:fill on="false" color="#000000" opacity="0"/>
                </v:shape>
                <v:shape id="Shape 580" style="position:absolute;width:6691;height:0;left:1736;top:2329;" coordsize="669137,0" path="m0,0l669137,0">
                  <v:stroke weight="0.3985pt" endcap="flat" joinstyle="miter" miterlimit="10" on="true" color="#000000"/>
                  <v:fill on="false" color="#000000" opacity="0"/>
                </v:shape>
                <v:rect id="Rectangle 581" style="position:absolute;width:1009;height:1682;left:3329;top:2494;" filled="f" stroked="f">
                  <v:textbox inset="0,0,0,0">
                    <w:txbxContent>
                      <w:p>
                        <w:pPr>
                          <w:spacing w:before="0" w:after="160" w:line="259" w:lineRule="auto"/>
                          <w:ind w:left="0" w:right="0" w:firstLine="0"/>
                          <w:jc w:val="left"/>
                        </w:pPr>
                        <w:r>
                          <w:rPr>
                            <w:rFonts w:cs="Times New Roman" w:hAnsi="Times New Roman" w:eastAsia="Times New Roman" w:ascii="Times New Roman"/>
                            <w:w w:val="77"/>
                          </w:rPr>
                          <w:t xml:space="preserve">𝑛</w:t>
                        </w:r>
                      </w:p>
                    </w:txbxContent>
                  </v:textbox>
                </v:rect>
                <v:rect id="Rectangle 582" style="position:absolute;width:670;height:1177;left:4089;top:3112;" filled="f" stroked="f">
                  <v:textbox inset="0,0,0,0">
                    <w:txbxContent>
                      <w:p>
                        <w:pPr>
                          <w:spacing w:before="0" w:after="160" w:line="259" w:lineRule="auto"/>
                          <w:ind w:left="0" w:right="0" w:firstLine="0"/>
                          <w:jc w:val="left"/>
                        </w:pPr>
                        <w:r>
                          <w:rPr>
                            <w:rFonts w:cs="Times New Roman" w:hAnsi="Times New Roman" w:eastAsia="Times New Roman" w:ascii="Times New Roman"/>
                            <w:w w:val="113"/>
                            <w:sz w:val="14"/>
                          </w:rPr>
                          <w:t xml:space="preserve">2</w:t>
                        </w:r>
                      </w:p>
                    </w:txbxContent>
                  </v:textbox>
                </v:rect>
                <v:rect id="Rectangle 583" style="position:absolute;width:2524;height:1682;left:4937;top:2494;" filled="f" stroked="f">
                  <v:textbox inset="0,0,0,0">
                    <w:txbxContent>
                      <w:p>
                        <w:pPr>
                          <w:spacing w:before="0" w:after="160" w:line="259" w:lineRule="auto"/>
                          <w:ind w:left="0" w:right="0" w:firstLine="0"/>
                          <w:jc w:val="left"/>
                        </w:pPr>
                        <w:r>
                          <w:rPr>
                            <w:rFonts w:cs="Times New Roman" w:hAnsi="Times New Roman" w:eastAsia="Times New Roman" w:ascii="Times New Roman"/>
                            <w:spacing w:val="44"/>
                            <w:w w:val="120"/>
                          </w:rPr>
                          <w:t xml:space="preserve">−1</w:t>
                        </w:r>
                      </w:p>
                    </w:txbxContent>
                  </v:textbox>
                </v:rect>
              </v:group>
            </w:pict>
          </mc:Fallback>
        </mc:AlternateContent>
      </w:r>
      <w:r>
        <w:rPr>
          <w:rFonts w:ascii="Calibri" w:eastAsia="Calibri" w:hAnsi="Calibri" w:cs="Calibri"/>
          <w:sz w:val="22"/>
        </w:rPr>
        <w:tab/>
      </w:r>
      <w:r>
        <w:t>𝑆𝑐</w:t>
      </w:r>
      <w:r>
        <w:t>ℎ</w:t>
      </w:r>
      <w:r>
        <w:t>𝑤𝑒𝑙𝑙𝑒𝑛𝑤𝑒𝑟𝑡</w:t>
      </w:r>
      <w:r>
        <w:t xml:space="preserve"> = </w:t>
      </w:r>
      <w:r>
        <w:t>𝑋</w:t>
      </w:r>
      <w:r>
        <w:t xml:space="preserve"> + </w:t>
      </w:r>
      <w:r>
        <w:t>𝑆𝐷</w:t>
      </w:r>
      <w:r>
        <w:t xml:space="preserve"> ∗ </w:t>
      </w:r>
      <w:r>
        <w:t>𝑡</w:t>
      </w:r>
      <w:r>
        <w:t>√1 +</w:t>
      </w:r>
      <w:r>
        <w:tab/>
      </w:r>
      <w:r>
        <w:t>𝑚𝑖𝑡</w:t>
      </w:r>
      <w:r>
        <w:tab/>
      </w:r>
      <w:r>
        <w:t>𝑆𝐷</w:t>
      </w:r>
      <w:r>
        <w:t xml:space="preserve"> </w:t>
      </w:r>
      <w:proofErr w:type="gramStart"/>
      <w:r>
        <w:t>=</w:t>
      </w:r>
      <w:r>
        <w:t>(</w:t>
      </w:r>
      <w:proofErr w:type="gramEnd"/>
      <w:r>
        <w:t>4)</w:t>
      </w:r>
    </w:p>
    <w:p w14:paraId="7AC186D9" w14:textId="77777777" w:rsidR="009D64B7" w:rsidRDefault="008B75B9">
      <w:pPr>
        <w:spacing w:after="283" w:line="259" w:lineRule="auto"/>
        <w:ind w:left="315" w:right="0" w:firstLine="0"/>
        <w:jc w:val="center"/>
      </w:pPr>
      <w:r>
        <w:t>𝑛</w:t>
      </w:r>
      <w:r>
        <w:rPr>
          <w:vertAlign w:val="subscript"/>
        </w:rPr>
        <w:t>1</w:t>
      </w:r>
    </w:p>
    <w:p w14:paraId="6D5F1C1B" w14:textId="77777777" w:rsidR="009D64B7" w:rsidRDefault="008B75B9">
      <w:pPr>
        <w:spacing w:after="110"/>
        <w:ind w:left="47" w:right="14"/>
      </w:pPr>
      <w:r>
        <w:t>Um eine Amplifikation als positiv einzustufen, müssen alle aufgeführten Tests ein positives Testergebnis aufweisen. Sobald ein oder mehrere Tests ein negatives Testergebnis zeigten, wird die Amplifikation als negativ eingestuft.</w:t>
      </w:r>
    </w:p>
    <w:p w14:paraId="74C61996" w14:textId="77777777" w:rsidR="009D64B7" w:rsidRDefault="008B75B9">
      <w:pPr>
        <w:spacing w:after="185" w:line="259" w:lineRule="auto"/>
        <w:ind w:left="55" w:right="0" w:hanging="10"/>
        <w:jc w:val="left"/>
      </w:pPr>
      <w:r>
        <w:rPr>
          <w:b/>
        </w:rPr>
        <w:t>Ermittlung der Anstiegszeit</w:t>
      </w:r>
    </w:p>
    <w:p w14:paraId="6ED09157" w14:textId="77777777" w:rsidR="009D64B7" w:rsidRDefault="008B75B9">
      <w:pPr>
        <w:ind w:left="47" w:right="14"/>
      </w:pPr>
      <w:r>
        <w:t xml:space="preserve">Die Anstiegszeit, in der Literatur bei PCR-System nach den </w:t>
      </w:r>
      <w:proofErr w:type="gramStart"/>
      <w:r>
        <w:t>MIQE Richtlinien</w:t>
      </w:r>
      <w:proofErr w:type="gramEnd"/>
      <w:r>
        <w:t xml:space="preserve"> auch als </w:t>
      </w:r>
      <w:proofErr w:type="spellStart"/>
      <w:r>
        <w:t>C</w:t>
      </w:r>
      <w:r>
        <w:rPr>
          <w:vertAlign w:val="subscript"/>
        </w:rPr>
        <w:t>q</w:t>
      </w:r>
      <w:proofErr w:type="spellEnd"/>
      <w:r>
        <w:t xml:space="preserve">-Wert (engl. </w:t>
      </w:r>
      <w:proofErr w:type="spellStart"/>
      <w:r>
        <w:rPr>
          <w:i/>
        </w:rPr>
        <w:t>quantification</w:t>
      </w:r>
      <w:proofErr w:type="spellEnd"/>
      <w:r>
        <w:rPr>
          <w:i/>
        </w:rPr>
        <w:t xml:space="preserve"> </w:t>
      </w:r>
      <w:proofErr w:type="spellStart"/>
      <w:r>
        <w:rPr>
          <w:i/>
        </w:rPr>
        <w:t>cycle</w:t>
      </w:r>
      <w:proofErr w:type="spellEnd"/>
      <w:r>
        <w:t xml:space="preserve">) angegeben, ist der Zeitpunkt bei, die dem Fluoreszenzwerte einer Amplifikation einen vorher festgelegten Schwellenwert überschreiten </w:t>
      </w:r>
      <w:r>
        <w:t>und sich zusätzlich signifikant von dem Grundrauschen unterscheiden (</w:t>
      </w:r>
      <w:proofErr w:type="spellStart"/>
      <w:r>
        <w:rPr>
          <w:color w:val="4169E1"/>
        </w:rPr>
        <w:t>Bustin</w:t>
      </w:r>
      <w:proofErr w:type="spellEnd"/>
      <w:r>
        <w:rPr>
          <w:color w:val="4169E1"/>
        </w:rPr>
        <w:t xml:space="preserve"> et al. 2009</w:t>
      </w:r>
      <w:r>
        <w:t xml:space="preserve">). Dies lässt sich auch auf die RPA als TT-Wert (engl. </w:t>
      </w:r>
      <w:proofErr w:type="spellStart"/>
      <w:r>
        <w:rPr>
          <w:i/>
        </w:rPr>
        <w:t>threshold</w:t>
      </w:r>
      <w:proofErr w:type="spellEnd"/>
      <w:r>
        <w:rPr>
          <w:i/>
        </w:rPr>
        <w:t xml:space="preserve"> time</w:t>
      </w:r>
      <w:r>
        <w:t>) übertragen</w:t>
      </w:r>
    </w:p>
    <w:p w14:paraId="5264AE91" w14:textId="77777777" w:rsidR="009D64B7" w:rsidRDefault="008B75B9">
      <w:pPr>
        <w:spacing w:after="59" w:line="259" w:lineRule="auto"/>
        <w:ind w:left="47" w:right="14"/>
      </w:pPr>
      <w:r>
        <w:t>(</w:t>
      </w:r>
      <w:r>
        <w:rPr>
          <w:color w:val="4169E1"/>
        </w:rPr>
        <w:t>Diagne et al. 2020</w:t>
      </w:r>
      <w:r>
        <w:t xml:space="preserve">). Für die Ermittlung der Anstiegszeit wurde der im </w:t>
      </w:r>
      <w:proofErr w:type="spellStart"/>
      <w:r>
        <w:rPr>
          <w:i/>
        </w:rPr>
        <w:t>chipPCR</w:t>
      </w:r>
      <w:proofErr w:type="spellEnd"/>
      <w:r>
        <w:t>-Paket vorhandene Befehl</w:t>
      </w:r>
    </w:p>
    <w:p w14:paraId="7B89C32B" w14:textId="77777777" w:rsidR="009D64B7" w:rsidRDefault="008B75B9">
      <w:pPr>
        <w:spacing w:after="271"/>
        <w:ind w:left="47" w:right="14"/>
      </w:pPr>
      <w:r>
        <w:t>“</w:t>
      </w:r>
      <w:proofErr w:type="spellStart"/>
      <w:r>
        <w:t>th.cyc</w:t>
      </w:r>
      <w:proofErr w:type="spellEnd"/>
      <w:r>
        <w:t>” verwendet. Dieser gleicht die Amplifikationskurve im Bereich des vorher festgelegten Schwellenwertes mit einer Polynomfunktion zweiten Grades an und gibt den Schni</w:t>
      </w:r>
      <w:r>
        <w:t xml:space="preserve">ttpunkt mit dem Schwellenwert als Anstiegszeit aus. Hierzu wurde der im Schwellenwert Test beschrieben Wert (siehe Kapitel </w:t>
      </w:r>
      <w:r>
        <w:rPr>
          <w:color w:val="4169E1"/>
        </w:rPr>
        <w:t>1.1.3</w:t>
      </w:r>
      <w:r>
        <w:t>) verwendet (</w:t>
      </w:r>
      <w:r>
        <w:rPr>
          <w:color w:val="4169E1"/>
        </w:rPr>
        <w:t xml:space="preserve">Rödiger, </w:t>
      </w:r>
      <w:proofErr w:type="spellStart"/>
      <w:r>
        <w:rPr>
          <w:color w:val="4169E1"/>
        </w:rPr>
        <w:t>Burdukiewicz</w:t>
      </w:r>
      <w:proofErr w:type="spellEnd"/>
      <w:r>
        <w:rPr>
          <w:color w:val="4169E1"/>
        </w:rPr>
        <w:t>, and Schierack 2015</w:t>
      </w:r>
      <w:r>
        <w:t>).</w:t>
      </w:r>
    </w:p>
    <w:p w14:paraId="6F11484C" w14:textId="77777777" w:rsidR="009D64B7" w:rsidRDefault="008B75B9">
      <w:pPr>
        <w:pStyle w:val="berschrift3"/>
        <w:tabs>
          <w:tab w:val="center" w:pos="2169"/>
        </w:tabs>
        <w:ind w:left="0" w:firstLine="0"/>
      </w:pPr>
      <w:bookmarkStart w:id="4" w:name="_Toc28895"/>
      <w:r>
        <w:t>1.1.4</w:t>
      </w:r>
      <w:r>
        <w:tab/>
        <w:t>Vergleich von Anstiegszeiten</w:t>
      </w:r>
      <w:bookmarkEnd w:id="4"/>
    </w:p>
    <w:p w14:paraId="050F793C" w14:textId="77777777" w:rsidR="009D64B7" w:rsidRDefault="008B75B9">
      <w:pPr>
        <w:ind w:left="47" w:right="14"/>
      </w:pPr>
      <w:r>
        <w:t>Der Vergleich von Datensätzen ist ei</w:t>
      </w:r>
      <w:r>
        <w:t xml:space="preserve">n Standardverfahren in der deskriptiven Statistik und wird bei zwei Gruppen mit dem </w:t>
      </w:r>
      <w:proofErr w:type="spellStart"/>
      <w:proofErr w:type="gramStart"/>
      <w:r>
        <w:t>Student’s</w:t>
      </w:r>
      <w:proofErr w:type="spellEnd"/>
      <w:proofErr w:type="gramEnd"/>
      <w:r>
        <w:t xml:space="preserve"> T-Test und bei drei oder mehr Gruppen mit einer einfaktoriellen Varianzanalyse durchgeführt (</w:t>
      </w:r>
      <w:r>
        <w:rPr>
          <w:color w:val="4169E1"/>
        </w:rPr>
        <w:t>Kuckartz et al. 2010</w:t>
      </w:r>
      <w:r>
        <w:t>). Um diese Verfahren durchführen zu können, müss</w:t>
      </w:r>
      <w:r>
        <w:t>en als Voraussetzungen die Daten Normalverteilt sein und gleiche Varianzen besitzen. Zusätzlich können Daten auf Ausreißer überprüft werden, um fehlerhafte Aussagen zu vermeiden (</w:t>
      </w:r>
      <w:proofErr w:type="spellStart"/>
      <w:r>
        <w:rPr>
          <w:color w:val="4169E1"/>
        </w:rPr>
        <w:t>Gehrau</w:t>
      </w:r>
      <w:proofErr w:type="spellEnd"/>
      <w:r>
        <w:rPr>
          <w:color w:val="4169E1"/>
        </w:rPr>
        <w:t xml:space="preserve">, Maubach, and </w:t>
      </w:r>
      <w:proofErr w:type="spellStart"/>
      <w:r>
        <w:rPr>
          <w:color w:val="4169E1"/>
        </w:rPr>
        <w:t>Fujarski</w:t>
      </w:r>
      <w:proofErr w:type="spellEnd"/>
      <w:r>
        <w:rPr>
          <w:color w:val="4169E1"/>
        </w:rPr>
        <w:t xml:space="preserve"> 2022</w:t>
      </w:r>
      <w:r>
        <w:t xml:space="preserve">). Der Test auf Normalverteilung wurde mit </w:t>
      </w:r>
      <w:r>
        <w:t xml:space="preserve">dem </w:t>
      </w:r>
      <w:proofErr w:type="spellStart"/>
      <w:r>
        <w:t>Shaprio</w:t>
      </w:r>
      <w:proofErr w:type="spellEnd"/>
      <w:r>
        <w:t>-Wilk-Test auf Normalität durchgeführt (</w:t>
      </w:r>
      <w:r>
        <w:rPr>
          <w:color w:val="4169E1"/>
        </w:rPr>
        <w:t>González-Estrada, Villaseñor, and Acosta-Pech 2022</w:t>
      </w:r>
      <w:r>
        <w:t xml:space="preserve">). Anschließend wurden die </w:t>
      </w:r>
      <w:r>
        <w:lastRenderedPageBreak/>
        <w:t>Daten mit der Boxplot-Methode auf Ausreißer untersucht (</w:t>
      </w:r>
      <w:proofErr w:type="spellStart"/>
      <w:r>
        <w:rPr>
          <w:color w:val="4169E1"/>
        </w:rPr>
        <w:t>Gehrau</w:t>
      </w:r>
      <w:proofErr w:type="spellEnd"/>
      <w:r>
        <w:rPr>
          <w:color w:val="4169E1"/>
        </w:rPr>
        <w:t xml:space="preserve">, Maubach, and </w:t>
      </w:r>
      <w:proofErr w:type="spellStart"/>
      <w:r>
        <w:rPr>
          <w:color w:val="4169E1"/>
        </w:rPr>
        <w:t>Fujarski</w:t>
      </w:r>
      <w:proofErr w:type="spellEnd"/>
      <w:r>
        <w:rPr>
          <w:color w:val="4169E1"/>
        </w:rPr>
        <w:t xml:space="preserve"> 2022</w:t>
      </w:r>
      <w:r>
        <w:t>). Datenpunkte, welche als Ausreißer i</w:t>
      </w:r>
      <w:r>
        <w:t>dentifiziert werden konnten wurden für die folgenden Tests ignoriert. Der nachfolgende Test auf Varianzhomogenität mit den bereinigten Daten wurde mithilfe des Levene-Tests durchgeführt (</w:t>
      </w:r>
      <w:proofErr w:type="spellStart"/>
      <w:r>
        <w:rPr>
          <w:color w:val="4169E1"/>
        </w:rPr>
        <w:t>Gastwirth</w:t>
      </w:r>
      <w:proofErr w:type="spellEnd"/>
      <w:r>
        <w:rPr>
          <w:color w:val="4169E1"/>
        </w:rPr>
        <w:t>, Gel, and Miao 2009</w:t>
      </w:r>
      <w:r>
        <w:t>). Bei zwei zu untersuchenden Gruppen mi</w:t>
      </w:r>
      <w:r>
        <w:t xml:space="preserve">t festgestellter Varianzhomogenität wurde der </w:t>
      </w:r>
      <w:proofErr w:type="spellStart"/>
      <w:proofErr w:type="gramStart"/>
      <w:r>
        <w:t>Student’s</w:t>
      </w:r>
      <w:proofErr w:type="spellEnd"/>
      <w:proofErr w:type="gramEnd"/>
      <w:r>
        <w:t xml:space="preserve"> T-Test durchgeführt. Bei unterschiedlichen Varianzen wird die Voraussetzung für den </w:t>
      </w:r>
      <w:proofErr w:type="spellStart"/>
      <w:proofErr w:type="gramStart"/>
      <w:r>
        <w:t>Student’s</w:t>
      </w:r>
      <w:proofErr w:type="spellEnd"/>
      <w:proofErr w:type="gramEnd"/>
      <w:r>
        <w:t xml:space="preserve"> T-Test nicht mehr erfüllt und es wurde der alternative Welch T-Test durchgeführt (</w:t>
      </w:r>
      <w:r>
        <w:rPr>
          <w:color w:val="4169E1"/>
        </w:rPr>
        <w:t>WELCH 1947</w:t>
      </w:r>
      <w:r>
        <w:t>). Bei einem V</w:t>
      </w:r>
      <w:r>
        <w:t>ergleich von drei oder mehr</w:t>
      </w:r>
    </w:p>
    <w:p w14:paraId="3DAA9C62" w14:textId="77777777" w:rsidR="009D64B7" w:rsidRDefault="008B75B9">
      <w:pPr>
        <w:spacing w:after="271"/>
        <w:ind w:left="47" w:right="14"/>
      </w:pPr>
      <w:r>
        <w:t xml:space="preserve">Gruppen mit gleichen Varianzen wurde eine einfaktorielle Varianzanalyse durchgeführt, welche bei einem p-Wert von unter 0,05 mit einem nachfolgendem </w:t>
      </w:r>
      <w:proofErr w:type="spellStart"/>
      <w:r>
        <w:t>Tukey</w:t>
      </w:r>
      <w:proofErr w:type="spellEnd"/>
      <w:r>
        <w:t xml:space="preserve"> HSD Test kombiniert wurde, um die Verhältnisse zwischen den Gruppen zu un</w:t>
      </w:r>
      <w:r>
        <w:t>tersuchen (</w:t>
      </w:r>
      <w:r>
        <w:rPr>
          <w:color w:val="4169E1"/>
        </w:rPr>
        <w:t>Rasch et al. 2014</w:t>
      </w:r>
      <w:r>
        <w:t xml:space="preserve">). Bei unterschiedlichen Varianzen wurde eine </w:t>
      </w:r>
      <w:proofErr w:type="spellStart"/>
      <w:proofErr w:type="gramStart"/>
      <w:r>
        <w:t>Welch’s</w:t>
      </w:r>
      <w:proofErr w:type="spellEnd"/>
      <w:proofErr w:type="gramEnd"/>
      <w:r>
        <w:t xml:space="preserve"> Varianzanalyse durchgeführt. Konnten innerhalb der </w:t>
      </w:r>
      <w:proofErr w:type="spellStart"/>
      <w:proofErr w:type="gramStart"/>
      <w:r>
        <w:t>Welch’s</w:t>
      </w:r>
      <w:proofErr w:type="spellEnd"/>
      <w:proofErr w:type="gramEnd"/>
      <w:r>
        <w:t xml:space="preserve"> Varianzanalyse signifikante Unterschiede zwischen den Gruppen festgestellt werden, wurde ein Games Howell Test nach</w:t>
      </w:r>
      <w:r>
        <w:t>folgend durchgeführt, um die Verhältnisse der einzelnen Gruppen zu untersuchen (</w:t>
      </w:r>
      <w:r>
        <w:rPr>
          <w:color w:val="4169E1"/>
        </w:rPr>
        <w:t>Lee and Lee 2018</w:t>
      </w:r>
      <w:r>
        <w:t>).</w:t>
      </w:r>
    </w:p>
    <w:p w14:paraId="553E2E2C" w14:textId="77777777" w:rsidR="009D64B7" w:rsidRDefault="008B75B9">
      <w:pPr>
        <w:pStyle w:val="berschrift3"/>
        <w:tabs>
          <w:tab w:val="center" w:pos="1487"/>
        </w:tabs>
        <w:ind w:left="0" w:firstLine="0"/>
      </w:pPr>
      <w:bookmarkStart w:id="5" w:name="_Toc28896"/>
      <w:r>
        <w:t>1.1.5</w:t>
      </w:r>
      <w:r>
        <w:tab/>
        <w:t>Probit-Analyse</w:t>
      </w:r>
      <w:bookmarkEnd w:id="5"/>
    </w:p>
    <w:p w14:paraId="4D7E2E44" w14:textId="77777777" w:rsidR="009D64B7" w:rsidRDefault="008B75B9">
      <w:pPr>
        <w:ind w:left="47" w:right="14"/>
      </w:pPr>
      <w:r>
        <w:t xml:space="preserve">Die Probit-Analyse ist eine Form der Regressionsanalyse, welche binäre Fälle (0 und 1) mit einer fortlaufenden Variablen in Verbindung bringt. Dabei wird berechnet, mit welcher Wahrscheinlichkeit </w:t>
      </w:r>
      <w:r>
        <w:t>𝑦</w:t>
      </w:r>
      <w:r>
        <w:t xml:space="preserve"> </w:t>
      </w:r>
      <w:r>
        <w:t>den Wert</w:t>
      </w:r>
    </w:p>
    <w:p w14:paraId="7CC1D033" w14:textId="77777777" w:rsidR="009D64B7" w:rsidRDefault="008B75B9">
      <w:pPr>
        <w:spacing w:after="61" w:line="259" w:lineRule="auto"/>
        <w:ind w:left="47" w:right="14"/>
      </w:pPr>
      <w:r>
        <w:t xml:space="preserve">1 an der Stelle </w:t>
      </w:r>
      <w:r>
        <w:t>𝑥</w:t>
      </w:r>
      <w:r>
        <w:t xml:space="preserve"> </w:t>
      </w:r>
      <w:r>
        <w:t>annimmt. Vereinfacht wird daz</w:t>
      </w:r>
      <w:r>
        <w:t xml:space="preserve">u die Normalverteilungsfunktion </w:t>
      </w:r>
      <w:r>
        <w:t>𝜙</w:t>
      </w:r>
      <w:r>
        <w:t xml:space="preserve"> </w:t>
      </w:r>
      <w:r>
        <w:t>auf ein parametrischen</w:t>
      </w:r>
    </w:p>
    <w:p w14:paraId="325D2B24" w14:textId="77777777" w:rsidR="009D64B7" w:rsidRDefault="008B75B9">
      <w:pPr>
        <w:spacing w:after="270" w:line="259" w:lineRule="auto"/>
        <w:ind w:left="47" w:right="14"/>
      </w:pPr>
      <w:r>
        <w:t>Regressionsmodell (siehe Formel (</w:t>
      </w:r>
      <w:r>
        <w:rPr>
          <w:color w:val="4169E1"/>
        </w:rPr>
        <w:t>5</w:t>
      </w:r>
      <w:r>
        <w:t>)) übertragen (</w:t>
      </w:r>
      <w:r>
        <w:rPr>
          <w:color w:val="4169E1"/>
        </w:rPr>
        <w:t>Bingham and Fry 2010</w:t>
      </w:r>
      <w:r>
        <w:t xml:space="preserve">). Es wird also eine Regression von </w:t>
      </w:r>
      <w:r>
        <w:t>𝜙</w:t>
      </w:r>
      <w:r>
        <w:rPr>
          <w:vertAlign w:val="superscript"/>
        </w:rPr>
        <w:t>−</w:t>
      </w:r>
      <w:r>
        <w:rPr>
          <w:vertAlign w:val="superscript"/>
        </w:rPr>
        <w:t xml:space="preserve">1 </w:t>
      </w:r>
      <w:r>
        <w:t>(</w:t>
      </w:r>
      <w:r>
        <w:t>𝑝</w:t>
      </w:r>
      <w:r>
        <w:rPr>
          <w:vertAlign w:val="subscript"/>
        </w:rPr>
        <w:t>𝑥</w:t>
      </w:r>
      <w:r>
        <w:t xml:space="preserve">) </w:t>
      </w:r>
      <w:r>
        <w:t>auf x durchgeführt. Die neue Regressionsgleichung ist in Formel (</w:t>
      </w:r>
      <w:r>
        <w:rPr>
          <w:color w:val="4169E1"/>
        </w:rPr>
        <w:t>6</w:t>
      </w:r>
      <w:r>
        <w:t>) gezeigt (</w:t>
      </w:r>
      <w:r>
        <w:rPr>
          <w:color w:val="4169E1"/>
        </w:rPr>
        <w:t>Stah</w:t>
      </w:r>
      <w:r>
        <w:rPr>
          <w:color w:val="4169E1"/>
        </w:rPr>
        <w:t>el 1999</w:t>
      </w:r>
      <w:r>
        <w:t>).</w:t>
      </w:r>
    </w:p>
    <w:tbl>
      <w:tblPr>
        <w:tblStyle w:val="TableGrid"/>
        <w:tblW w:w="6157" w:type="dxa"/>
        <w:tblInd w:w="3286" w:type="dxa"/>
        <w:tblCellMar>
          <w:top w:w="0" w:type="dxa"/>
          <w:left w:w="0" w:type="dxa"/>
          <w:bottom w:w="38" w:type="dxa"/>
          <w:right w:w="0" w:type="dxa"/>
        </w:tblCellMar>
        <w:tblLook w:val="04A0" w:firstRow="1" w:lastRow="0" w:firstColumn="1" w:lastColumn="0" w:noHBand="0" w:noVBand="1"/>
      </w:tblPr>
      <w:tblGrid>
        <w:gridCol w:w="5902"/>
        <w:gridCol w:w="255"/>
      </w:tblGrid>
      <w:tr w:rsidR="009D64B7" w14:paraId="2570AB31" w14:textId="77777777">
        <w:trPr>
          <w:trHeight w:val="527"/>
        </w:trPr>
        <w:tc>
          <w:tcPr>
            <w:tcW w:w="5903" w:type="dxa"/>
            <w:tcBorders>
              <w:top w:val="nil"/>
              <w:left w:val="nil"/>
              <w:bottom w:val="nil"/>
              <w:right w:val="nil"/>
            </w:tcBorders>
          </w:tcPr>
          <w:p w14:paraId="3B4CCC3C" w14:textId="77777777" w:rsidR="009D64B7" w:rsidRDefault="008B75B9">
            <w:pPr>
              <w:spacing w:after="0" w:line="259" w:lineRule="auto"/>
              <w:ind w:left="680" w:right="0" w:firstLine="0"/>
              <w:jc w:val="left"/>
            </w:pPr>
            <w:r>
              <w:t>𝑝</w:t>
            </w:r>
            <w:r>
              <w:rPr>
                <w:vertAlign w:val="subscript"/>
              </w:rPr>
              <w:t>𝑥</w:t>
            </w:r>
            <w:r>
              <w:rPr>
                <w:vertAlign w:val="subscript"/>
              </w:rPr>
              <w:t xml:space="preserve"> </w:t>
            </w:r>
            <w:r>
              <w:t xml:space="preserve">= </w:t>
            </w:r>
            <w:proofErr w:type="gramStart"/>
            <w:r>
              <w:t>𝑓</w:t>
            </w:r>
            <w:r>
              <w:t>(</w:t>
            </w:r>
            <w:proofErr w:type="gramEnd"/>
            <w:r>
              <w:t>𝛼</w:t>
            </w:r>
            <w:r>
              <w:t xml:space="preserve">,⃗ </w:t>
            </w:r>
            <w:r>
              <w:t>𝑥</w:t>
            </w:r>
            <w:r>
              <w:t xml:space="preserve">) + </w:t>
            </w:r>
            <w:r>
              <w:t>𝜖</w:t>
            </w:r>
            <w:r>
              <w:rPr>
                <w:vertAlign w:val="subscript"/>
              </w:rPr>
              <w:t>𝑥</w:t>
            </w:r>
            <w:r>
              <w:t>,</w:t>
            </w:r>
          </w:p>
        </w:tc>
        <w:tc>
          <w:tcPr>
            <w:tcW w:w="255" w:type="dxa"/>
            <w:tcBorders>
              <w:top w:val="nil"/>
              <w:left w:val="nil"/>
              <w:bottom w:val="nil"/>
              <w:right w:val="nil"/>
            </w:tcBorders>
          </w:tcPr>
          <w:p w14:paraId="0C43F091" w14:textId="77777777" w:rsidR="009D64B7" w:rsidRDefault="008B75B9">
            <w:pPr>
              <w:spacing w:after="0" w:line="259" w:lineRule="auto"/>
              <w:ind w:left="0" w:right="0" w:firstLine="0"/>
            </w:pPr>
            <w:r>
              <w:t>(5)</w:t>
            </w:r>
          </w:p>
        </w:tc>
      </w:tr>
      <w:tr w:rsidR="009D64B7" w14:paraId="78F24DB7" w14:textId="77777777">
        <w:trPr>
          <w:trHeight w:val="576"/>
        </w:trPr>
        <w:tc>
          <w:tcPr>
            <w:tcW w:w="5903" w:type="dxa"/>
            <w:tcBorders>
              <w:top w:val="nil"/>
              <w:left w:val="nil"/>
              <w:bottom w:val="nil"/>
              <w:right w:val="nil"/>
            </w:tcBorders>
            <w:vAlign w:val="bottom"/>
          </w:tcPr>
          <w:p w14:paraId="6E643956" w14:textId="77777777" w:rsidR="009D64B7" w:rsidRDefault="008B75B9">
            <w:pPr>
              <w:spacing w:after="0" w:line="259" w:lineRule="auto"/>
              <w:ind w:left="0" w:right="0" w:firstLine="0"/>
              <w:jc w:val="left"/>
            </w:pPr>
            <w:r>
              <w:t>𝑞</w:t>
            </w:r>
            <w:r>
              <w:t xml:space="preserve"> ̂</w:t>
            </w:r>
            <w:r>
              <w:rPr>
                <w:vertAlign w:val="subscript"/>
              </w:rPr>
              <w:t>𝑖</w:t>
            </w:r>
            <w:r>
              <w:rPr>
                <w:vertAlign w:val="subscript"/>
              </w:rPr>
              <w:t xml:space="preserve"> </w:t>
            </w:r>
            <w:r>
              <w:t xml:space="preserve">= </w:t>
            </w:r>
            <w:r>
              <w:t>𝜙</w:t>
            </w:r>
            <w:r>
              <w:rPr>
                <w:vertAlign w:val="superscript"/>
              </w:rPr>
              <w:t>−</w:t>
            </w:r>
            <w:r>
              <w:rPr>
                <w:vertAlign w:val="superscript"/>
              </w:rPr>
              <w:t>1</w:t>
            </w:r>
            <w:r>
              <w:t>(</w:t>
            </w:r>
            <w:r>
              <w:t>𝑝̂</w:t>
            </w:r>
            <w:r>
              <w:t xml:space="preserve">) = </w:t>
            </w:r>
            <w:r>
              <w:t>𝑎𝑥̂</w:t>
            </w:r>
            <w:r>
              <w:rPr>
                <w:vertAlign w:val="subscript"/>
              </w:rPr>
              <w:t>𝑖</w:t>
            </w:r>
            <w:r>
              <w:rPr>
                <w:vertAlign w:val="subscript"/>
              </w:rPr>
              <w:t xml:space="preserve"> </w:t>
            </w:r>
            <w:r>
              <w:t xml:space="preserve">+ </w:t>
            </w:r>
            <w:proofErr w:type="gramStart"/>
            <w:r>
              <w:t>𝑏</w:t>
            </w:r>
            <w:r>
              <w:t>,</w:t>
            </w:r>
            <w:r>
              <w:t>𝑖</w:t>
            </w:r>
            <w:proofErr w:type="gramEnd"/>
            <w:r>
              <w:t xml:space="preserve"> = 1,...,</w:t>
            </w:r>
            <w:r>
              <w:t>𝑘</w:t>
            </w:r>
            <w:r>
              <w:t>,̂</w:t>
            </w:r>
          </w:p>
        </w:tc>
        <w:tc>
          <w:tcPr>
            <w:tcW w:w="255" w:type="dxa"/>
            <w:tcBorders>
              <w:top w:val="nil"/>
              <w:left w:val="nil"/>
              <w:bottom w:val="nil"/>
              <w:right w:val="nil"/>
            </w:tcBorders>
            <w:vAlign w:val="bottom"/>
          </w:tcPr>
          <w:p w14:paraId="15F87D79" w14:textId="77777777" w:rsidR="009D64B7" w:rsidRDefault="008B75B9">
            <w:pPr>
              <w:spacing w:after="0" w:line="259" w:lineRule="auto"/>
              <w:ind w:left="0" w:right="0" w:firstLine="0"/>
            </w:pPr>
            <w:r>
              <w:t>(6)</w:t>
            </w:r>
          </w:p>
        </w:tc>
      </w:tr>
    </w:tbl>
    <w:p w14:paraId="029C5F9E" w14:textId="77777777" w:rsidR="009D64B7" w:rsidRDefault="008B75B9">
      <w:pPr>
        <w:spacing w:after="321"/>
        <w:ind w:left="47" w:right="14"/>
      </w:pPr>
      <w:r>
        <w:t>Die von Bliss (</w:t>
      </w:r>
      <w:r>
        <w:rPr>
          <w:color w:val="4169E1"/>
        </w:rPr>
        <w:t>1934</w:t>
      </w:r>
      <w:r>
        <w:t>) entwickelte Methode wurde ursprünglich für toxikologische Experimente genutzt, um die tödliche Dosis mathematisch zu bestimmen (</w:t>
      </w:r>
      <w:r>
        <w:rPr>
          <w:color w:val="4169E1"/>
        </w:rPr>
        <w:t>Bliss 1934</w:t>
      </w:r>
      <w:r>
        <w:t>). Aufgrund der gleichen Datenlage lässt sich jedoch dieses Modell auch verwenden, um das Detektionslimit anhand ein</w:t>
      </w:r>
      <w:r>
        <w:t>er Konzentrationsreihe für ein Nukleinsäure-Amplifikationssystem zu ermitteln. Die Probit-Analyse anhand von Amplifikationsdaten erfolgte mittels einer R-skripts, entwickelt durch Ole Behrmann, beschrieben in Behrmann et al. (</w:t>
      </w:r>
      <w:r>
        <w:rPr>
          <w:color w:val="4169E1"/>
        </w:rPr>
        <w:t>2020</w:t>
      </w:r>
      <w:r>
        <w:t>).</w:t>
      </w:r>
    </w:p>
    <w:p w14:paraId="440CE6DF" w14:textId="77777777" w:rsidR="009D64B7" w:rsidRDefault="008B75B9">
      <w:pPr>
        <w:pStyle w:val="berschrift2"/>
        <w:tabs>
          <w:tab w:val="center" w:pos="3128"/>
        </w:tabs>
        <w:ind w:left="0" w:firstLine="0"/>
      </w:pPr>
      <w:bookmarkStart w:id="6" w:name="_Toc28897"/>
      <w:r>
        <w:t>1.2</w:t>
      </w:r>
      <w:r>
        <w:tab/>
        <w:t>Herstellung synthet</w:t>
      </w:r>
      <w:r>
        <w:t>ischer RNA-Standards</w:t>
      </w:r>
      <w:bookmarkEnd w:id="6"/>
    </w:p>
    <w:p w14:paraId="3E01D4E0" w14:textId="77777777" w:rsidR="009D64B7" w:rsidRDefault="008B75B9">
      <w:pPr>
        <w:spacing w:after="280"/>
        <w:ind w:left="47" w:right="14"/>
      </w:pPr>
      <w:r>
        <w:t xml:space="preserve">Zur Etablierung und Optimierung der RPA-Protokolle ist es notwendig, eine definierte Menge amplifizierbarer RNA-Moleküle einzusetzen, damit eine Vergleichbarkeit der Protokolle ermöglicht wird. Dafür wurden </w:t>
      </w:r>
      <w:r>
        <w:rPr>
          <w:i/>
        </w:rPr>
        <w:t xml:space="preserve">in vitro </w:t>
      </w:r>
      <w:r>
        <w:t>molekularbiologisch definierte Virus-RNA</w:t>
      </w:r>
      <w:r>
        <w:t xml:space="preserve"> Standards der zu amplifizierenden Nukleinsäuren hergestellt. Die RNA-Standards für das Influenza A Virus wurden wie in den nachfolgenden Kapiteln beschrieben hergestellt. Da für das Influenza B Virus bereits eine transformierte </w:t>
      </w:r>
      <w:r>
        <w:rPr>
          <w:i/>
        </w:rPr>
        <w:t xml:space="preserve">E. coli </w:t>
      </w:r>
      <w:r>
        <w:t>Kultur in der Arbei</w:t>
      </w:r>
      <w:r>
        <w:t xml:space="preserve">tsgruppe vorhanden war, wurde mit dieser erst ab Kapitel </w:t>
      </w:r>
      <w:r>
        <w:rPr>
          <w:color w:val="4169E1"/>
        </w:rPr>
        <w:t xml:space="preserve">1.2.2 </w:t>
      </w:r>
      <w:proofErr w:type="gramStart"/>
      <w:r>
        <w:t>weitergearbeitet .</w:t>
      </w:r>
      <w:proofErr w:type="gramEnd"/>
    </w:p>
    <w:p w14:paraId="67507A60" w14:textId="77777777" w:rsidR="009D64B7" w:rsidRDefault="008B75B9">
      <w:pPr>
        <w:pStyle w:val="berschrift3"/>
        <w:tabs>
          <w:tab w:val="center" w:pos="3034"/>
        </w:tabs>
        <w:ind w:left="0" w:firstLine="0"/>
      </w:pPr>
      <w:bookmarkStart w:id="7" w:name="_Toc28898"/>
      <w:r>
        <w:lastRenderedPageBreak/>
        <w:t>1.2.1</w:t>
      </w:r>
      <w:r>
        <w:tab/>
        <w:t xml:space="preserve">Transformation von </w:t>
      </w:r>
      <w:r>
        <w:rPr>
          <w:i/>
        </w:rPr>
        <w:t xml:space="preserve">E. coli </w:t>
      </w:r>
      <w:r>
        <w:t>mit Plasmid-DNA</w:t>
      </w:r>
      <w:bookmarkEnd w:id="7"/>
    </w:p>
    <w:p w14:paraId="1573AF63" w14:textId="77777777" w:rsidR="009D64B7" w:rsidRDefault="008B75B9">
      <w:pPr>
        <w:spacing w:after="49"/>
        <w:ind w:left="47" w:right="14"/>
      </w:pPr>
      <w:r>
        <w:t>Die chemische Transformation von NEB</w:t>
      </w:r>
      <w:r>
        <w:rPr>
          <w:vertAlign w:val="superscript"/>
        </w:rPr>
        <w:t xml:space="preserve">© </w:t>
      </w:r>
      <w:r>
        <w:t xml:space="preserve">5-alpha kompetenten </w:t>
      </w:r>
      <w:r>
        <w:rPr>
          <w:i/>
        </w:rPr>
        <w:t xml:space="preserve">E. coli </w:t>
      </w:r>
      <w:r>
        <w:t xml:space="preserve">Zellen (High Efficiency, New England </w:t>
      </w:r>
      <w:proofErr w:type="spellStart"/>
      <w:r>
        <w:t>BioLabs</w:t>
      </w:r>
      <w:proofErr w:type="spellEnd"/>
      <w:r>
        <w:rPr>
          <w:vertAlign w:val="superscript"/>
        </w:rPr>
        <w:t xml:space="preserve">© </w:t>
      </w:r>
      <w:r>
        <w:t>GmbH) erfolgt</w:t>
      </w:r>
      <w:r>
        <w:t>e nach Herstellerangaben durchgeführt (Protokoll</w:t>
      </w:r>
      <w:r>
        <w:rPr>
          <w:color w:val="4169E1"/>
          <w:vertAlign w:val="superscript"/>
        </w:rPr>
        <w:footnoteReference w:id="5"/>
      </w:r>
      <w:r>
        <w:rPr>
          <w:color w:val="4169E1"/>
          <w:vertAlign w:val="superscript"/>
        </w:rPr>
        <w:t xml:space="preserve"> </w:t>
      </w:r>
      <w:r>
        <w:t xml:space="preserve">online verfügbar). Als Vektor dienten artifiziell synthetisierte Plasmide der Firma </w:t>
      </w:r>
      <w:proofErr w:type="spellStart"/>
      <w:r>
        <w:t>Invitrogen</w:t>
      </w:r>
      <w:proofErr w:type="spellEnd"/>
      <w:r>
        <w:t>, die einerseits eine Antibiotikaselektivkassette sowie andererseits die virale RNA-Sequenz als DNA-Gegenstück beinhalten (</w:t>
      </w:r>
      <w:proofErr w:type="spellStart"/>
      <w:r>
        <w:t>Plasmidkarten</w:t>
      </w:r>
      <w:proofErr w:type="spellEnd"/>
      <w:r>
        <w:t xml:space="preserve"> siehe </w:t>
      </w:r>
      <w:proofErr w:type="gramStart"/>
      <w:r>
        <w:t xml:space="preserve">Abbildung </w:t>
      </w:r>
      <w:r>
        <w:rPr>
          <w:b/>
        </w:rPr>
        <w:t>??</w:t>
      </w:r>
      <w:proofErr w:type="gramEnd"/>
      <w:r>
        <w:rPr>
          <w:b/>
        </w:rPr>
        <w:t xml:space="preserve"> </w:t>
      </w:r>
      <w:r>
        <w:t xml:space="preserve">- </w:t>
      </w:r>
      <w:r>
        <w:rPr>
          <w:b/>
        </w:rPr>
        <w:t xml:space="preserve">?? </w:t>
      </w:r>
      <w:r>
        <w:t>i</w:t>
      </w:r>
      <w:r>
        <w:t xml:space="preserve">m Anhang). Die entsprechenden </w:t>
      </w:r>
      <w:proofErr w:type="spellStart"/>
      <w:r>
        <w:t>Genebank</w:t>
      </w:r>
      <w:proofErr w:type="spellEnd"/>
      <w:r>
        <w:t xml:space="preserve"> Nr. der enthaltenen Virus-RNA-Sequenzen sind in Kapitel </w:t>
      </w:r>
      <w:r>
        <w:rPr>
          <w:color w:val="4169E1"/>
        </w:rPr>
        <w:t xml:space="preserve">1.1.1 </w:t>
      </w:r>
      <w:r>
        <w:t xml:space="preserve">erwähnt. Von diesen Plasmiden wurden jeweils 200 </w:t>
      </w:r>
      <w:proofErr w:type="spellStart"/>
      <w:r>
        <w:t>ng</w:t>
      </w:r>
      <w:proofErr w:type="spellEnd"/>
      <w:r>
        <w:t xml:space="preserve"> in die Transformation eingesetzt. Im Anschluss wurden jeweils 25 µl des Transformationsansatzes auf mit</w:t>
      </w:r>
      <w:r>
        <w:t xml:space="preserve"> Ampicillin (Endkonzentration: 100 µg/ml, Roche </w:t>
      </w:r>
      <w:proofErr w:type="spellStart"/>
      <w:r>
        <w:t>diagnostics</w:t>
      </w:r>
      <w:proofErr w:type="spellEnd"/>
      <w:r>
        <w:t>) versetzte LB-Platten (Carl Roth, Fertigmischung, 1,5 % Agar zugesetzt) ausplattiert und bei 37 °C über Nacht inkubiert. Zur Überprüfung der Transformation wurde eine Kolonie-PCR, eine modifiziert</w:t>
      </w:r>
      <w:r>
        <w:t>e</w:t>
      </w:r>
    </w:p>
    <w:p w14:paraId="121C1BC5" w14:textId="77777777" w:rsidR="009D64B7" w:rsidRDefault="008B75B9">
      <w:pPr>
        <w:spacing w:after="50" w:line="259" w:lineRule="auto"/>
        <w:ind w:left="47" w:right="14"/>
      </w:pPr>
      <w:r>
        <w:t>Form der PCR, durchgeführt. Hierbei dient nicht die bloße DNA, sondern die transformierten Bakterien als</w:t>
      </w:r>
    </w:p>
    <w:p w14:paraId="5B620DE3" w14:textId="77777777" w:rsidR="009D64B7" w:rsidRDefault="008B75B9">
      <w:pPr>
        <w:spacing w:after="322"/>
        <w:ind w:left="47" w:right="14"/>
      </w:pPr>
      <w:r>
        <w:t xml:space="preserve">Ausgangsmaterial. Durch die Wahl spezifischer Primer, welche das gewünschte Insert innerhalb des Plasmids amplifizieren können, wird geprüft, ob die </w:t>
      </w:r>
      <w:r>
        <w:t xml:space="preserve">Transformation mit dem Plasmid inklusive des </w:t>
      </w:r>
      <w:proofErr w:type="spellStart"/>
      <w:r>
        <w:t>gewpnschten</w:t>
      </w:r>
      <w:proofErr w:type="spellEnd"/>
      <w:r>
        <w:t xml:space="preserve"> Inserts innerhalb der Kolonie erfolgreich war (</w:t>
      </w:r>
      <w:r>
        <w:rPr>
          <w:color w:val="4169E1"/>
        </w:rPr>
        <w:t>Bergkessel and Guthrie 2013</w:t>
      </w:r>
      <w:r>
        <w:t xml:space="preserve">). Für die PCR wurde </w:t>
      </w:r>
      <w:proofErr w:type="gramStart"/>
      <w:r>
        <w:t>der Luna</w:t>
      </w:r>
      <w:proofErr w:type="gramEnd"/>
      <w:r>
        <w:rPr>
          <w:vertAlign w:val="superscript"/>
        </w:rPr>
        <w:t xml:space="preserve">© </w:t>
      </w:r>
      <w:r>
        <w:t xml:space="preserve">Universal qPCR Master Mix (New England </w:t>
      </w:r>
      <w:proofErr w:type="spellStart"/>
      <w:r>
        <w:t>BioLabs</w:t>
      </w:r>
      <w:proofErr w:type="spellEnd"/>
      <w:r>
        <w:t xml:space="preserve">) eingesetzt. Eine Kolonie der transformieren </w:t>
      </w:r>
      <w:r>
        <w:rPr>
          <w:i/>
        </w:rPr>
        <w:t>E.</w:t>
      </w:r>
      <w:r>
        <w:rPr>
          <w:i/>
        </w:rPr>
        <w:t xml:space="preserve"> coli </w:t>
      </w:r>
      <w:r>
        <w:t xml:space="preserve">wurde in 20 µl PCR-reinem Wasser (Nuklease- und Nukleinsäure-frei, DEPC behandelt, Carl Roth) suspendiert. Von dieser Bakteriensuspension wurden 2 µl mit 18 µl PCR-Mix gemischt und eine PCR im Light </w:t>
      </w:r>
      <w:proofErr w:type="spellStart"/>
      <w:r>
        <w:t>Cycler</w:t>
      </w:r>
      <w:proofErr w:type="spellEnd"/>
      <w:r>
        <w:t xml:space="preserve"> 480 II (Roche) durchgeführt. Das Temperaturp</w:t>
      </w:r>
      <w:r>
        <w:t xml:space="preserve">rogramm der 2-stufigen PCR ist in Tabelle </w:t>
      </w:r>
      <w:r>
        <w:rPr>
          <w:color w:val="4169E1"/>
        </w:rPr>
        <w:t xml:space="preserve">2 </w:t>
      </w:r>
      <w:r>
        <w:t xml:space="preserve">angegeben. Weitere 5 µl der Suspension wurden auf einer mit Ampicillin versetzten LB-Platte ausplattiert und bei 37 °C über Nacht inkubiert, um eine Folgekultur der überprüften </w:t>
      </w:r>
      <w:r>
        <w:rPr>
          <w:i/>
        </w:rPr>
        <w:t xml:space="preserve">E. coli </w:t>
      </w:r>
      <w:r>
        <w:t>zu erhalten.</w:t>
      </w:r>
    </w:p>
    <w:p w14:paraId="5BBB9594" w14:textId="77777777" w:rsidR="009D64B7" w:rsidRDefault="008B75B9">
      <w:pPr>
        <w:spacing w:after="0" w:line="259" w:lineRule="auto"/>
        <w:ind w:left="31" w:right="0" w:hanging="10"/>
        <w:jc w:val="center"/>
      </w:pPr>
      <w:r>
        <w:t>Tabelle 2: Tem</w:t>
      </w:r>
      <w:r>
        <w:t>peraturprotokoll für die Kolonie-PCR</w:t>
      </w:r>
    </w:p>
    <w:tbl>
      <w:tblPr>
        <w:tblStyle w:val="TableGrid"/>
        <w:tblW w:w="3885" w:type="dxa"/>
        <w:tblInd w:w="2797" w:type="dxa"/>
        <w:tblCellMar>
          <w:top w:w="20" w:type="dxa"/>
          <w:left w:w="0" w:type="dxa"/>
          <w:bottom w:w="20" w:type="dxa"/>
          <w:right w:w="18" w:type="dxa"/>
        </w:tblCellMar>
        <w:tblLook w:val="04A0" w:firstRow="1" w:lastRow="0" w:firstColumn="1" w:lastColumn="0" w:noHBand="0" w:noVBand="1"/>
      </w:tblPr>
      <w:tblGrid>
        <w:gridCol w:w="1511"/>
        <w:gridCol w:w="1390"/>
        <w:gridCol w:w="984"/>
      </w:tblGrid>
      <w:tr w:rsidR="009D64B7" w14:paraId="407AEB76" w14:textId="77777777">
        <w:trPr>
          <w:trHeight w:val="342"/>
        </w:trPr>
        <w:tc>
          <w:tcPr>
            <w:tcW w:w="2902" w:type="dxa"/>
            <w:gridSpan w:val="2"/>
            <w:tcBorders>
              <w:top w:val="single" w:sz="6" w:space="0" w:color="000000"/>
              <w:left w:val="nil"/>
              <w:bottom w:val="single" w:sz="4" w:space="0" w:color="000000"/>
              <w:right w:val="nil"/>
            </w:tcBorders>
          </w:tcPr>
          <w:p w14:paraId="46663FFB" w14:textId="77777777" w:rsidR="009D64B7" w:rsidRDefault="008B75B9">
            <w:pPr>
              <w:tabs>
                <w:tab w:val="center" w:pos="1682"/>
              </w:tabs>
              <w:spacing w:after="0" w:line="259" w:lineRule="auto"/>
              <w:ind w:left="0" w:right="0" w:firstLine="0"/>
              <w:jc w:val="left"/>
            </w:pPr>
            <w:r>
              <w:t>Temperatur</w:t>
            </w:r>
            <w:r>
              <w:tab/>
              <w:t>Zeit</w:t>
            </w:r>
          </w:p>
        </w:tc>
        <w:tc>
          <w:tcPr>
            <w:tcW w:w="984" w:type="dxa"/>
            <w:tcBorders>
              <w:top w:val="single" w:sz="6" w:space="0" w:color="000000"/>
              <w:left w:val="nil"/>
              <w:bottom w:val="single" w:sz="4" w:space="0" w:color="000000"/>
              <w:right w:val="nil"/>
            </w:tcBorders>
          </w:tcPr>
          <w:p w14:paraId="5BB16BA1" w14:textId="77777777" w:rsidR="009D64B7" w:rsidRDefault="008B75B9">
            <w:pPr>
              <w:spacing w:after="0" w:line="259" w:lineRule="auto"/>
              <w:ind w:left="0" w:right="0" w:firstLine="0"/>
              <w:jc w:val="left"/>
            </w:pPr>
            <w:r>
              <w:t>Zyklen</w:t>
            </w:r>
          </w:p>
        </w:tc>
      </w:tr>
      <w:tr w:rsidR="009D64B7" w14:paraId="2A9C1F93" w14:textId="77777777">
        <w:trPr>
          <w:trHeight w:val="560"/>
        </w:trPr>
        <w:tc>
          <w:tcPr>
            <w:tcW w:w="2902" w:type="dxa"/>
            <w:gridSpan w:val="2"/>
            <w:tcBorders>
              <w:top w:val="single" w:sz="4" w:space="0" w:color="000000"/>
              <w:left w:val="nil"/>
              <w:bottom w:val="nil"/>
              <w:right w:val="nil"/>
            </w:tcBorders>
          </w:tcPr>
          <w:p w14:paraId="46A7DDE4" w14:textId="77777777" w:rsidR="009D64B7" w:rsidRDefault="008B75B9">
            <w:pPr>
              <w:spacing w:after="0" w:line="259" w:lineRule="auto"/>
              <w:ind w:left="120" w:right="0" w:firstLine="0"/>
              <w:jc w:val="left"/>
            </w:pPr>
            <w:proofErr w:type="spellStart"/>
            <w:r>
              <w:rPr>
                <w:b/>
              </w:rPr>
              <w:t>Zellyse</w:t>
            </w:r>
            <w:proofErr w:type="spellEnd"/>
          </w:p>
          <w:p w14:paraId="30F84D5E" w14:textId="77777777" w:rsidR="009D64B7" w:rsidRDefault="008B75B9">
            <w:pPr>
              <w:tabs>
                <w:tab w:val="center" w:pos="561"/>
                <w:tab w:val="center" w:pos="1683"/>
              </w:tabs>
              <w:spacing w:after="0" w:line="259" w:lineRule="auto"/>
              <w:ind w:left="0" w:right="0" w:firstLine="0"/>
              <w:jc w:val="left"/>
            </w:pPr>
            <w:r>
              <w:rPr>
                <w:rFonts w:ascii="Calibri" w:eastAsia="Calibri" w:hAnsi="Calibri" w:cs="Calibri"/>
                <w:sz w:val="22"/>
              </w:rPr>
              <w:tab/>
            </w:r>
            <w:r>
              <w:t>95 °C</w:t>
            </w:r>
            <w:r>
              <w:tab/>
              <w:t>60 s</w:t>
            </w:r>
          </w:p>
        </w:tc>
        <w:tc>
          <w:tcPr>
            <w:tcW w:w="984" w:type="dxa"/>
            <w:tcBorders>
              <w:top w:val="single" w:sz="4" w:space="0" w:color="000000"/>
              <w:left w:val="nil"/>
              <w:bottom w:val="nil"/>
              <w:right w:val="nil"/>
            </w:tcBorders>
            <w:vAlign w:val="bottom"/>
          </w:tcPr>
          <w:p w14:paraId="40BCEB4F" w14:textId="77777777" w:rsidR="009D64B7" w:rsidRDefault="008B75B9">
            <w:pPr>
              <w:spacing w:after="0" w:line="259" w:lineRule="auto"/>
              <w:ind w:left="0" w:right="0" w:firstLine="0"/>
              <w:jc w:val="left"/>
            </w:pPr>
            <w:r>
              <w:t>1 x</w:t>
            </w:r>
          </w:p>
        </w:tc>
      </w:tr>
      <w:tr w:rsidR="009D64B7" w14:paraId="64B18D7A" w14:textId="77777777">
        <w:trPr>
          <w:trHeight w:val="508"/>
        </w:trPr>
        <w:tc>
          <w:tcPr>
            <w:tcW w:w="1511" w:type="dxa"/>
            <w:tcBorders>
              <w:top w:val="nil"/>
              <w:left w:val="nil"/>
              <w:bottom w:val="nil"/>
              <w:right w:val="nil"/>
            </w:tcBorders>
          </w:tcPr>
          <w:p w14:paraId="42741721" w14:textId="77777777" w:rsidR="009D64B7" w:rsidRDefault="008B75B9">
            <w:pPr>
              <w:spacing w:after="0" w:line="259" w:lineRule="auto"/>
              <w:ind w:left="319" w:right="0" w:hanging="199"/>
              <w:jc w:val="left"/>
            </w:pPr>
            <w:r>
              <w:rPr>
                <w:b/>
              </w:rPr>
              <w:t xml:space="preserve">Amplifikation </w:t>
            </w:r>
            <w:r>
              <w:t>95 °C</w:t>
            </w:r>
          </w:p>
        </w:tc>
        <w:tc>
          <w:tcPr>
            <w:tcW w:w="1391" w:type="dxa"/>
            <w:tcBorders>
              <w:top w:val="nil"/>
              <w:left w:val="nil"/>
              <w:bottom w:val="nil"/>
              <w:right w:val="nil"/>
            </w:tcBorders>
            <w:vAlign w:val="bottom"/>
          </w:tcPr>
          <w:p w14:paraId="7AA826D3" w14:textId="77777777" w:rsidR="009D64B7" w:rsidRDefault="008B75B9">
            <w:pPr>
              <w:spacing w:after="0" w:line="259" w:lineRule="auto"/>
              <w:ind w:left="0" w:right="0" w:firstLine="0"/>
              <w:jc w:val="left"/>
            </w:pPr>
            <w:r>
              <w:t>10 s</w:t>
            </w:r>
          </w:p>
        </w:tc>
        <w:tc>
          <w:tcPr>
            <w:tcW w:w="984" w:type="dxa"/>
            <w:tcBorders>
              <w:top w:val="nil"/>
              <w:left w:val="nil"/>
              <w:bottom w:val="nil"/>
              <w:right w:val="nil"/>
            </w:tcBorders>
            <w:vAlign w:val="bottom"/>
          </w:tcPr>
          <w:p w14:paraId="1FE664B1" w14:textId="77777777" w:rsidR="009D64B7" w:rsidRDefault="008B75B9">
            <w:pPr>
              <w:spacing w:after="0" w:line="259" w:lineRule="auto"/>
              <w:ind w:left="0" w:right="0" w:firstLine="0"/>
              <w:jc w:val="left"/>
            </w:pPr>
            <w:r>
              <w:t>45 x*</w:t>
            </w:r>
          </w:p>
        </w:tc>
      </w:tr>
      <w:tr w:rsidR="009D64B7" w14:paraId="6F30C1AF" w14:textId="77777777">
        <w:trPr>
          <w:trHeight w:val="269"/>
        </w:trPr>
        <w:tc>
          <w:tcPr>
            <w:tcW w:w="1511" w:type="dxa"/>
            <w:tcBorders>
              <w:top w:val="nil"/>
              <w:left w:val="nil"/>
              <w:bottom w:val="nil"/>
              <w:right w:val="nil"/>
            </w:tcBorders>
          </w:tcPr>
          <w:p w14:paraId="0A8D5D7C" w14:textId="77777777" w:rsidR="009D64B7" w:rsidRDefault="008B75B9">
            <w:pPr>
              <w:spacing w:after="0" w:line="259" w:lineRule="auto"/>
              <w:ind w:left="319" w:right="0" w:firstLine="0"/>
              <w:jc w:val="left"/>
            </w:pPr>
            <w:r>
              <w:t>60 °C</w:t>
            </w:r>
          </w:p>
        </w:tc>
        <w:tc>
          <w:tcPr>
            <w:tcW w:w="1391" w:type="dxa"/>
            <w:tcBorders>
              <w:top w:val="nil"/>
              <w:left w:val="nil"/>
              <w:bottom w:val="nil"/>
              <w:right w:val="nil"/>
            </w:tcBorders>
          </w:tcPr>
          <w:p w14:paraId="6C48218E" w14:textId="77777777" w:rsidR="009D64B7" w:rsidRDefault="008B75B9">
            <w:pPr>
              <w:spacing w:after="0" w:line="259" w:lineRule="auto"/>
              <w:ind w:left="0" w:right="0" w:firstLine="0"/>
              <w:jc w:val="left"/>
            </w:pPr>
            <w:r>
              <w:t>30 s</w:t>
            </w:r>
          </w:p>
        </w:tc>
        <w:tc>
          <w:tcPr>
            <w:tcW w:w="984" w:type="dxa"/>
            <w:tcBorders>
              <w:top w:val="nil"/>
              <w:left w:val="nil"/>
              <w:bottom w:val="nil"/>
              <w:right w:val="nil"/>
            </w:tcBorders>
          </w:tcPr>
          <w:p w14:paraId="263C37AD" w14:textId="77777777" w:rsidR="009D64B7" w:rsidRDefault="009D64B7">
            <w:pPr>
              <w:spacing w:after="160" w:line="259" w:lineRule="auto"/>
              <w:ind w:left="0" w:right="0" w:firstLine="0"/>
              <w:jc w:val="left"/>
            </w:pPr>
          </w:p>
        </w:tc>
      </w:tr>
      <w:tr w:rsidR="009D64B7" w14:paraId="6F9D132A" w14:textId="77777777">
        <w:trPr>
          <w:trHeight w:val="564"/>
        </w:trPr>
        <w:tc>
          <w:tcPr>
            <w:tcW w:w="1511" w:type="dxa"/>
            <w:tcBorders>
              <w:top w:val="nil"/>
              <w:left w:val="nil"/>
              <w:bottom w:val="single" w:sz="6" w:space="0" w:color="000000"/>
              <w:right w:val="nil"/>
            </w:tcBorders>
          </w:tcPr>
          <w:p w14:paraId="3C834E9C" w14:textId="77777777" w:rsidR="009D64B7" w:rsidRDefault="008B75B9">
            <w:pPr>
              <w:spacing w:after="0" w:line="259" w:lineRule="auto"/>
              <w:ind w:left="319" w:right="443" w:hanging="199"/>
              <w:jc w:val="left"/>
            </w:pPr>
            <w:r>
              <w:rPr>
                <w:b/>
              </w:rPr>
              <w:t xml:space="preserve">Kühlen </w:t>
            </w:r>
            <w:r>
              <w:t>40 °C</w:t>
            </w:r>
          </w:p>
        </w:tc>
        <w:tc>
          <w:tcPr>
            <w:tcW w:w="1391" w:type="dxa"/>
            <w:tcBorders>
              <w:top w:val="nil"/>
              <w:left w:val="nil"/>
              <w:bottom w:val="single" w:sz="6" w:space="0" w:color="000000"/>
              <w:right w:val="nil"/>
            </w:tcBorders>
            <w:vAlign w:val="bottom"/>
          </w:tcPr>
          <w:p w14:paraId="146B9037" w14:textId="77777777" w:rsidR="009D64B7" w:rsidRDefault="008B75B9">
            <w:pPr>
              <w:spacing w:after="0" w:line="259" w:lineRule="auto"/>
              <w:ind w:left="0" w:right="0" w:firstLine="0"/>
              <w:jc w:val="left"/>
            </w:pPr>
            <w:r>
              <w:t>30 s</w:t>
            </w:r>
          </w:p>
        </w:tc>
        <w:tc>
          <w:tcPr>
            <w:tcW w:w="984" w:type="dxa"/>
            <w:tcBorders>
              <w:top w:val="nil"/>
              <w:left w:val="nil"/>
              <w:bottom w:val="single" w:sz="6" w:space="0" w:color="000000"/>
              <w:right w:val="nil"/>
            </w:tcBorders>
            <w:vAlign w:val="bottom"/>
          </w:tcPr>
          <w:p w14:paraId="7D8843C7" w14:textId="77777777" w:rsidR="009D64B7" w:rsidRDefault="008B75B9">
            <w:pPr>
              <w:spacing w:after="0" w:line="259" w:lineRule="auto"/>
              <w:ind w:left="0" w:right="0" w:firstLine="0"/>
              <w:jc w:val="left"/>
            </w:pPr>
            <w:r>
              <w:t>1 x</w:t>
            </w:r>
          </w:p>
        </w:tc>
      </w:tr>
    </w:tbl>
    <w:p w14:paraId="77F5256B" w14:textId="77777777" w:rsidR="009D64B7" w:rsidRDefault="008B75B9">
      <w:pPr>
        <w:spacing w:after="479"/>
        <w:ind w:left="2919" w:right="14"/>
      </w:pPr>
      <w:r>
        <w:rPr>
          <w:vertAlign w:val="superscript"/>
        </w:rPr>
        <w:t xml:space="preserve">* </w:t>
      </w:r>
      <w:r>
        <w:t>Messung der Fluoreszenz</w:t>
      </w:r>
    </w:p>
    <w:p w14:paraId="12A9811F" w14:textId="77777777" w:rsidR="009D64B7" w:rsidRDefault="008B75B9">
      <w:pPr>
        <w:pStyle w:val="berschrift3"/>
        <w:tabs>
          <w:tab w:val="center" w:pos="3410"/>
        </w:tabs>
        <w:ind w:left="0" w:firstLine="0"/>
      </w:pPr>
      <w:bookmarkStart w:id="8" w:name="_Toc28899"/>
      <w:r>
        <w:t>1.2.2</w:t>
      </w:r>
      <w:r>
        <w:tab/>
        <w:t>Extraktion der Plasmid-DNA aus Übernachtkulturen</w:t>
      </w:r>
      <w:bookmarkEnd w:id="8"/>
    </w:p>
    <w:p w14:paraId="0BCB307F" w14:textId="77777777" w:rsidR="009D64B7" w:rsidRDefault="008B75B9">
      <w:pPr>
        <w:ind w:left="47" w:right="14"/>
      </w:pPr>
      <w:r>
        <w:t>Die transformierten Bakterien wurden bei 37 °C und 200 RPM über Nacht in 25 ml Lennox LB-Medium kultiviert. Die Isolierung der Plasmid-DNA erfolgte mit dem Qiagen Plasmid Midi Kit (Qiagen) nach Herstel</w:t>
      </w:r>
      <w:r>
        <w:t>lerangaben (Protokoll</w:t>
      </w:r>
      <w:r>
        <w:rPr>
          <w:color w:val="4169E1"/>
          <w:vertAlign w:val="superscript"/>
        </w:rPr>
        <w:footnoteReference w:id="6"/>
      </w:r>
      <w:r>
        <w:rPr>
          <w:color w:val="4169E1"/>
          <w:vertAlign w:val="superscript"/>
        </w:rPr>
        <w:t xml:space="preserve"> </w:t>
      </w:r>
      <w:r>
        <w:t>online verfügbar). Das Prinzip der Qiagen DNA-Reinigung beruht dabei auf einer speziellen alkalischen Lyse der Bakterien kombiniert mit einem Ionen Austausch (</w:t>
      </w:r>
      <w:r>
        <w:rPr>
          <w:color w:val="4169E1"/>
        </w:rPr>
        <w:t>QIAGEN 2021</w:t>
      </w:r>
      <w:r>
        <w:t>). Hierbei wird die negativ geladene DNA an ein positiv gelade</w:t>
      </w:r>
      <w:r>
        <w:t xml:space="preserve">nes Säulenmaterial wie </w:t>
      </w:r>
      <w:proofErr w:type="spellStart"/>
      <w:r>
        <w:t>Diethylaminoethyl</w:t>
      </w:r>
      <w:proofErr w:type="spellEnd"/>
      <w:r>
        <w:t xml:space="preserve"> (DEAE) Zellulose gebunden (</w:t>
      </w:r>
      <w:r>
        <w:rPr>
          <w:color w:val="4169E1"/>
        </w:rPr>
        <w:t>Gautam 2022</w:t>
      </w:r>
      <w:r>
        <w:t xml:space="preserve">). Durch in </w:t>
      </w:r>
      <w:r>
        <w:lastRenderedPageBreak/>
        <w:t>Salzkonzentrationen variierende Puffer kann anschließend die gebundene DNA von Unreinheiten befreit und eluiert werden (</w:t>
      </w:r>
      <w:proofErr w:type="spellStart"/>
      <w:r>
        <w:rPr>
          <w:color w:val="4169E1"/>
        </w:rPr>
        <w:t>Prazeres</w:t>
      </w:r>
      <w:proofErr w:type="spellEnd"/>
      <w:r>
        <w:rPr>
          <w:color w:val="4169E1"/>
        </w:rPr>
        <w:t xml:space="preserve">, </w:t>
      </w:r>
      <w:proofErr w:type="spellStart"/>
      <w:r>
        <w:rPr>
          <w:color w:val="4169E1"/>
        </w:rPr>
        <w:t>Schluep</w:t>
      </w:r>
      <w:proofErr w:type="spellEnd"/>
      <w:r>
        <w:rPr>
          <w:color w:val="4169E1"/>
        </w:rPr>
        <w:t xml:space="preserve">, and </w:t>
      </w:r>
      <w:proofErr w:type="spellStart"/>
      <w:r>
        <w:rPr>
          <w:color w:val="4169E1"/>
        </w:rPr>
        <w:t>Cooney</w:t>
      </w:r>
      <w:proofErr w:type="spellEnd"/>
      <w:r>
        <w:rPr>
          <w:color w:val="4169E1"/>
        </w:rPr>
        <w:t xml:space="preserve"> 1998</w:t>
      </w:r>
      <w:r>
        <w:t>). Die Elution der DNA im letzten Schritt wurde mit 30 µl PCR-reinem Wasser durchgeführt. Eine anschließende</w:t>
      </w:r>
    </w:p>
    <w:p w14:paraId="0D102E63" w14:textId="77777777" w:rsidR="009D64B7" w:rsidRDefault="008B75B9">
      <w:pPr>
        <w:spacing w:after="50" w:line="259" w:lineRule="auto"/>
        <w:ind w:left="47" w:right="14"/>
      </w:pPr>
      <w:r>
        <w:t xml:space="preserve">Abschätzung der DNA-Konzentration erfolgte mit dem </w:t>
      </w:r>
      <w:proofErr w:type="spellStart"/>
      <w:r>
        <w:t>NanoDrop</w:t>
      </w:r>
      <w:proofErr w:type="spellEnd"/>
      <w:r>
        <w:t xml:space="preserve"> 8000 </w:t>
      </w:r>
      <w:proofErr w:type="spellStart"/>
      <w:r>
        <w:t>Spektrophotometer</w:t>
      </w:r>
      <w:proofErr w:type="spellEnd"/>
      <w:r>
        <w:t xml:space="preserve"> (</w:t>
      </w:r>
      <w:proofErr w:type="spellStart"/>
      <w:r>
        <w:t>Thermo</w:t>
      </w:r>
      <w:proofErr w:type="spellEnd"/>
      <w:r>
        <w:t xml:space="preserve"> Fisher</w:t>
      </w:r>
    </w:p>
    <w:p w14:paraId="40D052EC" w14:textId="77777777" w:rsidR="009D64B7" w:rsidRDefault="008B75B9">
      <w:pPr>
        <w:spacing w:after="278"/>
        <w:ind w:left="47" w:right="14"/>
      </w:pPr>
      <w:r>
        <w:t>Scientific)</w:t>
      </w:r>
    </w:p>
    <w:p w14:paraId="130A021A" w14:textId="77777777" w:rsidR="009D64B7" w:rsidRDefault="008B75B9">
      <w:pPr>
        <w:pStyle w:val="berschrift3"/>
        <w:tabs>
          <w:tab w:val="center" w:pos="2802"/>
        </w:tabs>
        <w:ind w:left="0" w:firstLine="0"/>
      </w:pPr>
      <w:bookmarkStart w:id="9" w:name="_Toc28900"/>
      <w:r>
        <w:t>1.2.3</w:t>
      </w:r>
      <w:r>
        <w:tab/>
        <w:t>Sequenzierung der extrahierten Plasmide</w:t>
      </w:r>
      <w:bookmarkEnd w:id="9"/>
    </w:p>
    <w:p w14:paraId="01FF552C" w14:textId="46D1DFE4" w:rsidR="009D64B7" w:rsidRDefault="008B75B9">
      <w:pPr>
        <w:spacing w:after="276"/>
        <w:ind w:left="47" w:right="14"/>
      </w:pPr>
      <w:r>
        <w:t xml:space="preserve">Zur Prüfung der DNA-Sequenz, wurde die extrahierte Plasmid-DNA mittels Sequenzierung untersucht. Dabei wird der </w:t>
      </w:r>
      <w:proofErr w:type="spellStart"/>
      <w:r>
        <w:t>Plasmidabschnitt</w:t>
      </w:r>
      <w:proofErr w:type="spellEnd"/>
      <w:r>
        <w:t xml:space="preserve"> mit der Virussequenz über eine PCR amplifiziert und mittels der von Sanger, </w:t>
      </w:r>
      <w:proofErr w:type="spellStart"/>
      <w:r>
        <w:t>Nickl</w:t>
      </w:r>
      <w:r>
        <w:t>en</w:t>
      </w:r>
      <w:proofErr w:type="spellEnd"/>
      <w:r>
        <w:t>, and Coulson (</w:t>
      </w:r>
      <w:r>
        <w:rPr>
          <w:color w:val="4169E1"/>
        </w:rPr>
        <w:t>1977</w:t>
      </w:r>
      <w:r>
        <w:t xml:space="preserve">) beschriebenen Kettenabbruchmethode mit fluoreszenzmarkierten </w:t>
      </w:r>
      <w:proofErr w:type="spellStart"/>
      <w:r>
        <w:t>Didesoxynucleotiden</w:t>
      </w:r>
      <w:proofErr w:type="spellEnd"/>
      <w:r>
        <w:t xml:space="preserve"> amplifiziert. (</w:t>
      </w:r>
      <w:proofErr w:type="spellStart"/>
      <w:r>
        <w:rPr>
          <w:color w:val="4169E1"/>
        </w:rPr>
        <w:t>Mülhardt</w:t>
      </w:r>
      <w:proofErr w:type="spellEnd"/>
      <w:r>
        <w:rPr>
          <w:color w:val="4169E1"/>
        </w:rPr>
        <w:t xml:space="preserve"> 2009</w:t>
      </w:r>
      <w:r>
        <w:t xml:space="preserve">). Als Primer für die aus Kapitel </w:t>
      </w:r>
      <w:r>
        <w:rPr>
          <w:color w:val="4169E1"/>
        </w:rPr>
        <w:t xml:space="preserve">1.2.2 </w:t>
      </w:r>
      <w:r>
        <w:t>extrahierte Plasmid</w:t>
      </w:r>
      <w:r w:rsidR="002604BD">
        <w:t>-</w:t>
      </w:r>
      <w:r>
        <w:t>DNA wurde der Vorwärtsprimer M13 (5’-GTAAAACGACGGCCAG-3’) und der</w:t>
      </w:r>
      <w:r>
        <w:t xml:space="preserve"> Rückwärtsprimer M13r (5’-CAGGAAACAGCTATGAC-3’) verwendet. Die Sequenzierung erfolgte bei der Firma </w:t>
      </w:r>
      <w:proofErr w:type="spellStart"/>
      <w:r>
        <w:t>Microsynth</w:t>
      </w:r>
      <w:proofErr w:type="spellEnd"/>
      <w:r>
        <w:t xml:space="preserve"> </w:t>
      </w:r>
      <w:proofErr w:type="spellStart"/>
      <w:r>
        <w:t>Seqlab</w:t>
      </w:r>
      <w:proofErr w:type="spellEnd"/>
      <w:r>
        <w:t xml:space="preserve"> GmbH.</w:t>
      </w:r>
    </w:p>
    <w:p w14:paraId="3B733587" w14:textId="77777777" w:rsidR="009D64B7" w:rsidRDefault="008B75B9">
      <w:pPr>
        <w:pStyle w:val="berschrift3"/>
        <w:tabs>
          <w:tab w:val="center" w:pos="2996"/>
        </w:tabs>
        <w:ind w:left="0" w:firstLine="0"/>
      </w:pPr>
      <w:bookmarkStart w:id="10" w:name="_Toc28901"/>
      <w:r>
        <w:t>1.2.4</w:t>
      </w:r>
      <w:r>
        <w:tab/>
        <w:t xml:space="preserve">Restriktionsverdau zur </w:t>
      </w:r>
      <w:proofErr w:type="spellStart"/>
      <w:r>
        <w:t>Plasmidlinearisierung</w:t>
      </w:r>
      <w:bookmarkEnd w:id="10"/>
      <w:proofErr w:type="spellEnd"/>
    </w:p>
    <w:p w14:paraId="4DD94CE4" w14:textId="77777777" w:rsidR="009D64B7" w:rsidRDefault="008B75B9">
      <w:pPr>
        <w:ind w:left="47" w:right="14"/>
      </w:pPr>
      <w:r>
        <w:t xml:space="preserve">In Vorbereitung für eine </w:t>
      </w:r>
      <w:r>
        <w:rPr>
          <w:i/>
        </w:rPr>
        <w:t xml:space="preserve">in vitro </w:t>
      </w:r>
      <w:r>
        <w:t xml:space="preserve">Transkription zum Erstellen viraler RNA </w:t>
      </w:r>
      <w:proofErr w:type="gramStart"/>
      <w:r>
        <w:t>wurde</w:t>
      </w:r>
      <w:proofErr w:type="gramEnd"/>
      <w:r>
        <w:t xml:space="preserve"> d</w:t>
      </w:r>
      <w:r>
        <w:t xml:space="preserve">ie aus Kapitel </w:t>
      </w:r>
      <w:r>
        <w:rPr>
          <w:color w:val="4169E1"/>
        </w:rPr>
        <w:t xml:space="preserve">1.2.2 </w:t>
      </w:r>
      <w:r>
        <w:t>extrahierte Plasmid-DNA linearisiert. Dafür wurden Restriktions-Endonukleasen benutzt, welche innerhalb der spezifischen Erkennungssequenzen den DNA-Doppelstrang schneiden (</w:t>
      </w:r>
      <w:r>
        <w:rPr>
          <w:color w:val="4169E1"/>
        </w:rPr>
        <w:t xml:space="preserve">Smith, </w:t>
      </w:r>
      <w:proofErr w:type="spellStart"/>
      <w:r>
        <w:rPr>
          <w:color w:val="4169E1"/>
        </w:rPr>
        <w:t>n.d</w:t>
      </w:r>
      <w:proofErr w:type="spellEnd"/>
      <w:r>
        <w:rPr>
          <w:color w:val="4169E1"/>
        </w:rPr>
        <w:t>.</w:t>
      </w:r>
      <w:r>
        <w:t xml:space="preserve">). Für das Influenza B Plasmid (siehe Abbildung </w:t>
      </w:r>
      <w:r>
        <w:rPr>
          <w:b/>
        </w:rPr>
        <w:t xml:space="preserve">?? </w:t>
      </w:r>
      <w:r>
        <w:t xml:space="preserve">im Anhang) wurde das Enzym </w:t>
      </w:r>
      <w:proofErr w:type="spellStart"/>
      <w:r>
        <w:t>SacI</w:t>
      </w:r>
      <w:proofErr w:type="spellEnd"/>
      <w:r>
        <w:t xml:space="preserve"> (Fast Digest, </w:t>
      </w:r>
      <w:proofErr w:type="spellStart"/>
      <w:r>
        <w:t>Thermo</w:t>
      </w:r>
      <w:proofErr w:type="spellEnd"/>
      <w:r>
        <w:t xml:space="preserve"> Fisher Scientific) verwendet. Der Restriktionsverdau erfolgte in 30 µl einfach konzentriertem Fast Digest Puffer (</w:t>
      </w:r>
      <w:proofErr w:type="spellStart"/>
      <w:r>
        <w:t>Thermo</w:t>
      </w:r>
      <w:proofErr w:type="spellEnd"/>
      <w:r>
        <w:t xml:space="preserve"> Fisher Scientific), welcher mit 6 µl Enzym und 3 µg Plasmid-DNA versetzt wurde. De</w:t>
      </w:r>
      <w:r>
        <w:t xml:space="preserve">r Restriktionsansatz wurde für 30 min bei 37 °C im Wasserbad inkubiert und anschließend bei 65 °C für 5 min inaktiviert. Für die Influenza A Plasmide (siehe </w:t>
      </w:r>
      <w:proofErr w:type="gramStart"/>
      <w:r>
        <w:t xml:space="preserve">Abbildung </w:t>
      </w:r>
      <w:r>
        <w:rPr>
          <w:b/>
        </w:rPr>
        <w:t>??</w:t>
      </w:r>
      <w:proofErr w:type="gramEnd"/>
      <w:r>
        <w:rPr>
          <w:b/>
        </w:rPr>
        <w:t xml:space="preserve"> </w:t>
      </w:r>
      <w:r>
        <w:t xml:space="preserve">- </w:t>
      </w:r>
      <w:r>
        <w:rPr>
          <w:b/>
        </w:rPr>
        <w:t xml:space="preserve">?? </w:t>
      </w:r>
      <w:r>
        <w:t xml:space="preserve">im Anhang) wurde das Enzym </w:t>
      </w:r>
      <w:proofErr w:type="spellStart"/>
      <w:r>
        <w:t>PshAI</w:t>
      </w:r>
      <w:proofErr w:type="spellEnd"/>
      <w:r>
        <w:t xml:space="preserve"> (</w:t>
      </w:r>
      <w:proofErr w:type="spellStart"/>
      <w:r>
        <w:t>Thermo</w:t>
      </w:r>
      <w:proofErr w:type="spellEnd"/>
      <w:r>
        <w:t xml:space="preserve"> Fisher Scientific) verwendet. Der Restri</w:t>
      </w:r>
      <w:r>
        <w:t>ktionsverdau erfolgte in 40 µl einfach konzentriertem Tango Puffer (</w:t>
      </w:r>
      <w:proofErr w:type="spellStart"/>
      <w:r>
        <w:t>Thermo</w:t>
      </w:r>
      <w:proofErr w:type="spellEnd"/>
      <w:r>
        <w:t xml:space="preserve"> Fisher Scientific), welcher mit 3 µg Plasmid-DNA und 1,5 U/µl Enzym versetzt wurde. Der Restriktionsansatz wurde für 2 h im Wasserbad bei 37 °C inkubiert und anschließend bei 80 °C </w:t>
      </w:r>
      <w:r>
        <w:t xml:space="preserve">für 20 min inaktiviert. Zur Überprüfung des </w:t>
      </w:r>
      <w:proofErr w:type="spellStart"/>
      <w:r>
        <w:t>Restriktionsverdaus</w:t>
      </w:r>
      <w:proofErr w:type="spellEnd"/>
      <w:r>
        <w:t xml:space="preserve"> wurde eine Agarose-Gelelektrophorese durchgeführt. Sie dient der</w:t>
      </w:r>
    </w:p>
    <w:p w14:paraId="2467B74C" w14:textId="77777777" w:rsidR="009D64B7" w:rsidRDefault="008B75B9">
      <w:pPr>
        <w:ind w:left="47" w:right="14"/>
      </w:pPr>
      <w:r>
        <w:t>Auftrennung von DNA-Fragmenten. Die negativ geladene DNA wandert durch das Anlegen einer Spannung durch ein Trägermaterial (Aga</w:t>
      </w:r>
      <w:r>
        <w:t xml:space="preserve">rose-Gel) Richtung Anode. Dabei wandern kürzere DNA-Moleküle schneller durch das Trägermaterial als längere, wodurch DNA-Moleküle anhand ihrer Sequenzlänge aufgetrennt werden. Ungeschnittene verschiedene </w:t>
      </w:r>
      <w:proofErr w:type="spellStart"/>
      <w:r>
        <w:t>Plasmidformen</w:t>
      </w:r>
      <w:proofErr w:type="spellEnd"/>
      <w:r>
        <w:t xml:space="preserve"> wie zirkuläre oder </w:t>
      </w:r>
      <w:proofErr w:type="spellStart"/>
      <w:r>
        <w:t>supercoilde</w:t>
      </w:r>
      <w:proofErr w:type="spellEnd"/>
      <w:r>
        <w:t xml:space="preserve"> Plasmid</w:t>
      </w:r>
      <w:r>
        <w:t>e lassen sich so unterscheiden, da die unterschiedlichen Formen für geringere oder stärkere sterische Beeinträchtigung in der Gittermatrix sorgen. Zur visuellen Detektion der DNA-Fragmente wird die aufgetrennte DNA durch einen Farbstoff markiert (</w:t>
      </w:r>
      <w:proofErr w:type="spellStart"/>
      <w:r>
        <w:rPr>
          <w:color w:val="4169E1"/>
        </w:rPr>
        <w:t>Mülhardt</w:t>
      </w:r>
      <w:proofErr w:type="spellEnd"/>
      <w:r>
        <w:rPr>
          <w:color w:val="4169E1"/>
        </w:rPr>
        <w:t xml:space="preserve"> </w:t>
      </w:r>
      <w:r>
        <w:rPr>
          <w:color w:val="4169E1"/>
        </w:rPr>
        <w:t>2009</w:t>
      </w:r>
      <w:r>
        <w:t xml:space="preserve">; </w:t>
      </w:r>
      <w:r>
        <w:rPr>
          <w:color w:val="4169E1"/>
        </w:rPr>
        <w:t>Schmidt et al. 1999</w:t>
      </w:r>
      <w:r>
        <w:t>). Als Trägermaterial diente ein Agarosegel mit 1 % (w/v) Agarose in 1X TRIS-Borat-EDTA-Puffer (</w:t>
      </w:r>
      <w:proofErr w:type="spellStart"/>
      <w:r>
        <w:t>Roti</w:t>
      </w:r>
      <w:r>
        <w:rPr>
          <w:vertAlign w:val="superscript"/>
        </w:rPr>
        <w:t>©</w:t>
      </w:r>
      <w:r>
        <w:t>fair</w:t>
      </w:r>
      <w:proofErr w:type="spellEnd"/>
      <w:r>
        <w:t>, Carl Roth) versetzt mit 1,5 µl Green Gel</w:t>
      </w:r>
    </w:p>
    <w:p w14:paraId="39EFAABD" w14:textId="77777777" w:rsidR="009D64B7" w:rsidRDefault="008B75B9">
      <w:pPr>
        <w:spacing w:after="50" w:line="259" w:lineRule="auto"/>
        <w:ind w:left="47" w:right="14"/>
      </w:pPr>
      <w:r w:rsidRPr="002604BD">
        <w:rPr>
          <w:lang w:val="en-US"/>
        </w:rPr>
        <w:t xml:space="preserve">DNA/RNA Stain (Bio &amp; Sell). </w:t>
      </w:r>
      <w:r>
        <w:t xml:space="preserve">Pro Geltasche wurden 100 </w:t>
      </w:r>
      <w:proofErr w:type="spellStart"/>
      <w:r>
        <w:t>ng</w:t>
      </w:r>
      <w:proofErr w:type="spellEnd"/>
      <w:r>
        <w:t xml:space="preserve"> DNA-Material mit 1 µl 6X or</w:t>
      </w:r>
      <w:r>
        <w:t xml:space="preserve">ange </w:t>
      </w:r>
      <w:proofErr w:type="spellStart"/>
      <w:r>
        <w:t>loading</w:t>
      </w:r>
      <w:proofErr w:type="spellEnd"/>
      <w:r>
        <w:t xml:space="preserve"> DYE</w:t>
      </w:r>
    </w:p>
    <w:p w14:paraId="3A75DD1E" w14:textId="77777777" w:rsidR="009D64B7" w:rsidRDefault="008B75B9">
      <w:pPr>
        <w:ind w:left="47" w:right="14"/>
      </w:pPr>
      <w:r>
        <w:t>(</w:t>
      </w:r>
      <w:proofErr w:type="spellStart"/>
      <w:r>
        <w:t>Thermo</w:t>
      </w:r>
      <w:proofErr w:type="spellEnd"/>
      <w:r>
        <w:t xml:space="preserve"> Fisher Scientific) in einem finalen Volumen von 6 µl analysiert. Als Referenz wurden jeweils 3 µl einer 100bp plus DNA-Leiter (</w:t>
      </w:r>
      <w:proofErr w:type="spellStart"/>
      <w:r>
        <w:t>GeneRuler</w:t>
      </w:r>
      <w:proofErr w:type="spellEnd"/>
      <w:r>
        <w:t xml:space="preserve">, </w:t>
      </w:r>
      <w:proofErr w:type="spellStart"/>
      <w:r>
        <w:t>Thermo</w:t>
      </w:r>
      <w:proofErr w:type="spellEnd"/>
      <w:r>
        <w:t xml:space="preserve"> Fisher Scientific) und einer 1 </w:t>
      </w:r>
      <w:proofErr w:type="spellStart"/>
      <w:r>
        <w:t>kb</w:t>
      </w:r>
      <w:proofErr w:type="spellEnd"/>
      <w:r>
        <w:t xml:space="preserve"> DNA-Leiter (</w:t>
      </w:r>
      <w:proofErr w:type="spellStart"/>
      <w:r>
        <w:t>PeqGOLD</w:t>
      </w:r>
      <w:proofErr w:type="spellEnd"/>
      <w:r>
        <w:t xml:space="preserve">, </w:t>
      </w:r>
      <w:proofErr w:type="spellStart"/>
      <w:r>
        <w:t>Thermo</w:t>
      </w:r>
      <w:proofErr w:type="spellEnd"/>
      <w:r>
        <w:t xml:space="preserve"> Fisher Scientific) mitge</w:t>
      </w:r>
      <w:r>
        <w:t>führt. Die angelegte Spannung betrug 80 V für 60 min. Nach der erfolgten</w:t>
      </w:r>
    </w:p>
    <w:p w14:paraId="56B0942D" w14:textId="77777777" w:rsidR="009D64B7" w:rsidRDefault="008B75B9">
      <w:pPr>
        <w:spacing w:after="271"/>
        <w:ind w:left="47" w:right="14"/>
      </w:pPr>
      <w:r>
        <w:t xml:space="preserve">Elektrophorese wurde das Gel bei UV-Licht mithilfe des Geldokumentationsgeräts </w:t>
      </w:r>
      <w:proofErr w:type="spellStart"/>
      <w:r>
        <w:t>Biorad</w:t>
      </w:r>
      <w:proofErr w:type="spellEnd"/>
      <w:r>
        <w:t xml:space="preserve"> universal Hood II (Bio-Rad) ausgewertet.</w:t>
      </w:r>
    </w:p>
    <w:p w14:paraId="4F3158BD" w14:textId="77777777" w:rsidR="009D64B7" w:rsidRDefault="008B75B9">
      <w:pPr>
        <w:pStyle w:val="berschrift3"/>
        <w:tabs>
          <w:tab w:val="center" w:pos="2773"/>
        </w:tabs>
        <w:ind w:left="0" w:firstLine="0"/>
      </w:pPr>
      <w:bookmarkStart w:id="11" w:name="_Toc28902"/>
      <w:r>
        <w:lastRenderedPageBreak/>
        <w:t>1.2.5</w:t>
      </w:r>
      <w:r>
        <w:tab/>
        <w:t xml:space="preserve">DNA-Reinigung des </w:t>
      </w:r>
      <w:proofErr w:type="spellStart"/>
      <w:r>
        <w:t>Restriktionsverdaus</w:t>
      </w:r>
      <w:bookmarkEnd w:id="11"/>
      <w:proofErr w:type="spellEnd"/>
    </w:p>
    <w:p w14:paraId="3326350F" w14:textId="77777777" w:rsidR="009D64B7" w:rsidRDefault="008B75B9">
      <w:pPr>
        <w:spacing w:after="270"/>
        <w:ind w:left="47" w:right="14"/>
      </w:pPr>
      <w:r>
        <w:t>Zur Entfernu</w:t>
      </w:r>
      <w:r>
        <w:t xml:space="preserve">ng von Puffer- und Enzymbestandteile des fertigen Restriktionsansatz zu, wurde das DNA clean &amp; </w:t>
      </w:r>
      <w:proofErr w:type="spellStart"/>
      <w:r>
        <w:t>concentrator</w:t>
      </w:r>
      <w:proofErr w:type="spellEnd"/>
      <w:r>
        <w:t xml:space="preserve"> Kit (</w:t>
      </w:r>
      <w:proofErr w:type="spellStart"/>
      <w:r>
        <w:t>Zymo</w:t>
      </w:r>
      <w:proofErr w:type="spellEnd"/>
      <w:r>
        <w:t xml:space="preserve"> Research) nach Herstellerangaben verwendet. (Protokoll</w:t>
      </w:r>
      <w:r>
        <w:rPr>
          <w:color w:val="4169E1"/>
          <w:vertAlign w:val="superscript"/>
        </w:rPr>
        <w:footnoteReference w:id="7"/>
      </w:r>
      <w:r>
        <w:rPr>
          <w:color w:val="4169E1"/>
          <w:vertAlign w:val="superscript"/>
        </w:rPr>
        <w:t xml:space="preserve"> </w:t>
      </w:r>
      <w:r>
        <w:t>online verfügbar). Die Elution im letzten Schritt des Herstellerprotokolls erfolg</w:t>
      </w:r>
      <w:r>
        <w:t xml:space="preserve">te mit 10 µl DNA </w:t>
      </w:r>
      <w:proofErr w:type="spellStart"/>
      <w:r>
        <w:t>Elutionspuffer</w:t>
      </w:r>
      <w:proofErr w:type="spellEnd"/>
      <w:r>
        <w:t xml:space="preserve"> (10 </w:t>
      </w:r>
      <w:proofErr w:type="spellStart"/>
      <w:r>
        <w:t>mM</w:t>
      </w:r>
      <w:proofErr w:type="spellEnd"/>
      <w:r>
        <w:t xml:space="preserve"> </w:t>
      </w:r>
      <w:proofErr w:type="spellStart"/>
      <w:r>
        <w:t>Tris</w:t>
      </w:r>
      <w:proofErr w:type="spellEnd"/>
      <w:r>
        <w:t xml:space="preserve">-HCl; pH 8,5; 0,1 </w:t>
      </w:r>
      <w:proofErr w:type="spellStart"/>
      <w:r>
        <w:t>mM</w:t>
      </w:r>
      <w:proofErr w:type="spellEnd"/>
      <w:r>
        <w:t xml:space="preserve"> EDTA; bereitgestellt von Kit). Anschließend wurde die Quantität und Reinheit der DNA mittels </w:t>
      </w:r>
      <w:proofErr w:type="spellStart"/>
      <w:r>
        <w:t>NanoDrop</w:t>
      </w:r>
      <w:proofErr w:type="spellEnd"/>
      <w:r>
        <w:t xml:space="preserve"> 8000 </w:t>
      </w:r>
      <w:proofErr w:type="spellStart"/>
      <w:r>
        <w:t>Spektrophotometer</w:t>
      </w:r>
      <w:proofErr w:type="spellEnd"/>
      <w:r>
        <w:t xml:space="preserve"> bestimmt.</w:t>
      </w:r>
    </w:p>
    <w:p w14:paraId="5BCE5797" w14:textId="77777777" w:rsidR="009D64B7" w:rsidRDefault="008B75B9">
      <w:pPr>
        <w:pStyle w:val="berschrift3"/>
        <w:tabs>
          <w:tab w:val="center" w:pos="4120"/>
        </w:tabs>
        <w:ind w:left="0" w:firstLine="0"/>
      </w:pPr>
      <w:bookmarkStart w:id="12" w:name="_Toc28903"/>
      <w:r>
        <w:t>1.2.6</w:t>
      </w:r>
      <w:r>
        <w:tab/>
      </w:r>
      <w:r>
        <w:rPr>
          <w:i/>
        </w:rPr>
        <w:t xml:space="preserve">In Vitro </w:t>
      </w:r>
      <w:r>
        <w:t xml:space="preserve">Transkription zur Herstellung von viralen </w:t>
      </w:r>
      <w:r>
        <w:t>RNA-Standards</w:t>
      </w:r>
      <w:bookmarkEnd w:id="12"/>
    </w:p>
    <w:p w14:paraId="16031F37" w14:textId="615552C7" w:rsidR="009D64B7" w:rsidRDefault="008B75B9">
      <w:pPr>
        <w:spacing w:after="50" w:line="259" w:lineRule="auto"/>
        <w:ind w:left="47" w:right="14"/>
      </w:pPr>
      <w:r>
        <w:t xml:space="preserve">Damit </w:t>
      </w:r>
      <w:proofErr w:type="spellStart"/>
      <w:r>
        <w:t>realitätsnahme</w:t>
      </w:r>
      <w:proofErr w:type="spellEnd"/>
      <w:r>
        <w:t xml:space="preserve"> Bedingungen in Bezug auf die </w:t>
      </w:r>
      <w:r w:rsidR="002604BD">
        <w:t>Nukleinsäure</w:t>
      </w:r>
      <w:r>
        <w:t>-Standards erreicht werden, mussten die</w:t>
      </w:r>
    </w:p>
    <w:p w14:paraId="10D12EEA" w14:textId="77777777" w:rsidR="009D64B7" w:rsidRDefault="008B75B9">
      <w:pPr>
        <w:ind w:left="47" w:right="14"/>
      </w:pPr>
      <w:r>
        <w:t xml:space="preserve">DNA-Fragmente in RNA transkribiert werden, da </w:t>
      </w:r>
      <w:proofErr w:type="gramStart"/>
      <w:r>
        <w:t>dieses</w:t>
      </w:r>
      <w:proofErr w:type="gramEnd"/>
      <w:r>
        <w:t xml:space="preserve"> dass genomische Material der zu untersuchenden Influenza Viren ist. Für diesen Zweck wu</w:t>
      </w:r>
      <w:r>
        <w:t xml:space="preserve">rde eine Promotor-Region von der viralen Sequenz genutzt (siehe </w:t>
      </w:r>
      <w:proofErr w:type="spellStart"/>
      <w:proofErr w:type="gramStart"/>
      <w:r>
        <w:t>Plasmidkarten</w:t>
      </w:r>
      <w:proofErr w:type="spellEnd"/>
      <w:r>
        <w:t xml:space="preserve"> </w:t>
      </w:r>
      <w:r>
        <w:rPr>
          <w:b/>
        </w:rPr>
        <w:t>??</w:t>
      </w:r>
      <w:proofErr w:type="gramEnd"/>
      <w:r>
        <w:rPr>
          <w:b/>
        </w:rPr>
        <w:t xml:space="preserve"> </w:t>
      </w:r>
      <w:r>
        <w:t xml:space="preserve">- </w:t>
      </w:r>
      <w:r>
        <w:rPr>
          <w:b/>
        </w:rPr>
        <w:t xml:space="preserve">?? </w:t>
      </w:r>
      <w:r>
        <w:t>im Anhang).</w:t>
      </w:r>
    </w:p>
    <w:p w14:paraId="440187BF" w14:textId="77777777" w:rsidR="009D64B7" w:rsidRDefault="008B75B9">
      <w:pPr>
        <w:ind w:left="47" w:right="14"/>
      </w:pPr>
      <w:r>
        <w:t xml:space="preserve">Die </w:t>
      </w:r>
      <w:r>
        <w:rPr>
          <w:i/>
        </w:rPr>
        <w:t xml:space="preserve">in vitro </w:t>
      </w:r>
      <w:r>
        <w:t xml:space="preserve">Transkription erfolgte mit dem </w:t>
      </w:r>
      <w:proofErr w:type="spellStart"/>
      <w:r>
        <w:t>HiScribe</w:t>
      </w:r>
      <w:r>
        <w:rPr>
          <w:vertAlign w:val="superscript"/>
        </w:rPr>
        <w:t>TM</w:t>
      </w:r>
      <w:proofErr w:type="spellEnd"/>
      <w:r>
        <w:rPr>
          <w:vertAlign w:val="superscript"/>
        </w:rPr>
        <w:t xml:space="preserve"> </w:t>
      </w:r>
      <w:r>
        <w:t xml:space="preserve">T7 High </w:t>
      </w:r>
      <w:proofErr w:type="spellStart"/>
      <w:r>
        <w:t>Yield</w:t>
      </w:r>
      <w:proofErr w:type="spellEnd"/>
      <w:r>
        <w:t xml:space="preserve"> RNA Synthesis Kit (New England </w:t>
      </w:r>
      <w:proofErr w:type="spellStart"/>
      <w:r>
        <w:t>BioLabs</w:t>
      </w:r>
      <w:proofErr w:type="spellEnd"/>
      <w:r>
        <w:t>) nach Herstellerangaben (Protokoll</w:t>
      </w:r>
      <w:r>
        <w:rPr>
          <w:color w:val="4169E1"/>
          <w:vertAlign w:val="superscript"/>
        </w:rPr>
        <w:footnoteReference w:id="8"/>
      </w:r>
      <w:r>
        <w:rPr>
          <w:color w:val="4169E1"/>
          <w:vertAlign w:val="superscript"/>
        </w:rPr>
        <w:t xml:space="preserve"> </w:t>
      </w:r>
      <w:r>
        <w:t xml:space="preserve">online verfügbar). Pro Reaktion wurde 1 µg linearisierte und gereinigte DNA aus Kapitel </w:t>
      </w:r>
      <w:r>
        <w:rPr>
          <w:color w:val="4169E1"/>
        </w:rPr>
        <w:t xml:space="preserve">1.2.4 </w:t>
      </w:r>
      <w:r>
        <w:t xml:space="preserve">eingesetzt. Anschließend wurde die Reaktion für 2 h bei 37 °C im Wasserbad inkubiert. zur </w:t>
      </w:r>
      <w:proofErr w:type="spellStart"/>
      <w:r>
        <w:t>Entferung</w:t>
      </w:r>
      <w:proofErr w:type="spellEnd"/>
      <w:r>
        <w:t xml:space="preserve"> residualer Anfangs-DNA aus der RNA-Lösung wurde anschließend e</w:t>
      </w:r>
      <w:r>
        <w:t xml:space="preserve">in </w:t>
      </w:r>
      <w:proofErr w:type="spellStart"/>
      <w:r>
        <w:t>DNAse</w:t>
      </w:r>
      <w:proofErr w:type="spellEnd"/>
      <w:r>
        <w:t>-Verdau durchgeführt. Dazu wurde der Mix mit 70 µl PCR-reinem Wasser verdünnt und 10 µl 10X</w:t>
      </w:r>
    </w:p>
    <w:p w14:paraId="09C181D5" w14:textId="77777777" w:rsidR="009D64B7" w:rsidRDefault="008B75B9">
      <w:pPr>
        <w:spacing w:after="271"/>
        <w:ind w:left="47" w:right="14"/>
      </w:pPr>
      <w:proofErr w:type="spellStart"/>
      <w:r>
        <w:t>DNAse</w:t>
      </w:r>
      <w:proofErr w:type="spellEnd"/>
      <w:r>
        <w:t xml:space="preserve">-Puffer (New England </w:t>
      </w:r>
      <w:proofErr w:type="spellStart"/>
      <w:r>
        <w:t>Biolabs</w:t>
      </w:r>
      <w:proofErr w:type="spellEnd"/>
      <w:r>
        <w:t xml:space="preserve">) dazugegeben. Die neu entstandene Reaktionslösung wurde mit 4 U </w:t>
      </w:r>
      <w:proofErr w:type="spellStart"/>
      <w:r>
        <w:t>DNAse</w:t>
      </w:r>
      <w:proofErr w:type="spellEnd"/>
      <w:r>
        <w:t xml:space="preserve"> I (New England </w:t>
      </w:r>
      <w:proofErr w:type="spellStart"/>
      <w:r>
        <w:t>Biolabs</w:t>
      </w:r>
      <w:proofErr w:type="spellEnd"/>
      <w:r>
        <w:t>) versetzt und abermals bei 37 °C für 15 min inkubiert. Um Puffer- und Enzymbestandteile aus den vorherigen Arbeitsschritten zu en</w:t>
      </w:r>
      <w:r>
        <w:t xml:space="preserve">tfernen und eine reine RNA-Lösung zu erhalten, wurde das </w:t>
      </w:r>
      <w:proofErr w:type="spellStart"/>
      <w:r>
        <w:t>EchoCLEAN</w:t>
      </w:r>
      <w:proofErr w:type="spellEnd"/>
      <w:r>
        <w:t xml:space="preserve"> RNA </w:t>
      </w:r>
      <w:proofErr w:type="spellStart"/>
      <w:r>
        <w:t>CleanUp</w:t>
      </w:r>
      <w:proofErr w:type="spellEnd"/>
      <w:r>
        <w:t xml:space="preserve"> Kit (</w:t>
      </w:r>
      <w:proofErr w:type="spellStart"/>
      <w:r>
        <w:t>BioEcho</w:t>
      </w:r>
      <w:proofErr w:type="spellEnd"/>
      <w:r>
        <w:t xml:space="preserve"> Life Sciences GmbH) nach Herstellerangaben durchgeführt (Protokoll</w:t>
      </w:r>
      <w:r>
        <w:rPr>
          <w:color w:val="4169E1"/>
          <w:vertAlign w:val="superscript"/>
        </w:rPr>
        <w:footnoteReference w:id="9"/>
      </w:r>
      <w:r>
        <w:rPr>
          <w:color w:val="4169E1"/>
          <w:vertAlign w:val="superscript"/>
        </w:rPr>
        <w:t xml:space="preserve"> </w:t>
      </w:r>
      <w:r>
        <w:t>online verfügbar). Das Prinzip der RNA-</w:t>
      </w:r>
      <w:proofErr w:type="spellStart"/>
      <w:r>
        <w:t>Aufreinigungsmethode</w:t>
      </w:r>
      <w:proofErr w:type="spellEnd"/>
      <w:r>
        <w:t xml:space="preserve"> von </w:t>
      </w:r>
      <w:proofErr w:type="spellStart"/>
      <w:r>
        <w:t>BioEcho</w:t>
      </w:r>
      <w:proofErr w:type="spellEnd"/>
      <w:r>
        <w:t xml:space="preserve"> basiert dabei auf einer</w:t>
      </w:r>
      <w:r>
        <w:t xml:space="preserve"> Matrix, welche durchlässig für Nukleinsäuren ist, jedoch andere Verunreinigungen bindet (</w:t>
      </w:r>
      <w:proofErr w:type="spellStart"/>
      <w:r>
        <w:rPr>
          <w:color w:val="4169E1"/>
        </w:rPr>
        <w:t>BioEcho</w:t>
      </w:r>
      <w:proofErr w:type="spellEnd"/>
      <w:r>
        <w:rPr>
          <w:color w:val="4169E1"/>
        </w:rPr>
        <w:t xml:space="preserve"> 2022</w:t>
      </w:r>
      <w:r>
        <w:t>).</w:t>
      </w:r>
    </w:p>
    <w:p w14:paraId="5F9E7AE1" w14:textId="77777777" w:rsidR="009D64B7" w:rsidRDefault="008B75B9">
      <w:pPr>
        <w:pStyle w:val="berschrift3"/>
        <w:tabs>
          <w:tab w:val="center" w:pos="3134"/>
        </w:tabs>
        <w:ind w:left="0" w:firstLine="0"/>
      </w:pPr>
      <w:bookmarkStart w:id="13" w:name="_Toc28904"/>
      <w:r>
        <w:t>1.2.7</w:t>
      </w:r>
      <w:r>
        <w:tab/>
      </w:r>
      <w:proofErr w:type="spellStart"/>
      <w:r>
        <w:t>RiboGreen</w:t>
      </w:r>
      <w:proofErr w:type="spellEnd"/>
      <w:r>
        <w:t xml:space="preserve"> Assay zur Quantifizierung von RNA</w:t>
      </w:r>
      <w:bookmarkEnd w:id="13"/>
    </w:p>
    <w:p w14:paraId="5DDCF3E9" w14:textId="77777777" w:rsidR="009D64B7" w:rsidRDefault="008B75B9">
      <w:pPr>
        <w:spacing w:after="321"/>
        <w:ind w:left="47" w:right="14"/>
      </w:pPr>
      <w:r>
        <w:t>Zur präzisen RNA-Konzentrationsbestimmung wurde das Quant-</w:t>
      </w:r>
      <w:proofErr w:type="spellStart"/>
      <w:r>
        <w:t>iT</w:t>
      </w:r>
      <w:proofErr w:type="spellEnd"/>
      <w:r>
        <w:t xml:space="preserve"> </w:t>
      </w:r>
      <w:proofErr w:type="spellStart"/>
      <w:r>
        <w:t>RiboGreen</w:t>
      </w:r>
      <w:proofErr w:type="spellEnd"/>
      <w:r>
        <w:t xml:space="preserve"> RNA-Kit (</w:t>
      </w:r>
      <w:proofErr w:type="spellStart"/>
      <w:r>
        <w:t>Thermo</w:t>
      </w:r>
      <w:proofErr w:type="spellEnd"/>
      <w:r>
        <w:t xml:space="preserve"> Fisher Scienti</w:t>
      </w:r>
      <w:r>
        <w:t>fic) verwendet. Das Prinzip des Kits basiert dabei auf der Bindung eines gleichnamigen Fluoreszenzfarbstoffes an die einzelsträngige RNA. Durch die Bindung erhöht sich die Fluoreszenz des Farbstoffes um den Faktor 1000, so dass eine sensitive Detektion von</w:t>
      </w:r>
      <w:r>
        <w:t xml:space="preserve"> bis zu 1 </w:t>
      </w:r>
      <w:proofErr w:type="spellStart"/>
      <w:r>
        <w:t>ng</w:t>
      </w:r>
      <w:proofErr w:type="spellEnd"/>
      <w:r>
        <w:t>/ml RNA ermöglicht wird (</w:t>
      </w:r>
      <w:r>
        <w:rPr>
          <w:color w:val="4169E1"/>
        </w:rPr>
        <w:t>Jones et al. 1998</w:t>
      </w:r>
      <w:r>
        <w:t xml:space="preserve">). Vor der RNA-Konzentrationsbestimmung </w:t>
      </w:r>
      <w:commentRangeStart w:id="14"/>
      <w:r>
        <w:t>wurde</w:t>
      </w:r>
      <w:r>
        <w:rPr>
          <w:color w:val="FF0000"/>
        </w:rPr>
        <w:t xml:space="preserve">/wird </w:t>
      </w:r>
      <w:commentRangeEnd w:id="14"/>
      <w:r w:rsidR="002604BD">
        <w:rPr>
          <w:rStyle w:val="Kommentarzeichen"/>
        </w:rPr>
        <w:commentReference w:id="14"/>
      </w:r>
      <w:r>
        <w:t>eine Kalibriergerade im “High-Range” Bereich erstellt. Dazu wurden mit dem im Kit enthaltenen RNA-Standard 5 Kalibrierlösungen im Bereich zwischen 2000</w:t>
      </w:r>
      <w:r>
        <w:t xml:space="preserve"> </w:t>
      </w:r>
      <w:proofErr w:type="spellStart"/>
      <w:r>
        <w:t>ng</w:t>
      </w:r>
      <w:proofErr w:type="spellEnd"/>
      <w:r>
        <w:t xml:space="preserve">/ml und 50 </w:t>
      </w:r>
      <w:proofErr w:type="spellStart"/>
      <w:r>
        <w:t>ng</w:t>
      </w:r>
      <w:proofErr w:type="spellEnd"/>
      <w:r>
        <w:t>/ml mit 1X TE-Puffer (</w:t>
      </w:r>
      <w:proofErr w:type="spellStart"/>
      <w:r>
        <w:t>Thermo</w:t>
      </w:r>
      <w:proofErr w:type="spellEnd"/>
      <w:r>
        <w:t xml:space="preserve"> Fisher Scientific) hergestellt. Die zu messende </w:t>
      </w:r>
      <w:proofErr w:type="spellStart"/>
      <w:r>
        <w:t>RNAProbe</w:t>
      </w:r>
      <w:proofErr w:type="spellEnd"/>
      <w:r>
        <w:t xml:space="preserve"> wurde vor der Messung mit 1X TE-Puffer auf eine in der Kalibriergerade liegende Konzentration verdünnt. Jede Messlösung der Kalibriergerade sowie zu besti</w:t>
      </w:r>
      <w:r>
        <w:t>mmende RNA-Lösung wurde 1:1 mit einer Farblösung (</w:t>
      </w:r>
      <w:proofErr w:type="spellStart"/>
      <w:r>
        <w:t>RiboGreen</w:t>
      </w:r>
      <w:proofErr w:type="spellEnd"/>
      <w:r>
        <w:t xml:space="preserve"> 1:200 mit 1X TE-Puffer verdünnt) gemischt. Diese wurde homogenisiert, für 2 min auf Eis im Dunklen gelagert und anschließend abermals gemischt. Die anschließende Fluoreszenzmessung erfolgte im </w:t>
      </w:r>
      <w:proofErr w:type="spellStart"/>
      <w:r>
        <w:t>Nan</w:t>
      </w:r>
      <w:r>
        <w:t>odrop</w:t>
      </w:r>
      <w:proofErr w:type="spellEnd"/>
      <w:r>
        <w:t xml:space="preserve"> 3300 Fluoreszenzspektrometer bei 525 nm.</w:t>
      </w:r>
    </w:p>
    <w:p w14:paraId="00861A40" w14:textId="5AB5055F" w:rsidR="009D64B7" w:rsidRDefault="008B75B9">
      <w:pPr>
        <w:pStyle w:val="berschrift2"/>
        <w:ind w:left="628" w:hanging="583"/>
      </w:pPr>
      <w:bookmarkStart w:id="15" w:name="_Toc28905"/>
      <w:r>
        <w:lastRenderedPageBreak/>
        <w:t>1.3</w:t>
      </w:r>
      <w:r>
        <w:tab/>
        <w:t>Erstellung</w:t>
      </w:r>
      <w:r>
        <w:tab/>
        <w:t>von</w:t>
      </w:r>
      <w:r>
        <w:tab/>
        <w:t>RNA-Kontrollproben</w:t>
      </w:r>
      <w:r>
        <w:tab/>
        <w:t>mit</w:t>
      </w:r>
      <w:r>
        <w:tab/>
        <w:t>humanem</w:t>
      </w:r>
      <w:r>
        <w:tab/>
        <w:t>Nukleinsäure</w:t>
      </w:r>
      <w:r w:rsidR="002604BD">
        <w:t>-</w:t>
      </w:r>
      <w:r>
        <w:t>Hintergrund</w:t>
      </w:r>
      <w:bookmarkEnd w:id="15"/>
    </w:p>
    <w:p w14:paraId="33A9AC3E" w14:textId="6D9BFD27" w:rsidR="009D64B7" w:rsidRDefault="008B75B9">
      <w:pPr>
        <w:ind w:left="47" w:right="14"/>
      </w:pPr>
      <w:r>
        <w:t>Damit überprüft werden kann, ob die Detektion von RNA mittel RT-RPA in einem humanen Probenhintergrund beeinflusst wird, wurden Kontrol</w:t>
      </w:r>
      <w:r>
        <w:t xml:space="preserve">lproben erstellt. Dazu wurden von gesunden Mitarbeitern der Arbeitsgruppe </w:t>
      </w:r>
      <w:proofErr w:type="spellStart"/>
      <w:r>
        <w:t>Nasopharyngeal</w:t>
      </w:r>
      <w:proofErr w:type="spellEnd"/>
      <w:r>
        <w:t>-Abstriche mithilfe der 1ml UTM REGULAR FLOQ SWAB (305c, UTM</w:t>
      </w:r>
      <w:r>
        <w:rPr>
          <w:vertAlign w:val="superscript"/>
        </w:rPr>
        <w:t>TM</w:t>
      </w:r>
      <w:r>
        <w:t xml:space="preserve">) entnommen und die RNA mithilfe des </w:t>
      </w:r>
      <w:proofErr w:type="spellStart"/>
      <w:r>
        <w:t>QiAamp</w:t>
      </w:r>
      <w:proofErr w:type="spellEnd"/>
      <w:r>
        <w:t xml:space="preserve"> Viral RNA Mini Kits (Qiagen) nach Herstellerangaben isoliert (</w:t>
      </w:r>
      <w:r>
        <w:t>Protokoll online</w:t>
      </w:r>
      <w:r>
        <w:rPr>
          <w:color w:val="4169E1"/>
          <w:vertAlign w:val="superscript"/>
        </w:rPr>
        <w:footnoteReference w:id="10"/>
      </w:r>
      <w:r>
        <w:rPr>
          <w:color w:val="4169E1"/>
          <w:vertAlign w:val="superscript"/>
        </w:rPr>
        <w:t xml:space="preserve"> </w:t>
      </w:r>
      <w:r>
        <w:t>Verfügbar). In die erhaltenen RNA-Extrakte wurde in einem 1:10 Verhältnis die entsprechende virale Standard-RNA zugegeben und die Kontrollprobe homogenisiert.</w:t>
      </w:r>
    </w:p>
    <w:p w14:paraId="144BB3BC" w14:textId="77777777" w:rsidR="002604BD" w:rsidRDefault="002604BD">
      <w:pPr>
        <w:ind w:left="47" w:right="14"/>
      </w:pPr>
    </w:p>
    <w:p w14:paraId="0F4199B3" w14:textId="77777777" w:rsidR="009D64B7" w:rsidRDefault="008B75B9">
      <w:pPr>
        <w:pStyle w:val="berschrift2"/>
        <w:tabs>
          <w:tab w:val="center" w:pos="2265"/>
        </w:tabs>
        <w:ind w:left="0" w:firstLine="0"/>
      </w:pPr>
      <w:bookmarkStart w:id="16" w:name="_Toc28906"/>
      <w:r>
        <w:t>1.4</w:t>
      </w:r>
      <w:r>
        <w:tab/>
        <w:t>Nukleinsäure Amplifikation</w:t>
      </w:r>
      <w:bookmarkEnd w:id="16"/>
    </w:p>
    <w:p w14:paraId="62B21877" w14:textId="77777777" w:rsidR="009D64B7" w:rsidRDefault="008B75B9">
      <w:pPr>
        <w:spacing w:after="271"/>
        <w:ind w:left="47" w:right="14"/>
      </w:pPr>
      <w:r>
        <w:t>In diesem Kapitel werden durchgeführten NAAT be</w:t>
      </w:r>
      <w:r>
        <w:t>schrieben. Darunter fallen die RT-qPCR, die RPA sowie die verschiedenen Optimierung letzterer für die Influenza A und B Viren.</w:t>
      </w:r>
    </w:p>
    <w:p w14:paraId="65618AC5" w14:textId="77777777" w:rsidR="009D64B7" w:rsidRPr="002604BD" w:rsidRDefault="008B75B9">
      <w:pPr>
        <w:pStyle w:val="berschrift3"/>
        <w:tabs>
          <w:tab w:val="center" w:pos="4445"/>
        </w:tabs>
        <w:ind w:left="0" w:firstLine="0"/>
        <w:rPr>
          <w:lang w:val="en-US"/>
        </w:rPr>
      </w:pPr>
      <w:bookmarkStart w:id="17" w:name="_Toc28907"/>
      <w:r w:rsidRPr="002604BD">
        <w:rPr>
          <w:lang w:val="en-US"/>
        </w:rPr>
        <w:t>1.4.1</w:t>
      </w:r>
      <w:r w:rsidRPr="002604BD">
        <w:rPr>
          <w:lang w:val="en-US"/>
        </w:rPr>
        <w:tab/>
        <w:t xml:space="preserve">Reverse </w:t>
      </w:r>
      <w:proofErr w:type="spellStart"/>
      <w:r w:rsidRPr="002604BD">
        <w:rPr>
          <w:lang w:val="en-US"/>
        </w:rPr>
        <w:t>Transkription</w:t>
      </w:r>
      <w:proofErr w:type="spellEnd"/>
      <w:r w:rsidRPr="002604BD">
        <w:rPr>
          <w:lang w:val="en-US"/>
        </w:rPr>
        <w:t xml:space="preserve"> Real Time Polymerase </w:t>
      </w:r>
      <w:proofErr w:type="spellStart"/>
      <w:r w:rsidRPr="002604BD">
        <w:rPr>
          <w:lang w:val="en-US"/>
        </w:rPr>
        <w:t>Kettenreaktion</w:t>
      </w:r>
      <w:proofErr w:type="spellEnd"/>
      <w:r w:rsidRPr="002604BD">
        <w:rPr>
          <w:lang w:val="en-US"/>
        </w:rPr>
        <w:t xml:space="preserve"> (RT-qPCR)</w:t>
      </w:r>
      <w:bookmarkEnd w:id="17"/>
    </w:p>
    <w:p w14:paraId="6A15A18C" w14:textId="77777777" w:rsidR="009D64B7" w:rsidRDefault="008B75B9">
      <w:pPr>
        <w:spacing w:after="89" w:line="259" w:lineRule="auto"/>
        <w:ind w:left="47" w:right="14"/>
      </w:pPr>
      <w:r>
        <w:t>Die Amplifikation von viraler Standard RNA mittels RT-q</w:t>
      </w:r>
      <w:r>
        <w:t xml:space="preserve">PCR wurde </w:t>
      </w:r>
      <w:proofErr w:type="gramStart"/>
      <w:r>
        <w:t>mit dem Luna</w:t>
      </w:r>
      <w:proofErr w:type="gramEnd"/>
      <w:r>
        <w:rPr>
          <w:vertAlign w:val="superscript"/>
        </w:rPr>
        <w:t xml:space="preserve">© </w:t>
      </w:r>
      <w:r>
        <w:t>Universal Probe</w:t>
      </w:r>
    </w:p>
    <w:p w14:paraId="5AE36CF9" w14:textId="77777777" w:rsidR="009D64B7" w:rsidRDefault="008B75B9">
      <w:pPr>
        <w:spacing w:after="61" w:line="259" w:lineRule="auto"/>
        <w:ind w:left="47" w:right="14"/>
      </w:pPr>
      <w:proofErr w:type="spellStart"/>
      <w:r>
        <w:t>One-Step</w:t>
      </w:r>
      <w:proofErr w:type="spellEnd"/>
      <w:r>
        <w:t xml:space="preserve"> RT-qPCR Kit durchgeführt. Pro Reaktion wurden 19 µl Reaktionsmix (siehe Tabelle </w:t>
      </w:r>
      <w:r>
        <w:rPr>
          <w:color w:val="4169E1"/>
        </w:rPr>
        <w:t>3</w:t>
      </w:r>
      <w:r>
        <w:t>) mit 1 µl</w:t>
      </w:r>
    </w:p>
    <w:p w14:paraId="61D8629F" w14:textId="77777777" w:rsidR="009D64B7" w:rsidRDefault="008B75B9">
      <w:pPr>
        <w:ind w:left="47" w:right="14"/>
      </w:pPr>
      <w:r>
        <w:t xml:space="preserve">Virus-RNA-Standard versetzt. Für den in Tabelle </w:t>
      </w:r>
      <w:r>
        <w:rPr>
          <w:color w:val="4169E1"/>
        </w:rPr>
        <w:t xml:space="preserve">3 </w:t>
      </w:r>
      <w:r>
        <w:t>angegebenen Primer-Sonden-Mix (PSM) wurden je nach Detektionssyst</w:t>
      </w:r>
      <w:r>
        <w:t xml:space="preserve">em die für Influenza A (siehe Tabelle </w:t>
      </w:r>
      <w:r>
        <w:rPr>
          <w:color w:val="4169E1"/>
        </w:rPr>
        <w:t>4</w:t>
      </w:r>
      <w:r>
        <w:t xml:space="preserve">) bzw. Influenza B (siehe Tabelle </w:t>
      </w:r>
      <w:r>
        <w:rPr>
          <w:color w:val="4169E1"/>
        </w:rPr>
        <w:t>5</w:t>
      </w:r>
      <w:r>
        <w:t>) Primer und Sonden beschrieben durch das Nationale Center für Immunisierung und Respiratorische Krankheiten (NCIRD) verwendet (</w:t>
      </w:r>
      <w:r>
        <w:rPr>
          <w:color w:val="4169E1"/>
        </w:rPr>
        <w:t>NCIRD 2021</w:t>
      </w:r>
      <w:r>
        <w:t>). Dabei sind jeweils die Oligonukleotid-Seq</w:t>
      </w:r>
      <w:r>
        <w:t xml:space="preserve">uenz, die verwendeten Fluorophore und </w:t>
      </w:r>
      <w:proofErr w:type="spellStart"/>
      <w:r>
        <w:t>Quencher</w:t>
      </w:r>
      <w:proofErr w:type="spellEnd"/>
      <w:r>
        <w:t xml:space="preserve"> sowie die 3’-Position auf der entsprechenden Virus-Genomsequenz (siehe </w:t>
      </w:r>
      <w:r>
        <w:rPr>
          <w:color w:val="4169E1"/>
        </w:rPr>
        <w:t>1.1.1</w:t>
      </w:r>
      <w:r>
        <w:t xml:space="preserve">) dargestellt. Die finalen 20 µl Reaktionsmix wurden nach dem in Tabelle </w:t>
      </w:r>
      <w:r>
        <w:rPr>
          <w:color w:val="4169E1"/>
        </w:rPr>
        <w:t xml:space="preserve">6 </w:t>
      </w:r>
      <w:r>
        <w:t xml:space="preserve">angegebenen Temperaturprotokoll im </w:t>
      </w:r>
      <w:proofErr w:type="spellStart"/>
      <w:r>
        <w:t>LightCycler</w:t>
      </w:r>
      <w:proofErr w:type="spellEnd"/>
      <w:r>
        <w:rPr>
          <w:vertAlign w:val="superscript"/>
        </w:rPr>
        <w:t>©</w:t>
      </w:r>
    </w:p>
    <w:p w14:paraId="454C699E" w14:textId="77777777" w:rsidR="009D64B7" w:rsidRDefault="008B75B9">
      <w:pPr>
        <w:spacing w:after="50" w:line="259" w:lineRule="auto"/>
        <w:ind w:left="47" w:right="14"/>
      </w:pPr>
      <w:r>
        <w:t>480 (Roche</w:t>
      </w:r>
      <w:r>
        <w:t xml:space="preserve">) gemessen. Für das </w:t>
      </w:r>
      <w:proofErr w:type="spellStart"/>
      <w:r>
        <w:t>Hexachlorofluorescein</w:t>
      </w:r>
      <w:proofErr w:type="spellEnd"/>
      <w:r>
        <w:t xml:space="preserve"> (HEX) Fluorophor wurde im Wellenlängenbereich von</w:t>
      </w:r>
    </w:p>
    <w:p w14:paraId="1F7CB5E8" w14:textId="77777777" w:rsidR="009D64B7" w:rsidRDefault="008B75B9">
      <w:pPr>
        <w:spacing w:after="323"/>
        <w:ind w:left="47" w:right="14"/>
      </w:pPr>
      <w:r>
        <w:t xml:space="preserve">……. gemessen. Die Erfassung des </w:t>
      </w:r>
      <w:proofErr w:type="spellStart"/>
      <w:r>
        <w:t>Cyanine</w:t>
      </w:r>
      <w:proofErr w:type="spellEnd"/>
      <w:r>
        <w:t xml:space="preserve"> 5 (Cy5) Fluorophors erfolgte im Wellenlängenbereich von</w:t>
      </w:r>
      <w:proofErr w:type="gramStart"/>
      <w:r>
        <w:t xml:space="preserve"> ….</w:t>
      </w:r>
      <w:proofErr w:type="gramEnd"/>
      <w:r>
        <w:t xml:space="preserve">. Die Auswertung der Daten erfolgte, wie bereits Kapitel </w:t>
      </w:r>
      <w:r>
        <w:rPr>
          <w:color w:val="4169E1"/>
        </w:rPr>
        <w:t xml:space="preserve">1.1.3 </w:t>
      </w:r>
      <w:r>
        <w:t>beschrieben.</w:t>
      </w:r>
    </w:p>
    <w:p w14:paraId="0E5B4127" w14:textId="77777777" w:rsidR="009D64B7" w:rsidRDefault="008B75B9">
      <w:pPr>
        <w:spacing w:after="0" w:line="259" w:lineRule="auto"/>
        <w:ind w:left="31" w:right="0" w:hanging="10"/>
        <w:jc w:val="center"/>
      </w:pPr>
      <w:r>
        <w:t>Tabelle 3: Zusammensetzung des Influenza PCR-Reaktionsmixes</w:t>
      </w:r>
    </w:p>
    <w:tbl>
      <w:tblPr>
        <w:tblStyle w:val="TableGrid"/>
        <w:tblW w:w="7520" w:type="dxa"/>
        <w:tblInd w:w="980" w:type="dxa"/>
        <w:tblCellMar>
          <w:top w:w="20" w:type="dxa"/>
          <w:left w:w="0" w:type="dxa"/>
          <w:bottom w:w="0" w:type="dxa"/>
          <w:right w:w="115" w:type="dxa"/>
        </w:tblCellMar>
        <w:tblLook w:val="04A0" w:firstRow="1" w:lastRow="0" w:firstColumn="1" w:lastColumn="0" w:noHBand="0" w:noVBand="1"/>
      </w:tblPr>
      <w:tblGrid>
        <w:gridCol w:w="4809"/>
        <w:gridCol w:w="1479"/>
        <w:gridCol w:w="1232"/>
      </w:tblGrid>
      <w:tr w:rsidR="009D64B7" w14:paraId="1C41EC69" w14:textId="77777777">
        <w:trPr>
          <w:trHeight w:val="342"/>
        </w:trPr>
        <w:tc>
          <w:tcPr>
            <w:tcW w:w="4808" w:type="dxa"/>
            <w:tcBorders>
              <w:top w:val="single" w:sz="6" w:space="0" w:color="000000"/>
              <w:left w:val="nil"/>
              <w:bottom w:val="single" w:sz="4" w:space="0" w:color="000000"/>
              <w:right w:val="nil"/>
            </w:tcBorders>
          </w:tcPr>
          <w:p w14:paraId="5DDF2DAA" w14:textId="77777777" w:rsidR="009D64B7" w:rsidRDefault="008B75B9">
            <w:pPr>
              <w:spacing w:after="0" w:line="259" w:lineRule="auto"/>
              <w:ind w:left="120" w:right="0" w:firstLine="0"/>
              <w:jc w:val="left"/>
            </w:pPr>
            <w:r>
              <w:t>Bestandteil</w:t>
            </w:r>
          </w:p>
        </w:tc>
        <w:tc>
          <w:tcPr>
            <w:tcW w:w="1479" w:type="dxa"/>
            <w:tcBorders>
              <w:top w:val="single" w:sz="6" w:space="0" w:color="000000"/>
              <w:left w:val="nil"/>
              <w:bottom w:val="single" w:sz="4" w:space="0" w:color="000000"/>
              <w:right w:val="nil"/>
            </w:tcBorders>
          </w:tcPr>
          <w:p w14:paraId="55E7AAF3" w14:textId="77777777" w:rsidR="009D64B7" w:rsidRDefault="008B75B9">
            <w:pPr>
              <w:spacing w:after="0" w:line="259" w:lineRule="auto"/>
              <w:ind w:left="0" w:right="0" w:firstLine="0"/>
              <w:jc w:val="left"/>
            </w:pPr>
            <w:r>
              <w:t>Konzentrat</w:t>
            </w:r>
            <w:r>
              <w:t>ion</w:t>
            </w:r>
          </w:p>
        </w:tc>
        <w:tc>
          <w:tcPr>
            <w:tcW w:w="1232" w:type="dxa"/>
            <w:tcBorders>
              <w:top w:val="single" w:sz="6" w:space="0" w:color="000000"/>
              <w:left w:val="nil"/>
              <w:bottom w:val="single" w:sz="4" w:space="0" w:color="000000"/>
              <w:right w:val="nil"/>
            </w:tcBorders>
          </w:tcPr>
          <w:p w14:paraId="3395FE1A" w14:textId="77777777" w:rsidR="009D64B7" w:rsidRDefault="008B75B9">
            <w:pPr>
              <w:spacing w:after="0" w:line="259" w:lineRule="auto"/>
              <w:ind w:left="0" w:right="0" w:firstLine="0"/>
              <w:jc w:val="left"/>
            </w:pPr>
            <w:r>
              <w:t>Volumen</w:t>
            </w:r>
          </w:p>
        </w:tc>
      </w:tr>
      <w:tr w:rsidR="009D64B7" w14:paraId="4F63AFCA" w14:textId="77777777">
        <w:trPr>
          <w:trHeight w:val="275"/>
        </w:trPr>
        <w:tc>
          <w:tcPr>
            <w:tcW w:w="4808" w:type="dxa"/>
            <w:tcBorders>
              <w:top w:val="single" w:sz="4" w:space="0" w:color="000000"/>
              <w:left w:val="nil"/>
              <w:bottom w:val="nil"/>
              <w:right w:val="nil"/>
            </w:tcBorders>
          </w:tcPr>
          <w:p w14:paraId="28173E21" w14:textId="77777777" w:rsidR="009D64B7" w:rsidRPr="002604BD" w:rsidRDefault="008B75B9">
            <w:pPr>
              <w:spacing w:after="0" w:line="259" w:lineRule="auto"/>
              <w:ind w:left="120" w:right="0" w:firstLine="0"/>
              <w:jc w:val="left"/>
              <w:rPr>
                <w:lang w:val="en-US"/>
              </w:rPr>
            </w:pPr>
            <w:r w:rsidRPr="002604BD">
              <w:rPr>
                <w:lang w:val="en-US"/>
              </w:rPr>
              <w:t>2X Luna</w:t>
            </w:r>
            <w:r w:rsidRPr="002604BD">
              <w:rPr>
                <w:vertAlign w:val="superscript"/>
                <w:lang w:val="en-US"/>
              </w:rPr>
              <w:t xml:space="preserve">© </w:t>
            </w:r>
            <w:r w:rsidRPr="002604BD">
              <w:rPr>
                <w:lang w:val="en-US"/>
              </w:rPr>
              <w:t>Universal Probe One-Step Reaction Mix</w:t>
            </w:r>
          </w:p>
        </w:tc>
        <w:tc>
          <w:tcPr>
            <w:tcW w:w="1479" w:type="dxa"/>
            <w:tcBorders>
              <w:top w:val="single" w:sz="4" w:space="0" w:color="000000"/>
              <w:left w:val="nil"/>
              <w:bottom w:val="nil"/>
              <w:right w:val="nil"/>
            </w:tcBorders>
          </w:tcPr>
          <w:p w14:paraId="1EB7447E" w14:textId="77777777" w:rsidR="009D64B7" w:rsidRDefault="008B75B9">
            <w:pPr>
              <w:spacing w:after="0" w:line="259" w:lineRule="auto"/>
              <w:ind w:left="0" w:right="0" w:firstLine="0"/>
              <w:jc w:val="left"/>
            </w:pPr>
            <w:r>
              <w:t>1X</w:t>
            </w:r>
          </w:p>
        </w:tc>
        <w:tc>
          <w:tcPr>
            <w:tcW w:w="1232" w:type="dxa"/>
            <w:tcBorders>
              <w:top w:val="single" w:sz="4" w:space="0" w:color="000000"/>
              <w:left w:val="nil"/>
              <w:bottom w:val="nil"/>
              <w:right w:val="nil"/>
            </w:tcBorders>
          </w:tcPr>
          <w:p w14:paraId="77CB5AB4" w14:textId="77777777" w:rsidR="009D64B7" w:rsidRDefault="009D64B7">
            <w:pPr>
              <w:spacing w:after="160" w:line="259" w:lineRule="auto"/>
              <w:ind w:left="0" w:right="0" w:firstLine="0"/>
              <w:jc w:val="left"/>
            </w:pPr>
          </w:p>
        </w:tc>
      </w:tr>
      <w:tr w:rsidR="009D64B7" w14:paraId="0038FAAA" w14:textId="77777777">
        <w:trPr>
          <w:trHeight w:val="251"/>
        </w:trPr>
        <w:tc>
          <w:tcPr>
            <w:tcW w:w="4808" w:type="dxa"/>
            <w:tcBorders>
              <w:top w:val="nil"/>
              <w:left w:val="nil"/>
              <w:bottom w:val="nil"/>
              <w:right w:val="nil"/>
            </w:tcBorders>
          </w:tcPr>
          <w:p w14:paraId="3E5BB0B9" w14:textId="77777777" w:rsidR="009D64B7" w:rsidRPr="002604BD" w:rsidRDefault="008B75B9">
            <w:pPr>
              <w:spacing w:after="0" w:line="259" w:lineRule="auto"/>
              <w:ind w:left="120" w:right="0" w:firstLine="0"/>
              <w:jc w:val="left"/>
              <w:rPr>
                <w:lang w:val="en-US"/>
              </w:rPr>
            </w:pPr>
            <w:r w:rsidRPr="002604BD">
              <w:rPr>
                <w:lang w:val="en-US"/>
              </w:rPr>
              <w:t>20X Luna</w:t>
            </w:r>
            <w:r w:rsidRPr="002604BD">
              <w:rPr>
                <w:vertAlign w:val="superscript"/>
                <w:lang w:val="en-US"/>
              </w:rPr>
              <w:t xml:space="preserve">© </w:t>
            </w:r>
            <w:proofErr w:type="spellStart"/>
            <w:r w:rsidRPr="002604BD">
              <w:rPr>
                <w:lang w:val="en-US"/>
              </w:rPr>
              <w:t>WarmStart</w:t>
            </w:r>
            <w:proofErr w:type="spellEnd"/>
            <w:r w:rsidRPr="002604BD">
              <w:rPr>
                <w:vertAlign w:val="superscript"/>
                <w:lang w:val="en-US"/>
              </w:rPr>
              <w:t xml:space="preserve">© </w:t>
            </w:r>
            <w:r w:rsidRPr="002604BD">
              <w:rPr>
                <w:lang w:val="en-US"/>
              </w:rPr>
              <w:t>RT Enzyme Mix</w:t>
            </w:r>
          </w:p>
        </w:tc>
        <w:tc>
          <w:tcPr>
            <w:tcW w:w="1479" w:type="dxa"/>
            <w:tcBorders>
              <w:top w:val="nil"/>
              <w:left w:val="nil"/>
              <w:bottom w:val="nil"/>
              <w:right w:val="nil"/>
            </w:tcBorders>
          </w:tcPr>
          <w:p w14:paraId="5E9788F7" w14:textId="77777777" w:rsidR="009D64B7" w:rsidRDefault="008B75B9">
            <w:pPr>
              <w:spacing w:after="0" w:line="259" w:lineRule="auto"/>
              <w:ind w:left="0" w:right="0" w:firstLine="0"/>
              <w:jc w:val="left"/>
            </w:pPr>
            <w:r>
              <w:t>1X</w:t>
            </w:r>
          </w:p>
        </w:tc>
        <w:tc>
          <w:tcPr>
            <w:tcW w:w="1232" w:type="dxa"/>
            <w:tcBorders>
              <w:top w:val="nil"/>
              <w:left w:val="nil"/>
              <w:bottom w:val="nil"/>
              <w:right w:val="nil"/>
            </w:tcBorders>
          </w:tcPr>
          <w:p w14:paraId="766E4AD0" w14:textId="77777777" w:rsidR="009D64B7" w:rsidRDefault="009D64B7">
            <w:pPr>
              <w:spacing w:after="160" w:line="259" w:lineRule="auto"/>
              <w:ind w:left="0" w:right="0" w:firstLine="0"/>
              <w:jc w:val="left"/>
            </w:pPr>
          </w:p>
        </w:tc>
      </w:tr>
      <w:tr w:rsidR="009D64B7" w14:paraId="25E3C7CA" w14:textId="77777777">
        <w:trPr>
          <w:trHeight w:val="239"/>
        </w:trPr>
        <w:tc>
          <w:tcPr>
            <w:tcW w:w="4808" w:type="dxa"/>
            <w:tcBorders>
              <w:top w:val="nil"/>
              <w:left w:val="nil"/>
              <w:bottom w:val="nil"/>
              <w:right w:val="nil"/>
            </w:tcBorders>
          </w:tcPr>
          <w:p w14:paraId="24F4EADB" w14:textId="77777777" w:rsidR="009D64B7" w:rsidRDefault="008B75B9">
            <w:pPr>
              <w:spacing w:after="0" w:line="259" w:lineRule="auto"/>
              <w:ind w:left="120" w:right="0" w:firstLine="0"/>
              <w:jc w:val="left"/>
            </w:pPr>
            <w:r>
              <w:t>40X PSM</w:t>
            </w:r>
          </w:p>
        </w:tc>
        <w:tc>
          <w:tcPr>
            <w:tcW w:w="1479" w:type="dxa"/>
            <w:tcBorders>
              <w:top w:val="nil"/>
              <w:left w:val="nil"/>
              <w:bottom w:val="nil"/>
              <w:right w:val="nil"/>
            </w:tcBorders>
          </w:tcPr>
          <w:p w14:paraId="62E295A5" w14:textId="77777777" w:rsidR="009D64B7" w:rsidRDefault="008B75B9">
            <w:pPr>
              <w:spacing w:after="0" w:line="259" w:lineRule="auto"/>
              <w:ind w:left="0" w:right="0" w:firstLine="0"/>
              <w:jc w:val="left"/>
            </w:pPr>
            <w:r>
              <w:t>1X</w:t>
            </w:r>
          </w:p>
        </w:tc>
        <w:tc>
          <w:tcPr>
            <w:tcW w:w="1232" w:type="dxa"/>
            <w:tcBorders>
              <w:top w:val="nil"/>
              <w:left w:val="nil"/>
              <w:bottom w:val="nil"/>
              <w:right w:val="nil"/>
            </w:tcBorders>
          </w:tcPr>
          <w:p w14:paraId="2993CB1C" w14:textId="77777777" w:rsidR="009D64B7" w:rsidRDefault="009D64B7">
            <w:pPr>
              <w:spacing w:after="160" w:line="259" w:lineRule="auto"/>
              <w:ind w:left="0" w:right="0" w:firstLine="0"/>
              <w:jc w:val="left"/>
            </w:pPr>
          </w:p>
        </w:tc>
      </w:tr>
      <w:tr w:rsidR="009D64B7" w14:paraId="42D71448" w14:textId="77777777">
        <w:trPr>
          <w:trHeight w:val="239"/>
        </w:trPr>
        <w:tc>
          <w:tcPr>
            <w:tcW w:w="4808" w:type="dxa"/>
            <w:tcBorders>
              <w:top w:val="nil"/>
              <w:left w:val="nil"/>
              <w:bottom w:val="nil"/>
              <w:right w:val="nil"/>
            </w:tcBorders>
          </w:tcPr>
          <w:p w14:paraId="2E746953" w14:textId="77777777" w:rsidR="009D64B7" w:rsidRDefault="008B75B9">
            <w:pPr>
              <w:spacing w:after="0" w:line="259" w:lineRule="auto"/>
              <w:ind w:left="120" w:right="0" w:firstLine="0"/>
              <w:jc w:val="left"/>
            </w:pPr>
            <w:r>
              <w:t>Virus RNA*</w:t>
            </w:r>
          </w:p>
        </w:tc>
        <w:tc>
          <w:tcPr>
            <w:tcW w:w="1479" w:type="dxa"/>
            <w:tcBorders>
              <w:top w:val="nil"/>
              <w:left w:val="nil"/>
              <w:bottom w:val="nil"/>
              <w:right w:val="nil"/>
            </w:tcBorders>
          </w:tcPr>
          <w:p w14:paraId="42F95FEE" w14:textId="77777777" w:rsidR="009D64B7" w:rsidRDefault="009D64B7">
            <w:pPr>
              <w:spacing w:after="160" w:line="259" w:lineRule="auto"/>
              <w:ind w:left="0" w:right="0" w:firstLine="0"/>
              <w:jc w:val="left"/>
            </w:pPr>
          </w:p>
        </w:tc>
        <w:tc>
          <w:tcPr>
            <w:tcW w:w="1232" w:type="dxa"/>
            <w:tcBorders>
              <w:top w:val="nil"/>
              <w:left w:val="nil"/>
              <w:bottom w:val="nil"/>
              <w:right w:val="nil"/>
            </w:tcBorders>
          </w:tcPr>
          <w:p w14:paraId="73E211F0" w14:textId="77777777" w:rsidR="009D64B7" w:rsidRDefault="008B75B9">
            <w:pPr>
              <w:spacing w:after="0" w:line="259" w:lineRule="auto"/>
              <w:ind w:left="0" w:right="0" w:firstLine="0"/>
              <w:jc w:val="left"/>
            </w:pPr>
            <w:r>
              <w:t>1 µl</w:t>
            </w:r>
          </w:p>
        </w:tc>
      </w:tr>
      <w:tr w:rsidR="009D64B7" w14:paraId="4F086001" w14:textId="77777777">
        <w:trPr>
          <w:trHeight w:val="295"/>
        </w:trPr>
        <w:tc>
          <w:tcPr>
            <w:tcW w:w="4808" w:type="dxa"/>
            <w:tcBorders>
              <w:top w:val="nil"/>
              <w:left w:val="nil"/>
              <w:bottom w:val="single" w:sz="6" w:space="0" w:color="000000"/>
              <w:right w:val="nil"/>
            </w:tcBorders>
          </w:tcPr>
          <w:p w14:paraId="5031DDCE" w14:textId="77777777" w:rsidR="009D64B7" w:rsidRDefault="008B75B9">
            <w:pPr>
              <w:spacing w:after="0" w:line="259" w:lineRule="auto"/>
              <w:ind w:left="120" w:right="0" w:firstLine="0"/>
              <w:jc w:val="left"/>
            </w:pPr>
            <w:r>
              <w:t>PCR-reines Wasser</w:t>
            </w:r>
          </w:p>
        </w:tc>
        <w:tc>
          <w:tcPr>
            <w:tcW w:w="1479" w:type="dxa"/>
            <w:tcBorders>
              <w:top w:val="nil"/>
              <w:left w:val="nil"/>
              <w:bottom w:val="single" w:sz="6" w:space="0" w:color="000000"/>
              <w:right w:val="nil"/>
            </w:tcBorders>
          </w:tcPr>
          <w:p w14:paraId="241704E6" w14:textId="77777777" w:rsidR="009D64B7" w:rsidRDefault="009D64B7">
            <w:pPr>
              <w:spacing w:after="160" w:line="259" w:lineRule="auto"/>
              <w:ind w:left="0" w:right="0" w:firstLine="0"/>
              <w:jc w:val="left"/>
            </w:pPr>
          </w:p>
        </w:tc>
        <w:tc>
          <w:tcPr>
            <w:tcW w:w="1232" w:type="dxa"/>
            <w:tcBorders>
              <w:top w:val="nil"/>
              <w:left w:val="nil"/>
              <w:bottom w:val="single" w:sz="6" w:space="0" w:color="000000"/>
              <w:right w:val="nil"/>
            </w:tcBorders>
          </w:tcPr>
          <w:p w14:paraId="2223B5F6" w14:textId="77777777" w:rsidR="009D64B7" w:rsidRDefault="008B75B9">
            <w:pPr>
              <w:spacing w:after="0" w:line="259" w:lineRule="auto"/>
              <w:ind w:left="0" w:right="0" w:firstLine="0"/>
              <w:jc w:val="left"/>
            </w:pPr>
            <w:r>
              <w:t xml:space="preserve">x µl </w:t>
            </w:r>
            <w:r>
              <w:t xml:space="preserve">∑ </w:t>
            </w:r>
            <w:r>
              <w:t>20 µl</w:t>
            </w:r>
          </w:p>
        </w:tc>
      </w:tr>
    </w:tbl>
    <w:p w14:paraId="0F57E4B4" w14:textId="77777777" w:rsidR="009D64B7" w:rsidRDefault="008B75B9">
      <w:pPr>
        <w:numPr>
          <w:ilvl w:val="0"/>
          <w:numId w:val="1"/>
        </w:numPr>
        <w:spacing w:after="491"/>
        <w:ind w:left="799" w:right="7" w:hanging="142"/>
        <w:jc w:val="left"/>
      </w:pPr>
      <w:r>
        <w:t>Bei Negativkontrollen die Virus RNA mit PCR-reinem Wasser substituiert</w:t>
      </w:r>
    </w:p>
    <w:p w14:paraId="39ED74CE" w14:textId="77777777" w:rsidR="009D64B7" w:rsidRDefault="008B75B9">
      <w:pPr>
        <w:spacing w:after="0" w:line="259" w:lineRule="auto"/>
        <w:ind w:left="31" w:right="0" w:hanging="10"/>
        <w:jc w:val="center"/>
      </w:pPr>
      <w:r>
        <w:t>Tabelle 4: Zusammensetzung des Influenza A Primer-Sonden-Mixes</w:t>
      </w:r>
    </w:p>
    <w:tbl>
      <w:tblPr>
        <w:tblStyle w:val="TableGrid"/>
        <w:tblW w:w="9300" w:type="dxa"/>
        <w:tblInd w:w="120" w:type="dxa"/>
        <w:tblCellMar>
          <w:top w:w="18" w:type="dxa"/>
          <w:left w:w="0" w:type="dxa"/>
          <w:bottom w:w="0" w:type="dxa"/>
          <w:right w:w="115" w:type="dxa"/>
        </w:tblCellMar>
        <w:tblLook w:val="04A0" w:firstRow="1" w:lastRow="0" w:firstColumn="1" w:lastColumn="0" w:noHBand="0" w:noVBand="1"/>
      </w:tblPr>
      <w:tblGrid>
        <w:gridCol w:w="1146"/>
        <w:gridCol w:w="3628"/>
        <w:gridCol w:w="1347"/>
        <w:gridCol w:w="1103"/>
        <w:gridCol w:w="2076"/>
      </w:tblGrid>
      <w:tr w:rsidR="009D64B7" w14:paraId="4002250F" w14:textId="77777777">
        <w:trPr>
          <w:trHeight w:val="310"/>
        </w:trPr>
        <w:tc>
          <w:tcPr>
            <w:tcW w:w="1146" w:type="dxa"/>
            <w:tcBorders>
              <w:top w:val="single" w:sz="6" w:space="0" w:color="000000"/>
              <w:left w:val="nil"/>
              <w:bottom w:val="single" w:sz="2" w:space="0" w:color="000000"/>
              <w:right w:val="nil"/>
            </w:tcBorders>
          </w:tcPr>
          <w:p w14:paraId="65A6CB24" w14:textId="77777777" w:rsidR="009D64B7" w:rsidRDefault="008B75B9">
            <w:pPr>
              <w:spacing w:after="0" w:line="259" w:lineRule="auto"/>
              <w:ind w:left="289" w:right="0" w:firstLine="0"/>
              <w:jc w:val="left"/>
            </w:pPr>
            <w:r>
              <w:rPr>
                <w:sz w:val="18"/>
              </w:rPr>
              <w:lastRenderedPageBreak/>
              <w:t>Name</w:t>
            </w:r>
          </w:p>
        </w:tc>
        <w:tc>
          <w:tcPr>
            <w:tcW w:w="3628" w:type="dxa"/>
            <w:tcBorders>
              <w:top w:val="single" w:sz="6" w:space="0" w:color="000000"/>
              <w:left w:val="nil"/>
              <w:bottom w:val="single" w:sz="2" w:space="0" w:color="000000"/>
              <w:right w:val="nil"/>
            </w:tcBorders>
          </w:tcPr>
          <w:p w14:paraId="4ACC08C8" w14:textId="77777777" w:rsidR="009D64B7" w:rsidRDefault="008B75B9">
            <w:pPr>
              <w:spacing w:after="0" w:line="259" w:lineRule="auto"/>
              <w:ind w:left="0" w:right="103" w:firstLine="0"/>
              <w:jc w:val="center"/>
            </w:pPr>
            <w:r>
              <w:rPr>
                <w:sz w:val="18"/>
              </w:rPr>
              <w:t>Sequenz (5´-&gt;3´)</w:t>
            </w:r>
          </w:p>
        </w:tc>
        <w:tc>
          <w:tcPr>
            <w:tcW w:w="1347" w:type="dxa"/>
            <w:tcBorders>
              <w:top w:val="single" w:sz="6" w:space="0" w:color="000000"/>
              <w:left w:val="nil"/>
              <w:bottom w:val="single" w:sz="2" w:space="0" w:color="000000"/>
              <w:right w:val="nil"/>
            </w:tcBorders>
          </w:tcPr>
          <w:p w14:paraId="1079BF4B" w14:textId="77777777" w:rsidR="009D64B7" w:rsidRDefault="008B75B9">
            <w:pPr>
              <w:spacing w:after="0" w:line="259" w:lineRule="auto"/>
              <w:ind w:left="0" w:right="0" w:firstLine="0"/>
              <w:jc w:val="left"/>
            </w:pPr>
            <w:r>
              <w:rPr>
                <w:sz w:val="18"/>
              </w:rPr>
              <w:t>Konzentration</w:t>
            </w:r>
          </w:p>
        </w:tc>
        <w:tc>
          <w:tcPr>
            <w:tcW w:w="1103" w:type="dxa"/>
            <w:tcBorders>
              <w:top w:val="single" w:sz="6" w:space="0" w:color="000000"/>
              <w:left w:val="nil"/>
              <w:bottom w:val="single" w:sz="2" w:space="0" w:color="000000"/>
              <w:right w:val="nil"/>
            </w:tcBorders>
          </w:tcPr>
          <w:p w14:paraId="29AC6389" w14:textId="77777777" w:rsidR="009D64B7" w:rsidRDefault="008B75B9">
            <w:pPr>
              <w:spacing w:after="0" w:line="259" w:lineRule="auto"/>
              <w:ind w:left="0" w:right="0" w:firstLine="0"/>
              <w:jc w:val="left"/>
            </w:pPr>
            <w:r>
              <w:rPr>
                <w:sz w:val="18"/>
              </w:rPr>
              <w:t>3´-Position</w:t>
            </w:r>
          </w:p>
        </w:tc>
        <w:tc>
          <w:tcPr>
            <w:tcW w:w="2076" w:type="dxa"/>
            <w:tcBorders>
              <w:top w:val="single" w:sz="6" w:space="0" w:color="000000"/>
              <w:left w:val="nil"/>
              <w:bottom w:val="single" w:sz="2" w:space="0" w:color="000000"/>
              <w:right w:val="nil"/>
            </w:tcBorders>
          </w:tcPr>
          <w:p w14:paraId="55733697" w14:textId="77777777" w:rsidR="009D64B7" w:rsidRDefault="008B75B9">
            <w:pPr>
              <w:spacing w:after="0" w:line="259" w:lineRule="auto"/>
              <w:ind w:left="6" w:right="0" w:firstLine="0"/>
              <w:jc w:val="center"/>
            </w:pPr>
            <w:r>
              <w:rPr>
                <w:sz w:val="18"/>
              </w:rPr>
              <w:t>Modifikation</w:t>
            </w:r>
          </w:p>
        </w:tc>
      </w:tr>
      <w:tr w:rsidR="009D64B7" w14:paraId="20F1EB1E" w14:textId="77777777">
        <w:trPr>
          <w:trHeight w:val="259"/>
        </w:trPr>
        <w:tc>
          <w:tcPr>
            <w:tcW w:w="1146" w:type="dxa"/>
            <w:tcBorders>
              <w:top w:val="single" w:sz="2" w:space="0" w:color="000000"/>
              <w:left w:val="nil"/>
              <w:bottom w:val="nil"/>
              <w:right w:val="nil"/>
            </w:tcBorders>
          </w:tcPr>
          <w:p w14:paraId="2D548100" w14:textId="77777777" w:rsidR="009D64B7" w:rsidRDefault="008B75B9">
            <w:pPr>
              <w:spacing w:after="0" w:line="259" w:lineRule="auto"/>
              <w:ind w:left="109" w:right="0" w:firstLine="0"/>
              <w:jc w:val="left"/>
            </w:pPr>
            <w:proofErr w:type="spellStart"/>
            <w:r>
              <w:rPr>
                <w:sz w:val="18"/>
              </w:rPr>
              <w:t>InfA</w:t>
            </w:r>
            <w:proofErr w:type="spellEnd"/>
            <w:r>
              <w:rPr>
                <w:sz w:val="18"/>
              </w:rPr>
              <w:t xml:space="preserve"> For1</w:t>
            </w:r>
          </w:p>
        </w:tc>
        <w:tc>
          <w:tcPr>
            <w:tcW w:w="3628" w:type="dxa"/>
            <w:tcBorders>
              <w:top w:val="single" w:sz="2" w:space="0" w:color="000000"/>
              <w:left w:val="nil"/>
              <w:bottom w:val="nil"/>
              <w:right w:val="nil"/>
            </w:tcBorders>
          </w:tcPr>
          <w:p w14:paraId="1DE59A98" w14:textId="77777777" w:rsidR="009D64B7" w:rsidRDefault="008B75B9">
            <w:pPr>
              <w:spacing w:after="0" w:line="259" w:lineRule="auto"/>
              <w:ind w:left="0" w:right="0" w:firstLine="0"/>
              <w:jc w:val="left"/>
            </w:pPr>
            <w:r>
              <w:rPr>
                <w:sz w:val="18"/>
              </w:rPr>
              <w:t>CAAGACCAATCYTGTCACCTCTGAC*</w:t>
            </w:r>
          </w:p>
        </w:tc>
        <w:tc>
          <w:tcPr>
            <w:tcW w:w="1347" w:type="dxa"/>
            <w:tcBorders>
              <w:top w:val="single" w:sz="2" w:space="0" w:color="000000"/>
              <w:left w:val="nil"/>
              <w:bottom w:val="nil"/>
              <w:right w:val="nil"/>
            </w:tcBorders>
          </w:tcPr>
          <w:p w14:paraId="0C687889" w14:textId="77777777" w:rsidR="009D64B7" w:rsidRDefault="008B75B9">
            <w:pPr>
              <w:spacing w:after="0" w:line="259" w:lineRule="auto"/>
              <w:ind w:left="0" w:right="0" w:firstLine="0"/>
              <w:jc w:val="left"/>
            </w:pPr>
            <w:r>
              <w:rPr>
                <w:sz w:val="18"/>
              </w:rPr>
              <w:t>16 µM</w:t>
            </w:r>
          </w:p>
        </w:tc>
        <w:tc>
          <w:tcPr>
            <w:tcW w:w="1103" w:type="dxa"/>
            <w:tcBorders>
              <w:top w:val="single" w:sz="2" w:space="0" w:color="000000"/>
              <w:left w:val="nil"/>
              <w:bottom w:val="nil"/>
              <w:right w:val="nil"/>
            </w:tcBorders>
          </w:tcPr>
          <w:p w14:paraId="1EE4E5E8" w14:textId="77777777" w:rsidR="009D64B7" w:rsidRDefault="008B75B9">
            <w:pPr>
              <w:spacing w:after="0" w:line="259" w:lineRule="auto"/>
              <w:ind w:left="0" w:right="0" w:firstLine="0"/>
              <w:jc w:val="left"/>
            </w:pPr>
            <w:r>
              <w:rPr>
                <w:sz w:val="18"/>
              </w:rPr>
              <w:t>156 bp</w:t>
            </w:r>
          </w:p>
        </w:tc>
        <w:tc>
          <w:tcPr>
            <w:tcW w:w="2076" w:type="dxa"/>
            <w:tcBorders>
              <w:top w:val="single" w:sz="2" w:space="0" w:color="000000"/>
              <w:left w:val="nil"/>
              <w:bottom w:val="nil"/>
              <w:right w:val="nil"/>
            </w:tcBorders>
          </w:tcPr>
          <w:p w14:paraId="4E54A95B" w14:textId="77777777" w:rsidR="009D64B7" w:rsidRDefault="008B75B9">
            <w:pPr>
              <w:spacing w:after="0" w:line="259" w:lineRule="auto"/>
              <w:ind w:left="0" w:right="0" w:firstLine="0"/>
              <w:jc w:val="left"/>
            </w:pPr>
            <w:r>
              <w:rPr>
                <w:sz w:val="18"/>
              </w:rPr>
              <w:t>/</w:t>
            </w:r>
          </w:p>
        </w:tc>
      </w:tr>
      <w:tr w:rsidR="009D64B7" w14:paraId="3273562B" w14:textId="77777777">
        <w:trPr>
          <w:trHeight w:val="218"/>
        </w:trPr>
        <w:tc>
          <w:tcPr>
            <w:tcW w:w="1146" w:type="dxa"/>
            <w:tcBorders>
              <w:top w:val="nil"/>
              <w:left w:val="nil"/>
              <w:bottom w:val="nil"/>
              <w:right w:val="nil"/>
            </w:tcBorders>
          </w:tcPr>
          <w:p w14:paraId="7BD59651" w14:textId="77777777" w:rsidR="009D64B7" w:rsidRDefault="008B75B9">
            <w:pPr>
              <w:spacing w:after="0" w:line="259" w:lineRule="auto"/>
              <w:ind w:left="109" w:right="0" w:firstLine="0"/>
              <w:jc w:val="left"/>
            </w:pPr>
            <w:proofErr w:type="spellStart"/>
            <w:r>
              <w:rPr>
                <w:sz w:val="18"/>
              </w:rPr>
              <w:t>InfA</w:t>
            </w:r>
            <w:proofErr w:type="spellEnd"/>
            <w:r>
              <w:rPr>
                <w:sz w:val="18"/>
              </w:rPr>
              <w:t xml:space="preserve"> For2</w:t>
            </w:r>
          </w:p>
        </w:tc>
        <w:tc>
          <w:tcPr>
            <w:tcW w:w="3628" w:type="dxa"/>
            <w:tcBorders>
              <w:top w:val="nil"/>
              <w:left w:val="nil"/>
              <w:bottom w:val="nil"/>
              <w:right w:val="nil"/>
            </w:tcBorders>
          </w:tcPr>
          <w:p w14:paraId="4BF49903" w14:textId="77777777" w:rsidR="009D64B7" w:rsidRDefault="008B75B9">
            <w:pPr>
              <w:spacing w:after="0" w:line="259" w:lineRule="auto"/>
              <w:ind w:left="0" w:right="0" w:firstLine="0"/>
              <w:jc w:val="left"/>
            </w:pPr>
            <w:r>
              <w:rPr>
                <w:sz w:val="18"/>
              </w:rPr>
              <w:t>CAAGACCAATYCTGTCACCTYTGAC*</w:t>
            </w:r>
          </w:p>
        </w:tc>
        <w:tc>
          <w:tcPr>
            <w:tcW w:w="1347" w:type="dxa"/>
            <w:tcBorders>
              <w:top w:val="nil"/>
              <w:left w:val="nil"/>
              <w:bottom w:val="nil"/>
              <w:right w:val="nil"/>
            </w:tcBorders>
          </w:tcPr>
          <w:p w14:paraId="019EDE09" w14:textId="77777777" w:rsidR="009D64B7" w:rsidRDefault="008B75B9">
            <w:pPr>
              <w:spacing w:after="0" w:line="259" w:lineRule="auto"/>
              <w:ind w:left="0" w:right="0" w:firstLine="0"/>
              <w:jc w:val="left"/>
            </w:pPr>
            <w:r>
              <w:rPr>
                <w:sz w:val="18"/>
              </w:rPr>
              <w:t>16 µM</w:t>
            </w:r>
          </w:p>
        </w:tc>
        <w:tc>
          <w:tcPr>
            <w:tcW w:w="1103" w:type="dxa"/>
            <w:tcBorders>
              <w:top w:val="nil"/>
              <w:left w:val="nil"/>
              <w:bottom w:val="nil"/>
              <w:right w:val="nil"/>
            </w:tcBorders>
          </w:tcPr>
          <w:p w14:paraId="46B8BFDC" w14:textId="77777777" w:rsidR="009D64B7" w:rsidRDefault="008B75B9">
            <w:pPr>
              <w:spacing w:after="0" w:line="259" w:lineRule="auto"/>
              <w:ind w:left="0" w:right="0" w:firstLine="0"/>
              <w:jc w:val="left"/>
            </w:pPr>
            <w:r>
              <w:rPr>
                <w:sz w:val="18"/>
              </w:rPr>
              <w:t>156 bp</w:t>
            </w:r>
          </w:p>
        </w:tc>
        <w:tc>
          <w:tcPr>
            <w:tcW w:w="2076" w:type="dxa"/>
            <w:tcBorders>
              <w:top w:val="nil"/>
              <w:left w:val="nil"/>
              <w:bottom w:val="nil"/>
              <w:right w:val="nil"/>
            </w:tcBorders>
          </w:tcPr>
          <w:p w14:paraId="38A5246E" w14:textId="77777777" w:rsidR="009D64B7" w:rsidRDefault="008B75B9">
            <w:pPr>
              <w:spacing w:after="0" w:line="259" w:lineRule="auto"/>
              <w:ind w:left="0" w:right="0" w:firstLine="0"/>
              <w:jc w:val="left"/>
            </w:pPr>
            <w:r>
              <w:rPr>
                <w:sz w:val="18"/>
              </w:rPr>
              <w:t>/</w:t>
            </w:r>
          </w:p>
        </w:tc>
      </w:tr>
      <w:tr w:rsidR="009D64B7" w14:paraId="3B5624AB" w14:textId="77777777">
        <w:trPr>
          <w:trHeight w:val="218"/>
        </w:trPr>
        <w:tc>
          <w:tcPr>
            <w:tcW w:w="1146" w:type="dxa"/>
            <w:tcBorders>
              <w:top w:val="nil"/>
              <w:left w:val="nil"/>
              <w:bottom w:val="nil"/>
              <w:right w:val="nil"/>
            </w:tcBorders>
          </w:tcPr>
          <w:p w14:paraId="0DBD9108" w14:textId="77777777" w:rsidR="009D64B7" w:rsidRDefault="008B75B9">
            <w:pPr>
              <w:spacing w:after="0" w:line="259" w:lineRule="auto"/>
              <w:ind w:left="109" w:right="0" w:firstLine="0"/>
              <w:jc w:val="left"/>
            </w:pPr>
            <w:proofErr w:type="spellStart"/>
            <w:r>
              <w:rPr>
                <w:sz w:val="18"/>
              </w:rPr>
              <w:t>InfA</w:t>
            </w:r>
            <w:proofErr w:type="spellEnd"/>
            <w:r>
              <w:rPr>
                <w:sz w:val="18"/>
              </w:rPr>
              <w:t xml:space="preserve"> Rev1</w:t>
            </w:r>
          </w:p>
        </w:tc>
        <w:tc>
          <w:tcPr>
            <w:tcW w:w="3628" w:type="dxa"/>
            <w:tcBorders>
              <w:top w:val="nil"/>
              <w:left w:val="nil"/>
              <w:bottom w:val="nil"/>
              <w:right w:val="nil"/>
            </w:tcBorders>
          </w:tcPr>
          <w:p w14:paraId="3C71987A" w14:textId="77777777" w:rsidR="009D64B7" w:rsidRDefault="008B75B9">
            <w:pPr>
              <w:spacing w:after="0" w:line="259" w:lineRule="auto"/>
              <w:ind w:left="0" w:right="0" w:firstLine="0"/>
              <w:jc w:val="left"/>
            </w:pPr>
            <w:r>
              <w:rPr>
                <w:sz w:val="18"/>
              </w:rPr>
              <w:t>GCATTYTGGACAAAVCGTCTACG*</w:t>
            </w:r>
          </w:p>
        </w:tc>
        <w:tc>
          <w:tcPr>
            <w:tcW w:w="1347" w:type="dxa"/>
            <w:tcBorders>
              <w:top w:val="nil"/>
              <w:left w:val="nil"/>
              <w:bottom w:val="nil"/>
              <w:right w:val="nil"/>
            </w:tcBorders>
          </w:tcPr>
          <w:p w14:paraId="6CF35F7A" w14:textId="77777777" w:rsidR="009D64B7" w:rsidRDefault="008B75B9">
            <w:pPr>
              <w:spacing w:after="0" w:line="259" w:lineRule="auto"/>
              <w:ind w:left="0" w:right="0" w:firstLine="0"/>
              <w:jc w:val="left"/>
            </w:pPr>
            <w:r>
              <w:rPr>
                <w:sz w:val="18"/>
              </w:rPr>
              <w:t>16 µM</w:t>
            </w:r>
          </w:p>
        </w:tc>
        <w:tc>
          <w:tcPr>
            <w:tcW w:w="1103" w:type="dxa"/>
            <w:tcBorders>
              <w:top w:val="nil"/>
              <w:left w:val="nil"/>
              <w:bottom w:val="nil"/>
              <w:right w:val="nil"/>
            </w:tcBorders>
          </w:tcPr>
          <w:p w14:paraId="4FA2BF62" w14:textId="77777777" w:rsidR="009D64B7" w:rsidRDefault="008B75B9">
            <w:pPr>
              <w:spacing w:after="0" w:line="259" w:lineRule="auto"/>
              <w:ind w:left="0" w:right="0" w:firstLine="0"/>
              <w:jc w:val="left"/>
            </w:pPr>
            <w:r>
              <w:rPr>
                <w:sz w:val="18"/>
              </w:rPr>
              <w:t>261 bp</w:t>
            </w:r>
          </w:p>
        </w:tc>
        <w:tc>
          <w:tcPr>
            <w:tcW w:w="2076" w:type="dxa"/>
            <w:tcBorders>
              <w:top w:val="nil"/>
              <w:left w:val="nil"/>
              <w:bottom w:val="nil"/>
              <w:right w:val="nil"/>
            </w:tcBorders>
          </w:tcPr>
          <w:p w14:paraId="3194FA61" w14:textId="77777777" w:rsidR="009D64B7" w:rsidRDefault="008B75B9">
            <w:pPr>
              <w:spacing w:after="0" w:line="259" w:lineRule="auto"/>
              <w:ind w:left="0" w:right="0" w:firstLine="0"/>
              <w:jc w:val="left"/>
            </w:pPr>
            <w:r>
              <w:rPr>
                <w:sz w:val="18"/>
              </w:rPr>
              <w:t>/</w:t>
            </w:r>
          </w:p>
        </w:tc>
      </w:tr>
      <w:tr w:rsidR="009D64B7" w14:paraId="419AB5C7" w14:textId="77777777">
        <w:trPr>
          <w:trHeight w:val="218"/>
        </w:trPr>
        <w:tc>
          <w:tcPr>
            <w:tcW w:w="1146" w:type="dxa"/>
            <w:tcBorders>
              <w:top w:val="nil"/>
              <w:left w:val="nil"/>
              <w:bottom w:val="nil"/>
              <w:right w:val="nil"/>
            </w:tcBorders>
          </w:tcPr>
          <w:p w14:paraId="72C98E42" w14:textId="77777777" w:rsidR="009D64B7" w:rsidRDefault="008B75B9">
            <w:pPr>
              <w:spacing w:after="0" w:line="259" w:lineRule="auto"/>
              <w:ind w:left="109" w:right="0" w:firstLine="0"/>
              <w:jc w:val="left"/>
            </w:pPr>
            <w:proofErr w:type="spellStart"/>
            <w:r>
              <w:rPr>
                <w:sz w:val="18"/>
              </w:rPr>
              <w:t>InfA</w:t>
            </w:r>
            <w:proofErr w:type="spellEnd"/>
            <w:r>
              <w:rPr>
                <w:sz w:val="18"/>
              </w:rPr>
              <w:t xml:space="preserve"> Rev2</w:t>
            </w:r>
          </w:p>
        </w:tc>
        <w:tc>
          <w:tcPr>
            <w:tcW w:w="3628" w:type="dxa"/>
            <w:tcBorders>
              <w:top w:val="nil"/>
              <w:left w:val="nil"/>
              <w:bottom w:val="nil"/>
              <w:right w:val="nil"/>
            </w:tcBorders>
          </w:tcPr>
          <w:p w14:paraId="39636786" w14:textId="77777777" w:rsidR="009D64B7" w:rsidRDefault="008B75B9">
            <w:pPr>
              <w:spacing w:after="0" w:line="259" w:lineRule="auto"/>
              <w:ind w:left="0" w:right="0" w:firstLine="0"/>
              <w:jc w:val="left"/>
            </w:pPr>
            <w:r>
              <w:rPr>
                <w:sz w:val="18"/>
              </w:rPr>
              <w:t>GCATTTTGGATAAAGCGTCTACG</w:t>
            </w:r>
          </w:p>
        </w:tc>
        <w:tc>
          <w:tcPr>
            <w:tcW w:w="1347" w:type="dxa"/>
            <w:tcBorders>
              <w:top w:val="nil"/>
              <w:left w:val="nil"/>
              <w:bottom w:val="nil"/>
              <w:right w:val="nil"/>
            </w:tcBorders>
          </w:tcPr>
          <w:p w14:paraId="358748BC" w14:textId="77777777" w:rsidR="009D64B7" w:rsidRDefault="008B75B9">
            <w:pPr>
              <w:spacing w:after="0" w:line="259" w:lineRule="auto"/>
              <w:ind w:left="0" w:right="0" w:firstLine="0"/>
              <w:jc w:val="left"/>
            </w:pPr>
            <w:r>
              <w:rPr>
                <w:sz w:val="18"/>
              </w:rPr>
              <w:t>16 µM</w:t>
            </w:r>
          </w:p>
        </w:tc>
        <w:tc>
          <w:tcPr>
            <w:tcW w:w="1103" w:type="dxa"/>
            <w:tcBorders>
              <w:top w:val="nil"/>
              <w:left w:val="nil"/>
              <w:bottom w:val="nil"/>
              <w:right w:val="nil"/>
            </w:tcBorders>
          </w:tcPr>
          <w:p w14:paraId="21FE31F6" w14:textId="77777777" w:rsidR="009D64B7" w:rsidRDefault="008B75B9">
            <w:pPr>
              <w:spacing w:after="0" w:line="259" w:lineRule="auto"/>
              <w:ind w:left="0" w:right="0" w:firstLine="0"/>
              <w:jc w:val="left"/>
            </w:pPr>
            <w:r>
              <w:rPr>
                <w:sz w:val="18"/>
              </w:rPr>
              <w:t>261 bp</w:t>
            </w:r>
          </w:p>
        </w:tc>
        <w:tc>
          <w:tcPr>
            <w:tcW w:w="2076" w:type="dxa"/>
            <w:tcBorders>
              <w:top w:val="nil"/>
              <w:left w:val="nil"/>
              <w:bottom w:val="nil"/>
              <w:right w:val="nil"/>
            </w:tcBorders>
          </w:tcPr>
          <w:p w14:paraId="2FCF5FCB" w14:textId="77777777" w:rsidR="009D64B7" w:rsidRDefault="008B75B9">
            <w:pPr>
              <w:spacing w:after="0" w:line="259" w:lineRule="auto"/>
              <w:ind w:left="0" w:right="0" w:firstLine="0"/>
              <w:jc w:val="left"/>
            </w:pPr>
            <w:r>
              <w:rPr>
                <w:sz w:val="18"/>
              </w:rPr>
              <w:t>/</w:t>
            </w:r>
          </w:p>
        </w:tc>
      </w:tr>
      <w:tr w:rsidR="009D64B7" w:rsidRPr="002604BD" w14:paraId="382A6003" w14:textId="77777777">
        <w:trPr>
          <w:trHeight w:val="486"/>
        </w:trPr>
        <w:tc>
          <w:tcPr>
            <w:tcW w:w="1146" w:type="dxa"/>
            <w:tcBorders>
              <w:top w:val="nil"/>
              <w:left w:val="nil"/>
              <w:bottom w:val="single" w:sz="6" w:space="0" w:color="000000"/>
              <w:right w:val="nil"/>
            </w:tcBorders>
          </w:tcPr>
          <w:p w14:paraId="673C749F" w14:textId="77777777" w:rsidR="009D64B7" w:rsidRDefault="008B75B9">
            <w:pPr>
              <w:spacing w:after="0" w:line="259" w:lineRule="auto"/>
              <w:ind w:left="109" w:right="0" w:firstLine="0"/>
              <w:jc w:val="left"/>
            </w:pPr>
            <w:proofErr w:type="spellStart"/>
            <w:r>
              <w:rPr>
                <w:sz w:val="18"/>
              </w:rPr>
              <w:t>InfA</w:t>
            </w:r>
            <w:proofErr w:type="spellEnd"/>
            <w:r>
              <w:rPr>
                <w:sz w:val="18"/>
              </w:rPr>
              <w:t>-P</w:t>
            </w:r>
          </w:p>
        </w:tc>
        <w:tc>
          <w:tcPr>
            <w:tcW w:w="3628" w:type="dxa"/>
            <w:tcBorders>
              <w:top w:val="nil"/>
              <w:left w:val="nil"/>
              <w:bottom w:val="single" w:sz="6" w:space="0" w:color="000000"/>
              <w:right w:val="nil"/>
            </w:tcBorders>
          </w:tcPr>
          <w:p w14:paraId="1552F618" w14:textId="77777777" w:rsidR="009D64B7" w:rsidRDefault="008B75B9">
            <w:pPr>
              <w:spacing w:after="0" w:line="259" w:lineRule="auto"/>
              <w:ind w:left="0" w:right="0" w:firstLine="0"/>
              <w:jc w:val="left"/>
            </w:pPr>
            <w:r>
              <w:rPr>
                <w:sz w:val="18"/>
              </w:rPr>
              <w:t>TGCAGTCCTCGCTCACTGGGCACG</w:t>
            </w:r>
          </w:p>
        </w:tc>
        <w:tc>
          <w:tcPr>
            <w:tcW w:w="1347" w:type="dxa"/>
            <w:tcBorders>
              <w:top w:val="nil"/>
              <w:left w:val="nil"/>
              <w:bottom w:val="single" w:sz="6" w:space="0" w:color="000000"/>
              <w:right w:val="nil"/>
            </w:tcBorders>
          </w:tcPr>
          <w:p w14:paraId="2AB7B3A3" w14:textId="77777777" w:rsidR="009D64B7" w:rsidRDefault="008B75B9">
            <w:pPr>
              <w:spacing w:after="0" w:line="259" w:lineRule="auto"/>
              <w:ind w:left="0" w:right="0" w:firstLine="0"/>
              <w:jc w:val="left"/>
            </w:pPr>
            <w:r>
              <w:rPr>
                <w:sz w:val="18"/>
              </w:rPr>
              <w:t>8 µM</w:t>
            </w:r>
          </w:p>
        </w:tc>
        <w:tc>
          <w:tcPr>
            <w:tcW w:w="1103" w:type="dxa"/>
            <w:tcBorders>
              <w:top w:val="nil"/>
              <w:left w:val="nil"/>
              <w:bottom w:val="single" w:sz="6" w:space="0" w:color="000000"/>
              <w:right w:val="nil"/>
            </w:tcBorders>
          </w:tcPr>
          <w:p w14:paraId="6473418A" w14:textId="77777777" w:rsidR="009D64B7" w:rsidRDefault="008B75B9">
            <w:pPr>
              <w:spacing w:after="0" w:line="259" w:lineRule="auto"/>
              <w:ind w:left="0" w:right="0" w:firstLine="0"/>
              <w:jc w:val="left"/>
            </w:pPr>
            <w:r>
              <w:rPr>
                <w:sz w:val="18"/>
              </w:rPr>
              <w:t>214 bp</w:t>
            </w:r>
          </w:p>
        </w:tc>
        <w:tc>
          <w:tcPr>
            <w:tcW w:w="2076" w:type="dxa"/>
            <w:tcBorders>
              <w:top w:val="nil"/>
              <w:left w:val="nil"/>
              <w:bottom w:val="single" w:sz="6" w:space="0" w:color="000000"/>
              <w:right w:val="nil"/>
            </w:tcBorders>
          </w:tcPr>
          <w:p w14:paraId="34A6365B" w14:textId="77777777" w:rsidR="009D64B7" w:rsidRPr="002604BD" w:rsidRDefault="008B75B9">
            <w:pPr>
              <w:spacing w:after="0" w:line="259" w:lineRule="auto"/>
              <w:ind w:left="0" w:right="0" w:firstLine="0"/>
              <w:jc w:val="left"/>
              <w:rPr>
                <w:lang w:val="en-US"/>
              </w:rPr>
            </w:pPr>
            <w:proofErr w:type="spellStart"/>
            <w:r w:rsidRPr="002604BD">
              <w:rPr>
                <w:sz w:val="18"/>
                <w:lang w:val="en-US"/>
              </w:rPr>
              <w:t>Fluorophor</w:t>
            </w:r>
            <w:proofErr w:type="spellEnd"/>
            <w:r w:rsidRPr="002604BD">
              <w:rPr>
                <w:sz w:val="18"/>
                <w:lang w:val="en-US"/>
              </w:rPr>
              <w:t xml:space="preserve">: </w:t>
            </w:r>
            <w:proofErr w:type="gramStart"/>
            <w:r w:rsidRPr="002604BD">
              <w:rPr>
                <w:sz w:val="18"/>
                <w:lang w:val="en-US"/>
              </w:rPr>
              <w:t>HEX;</w:t>
            </w:r>
            <w:proofErr w:type="gramEnd"/>
          </w:p>
          <w:p w14:paraId="67801820" w14:textId="77777777" w:rsidR="009D64B7" w:rsidRPr="002604BD" w:rsidRDefault="008B75B9">
            <w:pPr>
              <w:spacing w:after="0" w:line="259" w:lineRule="auto"/>
              <w:ind w:left="0" w:right="0" w:firstLine="0"/>
              <w:jc w:val="left"/>
              <w:rPr>
                <w:lang w:val="en-US"/>
              </w:rPr>
            </w:pPr>
            <w:r w:rsidRPr="002604BD">
              <w:rPr>
                <w:sz w:val="18"/>
                <w:lang w:val="en-US"/>
              </w:rPr>
              <w:t>Quencher: BMN-Q535**</w:t>
            </w:r>
          </w:p>
        </w:tc>
      </w:tr>
    </w:tbl>
    <w:p w14:paraId="4CB22B81" w14:textId="77777777" w:rsidR="009D64B7" w:rsidRDefault="008B75B9">
      <w:pPr>
        <w:numPr>
          <w:ilvl w:val="0"/>
          <w:numId w:val="1"/>
        </w:numPr>
        <w:spacing w:after="472" w:line="339" w:lineRule="auto"/>
        <w:ind w:left="799" w:right="7" w:hanging="142"/>
        <w:jc w:val="left"/>
      </w:pPr>
      <w:r>
        <w:rPr>
          <w:sz w:val="18"/>
        </w:rPr>
        <w:t xml:space="preserve">Y=C oder T; V=A, C oder T </w:t>
      </w:r>
      <w:r>
        <w:rPr>
          <w:sz w:val="18"/>
          <w:vertAlign w:val="superscript"/>
        </w:rPr>
        <w:t xml:space="preserve">** </w:t>
      </w:r>
      <w:proofErr w:type="gramStart"/>
      <w:r>
        <w:rPr>
          <w:sz w:val="18"/>
        </w:rPr>
        <w:t>Modifiziert</w:t>
      </w:r>
      <w:proofErr w:type="gramEnd"/>
      <w:r>
        <w:rPr>
          <w:sz w:val="18"/>
        </w:rPr>
        <w:t xml:space="preserve"> wie in Kapitel </w:t>
      </w:r>
      <w:r>
        <w:rPr>
          <w:color w:val="4169E1"/>
          <w:sz w:val="18"/>
        </w:rPr>
        <w:t xml:space="preserve">1.1.2 </w:t>
      </w:r>
      <w:r>
        <w:rPr>
          <w:sz w:val="18"/>
        </w:rPr>
        <w:t>beschrieben.</w:t>
      </w:r>
    </w:p>
    <w:p w14:paraId="6A3BDA96" w14:textId="77777777" w:rsidR="009D64B7" w:rsidRDefault="008B75B9">
      <w:pPr>
        <w:pStyle w:val="berschrift3"/>
        <w:tabs>
          <w:tab w:val="center" w:pos="4712"/>
        </w:tabs>
        <w:spacing w:after="297"/>
        <w:ind w:left="0" w:firstLine="0"/>
      </w:pPr>
      <w:bookmarkStart w:id="18" w:name="_Toc28908"/>
      <w:r>
        <w:t>1.4.2</w:t>
      </w:r>
      <w:r>
        <w:tab/>
        <w:t xml:space="preserve">Reverse Transkription </w:t>
      </w:r>
      <w:proofErr w:type="spellStart"/>
      <w:r>
        <w:t>Rekombinase</w:t>
      </w:r>
      <w:proofErr w:type="spellEnd"/>
      <w:r>
        <w:t xml:space="preserve"> Polymerase Amplifikation im 50 µl Ansatz</w:t>
      </w:r>
      <w:bookmarkEnd w:id="18"/>
    </w:p>
    <w:p w14:paraId="153DADD2" w14:textId="77777777" w:rsidR="009D64B7" w:rsidRDefault="008B75B9">
      <w:pPr>
        <w:ind w:left="47" w:right="14"/>
      </w:pPr>
      <w:r>
        <w:t xml:space="preserve">Für die Amplifikation von Nukleinsäuren mittels RPA wurde das </w:t>
      </w:r>
      <w:proofErr w:type="spellStart"/>
      <w:r>
        <w:t>TwistAmp</w:t>
      </w:r>
      <w:proofErr w:type="spellEnd"/>
      <w:r>
        <w:rPr>
          <w:vertAlign w:val="superscript"/>
        </w:rPr>
        <w:t xml:space="preserve">© </w:t>
      </w:r>
      <w:proofErr w:type="spellStart"/>
      <w:r>
        <w:t>exo</w:t>
      </w:r>
      <w:proofErr w:type="spellEnd"/>
      <w:r>
        <w:t xml:space="preserve"> Kit (</w:t>
      </w:r>
      <w:proofErr w:type="spellStart"/>
      <w:r>
        <w:t>TwistDX</w:t>
      </w:r>
      <w:proofErr w:type="spellEnd"/>
      <w:r>
        <w:t>™) verwendet. Die für die RPA verwendeten Oligonukleotide sind für Influenza B in Tabel</w:t>
      </w:r>
      <w:r>
        <w:t xml:space="preserve">le </w:t>
      </w:r>
      <w:r>
        <w:rPr>
          <w:b/>
        </w:rPr>
        <w:t xml:space="preserve">?? </w:t>
      </w:r>
      <w:r>
        <w:t>und für Influenza A in Tabelle @</w:t>
      </w:r>
      <w:proofErr w:type="gramStart"/>
      <w:r>
        <w:t>ref(</w:t>
      </w:r>
      <w:proofErr w:type="gramEnd"/>
      <w:r>
        <w:t xml:space="preserve">tab:….) angegeben. Pro Reaktion wurde 46,5 µl </w:t>
      </w:r>
      <w:proofErr w:type="spellStart"/>
      <w:r>
        <w:t>Rehydrationsmix</w:t>
      </w:r>
      <w:proofErr w:type="spellEnd"/>
      <w:r>
        <w:t xml:space="preserve"> (Zusammensetzung siehe Tab. </w:t>
      </w:r>
      <w:r>
        <w:rPr>
          <w:color w:val="4169E1"/>
        </w:rPr>
        <w:t>7</w:t>
      </w:r>
      <w:r>
        <w:t xml:space="preserve">) hergestellt und auf das </w:t>
      </w:r>
      <w:proofErr w:type="spellStart"/>
      <w:r>
        <w:t>lyophilisierte</w:t>
      </w:r>
      <w:proofErr w:type="spellEnd"/>
      <w:r>
        <w:t xml:space="preserve"> RPA-Enzympellet zur </w:t>
      </w:r>
      <w:proofErr w:type="spellStart"/>
      <w:r>
        <w:t>Resuspendierung</w:t>
      </w:r>
      <w:proofErr w:type="spellEnd"/>
      <w:r>
        <w:t xml:space="preserve"> übertragen. Die Lösung Tabelle 5: Zusammensetz</w:t>
      </w:r>
      <w:r>
        <w:t>ung des Influenza B Primer-Sonden-Mixes</w:t>
      </w:r>
    </w:p>
    <w:tbl>
      <w:tblPr>
        <w:tblStyle w:val="TableGrid"/>
        <w:tblW w:w="9301" w:type="dxa"/>
        <w:tblInd w:w="119" w:type="dxa"/>
        <w:tblCellMar>
          <w:top w:w="18" w:type="dxa"/>
          <w:left w:w="0" w:type="dxa"/>
          <w:bottom w:w="0" w:type="dxa"/>
          <w:right w:w="115" w:type="dxa"/>
        </w:tblCellMar>
        <w:tblLook w:val="04A0" w:firstRow="1" w:lastRow="0" w:firstColumn="1" w:lastColumn="0" w:noHBand="0" w:noVBand="1"/>
      </w:tblPr>
      <w:tblGrid>
        <w:gridCol w:w="1034"/>
        <w:gridCol w:w="3801"/>
        <w:gridCol w:w="1329"/>
        <w:gridCol w:w="1089"/>
        <w:gridCol w:w="2048"/>
      </w:tblGrid>
      <w:tr w:rsidR="009D64B7" w14:paraId="21DAC7F3" w14:textId="77777777">
        <w:trPr>
          <w:trHeight w:val="306"/>
        </w:trPr>
        <w:tc>
          <w:tcPr>
            <w:tcW w:w="1033" w:type="dxa"/>
            <w:tcBorders>
              <w:top w:val="single" w:sz="6" w:space="0" w:color="000000"/>
              <w:left w:val="nil"/>
              <w:bottom w:val="single" w:sz="2" w:space="0" w:color="000000"/>
              <w:right w:val="nil"/>
            </w:tcBorders>
          </w:tcPr>
          <w:p w14:paraId="7A421865" w14:textId="77777777" w:rsidR="009D64B7" w:rsidRDefault="008B75B9">
            <w:pPr>
              <w:spacing w:after="0" w:line="259" w:lineRule="auto"/>
              <w:ind w:left="237" w:right="0" w:firstLine="0"/>
              <w:jc w:val="left"/>
            </w:pPr>
            <w:r>
              <w:rPr>
                <w:sz w:val="18"/>
              </w:rPr>
              <w:t>Name</w:t>
            </w:r>
          </w:p>
        </w:tc>
        <w:tc>
          <w:tcPr>
            <w:tcW w:w="3800" w:type="dxa"/>
            <w:tcBorders>
              <w:top w:val="single" w:sz="6" w:space="0" w:color="000000"/>
              <w:left w:val="nil"/>
              <w:bottom w:val="single" w:sz="2" w:space="0" w:color="000000"/>
              <w:right w:val="nil"/>
            </w:tcBorders>
          </w:tcPr>
          <w:p w14:paraId="54AEC2FE" w14:textId="77777777" w:rsidR="009D64B7" w:rsidRDefault="008B75B9">
            <w:pPr>
              <w:spacing w:after="0" w:line="259" w:lineRule="auto"/>
              <w:ind w:left="0" w:right="100" w:firstLine="0"/>
              <w:jc w:val="center"/>
            </w:pPr>
            <w:r>
              <w:rPr>
                <w:sz w:val="18"/>
              </w:rPr>
              <w:t>Sequenz (5´-&gt;3´)</w:t>
            </w:r>
          </w:p>
        </w:tc>
        <w:tc>
          <w:tcPr>
            <w:tcW w:w="1329" w:type="dxa"/>
            <w:tcBorders>
              <w:top w:val="single" w:sz="6" w:space="0" w:color="000000"/>
              <w:left w:val="nil"/>
              <w:bottom w:val="single" w:sz="2" w:space="0" w:color="000000"/>
              <w:right w:val="nil"/>
            </w:tcBorders>
          </w:tcPr>
          <w:p w14:paraId="4F7B5E1E" w14:textId="77777777" w:rsidR="009D64B7" w:rsidRDefault="008B75B9">
            <w:pPr>
              <w:spacing w:after="0" w:line="259" w:lineRule="auto"/>
              <w:ind w:left="0" w:right="0" w:firstLine="0"/>
              <w:jc w:val="left"/>
            </w:pPr>
            <w:r>
              <w:rPr>
                <w:sz w:val="18"/>
              </w:rPr>
              <w:t>Konzentration</w:t>
            </w:r>
          </w:p>
        </w:tc>
        <w:tc>
          <w:tcPr>
            <w:tcW w:w="1089" w:type="dxa"/>
            <w:tcBorders>
              <w:top w:val="single" w:sz="6" w:space="0" w:color="000000"/>
              <w:left w:val="nil"/>
              <w:bottom w:val="single" w:sz="2" w:space="0" w:color="000000"/>
              <w:right w:val="nil"/>
            </w:tcBorders>
          </w:tcPr>
          <w:p w14:paraId="4AD6888D" w14:textId="77777777" w:rsidR="009D64B7" w:rsidRDefault="008B75B9">
            <w:pPr>
              <w:spacing w:after="0" w:line="259" w:lineRule="auto"/>
              <w:ind w:left="0" w:right="0" w:firstLine="0"/>
              <w:jc w:val="left"/>
            </w:pPr>
            <w:r>
              <w:rPr>
                <w:sz w:val="18"/>
              </w:rPr>
              <w:t>3´-Position</w:t>
            </w:r>
          </w:p>
        </w:tc>
        <w:tc>
          <w:tcPr>
            <w:tcW w:w="2048" w:type="dxa"/>
            <w:tcBorders>
              <w:top w:val="single" w:sz="6" w:space="0" w:color="000000"/>
              <w:left w:val="nil"/>
              <w:bottom w:val="single" w:sz="2" w:space="0" w:color="000000"/>
              <w:right w:val="nil"/>
            </w:tcBorders>
          </w:tcPr>
          <w:p w14:paraId="23417964" w14:textId="77777777" w:rsidR="009D64B7" w:rsidRDefault="008B75B9">
            <w:pPr>
              <w:spacing w:after="0" w:line="259" w:lineRule="auto"/>
              <w:ind w:left="8" w:right="0" w:firstLine="0"/>
              <w:jc w:val="center"/>
            </w:pPr>
            <w:r>
              <w:rPr>
                <w:sz w:val="18"/>
              </w:rPr>
              <w:t>Modifikation</w:t>
            </w:r>
          </w:p>
        </w:tc>
      </w:tr>
      <w:tr w:rsidR="009D64B7" w14:paraId="641E88CD" w14:textId="77777777">
        <w:trPr>
          <w:trHeight w:val="256"/>
        </w:trPr>
        <w:tc>
          <w:tcPr>
            <w:tcW w:w="1033" w:type="dxa"/>
            <w:tcBorders>
              <w:top w:val="single" w:sz="2" w:space="0" w:color="000000"/>
              <w:left w:val="nil"/>
              <w:bottom w:val="nil"/>
              <w:right w:val="nil"/>
            </w:tcBorders>
          </w:tcPr>
          <w:p w14:paraId="613567DA" w14:textId="77777777" w:rsidR="009D64B7" w:rsidRDefault="008B75B9">
            <w:pPr>
              <w:spacing w:after="0" w:line="259" w:lineRule="auto"/>
              <w:ind w:left="107" w:right="0" w:firstLine="0"/>
              <w:jc w:val="left"/>
            </w:pPr>
            <w:proofErr w:type="spellStart"/>
            <w:r>
              <w:rPr>
                <w:sz w:val="18"/>
              </w:rPr>
              <w:t>InfB</w:t>
            </w:r>
            <w:proofErr w:type="spellEnd"/>
            <w:r>
              <w:rPr>
                <w:sz w:val="18"/>
              </w:rPr>
              <w:t xml:space="preserve"> </w:t>
            </w:r>
            <w:proofErr w:type="spellStart"/>
            <w:r>
              <w:rPr>
                <w:sz w:val="18"/>
              </w:rPr>
              <w:t>For</w:t>
            </w:r>
            <w:proofErr w:type="spellEnd"/>
          </w:p>
        </w:tc>
        <w:tc>
          <w:tcPr>
            <w:tcW w:w="3800" w:type="dxa"/>
            <w:tcBorders>
              <w:top w:val="single" w:sz="2" w:space="0" w:color="000000"/>
              <w:left w:val="nil"/>
              <w:bottom w:val="nil"/>
              <w:right w:val="nil"/>
            </w:tcBorders>
          </w:tcPr>
          <w:p w14:paraId="58DE0756" w14:textId="77777777" w:rsidR="009D64B7" w:rsidRDefault="008B75B9">
            <w:pPr>
              <w:spacing w:after="0" w:line="259" w:lineRule="auto"/>
              <w:ind w:left="0" w:right="0" w:firstLine="0"/>
              <w:jc w:val="left"/>
            </w:pPr>
            <w:r>
              <w:rPr>
                <w:sz w:val="18"/>
              </w:rPr>
              <w:t>TCCTCAAYTCACTCTTCGAGCG*</w:t>
            </w:r>
          </w:p>
        </w:tc>
        <w:tc>
          <w:tcPr>
            <w:tcW w:w="1329" w:type="dxa"/>
            <w:tcBorders>
              <w:top w:val="single" w:sz="2" w:space="0" w:color="000000"/>
              <w:left w:val="nil"/>
              <w:bottom w:val="nil"/>
              <w:right w:val="nil"/>
            </w:tcBorders>
          </w:tcPr>
          <w:p w14:paraId="58CC52B8" w14:textId="77777777" w:rsidR="009D64B7" w:rsidRDefault="008B75B9">
            <w:pPr>
              <w:spacing w:after="0" w:line="259" w:lineRule="auto"/>
              <w:ind w:left="0" w:right="0" w:firstLine="0"/>
              <w:jc w:val="left"/>
            </w:pPr>
            <w:r>
              <w:rPr>
                <w:sz w:val="18"/>
              </w:rPr>
              <w:t>16 µM</w:t>
            </w:r>
          </w:p>
        </w:tc>
        <w:tc>
          <w:tcPr>
            <w:tcW w:w="1089" w:type="dxa"/>
            <w:tcBorders>
              <w:top w:val="single" w:sz="2" w:space="0" w:color="000000"/>
              <w:left w:val="nil"/>
              <w:bottom w:val="nil"/>
              <w:right w:val="nil"/>
            </w:tcBorders>
          </w:tcPr>
          <w:p w14:paraId="318E4CF0" w14:textId="77777777" w:rsidR="009D64B7" w:rsidRDefault="008B75B9">
            <w:pPr>
              <w:spacing w:after="0" w:line="259" w:lineRule="auto"/>
              <w:ind w:left="0" w:right="0" w:firstLine="0"/>
              <w:jc w:val="left"/>
            </w:pPr>
            <w:r>
              <w:rPr>
                <w:sz w:val="18"/>
              </w:rPr>
              <w:t>716 bp</w:t>
            </w:r>
          </w:p>
        </w:tc>
        <w:tc>
          <w:tcPr>
            <w:tcW w:w="2048" w:type="dxa"/>
            <w:tcBorders>
              <w:top w:val="single" w:sz="2" w:space="0" w:color="000000"/>
              <w:left w:val="nil"/>
              <w:bottom w:val="nil"/>
              <w:right w:val="nil"/>
            </w:tcBorders>
          </w:tcPr>
          <w:p w14:paraId="3B2A62D6" w14:textId="77777777" w:rsidR="009D64B7" w:rsidRDefault="008B75B9">
            <w:pPr>
              <w:spacing w:after="0" w:line="259" w:lineRule="auto"/>
              <w:ind w:left="0" w:right="0" w:firstLine="0"/>
              <w:jc w:val="left"/>
            </w:pPr>
            <w:r>
              <w:rPr>
                <w:sz w:val="18"/>
              </w:rPr>
              <w:t>/</w:t>
            </w:r>
          </w:p>
        </w:tc>
      </w:tr>
      <w:tr w:rsidR="009D64B7" w14:paraId="4CAD66DF" w14:textId="77777777">
        <w:trPr>
          <w:trHeight w:val="215"/>
        </w:trPr>
        <w:tc>
          <w:tcPr>
            <w:tcW w:w="1033" w:type="dxa"/>
            <w:tcBorders>
              <w:top w:val="nil"/>
              <w:left w:val="nil"/>
              <w:bottom w:val="nil"/>
              <w:right w:val="nil"/>
            </w:tcBorders>
          </w:tcPr>
          <w:p w14:paraId="0273113E" w14:textId="77777777" w:rsidR="009D64B7" w:rsidRDefault="008B75B9">
            <w:pPr>
              <w:spacing w:after="0" w:line="259" w:lineRule="auto"/>
              <w:ind w:left="107" w:right="0" w:firstLine="0"/>
              <w:jc w:val="left"/>
            </w:pPr>
            <w:proofErr w:type="spellStart"/>
            <w:r>
              <w:rPr>
                <w:sz w:val="18"/>
              </w:rPr>
              <w:t>InfB</w:t>
            </w:r>
            <w:proofErr w:type="spellEnd"/>
            <w:r>
              <w:rPr>
                <w:sz w:val="18"/>
              </w:rPr>
              <w:t xml:space="preserve"> Rev</w:t>
            </w:r>
          </w:p>
        </w:tc>
        <w:tc>
          <w:tcPr>
            <w:tcW w:w="3800" w:type="dxa"/>
            <w:tcBorders>
              <w:top w:val="nil"/>
              <w:left w:val="nil"/>
              <w:bottom w:val="nil"/>
              <w:right w:val="nil"/>
            </w:tcBorders>
          </w:tcPr>
          <w:p w14:paraId="1369392A" w14:textId="77777777" w:rsidR="009D64B7" w:rsidRDefault="008B75B9">
            <w:pPr>
              <w:spacing w:after="0" w:line="259" w:lineRule="auto"/>
              <w:ind w:left="0" w:right="0" w:firstLine="0"/>
              <w:jc w:val="left"/>
            </w:pPr>
            <w:r>
              <w:rPr>
                <w:sz w:val="18"/>
              </w:rPr>
              <w:t>CGGTGCTCTTGACCAAATTGG</w:t>
            </w:r>
          </w:p>
        </w:tc>
        <w:tc>
          <w:tcPr>
            <w:tcW w:w="1329" w:type="dxa"/>
            <w:tcBorders>
              <w:top w:val="nil"/>
              <w:left w:val="nil"/>
              <w:bottom w:val="nil"/>
              <w:right w:val="nil"/>
            </w:tcBorders>
          </w:tcPr>
          <w:p w14:paraId="46C2B83B" w14:textId="77777777" w:rsidR="009D64B7" w:rsidRDefault="008B75B9">
            <w:pPr>
              <w:spacing w:after="0" w:line="259" w:lineRule="auto"/>
              <w:ind w:left="0" w:right="0" w:firstLine="0"/>
              <w:jc w:val="left"/>
            </w:pPr>
            <w:r>
              <w:rPr>
                <w:sz w:val="18"/>
              </w:rPr>
              <w:t>16 µM</w:t>
            </w:r>
          </w:p>
        </w:tc>
        <w:tc>
          <w:tcPr>
            <w:tcW w:w="1089" w:type="dxa"/>
            <w:tcBorders>
              <w:top w:val="nil"/>
              <w:left w:val="nil"/>
              <w:bottom w:val="nil"/>
              <w:right w:val="nil"/>
            </w:tcBorders>
          </w:tcPr>
          <w:p w14:paraId="37229437" w14:textId="77777777" w:rsidR="009D64B7" w:rsidRDefault="008B75B9">
            <w:pPr>
              <w:spacing w:after="0" w:line="259" w:lineRule="auto"/>
              <w:ind w:left="0" w:right="0" w:firstLine="0"/>
              <w:jc w:val="left"/>
            </w:pPr>
            <w:r>
              <w:rPr>
                <w:sz w:val="18"/>
              </w:rPr>
              <w:t>818 bp</w:t>
            </w:r>
          </w:p>
        </w:tc>
        <w:tc>
          <w:tcPr>
            <w:tcW w:w="2048" w:type="dxa"/>
            <w:tcBorders>
              <w:top w:val="nil"/>
              <w:left w:val="nil"/>
              <w:bottom w:val="nil"/>
              <w:right w:val="nil"/>
            </w:tcBorders>
          </w:tcPr>
          <w:p w14:paraId="449CC138" w14:textId="77777777" w:rsidR="009D64B7" w:rsidRDefault="008B75B9">
            <w:pPr>
              <w:spacing w:after="0" w:line="259" w:lineRule="auto"/>
              <w:ind w:left="0" w:right="0" w:firstLine="0"/>
              <w:jc w:val="left"/>
            </w:pPr>
            <w:r>
              <w:rPr>
                <w:sz w:val="18"/>
              </w:rPr>
              <w:t>/</w:t>
            </w:r>
          </w:p>
        </w:tc>
      </w:tr>
      <w:tr w:rsidR="009D64B7" w:rsidRPr="002604BD" w14:paraId="7F598943" w14:textId="77777777">
        <w:trPr>
          <w:trHeight w:val="480"/>
        </w:trPr>
        <w:tc>
          <w:tcPr>
            <w:tcW w:w="1033" w:type="dxa"/>
            <w:tcBorders>
              <w:top w:val="nil"/>
              <w:left w:val="nil"/>
              <w:bottom w:val="single" w:sz="6" w:space="0" w:color="000000"/>
              <w:right w:val="nil"/>
            </w:tcBorders>
          </w:tcPr>
          <w:p w14:paraId="33505793" w14:textId="77777777" w:rsidR="009D64B7" w:rsidRDefault="008B75B9">
            <w:pPr>
              <w:spacing w:after="0" w:line="259" w:lineRule="auto"/>
              <w:ind w:left="107" w:right="0" w:firstLine="0"/>
              <w:jc w:val="left"/>
            </w:pPr>
            <w:proofErr w:type="spellStart"/>
            <w:r>
              <w:rPr>
                <w:sz w:val="18"/>
              </w:rPr>
              <w:t>InfB</w:t>
            </w:r>
            <w:proofErr w:type="spellEnd"/>
            <w:r>
              <w:rPr>
                <w:sz w:val="18"/>
              </w:rPr>
              <w:t>-P</w:t>
            </w:r>
          </w:p>
        </w:tc>
        <w:tc>
          <w:tcPr>
            <w:tcW w:w="3800" w:type="dxa"/>
            <w:tcBorders>
              <w:top w:val="nil"/>
              <w:left w:val="nil"/>
              <w:bottom w:val="single" w:sz="6" w:space="0" w:color="000000"/>
              <w:right w:val="nil"/>
            </w:tcBorders>
          </w:tcPr>
          <w:p w14:paraId="2C3C5EB9" w14:textId="77777777" w:rsidR="009D64B7" w:rsidRDefault="008B75B9">
            <w:pPr>
              <w:spacing w:after="0" w:line="259" w:lineRule="auto"/>
              <w:ind w:left="0" w:right="0" w:firstLine="0"/>
              <w:jc w:val="left"/>
            </w:pPr>
            <w:r>
              <w:rPr>
                <w:sz w:val="18"/>
              </w:rPr>
              <w:t>CCAATTCGAGCAGCTGAAACTGCGGTG</w:t>
            </w:r>
          </w:p>
        </w:tc>
        <w:tc>
          <w:tcPr>
            <w:tcW w:w="1329" w:type="dxa"/>
            <w:tcBorders>
              <w:top w:val="nil"/>
              <w:left w:val="nil"/>
              <w:bottom w:val="single" w:sz="6" w:space="0" w:color="000000"/>
              <w:right w:val="nil"/>
            </w:tcBorders>
          </w:tcPr>
          <w:p w14:paraId="230A9B27" w14:textId="77777777" w:rsidR="009D64B7" w:rsidRDefault="008B75B9">
            <w:pPr>
              <w:spacing w:after="0" w:line="259" w:lineRule="auto"/>
              <w:ind w:left="0" w:right="0" w:firstLine="0"/>
              <w:jc w:val="left"/>
            </w:pPr>
            <w:r>
              <w:rPr>
                <w:sz w:val="18"/>
              </w:rPr>
              <w:t>8 µM</w:t>
            </w:r>
          </w:p>
        </w:tc>
        <w:tc>
          <w:tcPr>
            <w:tcW w:w="1089" w:type="dxa"/>
            <w:tcBorders>
              <w:top w:val="nil"/>
              <w:left w:val="nil"/>
              <w:bottom w:val="single" w:sz="6" w:space="0" w:color="000000"/>
              <w:right w:val="nil"/>
            </w:tcBorders>
          </w:tcPr>
          <w:p w14:paraId="68EEE6A1" w14:textId="77777777" w:rsidR="009D64B7" w:rsidRDefault="008B75B9">
            <w:pPr>
              <w:spacing w:after="0" w:line="259" w:lineRule="auto"/>
              <w:ind w:left="0" w:right="0" w:firstLine="0"/>
              <w:jc w:val="left"/>
            </w:pPr>
            <w:r>
              <w:rPr>
                <w:sz w:val="18"/>
              </w:rPr>
              <w:t>761 bp</w:t>
            </w:r>
          </w:p>
        </w:tc>
        <w:tc>
          <w:tcPr>
            <w:tcW w:w="2048" w:type="dxa"/>
            <w:tcBorders>
              <w:top w:val="nil"/>
              <w:left w:val="nil"/>
              <w:bottom w:val="single" w:sz="6" w:space="0" w:color="000000"/>
              <w:right w:val="nil"/>
            </w:tcBorders>
          </w:tcPr>
          <w:p w14:paraId="3012A8EC" w14:textId="77777777" w:rsidR="009D64B7" w:rsidRPr="002604BD" w:rsidRDefault="008B75B9">
            <w:pPr>
              <w:spacing w:after="0" w:line="259" w:lineRule="auto"/>
              <w:ind w:left="0" w:right="0" w:firstLine="0"/>
              <w:jc w:val="left"/>
              <w:rPr>
                <w:lang w:val="en-US"/>
              </w:rPr>
            </w:pPr>
            <w:proofErr w:type="spellStart"/>
            <w:r w:rsidRPr="002604BD">
              <w:rPr>
                <w:sz w:val="18"/>
                <w:lang w:val="en-US"/>
              </w:rPr>
              <w:t>Fluorophor</w:t>
            </w:r>
            <w:proofErr w:type="spellEnd"/>
            <w:r w:rsidRPr="002604BD">
              <w:rPr>
                <w:sz w:val="18"/>
                <w:lang w:val="en-US"/>
              </w:rPr>
              <w:t>: Cy5,</w:t>
            </w:r>
          </w:p>
          <w:p w14:paraId="56E737EE" w14:textId="77777777" w:rsidR="009D64B7" w:rsidRPr="002604BD" w:rsidRDefault="008B75B9">
            <w:pPr>
              <w:spacing w:after="0" w:line="259" w:lineRule="auto"/>
              <w:ind w:left="0" w:right="0" w:firstLine="0"/>
              <w:jc w:val="left"/>
              <w:rPr>
                <w:lang w:val="en-US"/>
              </w:rPr>
            </w:pPr>
            <w:r w:rsidRPr="002604BD">
              <w:rPr>
                <w:sz w:val="18"/>
                <w:lang w:val="en-US"/>
              </w:rPr>
              <w:t>Quencher: BMN-Q620**</w:t>
            </w:r>
          </w:p>
        </w:tc>
      </w:tr>
    </w:tbl>
    <w:p w14:paraId="28F3CD72" w14:textId="77777777" w:rsidR="009D64B7" w:rsidRDefault="008B75B9">
      <w:pPr>
        <w:numPr>
          <w:ilvl w:val="0"/>
          <w:numId w:val="2"/>
        </w:numPr>
        <w:spacing w:after="397" w:line="339" w:lineRule="auto"/>
        <w:ind w:left="771" w:right="14" w:hanging="156"/>
      </w:pPr>
      <w:r>
        <w:rPr>
          <w:sz w:val="18"/>
        </w:rPr>
        <w:t xml:space="preserve">Y=C oder T; V=A, C oder T </w:t>
      </w:r>
      <w:r>
        <w:rPr>
          <w:sz w:val="18"/>
          <w:vertAlign w:val="superscript"/>
        </w:rPr>
        <w:t xml:space="preserve">** </w:t>
      </w:r>
      <w:proofErr w:type="gramStart"/>
      <w:r>
        <w:rPr>
          <w:sz w:val="18"/>
        </w:rPr>
        <w:t>Modifiziert</w:t>
      </w:r>
      <w:proofErr w:type="gramEnd"/>
      <w:r>
        <w:rPr>
          <w:sz w:val="18"/>
        </w:rPr>
        <w:t xml:space="preserve"> wie in Kapitel </w:t>
      </w:r>
      <w:r>
        <w:rPr>
          <w:color w:val="4169E1"/>
          <w:sz w:val="18"/>
        </w:rPr>
        <w:t xml:space="preserve">1.1.2 </w:t>
      </w:r>
      <w:r>
        <w:rPr>
          <w:sz w:val="18"/>
        </w:rPr>
        <w:t>beschrieben.</w:t>
      </w:r>
    </w:p>
    <w:p w14:paraId="2C1D5CDE" w14:textId="77777777" w:rsidR="009D64B7" w:rsidRDefault="008B75B9">
      <w:pPr>
        <w:spacing w:after="0" w:line="259" w:lineRule="auto"/>
        <w:ind w:left="31" w:right="0" w:hanging="10"/>
        <w:jc w:val="center"/>
      </w:pPr>
      <w:r>
        <w:t>Tabelle 6: Temperaturprotokoll für die Influenza PCR</w:t>
      </w:r>
    </w:p>
    <w:p w14:paraId="7D806AF0" w14:textId="77777777" w:rsidR="009D64B7" w:rsidRDefault="008B75B9">
      <w:pPr>
        <w:spacing w:after="72" w:line="259" w:lineRule="auto"/>
        <w:ind w:left="2797" w:right="0" w:firstLine="0"/>
        <w:jc w:val="left"/>
      </w:pPr>
      <w:r>
        <w:rPr>
          <w:rFonts w:ascii="Calibri" w:eastAsia="Calibri" w:hAnsi="Calibri" w:cs="Calibri"/>
          <w:noProof/>
          <w:sz w:val="22"/>
        </w:rPr>
        <mc:AlternateContent>
          <mc:Choice Requires="wpg">
            <w:drawing>
              <wp:inline distT="0" distB="0" distL="0" distR="0" wp14:anchorId="780095CA" wp14:editId="497F54AD">
                <wp:extent cx="2467178" cy="217310"/>
                <wp:effectExtent l="0" t="0" r="0" b="0"/>
                <wp:docPr id="27436" name="Group 27436"/>
                <wp:cNvGraphicFramePr/>
                <a:graphic xmlns:a="http://schemas.openxmlformats.org/drawingml/2006/main">
                  <a:graphicData uri="http://schemas.microsoft.com/office/word/2010/wordprocessingGroup">
                    <wpg:wgp>
                      <wpg:cNvGrpSpPr/>
                      <wpg:grpSpPr>
                        <a:xfrm>
                          <a:off x="0" y="0"/>
                          <a:ext cx="2467178" cy="217310"/>
                          <a:chOff x="0" y="0"/>
                          <a:chExt cx="2467178" cy="217310"/>
                        </a:xfrm>
                      </wpg:grpSpPr>
                      <wps:wsp>
                        <wps:cNvPr id="1373" name="Shape 1373"/>
                        <wps:cNvSpPr/>
                        <wps:spPr>
                          <a:xfrm>
                            <a:off x="0" y="0"/>
                            <a:ext cx="2467178" cy="0"/>
                          </a:xfrm>
                          <a:custGeom>
                            <a:avLst/>
                            <a:gdLst/>
                            <a:ahLst/>
                            <a:cxnLst/>
                            <a:rect l="0" t="0" r="0" b="0"/>
                            <a:pathLst>
                              <a:path w="2467178">
                                <a:moveTo>
                                  <a:pt x="0" y="0"/>
                                </a:moveTo>
                                <a:lnTo>
                                  <a:pt x="246717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862" name="Rectangle 2862"/>
                        <wps:cNvSpPr/>
                        <wps:spPr>
                          <a:xfrm>
                            <a:off x="75908" y="44807"/>
                            <a:ext cx="870504" cy="168278"/>
                          </a:xfrm>
                          <a:prstGeom prst="rect">
                            <a:avLst/>
                          </a:prstGeom>
                          <a:ln>
                            <a:noFill/>
                          </a:ln>
                        </wps:spPr>
                        <wps:txbx>
                          <w:txbxContent>
                            <w:p w14:paraId="32EB7AB5" w14:textId="77777777" w:rsidR="009D64B7" w:rsidRDefault="008B75B9">
                              <w:pPr>
                                <w:spacing w:after="160" w:line="259" w:lineRule="auto"/>
                                <w:ind w:left="0" w:right="0" w:firstLine="0"/>
                                <w:jc w:val="left"/>
                              </w:pPr>
                              <w:r>
                                <w:rPr>
                                  <w:w w:val="110"/>
                                </w:rPr>
                                <w:t>Temperatur</w:t>
                              </w:r>
                            </w:p>
                          </w:txbxContent>
                        </wps:txbx>
                        <wps:bodyPr horzOverflow="overflow" vert="horz" lIns="0" tIns="0" rIns="0" bIns="0" rtlCol="0">
                          <a:noAutofit/>
                        </wps:bodyPr>
                      </wps:wsp>
                      <wps:wsp>
                        <wps:cNvPr id="2863" name="Rectangle 2863"/>
                        <wps:cNvSpPr/>
                        <wps:spPr>
                          <a:xfrm>
                            <a:off x="959179" y="44807"/>
                            <a:ext cx="289775" cy="168278"/>
                          </a:xfrm>
                          <a:prstGeom prst="rect">
                            <a:avLst/>
                          </a:prstGeom>
                          <a:ln>
                            <a:noFill/>
                          </a:ln>
                        </wps:spPr>
                        <wps:txbx>
                          <w:txbxContent>
                            <w:p w14:paraId="4234D0A6" w14:textId="77777777" w:rsidR="009D64B7" w:rsidRDefault="008B75B9">
                              <w:pPr>
                                <w:spacing w:after="160" w:line="259" w:lineRule="auto"/>
                                <w:ind w:left="0" w:right="0" w:firstLine="0"/>
                                <w:jc w:val="left"/>
                              </w:pPr>
                              <w:r>
                                <w:rPr>
                                  <w:w w:val="106"/>
                                </w:rPr>
                                <w:t>Zeit</w:t>
                              </w:r>
                            </w:p>
                          </w:txbxContent>
                        </wps:txbx>
                        <wps:bodyPr horzOverflow="overflow" vert="horz" lIns="0" tIns="0" rIns="0" bIns="0" rtlCol="0">
                          <a:noAutofit/>
                        </wps:bodyPr>
                      </wps:wsp>
                      <wps:wsp>
                        <wps:cNvPr id="1375" name="Rectangle 1375"/>
                        <wps:cNvSpPr/>
                        <wps:spPr>
                          <a:xfrm>
                            <a:off x="1842617" y="44807"/>
                            <a:ext cx="495579" cy="168278"/>
                          </a:xfrm>
                          <a:prstGeom prst="rect">
                            <a:avLst/>
                          </a:prstGeom>
                          <a:ln>
                            <a:noFill/>
                          </a:ln>
                        </wps:spPr>
                        <wps:txbx>
                          <w:txbxContent>
                            <w:p w14:paraId="3A4200ED" w14:textId="77777777" w:rsidR="009D64B7" w:rsidRDefault="008B75B9">
                              <w:pPr>
                                <w:spacing w:after="160" w:line="259" w:lineRule="auto"/>
                                <w:ind w:left="0" w:right="0" w:firstLine="0"/>
                                <w:jc w:val="left"/>
                              </w:pPr>
                              <w:r>
                                <w:rPr>
                                  <w:w w:val="103"/>
                                </w:rPr>
                                <w:t>Zyklen</w:t>
                              </w:r>
                            </w:p>
                          </w:txbxContent>
                        </wps:txbx>
                        <wps:bodyPr horzOverflow="overflow" vert="horz" lIns="0" tIns="0" rIns="0" bIns="0" rtlCol="0">
                          <a:noAutofit/>
                        </wps:bodyPr>
                      </wps:wsp>
                      <wps:wsp>
                        <wps:cNvPr id="1376" name="Shape 1376"/>
                        <wps:cNvSpPr/>
                        <wps:spPr>
                          <a:xfrm>
                            <a:off x="0" y="217310"/>
                            <a:ext cx="2467178" cy="0"/>
                          </a:xfrm>
                          <a:custGeom>
                            <a:avLst/>
                            <a:gdLst/>
                            <a:ahLst/>
                            <a:cxnLst/>
                            <a:rect l="0" t="0" r="0" b="0"/>
                            <a:pathLst>
                              <a:path w="2467178">
                                <a:moveTo>
                                  <a:pt x="0" y="0"/>
                                </a:moveTo>
                                <a:lnTo>
                                  <a:pt x="2467178" y="0"/>
                                </a:lnTo>
                              </a:path>
                            </a:pathLst>
                          </a:custGeom>
                          <a:ln w="632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36" style="width:194.266pt;height:17.111pt;mso-position-horizontal-relative:char;mso-position-vertical-relative:line" coordsize="24671,2173">
                <v:shape id="Shape 1373" style="position:absolute;width:24671;height:0;left:0;top:0;" coordsize="2467178,0" path="m0,0l2467178,0">
                  <v:stroke weight="0.797pt" endcap="flat" joinstyle="miter" miterlimit="10" on="true" color="#000000"/>
                  <v:fill on="false" color="#000000" opacity="0"/>
                </v:shape>
                <v:rect id="Rectangle 2862" style="position:absolute;width:8705;height:1682;left:759;top:448;" filled="f" stroked="f">
                  <v:textbox inset="0,0,0,0">
                    <w:txbxContent>
                      <w:p>
                        <w:pPr>
                          <w:spacing w:before="0" w:after="160" w:line="259" w:lineRule="auto"/>
                          <w:ind w:left="0" w:right="0" w:firstLine="0"/>
                          <w:jc w:val="left"/>
                        </w:pPr>
                        <w:r>
                          <w:rPr>
                            <w:w w:val="110"/>
                          </w:rPr>
                          <w:t xml:space="preserve">Temperatur</w:t>
                        </w:r>
                      </w:p>
                    </w:txbxContent>
                  </v:textbox>
                </v:rect>
                <v:rect id="Rectangle 2863" style="position:absolute;width:2897;height:1682;left:9591;top:448;" filled="f" stroked="f">
                  <v:textbox inset="0,0,0,0">
                    <w:txbxContent>
                      <w:p>
                        <w:pPr>
                          <w:spacing w:before="0" w:after="160" w:line="259" w:lineRule="auto"/>
                          <w:ind w:left="0" w:right="0" w:firstLine="0"/>
                          <w:jc w:val="left"/>
                        </w:pPr>
                        <w:r>
                          <w:rPr>
                            <w:w w:val="106"/>
                          </w:rPr>
                          <w:t xml:space="preserve">Zeit</w:t>
                        </w:r>
                      </w:p>
                    </w:txbxContent>
                  </v:textbox>
                </v:rect>
                <v:rect id="Rectangle 1375" style="position:absolute;width:4955;height:1682;left:18426;top:448;" filled="f" stroked="f">
                  <v:textbox inset="0,0,0,0">
                    <w:txbxContent>
                      <w:p>
                        <w:pPr>
                          <w:spacing w:before="0" w:after="160" w:line="259" w:lineRule="auto"/>
                          <w:ind w:left="0" w:right="0" w:firstLine="0"/>
                          <w:jc w:val="left"/>
                        </w:pPr>
                        <w:r>
                          <w:rPr>
                            <w:w w:val="103"/>
                          </w:rPr>
                          <w:t xml:space="preserve">Zyklen</w:t>
                        </w:r>
                      </w:p>
                    </w:txbxContent>
                  </v:textbox>
                </v:rect>
                <v:shape id="Shape 1376" style="position:absolute;width:24671;height:0;left:0;top:2173;" coordsize="2467178,0" path="m0,0l2467178,0">
                  <v:stroke weight="0.4982pt" endcap="flat" joinstyle="miter" miterlimit="10" on="true" color="#000000"/>
                  <v:fill on="false" color="#000000" opacity="0"/>
                </v:shape>
              </v:group>
            </w:pict>
          </mc:Fallback>
        </mc:AlternateContent>
      </w:r>
    </w:p>
    <w:p w14:paraId="42938587" w14:textId="77777777" w:rsidR="009D64B7" w:rsidRDefault="008B75B9">
      <w:pPr>
        <w:spacing w:after="0" w:line="259" w:lineRule="auto"/>
        <w:ind w:left="2927" w:right="0" w:hanging="10"/>
        <w:jc w:val="left"/>
      </w:pPr>
      <w:r>
        <w:rPr>
          <w:b/>
        </w:rPr>
        <w:t>Reverse Transkription</w:t>
      </w:r>
    </w:p>
    <w:tbl>
      <w:tblPr>
        <w:tblStyle w:val="TableGrid"/>
        <w:tblW w:w="3186" w:type="dxa"/>
        <w:tblInd w:w="2917" w:type="dxa"/>
        <w:tblCellMar>
          <w:top w:w="0" w:type="dxa"/>
          <w:left w:w="0" w:type="dxa"/>
          <w:bottom w:w="0" w:type="dxa"/>
          <w:right w:w="0" w:type="dxa"/>
        </w:tblCellMar>
        <w:tblLook w:val="04A0" w:firstRow="1" w:lastRow="0" w:firstColumn="1" w:lastColumn="0" w:noHBand="0" w:noVBand="1"/>
      </w:tblPr>
      <w:tblGrid>
        <w:gridCol w:w="2782"/>
        <w:gridCol w:w="404"/>
      </w:tblGrid>
      <w:tr w:rsidR="009D64B7" w14:paraId="0A57F4CC" w14:textId="77777777">
        <w:trPr>
          <w:trHeight w:val="757"/>
        </w:trPr>
        <w:tc>
          <w:tcPr>
            <w:tcW w:w="2782" w:type="dxa"/>
            <w:tcBorders>
              <w:top w:val="nil"/>
              <w:left w:val="nil"/>
              <w:bottom w:val="nil"/>
              <w:right w:val="nil"/>
            </w:tcBorders>
          </w:tcPr>
          <w:p w14:paraId="30766E20" w14:textId="77777777" w:rsidR="009D64B7" w:rsidRDefault="008B75B9">
            <w:pPr>
              <w:tabs>
                <w:tab w:val="center" w:pos="441"/>
                <w:tab w:val="center" w:pos="1690"/>
              </w:tabs>
              <w:spacing w:after="2" w:line="259" w:lineRule="auto"/>
              <w:ind w:left="0" w:right="0" w:firstLine="0"/>
              <w:jc w:val="left"/>
            </w:pPr>
            <w:r>
              <w:rPr>
                <w:rFonts w:ascii="Calibri" w:eastAsia="Calibri" w:hAnsi="Calibri" w:cs="Calibri"/>
                <w:sz w:val="22"/>
              </w:rPr>
              <w:tab/>
            </w:r>
            <w:r>
              <w:t>55 °C</w:t>
            </w:r>
            <w:r>
              <w:tab/>
              <w:t>10 min</w:t>
            </w:r>
          </w:p>
          <w:p w14:paraId="4A6B928C" w14:textId="77777777" w:rsidR="009D64B7" w:rsidRDefault="008B75B9">
            <w:pPr>
              <w:tabs>
                <w:tab w:val="center" w:pos="441"/>
                <w:tab w:val="center" w:pos="1563"/>
              </w:tabs>
              <w:spacing w:after="59" w:line="259" w:lineRule="auto"/>
              <w:ind w:left="0" w:right="0" w:firstLine="0"/>
              <w:jc w:val="left"/>
            </w:pPr>
            <w:r>
              <w:rPr>
                <w:rFonts w:ascii="Calibri" w:eastAsia="Calibri" w:hAnsi="Calibri" w:cs="Calibri"/>
                <w:sz w:val="22"/>
              </w:rPr>
              <w:tab/>
            </w:r>
            <w:r>
              <w:t>95 °C</w:t>
            </w:r>
            <w:r>
              <w:tab/>
              <w:t>60 s</w:t>
            </w:r>
          </w:p>
          <w:p w14:paraId="1BE1E54B" w14:textId="77777777" w:rsidR="009D64B7" w:rsidRDefault="008B75B9">
            <w:pPr>
              <w:spacing w:after="0" w:line="259" w:lineRule="auto"/>
              <w:ind w:left="0" w:right="0" w:firstLine="0"/>
              <w:jc w:val="left"/>
            </w:pPr>
            <w:r>
              <w:rPr>
                <w:b/>
              </w:rPr>
              <w:t>Amplifikation</w:t>
            </w:r>
          </w:p>
        </w:tc>
        <w:tc>
          <w:tcPr>
            <w:tcW w:w="404" w:type="dxa"/>
            <w:tcBorders>
              <w:top w:val="nil"/>
              <w:left w:val="nil"/>
              <w:bottom w:val="nil"/>
              <w:right w:val="nil"/>
            </w:tcBorders>
          </w:tcPr>
          <w:p w14:paraId="44263F52" w14:textId="77777777" w:rsidR="009D64B7" w:rsidRDefault="008B75B9">
            <w:pPr>
              <w:spacing w:after="0" w:line="259" w:lineRule="auto"/>
              <w:ind w:left="0" w:right="0" w:firstLine="0"/>
              <w:jc w:val="left"/>
            </w:pPr>
            <w:r>
              <w:t>1x</w:t>
            </w:r>
          </w:p>
        </w:tc>
      </w:tr>
      <w:tr w:rsidR="009D64B7" w14:paraId="175A8A37" w14:textId="77777777">
        <w:trPr>
          <w:trHeight w:val="777"/>
        </w:trPr>
        <w:tc>
          <w:tcPr>
            <w:tcW w:w="2782" w:type="dxa"/>
            <w:tcBorders>
              <w:top w:val="nil"/>
              <w:left w:val="nil"/>
              <w:bottom w:val="nil"/>
              <w:right w:val="nil"/>
            </w:tcBorders>
          </w:tcPr>
          <w:p w14:paraId="6B56FEF0" w14:textId="77777777" w:rsidR="009D64B7" w:rsidRPr="002604BD" w:rsidRDefault="008B75B9">
            <w:pPr>
              <w:tabs>
                <w:tab w:val="center" w:pos="441"/>
                <w:tab w:val="center" w:pos="1563"/>
              </w:tabs>
              <w:spacing w:after="2" w:line="259" w:lineRule="auto"/>
              <w:ind w:left="0" w:right="0" w:firstLine="0"/>
              <w:jc w:val="left"/>
              <w:rPr>
                <w:lang w:val="en-US"/>
              </w:rPr>
            </w:pPr>
            <w:r w:rsidRPr="002604BD">
              <w:rPr>
                <w:rFonts w:ascii="Calibri" w:eastAsia="Calibri" w:hAnsi="Calibri" w:cs="Calibri"/>
                <w:sz w:val="22"/>
                <w:lang w:val="en-US"/>
              </w:rPr>
              <w:tab/>
            </w:r>
            <w:r w:rsidRPr="002604BD">
              <w:rPr>
                <w:lang w:val="en-US"/>
              </w:rPr>
              <w:t>95 °C</w:t>
            </w:r>
            <w:r w:rsidRPr="002604BD">
              <w:rPr>
                <w:lang w:val="en-US"/>
              </w:rPr>
              <w:tab/>
              <w:t>10 s</w:t>
            </w:r>
          </w:p>
          <w:p w14:paraId="037F2C4F" w14:textId="77777777" w:rsidR="009D64B7" w:rsidRPr="002604BD" w:rsidRDefault="008B75B9">
            <w:pPr>
              <w:tabs>
                <w:tab w:val="center" w:pos="441"/>
                <w:tab w:val="center" w:pos="1563"/>
              </w:tabs>
              <w:spacing w:after="59" w:line="259" w:lineRule="auto"/>
              <w:ind w:left="0" w:right="0" w:firstLine="0"/>
              <w:jc w:val="left"/>
              <w:rPr>
                <w:lang w:val="en-US"/>
              </w:rPr>
            </w:pPr>
            <w:r w:rsidRPr="002604BD">
              <w:rPr>
                <w:rFonts w:ascii="Calibri" w:eastAsia="Calibri" w:hAnsi="Calibri" w:cs="Calibri"/>
                <w:sz w:val="22"/>
                <w:lang w:val="en-US"/>
              </w:rPr>
              <w:tab/>
            </w:r>
            <w:r w:rsidRPr="002604BD">
              <w:rPr>
                <w:lang w:val="en-US"/>
              </w:rPr>
              <w:t>60 °C</w:t>
            </w:r>
            <w:r w:rsidRPr="002604BD">
              <w:rPr>
                <w:lang w:val="en-US"/>
              </w:rPr>
              <w:tab/>
              <w:t>30 s</w:t>
            </w:r>
          </w:p>
          <w:p w14:paraId="40D39490" w14:textId="77777777" w:rsidR="009D64B7" w:rsidRPr="002604BD" w:rsidRDefault="008B75B9">
            <w:pPr>
              <w:spacing w:after="0" w:line="259" w:lineRule="auto"/>
              <w:ind w:left="0" w:right="0" w:firstLine="0"/>
              <w:jc w:val="left"/>
              <w:rPr>
                <w:lang w:val="en-US"/>
              </w:rPr>
            </w:pPr>
            <w:proofErr w:type="spellStart"/>
            <w:r w:rsidRPr="002604BD">
              <w:rPr>
                <w:b/>
                <w:lang w:val="en-US"/>
              </w:rPr>
              <w:t>Kühlen</w:t>
            </w:r>
            <w:proofErr w:type="spellEnd"/>
          </w:p>
        </w:tc>
        <w:tc>
          <w:tcPr>
            <w:tcW w:w="404" w:type="dxa"/>
            <w:tcBorders>
              <w:top w:val="nil"/>
              <w:left w:val="nil"/>
              <w:bottom w:val="nil"/>
              <w:right w:val="nil"/>
            </w:tcBorders>
          </w:tcPr>
          <w:p w14:paraId="0FF72531" w14:textId="77777777" w:rsidR="009D64B7" w:rsidRDefault="008B75B9">
            <w:pPr>
              <w:spacing w:after="0" w:line="259" w:lineRule="auto"/>
              <w:ind w:left="0" w:right="0" w:firstLine="0"/>
            </w:pPr>
            <w:r>
              <w:t>45x*</w:t>
            </w:r>
          </w:p>
        </w:tc>
      </w:tr>
      <w:tr w:rsidR="009D64B7" w14:paraId="240066B4" w14:textId="77777777">
        <w:trPr>
          <w:trHeight w:val="219"/>
        </w:trPr>
        <w:tc>
          <w:tcPr>
            <w:tcW w:w="2782" w:type="dxa"/>
            <w:tcBorders>
              <w:top w:val="nil"/>
              <w:left w:val="nil"/>
              <w:bottom w:val="nil"/>
              <w:right w:val="nil"/>
            </w:tcBorders>
          </w:tcPr>
          <w:p w14:paraId="0775296A" w14:textId="77777777" w:rsidR="009D64B7" w:rsidRDefault="008B75B9">
            <w:pPr>
              <w:tabs>
                <w:tab w:val="center" w:pos="441"/>
                <w:tab w:val="center" w:pos="1563"/>
              </w:tabs>
              <w:spacing w:after="0" w:line="259" w:lineRule="auto"/>
              <w:ind w:left="0" w:right="0" w:firstLine="0"/>
              <w:jc w:val="left"/>
            </w:pPr>
            <w:r>
              <w:rPr>
                <w:rFonts w:ascii="Calibri" w:eastAsia="Calibri" w:hAnsi="Calibri" w:cs="Calibri"/>
                <w:sz w:val="22"/>
              </w:rPr>
              <w:tab/>
            </w:r>
            <w:r>
              <w:t>40 °C</w:t>
            </w:r>
            <w:r>
              <w:tab/>
              <w:t>30 s</w:t>
            </w:r>
          </w:p>
        </w:tc>
        <w:tc>
          <w:tcPr>
            <w:tcW w:w="404" w:type="dxa"/>
            <w:tcBorders>
              <w:top w:val="nil"/>
              <w:left w:val="nil"/>
              <w:bottom w:val="nil"/>
              <w:right w:val="nil"/>
            </w:tcBorders>
          </w:tcPr>
          <w:p w14:paraId="34C27B49" w14:textId="77777777" w:rsidR="009D64B7" w:rsidRDefault="008B75B9">
            <w:pPr>
              <w:spacing w:after="0" w:line="259" w:lineRule="auto"/>
              <w:ind w:left="0" w:right="0" w:firstLine="0"/>
              <w:jc w:val="left"/>
            </w:pPr>
            <w:r>
              <w:t>1x</w:t>
            </w:r>
          </w:p>
        </w:tc>
      </w:tr>
    </w:tbl>
    <w:p w14:paraId="3E70D04C" w14:textId="77777777" w:rsidR="009D64B7" w:rsidRDefault="008B75B9">
      <w:pPr>
        <w:spacing w:after="46" w:line="259" w:lineRule="auto"/>
        <w:ind w:left="2797" w:right="0" w:firstLine="0"/>
        <w:jc w:val="left"/>
      </w:pPr>
      <w:r>
        <w:rPr>
          <w:rFonts w:ascii="Calibri" w:eastAsia="Calibri" w:hAnsi="Calibri" w:cs="Calibri"/>
          <w:noProof/>
          <w:sz w:val="22"/>
        </w:rPr>
        <mc:AlternateContent>
          <mc:Choice Requires="wpg">
            <w:drawing>
              <wp:inline distT="0" distB="0" distL="0" distR="0" wp14:anchorId="34E05913" wp14:editId="1DC5FAC8">
                <wp:extent cx="2467178" cy="10122"/>
                <wp:effectExtent l="0" t="0" r="0" b="0"/>
                <wp:docPr id="27437" name="Group 27437"/>
                <wp:cNvGraphicFramePr/>
                <a:graphic xmlns:a="http://schemas.openxmlformats.org/drawingml/2006/main">
                  <a:graphicData uri="http://schemas.microsoft.com/office/word/2010/wordprocessingGroup">
                    <wpg:wgp>
                      <wpg:cNvGrpSpPr/>
                      <wpg:grpSpPr>
                        <a:xfrm>
                          <a:off x="0" y="0"/>
                          <a:ext cx="2467178" cy="10122"/>
                          <a:chOff x="0" y="0"/>
                          <a:chExt cx="2467178" cy="10122"/>
                        </a:xfrm>
                      </wpg:grpSpPr>
                      <wps:wsp>
                        <wps:cNvPr id="1393" name="Shape 1393"/>
                        <wps:cNvSpPr/>
                        <wps:spPr>
                          <a:xfrm>
                            <a:off x="0" y="0"/>
                            <a:ext cx="2467178" cy="0"/>
                          </a:xfrm>
                          <a:custGeom>
                            <a:avLst/>
                            <a:gdLst/>
                            <a:ahLst/>
                            <a:cxnLst/>
                            <a:rect l="0" t="0" r="0" b="0"/>
                            <a:pathLst>
                              <a:path w="2467178">
                                <a:moveTo>
                                  <a:pt x="0" y="0"/>
                                </a:moveTo>
                                <a:lnTo>
                                  <a:pt x="246717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37" style="width:194.266pt;height:0.797pt;mso-position-horizontal-relative:char;mso-position-vertical-relative:line" coordsize="24671,101">
                <v:shape id="Shape 1393" style="position:absolute;width:24671;height:0;left:0;top:0;" coordsize="2467178,0" path="m0,0l2467178,0">
                  <v:stroke weight="0.797pt" endcap="flat" joinstyle="miter" miterlimit="10" on="true" color="#000000"/>
                  <v:fill on="false" color="#000000" opacity="0"/>
                </v:shape>
              </v:group>
            </w:pict>
          </mc:Fallback>
        </mc:AlternateContent>
      </w:r>
    </w:p>
    <w:p w14:paraId="08F3C356" w14:textId="77777777" w:rsidR="009D64B7" w:rsidRDefault="008B75B9">
      <w:pPr>
        <w:numPr>
          <w:ilvl w:val="0"/>
          <w:numId w:val="2"/>
        </w:numPr>
        <w:spacing w:after="419"/>
        <w:ind w:left="771" w:right="14" w:hanging="156"/>
      </w:pPr>
      <w:r>
        <w:t>Messung der Fluoreszenz</w:t>
      </w:r>
    </w:p>
    <w:p w14:paraId="0A9977E9" w14:textId="560C9F71" w:rsidR="009D64B7" w:rsidRDefault="008B75B9">
      <w:pPr>
        <w:ind w:left="47" w:right="14"/>
      </w:pPr>
      <w:r>
        <w:t xml:space="preserve">wurde für ca. 2 min bei Raumtemperatur inkubiert und anschließend gut gemischt. Die </w:t>
      </w:r>
      <w:proofErr w:type="spellStart"/>
      <w:r>
        <w:t>resuspendierte</w:t>
      </w:r>
      <w:proofErr w:type="spellEnd"/>
      <w:r>
        <w:t xml:space="preserve"> RPA</w:t>
      </w:r>
      <w:r w:rsidR="002604BD">
        <w:t>-</w:t>
      </w:r>
      <w:r>
        <w:t>Reaktion (46,5 µl) wurden in eine Kavität eines 8-ter Messstreifens (Carl Roth) übertragen und dieser kurz zentrifugiert. Nachfolgend wurde 1 µl zu amplif</w:t>
      </w:r>
      <w:r>
        <w:t>izierende Virus RNA bzw. 1 µl PCR reines H</w:t>
      </w:r>
      <w:r>
        <w:rPr>
          <w:vertAlign w:val="subscript"/>
        </w:rPr>
        <w:t>2</w:t>
      </w:r>
      <w:r>
        <w:t xml:space="preserve">O (Negativkontrolle) zum Reaktionsmix gegeben, sowie 2,5 µl Magnesium Acetat (280 </w:t>
      </w:r>
      <w:proofErr w:type="spellStart"/>
      <w:r>
        <w:t>mM</w:t>
      </w:r>
      <w:proofErr w:type="spellEnd"/>
      <w:r>
        <w:t>) in den Deckel der Kavität pipettiert. Zum Start der Reaktion wurde der Messstreifen kurz zentrifugiert und homogenisiert, um da</w:t>
      </w:r>
      <w:r>
        <w:t>s Magnesium-acetat in den Reaktionsmix einzubringen und somit den benötigten CO-Faktor der Polymerase bereitzustellen (</w:t>
      </w:r>
      <w:r>
        <w:rPr>
          <w:color w:val="4169E1"/>
        </w:rPr>
        <w:t>Kück 2005</w:t>
      </w:r>
      <w:r>
        <w:t xml:space="preserve">). Die Messung erfolgte </w:t>
      </w:r>
      <w:r>
        <w:lastRenderedPageBreak/>
        <w:t xml:space="preserve">nach einer </w:t>
      </w:r>
      <w:r w:rsidR="002604BD">
        <w:t>einminütigen</w:t>
      </w:r>
      <w:r>
        <w:t xml:space="preserve"> </w:t>
      </w:r>
      <w:proofErr w:type="spellStart"/>
      <w:r>
        <w:t>Equilibrationszeit</w:t>
      </w:r>
      <w:proofErr w:type="spellEnd"/>
      <w:r>
        <w:t xml:space="preserve"> im </w:t>
      </w:r>
      <w:proofErr w:type="spellStart"/>
      <w:r>
        <w:t>ESEQuant</w:t>
      </w:r>
      <w:proofErr w:type="spellEnd"/>
      <w:r>
        <w:t xml:space="preserve"> TS2.4 (Qiagen) bei 38-42 °C. Für das Fluorophor </w:t>
      </w:r>
      <w:proofErr w:type="spellStart"/>
      <w:r>
        <w:t>Carboxyfluorescein</w:t>
      </w:r>
      <w:proofErr w:type="spellEnd"/>
      <w:r>
        <w:t xml:space="preserve"> (FAM) wurde die Fluoreszenz in </w:t>
      </w:r>
      <w:proofErr w:type="spellStart"/>
      <w:r>
        <w:t>dern</w:t>
      </w:r>
      <w:proofErr w:type="spellEnd"/>
    </w:p>
    <w:p w14:paraId="3C99EBEE" w14:textId="149D2B36" w:rsidR="009D64B7" w:rsidRDefault="008B75B9">
      <w:pPr>
        <w:spacing w:after="321"/>
        <w:ind w:left="47" w:right="14"/>
      </w:pPr>
      <w:r>
        <w:t>Wellenlängen …. bis …. und für das Fluorophor ATTO565 in den Wellenlängen</w:t>
      </w:r>
      <w:proofErr w:type="gramStart"/>
      <w:r>
        <w:t xml:space="preserve"> ….</w:t>
      </w:r>
      <w:proofErr w:type="gramEnd"/>
      <w:r>
        <w:t xml:space="preserve">. bis …. detektiert. Dabei wurden die Parameter des Geräts mit dem vom Hersteller </w:t>
      </w:r>
      <w:r w:rsidR="002604BD">
        <w:t>vorgegebenem</w:t>
      </w:r>
      <w:r>
        <w:t xml:space="preserve"> Programm TS2 Studio v1.17.1.1 e</w:t>
      </w:r>
      <w:r>
        <w:t xml:space="preserve">ingestellt. Je nach Versuch wurde die Messung für einen zusätzlichen Misch-Schritt unterbrochen. Die Auswertung der Daten erfolgte, wie bereits Kapitel </w:t>
      </w:r>
      <w:r>
        <w:rPr>
          <w:color w:val="4169E1"/>
        </w:rPr>
        <w:t xml:space="preserve">1.1.3 </w:t>
      </w:r>
      <w:r>
        <w:t>beschrieben.</w:t>
      </w:r>
    </w:p>
    <w:p w14:paraId="77FCCB78" w14:textId="77777777" w:rsidR="009D64B7" w:rsidRDefault="008B75B9">
      <w:pPr>
        <w:spacing w:after="0" w:line="259" w:lineRule="auto"/>
        <w:ind w:left="31" w:right="0" w:hanging="10"/>
        <w:jc w:val="center"/>
      </w:pPr>
      <w:r>
        <w:t xml:space="preserve">Tabelle 7: </w:t>
      </w:r>
      <w:proofErr w:type="spellStart"/>
      <w:r>
        <w:t>Zusammenstzung</w:t>
      </w:r>
      <w:proofErr w:type="spellEnd"/>
      <w:r>
        <w:t xml:space="preserve"> des </w:t>
      </w:r>
      <w:proofErr w:type="spellStart"/>
      <w:r>
        <w:t>Rehydrationsmixes</w:t>
      </w:r>
      <w:proofErr w:type="spellEnd"/>
    </w:p>
    <w:tbl>
      <w:tblPr>
        <w:tblStyle w:val="TableGrid"/>
        <w:tblW w:w="8489" w:type="dxa"/>
        <w:tblInd w:w="495" w:type="dxa"/>
        <w:tblCellMar>
          <w:top w:w="20" w:type="dxa"/>
          <w:left w:w="0" w:type="dxa"/>
          <w:bottom w:w="0" w:type="dxa"/>
          <w:right w:w="115" w:type="dxa"/>
        </w:tblCellMar>
        <w:tblLook w:val="04A0" w:firstRow="1" w:lastRow="0" w:firstColumn="1" w:lastColumn="0" w:noHBand="0" w:noVBand="1"/>
      </w:tblPr>
      <w:tblGrid>
        <w:gridCol w:w="3241"/>
        <w:gridCol w:w="1480"/>
        <w:gridCol w:w="1507"/>
        <w:gridCol w:w="2261"/>
      </w:tblGrid>
      <w:tr w:rsidR="009D64B7" w14:paraId="45B5D30B" w14:textId="77777777">
        <w:trPr>
          <w:trHeight w:val="340"/>
        </w:trPr>
        <w:tc>
          <w:tcPr>
            <w:tcW w:w="3242" w:type="dxa"/>
            <w:tcBorders>
              <w:top w:val="single" w:sz="6" w:space="0" w:color="000000"/>
              <w:left w:val="nil"/>
              <w:bottom w:val="single" w:sz="2" w:space="0" w:color="000000"/>
              <w:right w:val="nil"/>
            </w:tcBorders>
          </w:tcPr>
          <w:p w14:paraId="3816BBC5" w14:textId="77777777" w:rsidR="009D64B7" w:rsidRDefault="008B75B9">
            <w:pPr>
              <w:spacing w:after="0" w:line="259" w:lineRule="auto"/>
              <w:ind w:left="0" w:right="4" w:firstLine="0"/>
              <w:jc w:val="center"/>
            </w:pPr>
            <w:r>
              <w:t>Bestandteil</w:t>
            </w:r>
          </w:p>
        </w:tc>
        <w:tc>
          <w:tcPr>
            <w:tcW w:w="1480" w:type="dxa"/>
            <w:tcBorders>
              <w:top w:val="single" w:sz="6" w:space="0" w:color="000000"/>
              <w:left w:val="nil"/>
              <w:bottom w:val="single" w:sz="2" w:space="0" w:color="000000"/>
              <w:right w:val="nil"/>
            </w:tcBorders>
          </w:tcPr>
          <w:p w14:paraId="5B2E5419" w14:textId="77777777" w:rsidR="009D64B7" w:rsidRDefault="008B75B9">
            <w:pPr>
              <w:spacing w:after="0" w:line="259" w:lineRule="auto"/>
              <w:ind w:left="0" w:right="0" w:firstLine="0"/>
              <w:jc w:val="left"/>
            </w:pPr>
            <w:r>
              <w:t>Konzentration</w:t>
            </w:r>
          </w:p>
        </w:tc>
        <w:tc>
          <w:tcPr>
            <w:tcW w:w="1507" w:type="dxa"/>
            <w:tcBorders>
              <w:top w:val="single" w:sz="6" w:space="0" w:color="000000"/>
              <w:left w:val="nil"/>
              <w:bottom w:val="single" w:sz="2" w:space="0" w:color="000000"/>
              <w:right w:val="nil"/>
            </w:tcBorders>
          </w:tcPr>
          <w:p w14:paraId="1B5D33A0" w14:textId="77777777" w:rsidR="009D64B7" w:rsidRDefault="008B75B9">
            <w:pPr>
              <w:spacing w:after="0" w:line="259" w:lineRule="auto"/>
              <w:ind w:left="252" w:right="0" w:firstLine="0"/>
              <w:jc w:val="left"/>
            </w:pPr>
            <w:r>
              <w:t>Volumen</w:t>
            </w:r>
          </w:p>
        </w:tc>
        <w:tc>
          <w:tcPr>
            <w:tcW w:w="2261" w:type="dxa"/>
            <w:tcBorders>
              <w:top w:val="single" w:sz="6" w:space="0" w:color="000000"/>
              <w:left w:val="nil"/>
              <w:bottom w:val="single" w:sz="2" w:space="0" w:color="000000"/>
              <w:right w:val="nil"/>
            </w:tcBorders>
          </w:tcPr>
          <w:p w14:paraId="61925438" w14:textId="77777777" w:rsidR="009D64B7" w:rsidRDefault="008B75B9">
            <w:pPr>
              <w:spacing w:after="0" w:line="259" w:lineRule="auto"/>
              <w:ind w:left="0" w:right="5" w:firstLine="0"/>
              <w:jc w:val="center"/>
            </w:pPr>
            <w:r>
              <w:t>Modifikation</w:t>
            </w:r>
          </w:p>
        </w:tc>
      </w:tr>
      <w:tr w:rsidR="009D64B7" w14:paraId="4A9DC01E" w14:textId="77777777">
        <w:trPr>
          <w:trHeight w:val="285"/>
        </w:trPr>
        <w:tc>
          <w:tcPr>
            <w:tcW w:w="3242" w:type="dxa"/>
            <w:tcBorders>
              <w:top w:val="single" w:sz="2" w:space="0" w:color="000000"/>
              <w:left w:val="nil"/>
              <w:bottom w:val="nil"/>
              <w:right w:val="nil"/>
            </w:tcBorders>
          </w:tcPr>
          <w:p w14:paraId="6B6E19A5" w14:textId="77777777" w:rsidR="009D64B7" w:rsidRDefault="008B75B9">
            <w:pPr>
              <w:spacing w:after="0" w:line="259" w:lineRule="auto"/>
              <w:ind w:left="120" w:right="0" w:firstLine="0"/>
              <w:jc w:val="left"/>
            </w:pPr>
            <w:r>
              <w:t>Forward Primer</w:t>
            </w:r>
          </w:p>
        </w:tc>
        <w:tc>
          <w:tcPr>
            <w:tcW w:w="1480" w:type="dxa"/>
            <w:tcBorders>
              <w:top w:val="single" w:sz="2" w:space="0" w:color="000000"/>
              <w:left w:val="nil"/>
              <w:bottom w:val="nil"/>
              <w:right w:val="nil"/>
            </w:tcBorders>
          </w:tcPr>
          <w:p w14:paraId="79DAC82C" w14:textId="77777777" w:rsidR="009D64B7" w:rsidRDefault="008B75B9">
            <w:pPr>
              <w:spacing w:after="0" w:line="259" w:lineRule="auto"/>
              <w:ind w:left="0" w:right="0" w:firstLine="0"/>
              <w:jc w:val="left"/>
            </w:pPr>
            <w:r>
              <w:t>0,45 µM</w:t>
            </w:r>
          </w:p>
        </w:tc>
        <w:tc>
          <w:tcPr>
            <w:tcW w:w="1507" w:type="dxa"/>
            <w:tcBorders>
              <w:top w:val="single" w:sz="2" w:space="0" w:color="000000"/>
              <w:left w:val="nil"/>
              <w:bottom w:val="nil"/>
              <w:right w:val="nil"/>
            </w:tcBorders>
          </w:tcPr>
          <w:p w14:paraId="593E3C4A" w14:textId="77777777" w:rsidR="009D64B7" w:rsidRDefault="009D64B7">
            <w:pPr>
              <w:spacing w:after="160" w:line="259" w:lineRule="auto"/>
              <w:ind w:left="0" w:right="0" w:firstLine="0"/>
              <w:jc w:val="left"/>
            </w:pPr>
          </w:p>
        </w:tc>
        <w:tc>
          <w:tcPr>
            <w:tcW w:w="2261" w:type="dxa"/>
            <w:tcBorders>
              <w:top w:val="single" w:sz="2" w:space="0" w:color="000000"/>
              <w:left w:val="nil"/>
              <w:bottom w:val="nil"/>
              <w:right w:val="nil"/>
            </w:tcBorders>
          </w:tcPr>
          <w:p w14:paraId="439BC9E9" w14:textId="77777777" w:rsidR="009D64B7" w:rsidRDefault="008B75B9">
            <w:pPr>
              <w:spacing w:after="0" w:line="259" w:lineRule="auto"/>
              <w:ind w:left="0" w:right="0" w:firstLine="0"/>
              <w:jc w:val="left"/>
            </w:pPr>
            <w:r>
              <w:t>biomers.net GmbH</w:t>
            </w:r>
          </w:p>
        </w:tc>
      </w:tr>
      <w:tr w:rsidR="009D64B7" w14:paraId="65BFE17F" w14:textId="77777777">
        <w:trPr>
          <w:trHeight w:val="239"/>
        </w:trPr>
        <w:tc>
          <w:tcPr>
            <w:tcW w:w="3242" w:type="dxa"/>
            <w:tcBorders>
              <w:top w:val="nil"/>
              <w:left w:val="nil"/>
              <w:bottom w:val="nil"/>
              <w:right w:val="nil"/>
            </w:tcBorders>
          </w:tcPr>
          <w:p w14:paraId="20E01BE3" w14:textId="77777777" w:rsidR="009D64B7" w:rsidRDefault="008B75B9">
            <w:pPr>
              <w:spacing w:after="0" w:line="259" w:lineRule="auto"/>
              <w:ind w:left="120" w:right="0" w:firstLine="0"/>
              <w:jc w:val="left"/>
            </w:pPr>
            <w:r>
              <w:t>Reverse Primer</w:t>
            </w:r>
          </w:p>
        </w:tc>
        <w:tc>
          <w:tcPr>
            <w:tcW w:w="1480" w:type="dxa"/>
            <w:tcBorders>
              <w:top w:val="nil"/>
              <w:left w:val="nil"/>
              <w:bottom w:val="nil"/>
              <w:right w:val="nil"/>
            </w:tcBorders>
          </w:tcPr>
          <w:p w14:paraId="509A96E6" w14:textId="77777777" w:rsidR="009D64B7" w:rsidRDefault="008B75B9">
            <w:pPr>
              <w:spacing w:after="0" w:line="259" w:lineRule="auto"/>
              <w:ind w:left="0" w:right="0" w:firstLine="0"/>
              <w:jc w:val="left"/>
            </w:pPr>
            <w:r>
              <w:t>0,45 µM</w:t>
            </w:r>
          </w:p>
        </w:tc>
        <w:tc>
          <w:tcPr>
            <w:tcW w:w="1507" w:type="dxa"/>
            <w:tcBorders>
              <w:top w:val="nil"/>
              <w:left w:val="nil"/>
              <w:bottom w:val="nil"/>
              <w:right w:val="nil"/>
            </w:tcBorders>
          </w:tcPr>
          <w:p w14:paraId="559BE1AD" w14:textId="77777777" w:rsidR="009D64B7" w:rsidRDefault="009D64B7">
            <w:pPr>
              <w:spacing w:after="160" w:line="259" w:lineRule="auto"/>
              <w:ind w:left="0" w:right="0" w:firstLine="0"/>
              <w:jc w:val="left"/>
            </w:pPr>
          </w:p>
        </w:tc>
        <w:tc>
          <w:tcPr>
            <w:tcW w:w="2261" w:type="dxa"/>
            <w:tcBorders>
              <w:top w:val="nil"/>
              <w:left w:val="nil"/>
              <w:bottom w:val="nil"/>
              <w:right w:val="nil"/>
            </w:tcBorders>
          </w:tcPr>
          <w:p w14:paraId="582D87CE" w14:textId="77777777" w:rsidR="009D64B7" w:rsidRDefault="008B75B9">
            <w:pPr>
              <w:spacing w:after="0" w:line="259" w:lineRule="auto"/>
              <w:ind w:left="0" w:right="0" w:firstLine="0"/>
              <w:jc w:val="left"/>
            </w:pPr>
            <w:r>
              <w:t>biomers.net GmbH</w:t>
            </w:r>
          </w:p>
        </w:tc>
      </w:tr>
      <w:tr w:rsidR="009D64B7" w14:paraId="5F292CED" w14:textId="77777777">
        <w:trPr>
          <w:trHeight w:val="239"/>
        </w:trPr>
        <w:tc>
          <w:tcPr>
            <w:tcW w:w="3242" w:type="dxa"/>
            <w:tcBorders>
              <w:top w:val="nil"/>
              <w:left w:val="nil"/>
              <w:bottom w:val="nil"/>
              <w:right w:val="nil"/>
            </w:tcBorders>
          </w:tcPr>
          <w:p w14:paraId="0D3AA20D" w14:textId="77777777" w:rsidR="009D64B7" w:rsidRDefault="008B75B9">
            <w:pPr>
              <w:spacing w:after="0" w:line="259" w:lineRule="auto"/>
              <w:ind w:left="120" w:right="0" w:firstLine="0"/>
              <w:jc w:val="left"/>
            </w:pPr>
            <w:r>
              <w:t>Sonde</w:t>
            </w:r>
          </w:p>
        </w:tc>
        <w:tc>
          <w:tcPr>
            <w:tcW w:w="1480" w:type="dxa"/>
            <w:tcBorders>
              <w:top w:val="nil"/>
              <w:left w:val="nil"/>
              <w:bottom w:val="nil"/>
              <w:right w:val="nil"/>
            </w:tcBorders>
          </w:tcPr>
          <w:p w14:paraId="1D678931" w14:textId="77777777" w:rsidR="009D64B7" w:rsidRDefault="008B75B9">
            <w:pPr>
              <w:spacing w:after="0" w:line="259" w:lineRule="auto"/>
              <w:ind w:left="0" w:right="0" w:firstLine="0"/>
              <w:jc w:val="left"/>
            </w:pPr>
            <w:r>
              <w:t>0,13 µM</w:t>
            </w:r>
          </w:p>
        </w:tc>
        <w:tc>
          <w:tcPr>
            <w:tcW w:w="1507" w:type="dxa"/>
            <w:tcBorders>
              <w:top w:val="nil"/>
              <w:left w:val="nil"/>
              <w:bottom w:val="nil"/>
              <w:right w:val="nil"/>
            </w:tcBorders>
          </w:tcPr>
          <w:p w14:paraId="2806E6AF" w14:textId="77777777" w:rsidR="009D64B7" w:rsidRDefault="009D64B7">
            <w:pPr>
              <w:spacing w:after="160" w:line="259" w:lineRule="auto"/>
              <w:ind w:left="0" w:right="0" w:firstLine="0"/>
              <w:jc w:val="left"/>
            </w:pPr>
          </w:p>
        </w:tc>
        <w:tc>
          <w:tcPr>
            <w:tcW w:w="2261" w:type="dxa"/>
            <w:tcBorders>
              <w:top w:val="nil"/>
              <w:left w:val="nil"/>
              <w:bottom w:val="nil"/>
              <w:right w:val="nil"/>
            </w:tcBorders>
          </w:tcPr>
          <w:p w14:paraId="2BCC7ECC" w14:textId="77777777" w:rsidR="009D64B7" w:rsidRDefault="008B75B9">
            <w:pPr>
              <w:spacing w:after="0" w:line="259" w:lineRule="auto"/>
              <w:ind w:left="0" w:right="0" w:firstLine="0"/>
              <w:jc w:val="left"/>
            </w:pPr>
            <w:r>
              <w:t>biomers.net GmbH</w:t>
            </w:r>
          </w:p>
        </w:tc>
      </w:tr>
      <w:tr w:rsidR="009D64B7" w14:paraId="6A94243C" w14:textId="77777777">
        <w:trPr>
          <w:trHeight w:val="239"/>
        </w:trPr>
        <w:tc>
          <w:tcPr>
            <w:tcW w:w="3242" w:type="dxa"/>
            <w:tcBorders>
              <w:top w:val="nil"/>
              <w:left w:val="nil"/>
              <w:bottom w:val="nil"/>
              <w:right w:val="nil"/>
            </w:tcBorders>
          </w:tcPr>
          <w:p w14:paraId="49AD719D" w14:textId="77777777" w:rsidR="009D64B7" w:rsidRDefault="008B75B9">
            <w:pPr>
              <w:spacing w:after="0" w:line="259" w:lineRule="auto"/>
              <w:ind w:left="120" w:right="0" w:firstLine="0"/>
              <w:jc w:val="left"/>
            </w:pPr>
            <w:proofErr w:type="spellStart"/>
            <w:r>
              <w:t>RevertAid</w:t>
            </w:r>
            <w:proofErr w:type="spellEnd"/>
            <w:r>
              <w:t xml:space="preserve"> Reverse Transkriptase</w:t>
            </w:r>
          </w:p>
        </w:tc>
        <w:tc>
          <w:tcPr>
            <w:tcW w:w="1480" w:type="dxa"/>
            <w:tcBorders>
              <w:top w:val="nil"/>
              <w:left w:val="nil"/>
              <w:bottom w:val="nil"/>
              <w:right w:val="nil"/>
            </w:tcBorders>
          </w:tcPr>
          <w:p w14:paraId="1DEC74FF" w14:textId="77777777" w:rsidR="009D64B7" w:rsidRDefault="008B75B9">
            <w:pPr>
              <w:spacing w:after="0" w:line="259" w:lineRule="auto"/>
              <w:ind w:left="0" w:right="0" w:firstLine="0"/>
              <w:jc w:val="left"/>
            </w:pPr>
            <w:r>
              <w:t>10,75 U/µl</w:t>
            </w:r>
          </w:p>
        </w:tc>
        <w:tc>
          <w:tcPr>
            <w:tcW w:w="1507" w:type="dxa"/>
            <w:tcBorders>
              <w:top w:val="nil"/>
              <w:left w:val="nil"/>
              <w:bottom w:val="nil"/>
              <w:right w:val="nil"/>
            </w:tcBorders>
          </w:tcPr>
          <w:p w14:paraId="13510FC4" w14:textId="77777777" w:rsidR="009D64B7" w:rsidRDefault="009D64B7">
            <w:pPr>
              <w:spacing w:after="160" w:line="259" w:lineRule="auto"/>
              <w:ind w:left="0" w:right="0" w:firstLine="0"/>
              <w:jc w:val="left"/>
            </w:pPr>
          </w:p>
        </w:tc>
        <w:tc>
          <w:tcPr>
            <w:tcW w:w="2261" w:type="dxa"/>
            <w:tcBorders>
              <w:top w:val="nil"/>
              <w:left w:val="nil"/>
              <w:bottom w:val="nil"/>
              <w:right w:val="nil"/>
            </w:tcBorders>
          </w:tcPr>
          <w:p w14:paraId="27D67D5D" w14:textId="77777777" w:rsidR="009D64B7" w:rsidRDefault="008B75B9">
            <w:pPr>
              <w:spacing w:after="0" w:line="259" w:lineRule="auto"/>
              <w:ind w:left="0" w:right="0" w:firstLine="0"/>
              <w:jc w:val="left"/>
            </w:pPr>
            <w:proofErr w:type="spellStart"/>
            <w:r>
              <w:t>Thermo</w:t>
            </w:r>
            <w:proofErr w:type="spellEnd"/>
            <w:r>
              <w:t xml:space="preserve"> Fisher Scientific</w:t>
            </w:r>
          </w:p>
        </w:tc>
      </w:tr>
      <w:tr w:rsidR="009D64B7" w14:paraId="19CA252C" w14:textId="77777777">
        <w:trPr>
          <w:trHeight w:val="289"/>
        </w:trPr>
        <w:tc>
          <w:tcPr>
            <w:tcW w:w="3242" w:type="dxa"/>
            <w:tcBorders>
              <w:top w:val="nil"/>
              <w:left w:val="nil"/>
              <w:bottom w:val="nil"/>
              <w:right w:val="nil"/>
            </w:tcBorders>
          </w:tcPr>
          <w:p w14:paraId="503F0EA0" w14:textId="77777777" w:rsidR="009D64B7" w:rsidRDefault="008B75B9">
            <w:pPr>
              <w:spacing w:after="0" w:line="259" w:lineRule="auto"/>
              <w:ind w:left="120" w:right="0" w:firstLine="0"/>
              <w:jc w:val="left"/>
            </w:pPr>
            <w:proofErr w:type="spellStart"/>
            <w:r>
              <w:t>RNase</w:t>
            </w:r>
            <w:proofErr w:type="spellEnd"/>
            <w:r>
              <w:t xml:space="preserve"> Inhibitor, Murine</w:t>
            </w:r>
          </w:p>
        </w:tc>
        <w:tc>
          <w:tcPr>
            <w:tcW w:w="1480" w:type="dxa"/>
            <w:tcBorders>
              <w:top w:val="nil"/>
              <w:left w:val="nil"/>
              <w:bottom w:val="nil"/>
              <w:right w:val="nil"/>
            </w:tcBorders>
          </w:tcPr>
          <w:p w14:paraId="1E21017E" w14:textId="77777777" w:rsidR="009D64B7" w:rsidRDefault="008B75B9">
            <w:pPr>
              <w:spacing w:after="0" w:line="259" w:lineRule="auto"/>
              <w:ind w:left="0" w:right="0" w:firstLine="0"/>
              <w:jc w:val="left"/>
            </w:pPr>
            <w:r>
              <w:t>1,08 U/µl</w:t>
            </w:r>
          </w:p>
        </w:tc>
        <w:tc>
          <w:tcPr>
            <w:tcW w:w="1507" w:type="dxa"/>
            <w:tcBorders>
              <w:top w:val="nil"/>
              <w:left w:val="nil"/>
              <w:bottom w:val="nil"/>
              <w:right w:val="nil"/>
            </w:tcBorders>
          </w:tcPr>
          <w:p w14:paraId="734311CB" w14:textId="77777777" w:rsidR="009D64B7" w:rsidRDefault="009D64B7">
            <w:pPr>
              <w:spacing w:after="160" w:line="259" w:lineRule="auto"/>
              <w:ind w:left="0" w:right="0" w:firstLine="0"/>
              <w:jc w:val="left"/>
            </w:pPr>
          </w:p>
        </w:tc>
        <w:tc>
          <w:tcPr>
            <w:tcW w:w="2261" w:type="dxa"/>
            <w:tcBorders>
              <w:top w:val="nil"/>
              <w:left w:val="nil"/>
              <w:bottom w:val="nil"/>
              <w:right w:val="nil"/>
            </w:tcBorders>
          </w:tcPr>
          <w:p w14:paraId="6F0E7C79" w14:textId="77777777" w:rsidR="009D64B7" w:rsidRDefault="008B75B9">
            <w:pPr>
              <w:spacing w:after="0" w:line="259" w:lineRule="auto"/>
              <w:ind w:left="0" w:right="0" w:firstLine="0"/>
              <w:jc w:val="left"/>
            </w:pPr>
            <w:r>
              <w:t xml:space="preserve">New England </w:t>
            </w:r>
            <w:proofErr w:type="spellStart"/>
            <w:r>
              <w:t>Biolabs</w:t>
            </w:r>
            <w:proofErr w:type="spellEnd"/>
          </w:p>
        </w:tc>
      </w:tr>
      <w:tr w:rsidR="009D64B7" w14:paraId="738B1B56" w14:textId="77777777">
        <w:trPr>
          <w:trHeight w:val="289"/>
        </w:trPr>
        <w:tc>
          <w:tcPr>
            <w:tcW w:w="3242" w:type="dxa"/>
            <w:tcBorders>
              <w:top w:val="nil"/>
              <w:left w:val="nil"/>
              <w:bottom w:val="nil"/>
              <w:right w:val="nil"/>
            </w:tcBorders>
          </w:tcPr>
          <w:p w14:paraId="7B00BC28" w14:textId="77777777" w:rsidR="009D64B7" w:rsidRDefault="008B75B9">
            <w:pPr>
              <w:spacing w:after="0" w:line="259" w:lineRule="auto"/>
              <w:ind w:left="120" w:right="0" w:firstLine="0"/>
              <w:jc w:val="left"/>
            </w:pPr>
            <w:proofErr w:type="spellStart"/>
            <w:r>
              <w:t>Rehydrations</w:t>
            </w:r>
            <w:proofErr w:type="spellEnd"/>
            <w:r>
              <w:t xml:space="preserve"> Puffer</w:t>
            </w:r>
          </w:p>
        </w:tc>
        <w:tc>
          <w:tcPr>
            <w:tcW w:w="1480" w:type="dxa"/>
            <w:tcBorders>
              <w:top w:val="nil"/>
              <w:left w:val="nil"/>
              <w:bottom w:val="nil"/>
              <w:right w:val="nil"/>
            </w:tcBorders>
          </w:tcPr>
          <w:p w14:paraId="663F4D0E" w14:textId="77777777" w:rsidR="009D64B7" w:rsidRDefault="009D64B7">
            <w:pPr>
              <w:spacing w:after="160" w:line="259" w:lineRule="auto"/>
              <w:ind w:left="0" w:right="0" w:firstLine="0"/>
              <w:jc w:val="left"/>
            </w:pPr>
          </w:p>
        </w:tc>
        <w:tc>
          <w:tcPr>
            <w:tcW w:w="1507" w:type="dxa"/>
            <w:tcBorders>
              <w:top w:val="nil"/>
              <w:left w:val="nil"/>
              <w:bottom w:val="nil"/>
              <w:right w:val="nil"/>
            </w:tcBorders>
          </w:tcPr>
          <w:p w14:paraId="257BFC1D" w14:textId="77777777" w:rsidR="009D64B7" w:rsidRDefault="008B75B9">
            <w:pPr>
              <w:spacing w:after="0" w:line="259" w:lineRule="auto"/>
              <w:ind w:left="0" w:right="0" w:firstLine="0"/>
              <w:jc w:val="left"/>
            </w:pPr>
            <w:r>
              <w:t>29,5 µl</w:t>
            </w:r>
          </w:p>
        </w:tc>
        <w:tc>
          <w:tcPr>
            <w:tcW w:w="2261" w:type="dxa"/>
            <w:tcBorders>
              <w:top w:val="nil"/>
              <w:left w:val="nil"/>
              <w:bottom w:val="nil"/>
              <w:right w:val="nil"/>
            </w:tcBorders>
          </w:tcPr>
          <w:p w14:paraId="208398D6" w14:textId="77777777" w:rsidR="009D64B7" w:rsidRDefault="008B75B9">
            <w:pPr>
              <w:spacing w:after="0" w:line="259" w:lineRule="auto"/>
              <w:ind w:left="0" w:right="0" w:firstLine="0"/>
              <w:jc w:val="left"/>
            </w:pPr>
            <w:proofErr w:type="spellStart"/>
            <w:r>
              <w:t>TwistDX</w:t>
            </w:r>
            <w:proofErr w:type="spellEnd"/>
          </w:p>
        </w:tc>
      </w:tr>
      <w:tr w:rsidR="009D64B7" w14:paraId="6BA2923C" w14:textId="77777777">
        <w:trPr>
          <w:trHeight w:val="295"/>
        </w:trPr>
        <w:tc>
          <w:tcPr>
            <w:tcW w:w="3242" w:type="dxa"/>
            <w:tcBorders>
              <w:top w:val="nil"/>
              <w:left w:val="nil"/>
              <w:bottom w:val="single" w:sz="6" w:space="0" w:color="000000"/>
              <w:right w:val="nil"/>
            </w:tcBorders>
          </w:tcPr>
          <w:p w14:paraId="3AA4AB07" w14:textId="77777777" w:rsidR="009D64B7" w:rsidRDefault="008B75B9">
            <w:pPr>
              <w:spacing w:after="0" w:line="259" w:lineRule="auto"/>
              <w:ind w:left="120" w:right="0" w:firstLine="0"/>
              <w:jc w:val="left"/>
            </w:pPr>
            <w:r>
              <w:t>PCR reines Wasser</w:t>
            </w:r>
          </w:p>
        </w:tc>
        <w:tc>
          <w:tcPr>
            <w:tcW w:w="1480" w:type="dxa"/>
            <w:tcBorders>
              <w:top w:val="nil"/>
              <w:left w:val="nil"/>
              <w:bottom w:val="single" w:sz="6" w:space="0" w:color="000000"/>
              <w:right w:val="nil"/>
            </w:tcBorders>
          </w:tcPr>
          <w:p w14:paraId="5A41FDE3" w14:textId="77777777" w:rsidR="009D64B7" w:rsidRDefault="009D64B7">
            <w:pPr>
              <w:spacing w:after="160" w:line="259" w:lineRule="auto"/>
              <w:ind w:left="0" w:right="0" w:firstLine="0"/>
              <w:jc w:val="left"/>
            </w:pPr>
          </w:p>
        </w:tc>
        <w:tc>
          <w:tcPr>
            <w:tcW w:w="1507" w:type="dxa"/>
            <w:tcBorders>
              <w:top w:val="nil"/>
              <w:left w:val="nil"/>
              <w:bottom w:val="single" w:sz="6" w:space="0" w:color="000000"/>
              <w:right w:val="nil"/>
            </w:tcBorders>
          </w:tcPr>
          <w:p w14:paraId="30B5DF35" w14:textId="77777777" w:rsidR="009D64B7" w:rsidRDefault="008B75B9">
            <w:pPr>
              <w:spacing w:after="0" w:line="259" w:lineRule="auto"/>
              <w:ind w:left="0" w:right="0" w:firstLine="0"/>
              <w:jc w:val="left"/>
            </w:pPr>
            <w:r>
              <w:t xml:space="preserve">x µl </w:t>
            </w:r>
            <w:r>
              <w:t xml:space="preserve">∑ </w:t>
            </w:r>
            <w:r>
              <w:t>46,5 µl</w:t>
            </w:r>
          </w:p>
        </w:tc>
        <w:tc>
          <w:tcPr>
            <w:tcW w:w="2261" w:type="dxa"/>
            <w:tcBorders>
              <w:top w:val="nil"/>
              <w:left w:val="nil"/>
              <w:bottom w:val="single" w:sz="6" w:space="0" w:color="000000"/>
              <w:right w:val="nil"/>
            </w:tcBorders>
          </w:tcPr>
          <w:p w14:paraId="4C40C3C1" w14:textId="77777777" w:rsidR="009D64B7" w:rsidRDefault="009D64B7">
            <w:pPr>
              <w:spacing w:after="160" w:line="259" w:lineRule="auto"/>
              <w:ind w:left="0" w:right="0" w:firstLine="0"/>
              <w:jc w:val="left"/>
            </w:pPr>
          </w:p>
        </w:tc>
      </w:tr>
    </w:tbl>
    <w:p w14:paraId="56D100CE" w14:textId="71C0F250" w:rsidR="009D64B7" w:rsidRDefault="008B75B9">
      <w:pPr>
        <w:numPr>
          <w:ilvl w:val="0"/>
          <w:numId w:val="2"/>
        </w:numPr>
        <w:spacing w:line="259" w:lineRule="auto"/>
        <w:ind w:left="771" w:right="14" w:hanging="156"/>
      </w:pPr>
      <w:r>
        <w:t>Bei Negativkontrollen die Virus RNA mit PCR-reinem Wasser substituiert</w:t>
      </w:r>
    </w:p>
    <w:p w14:paraId="121CED30" w14:textId="77777777" w:rsidR="002604BD" w:rsidRDefault="002604BD">
      <w:pPr>
        <w:numPr>
          <w:ilvl w:val="0"/>
          <w:numId w:val="2"/>
        </w:numPr>
        <w:spacing w:line="259" w:lineRule="auto"/>
        <w:ind w:left="771" w:right="14" w:hanging="156"/>
      </w:pPr>
    </w:p>
    <w:p w14:paraId="2B18C62A" w14:textId="77777777" w:rsidR="009D64B7" w:rsidRDefault="008B75B9">
      <w:pPr>
        <w:pStyle w:val="berschrift3"/>
        <w:tabs>
          <w:tab w:val="right" w:pos="9459"/>
        </w:tabs>
        <w:ind w:left="0" w:firstLine="0"/>
      </w:pPr>
      <w:bookmarkStart w:id="19" w:name="_Toc28909"/>
      <w:r>
        <w:t>1.4.3</w:t>
      </w:r>
      <w:r>
        <w:tab/>
        <w:t xml:space="preserve">Reverse Transkription </w:t>
      </w:r>
      <w:proofErr w:type="spellStart"/>
      <w:r>
        <w:t>Rekombinase</w:t>
      </w:r>
      <w:proofErr w:type="spellEnd"/>
      <w:r>
        <w:t xml:space="preserve"> Polymerase Amplifikation im </w:t>
      </w:r>
      <w:proofErr w:type="spellStart"/>
      <w:r>
        <w:t>low</w:t>
      </w:r>
      <w:proofErr w:type="spellEnd"/>
      <w:r>
        <w:t>-volume Ansatz</w:t>
      </w:r>
      <w:bookmarkEnd w:id="19"/>
    </w:p>
    <w:p w14:paraId="7076FF3D" w14:textId="77777777" w:rsidR="009D64B7" w:rsidRDefault="008B75B9">
      <w:pPr>
        <w:ind w:left="47" w:right="14"/>
      </w:pPr>
      <w:r>
        <w:t>Wie bereits durch Behrmann et al. (</w:t>
      </w:r>
      <w:r>
        <w:rPr>
          <w:color w:val="4169E1"/>
        </w:rPr>
        <w:t>2020</w:t>
      </w:r>
      <w:r>
        <w:t>) und Lillis et al. (</w:t>
      </w:r>
      <w:r>
        <w:rPr>
          <w:color w:val="4169E1"/>
        </w:rPr>
        <w:t>2016</w:t>
      </w:r>
      <w:r>
        <w:t xml:space="preserve">) gezeigt werden konnte, kann das Reaktionsvolumen der RPA verringert werden, </w:t>
      </w:r>
      <w:proofErr w:type="gramStart"/>
      <w:r>
        <w:t>welches Vorteile</w:t>
      </w:r>
      <w:proofErr w:type="gramEnd"/>
      <w:r>
        <w:t xml:space="preserve"> wie eine Un</w:t>
      </w:r>
      <w:r>
        <w:t xml:space="preserve">abhängigkeit eines zusätzlichen Mischschrittes mit sich bringt und die RPA zugänglich für </w:t>
      </w:r>
      <w:proofErr w:type="spellStart"/>
      <w:r>
        <w:t>mikrofluidische</w:t>
      </w:r>
      <w:proofErr w:type="spellEnd"/>
      <w:r>
        <w:t xml:space="preserve"> Anwendungen macht (</w:t>
      </w:r>
      <w:r>
        <w:rPr>
          <w:color w:val="4169E1"/>
        </w:rPr>
        <w:t>Lillis et al. 2016</w:t>
      </w:r>
      <w:r>
        <w:t xml:space="preserve">; </w:t>
      </w:r>
      <w:r>
        <w:rPr>
          <w:color w:val="4169E1"/>
        </w:rPr>
        <w:t>Behrmann et al. 2020</w:t>
      </w:r>
      <w:r>
        <w:t>). Um die Vorteile der “</w:t>
      </w:r>
      <w:proofErr w:type="spellStart"/>
      <w:r>
        <w:t>low</w:t>
      </w:r>
      <w:proofErr w:type="spellEnd"/>
      <w:r>
        <w:t xml:space="preserve"> </w:t>
      </w:r>
      <w:proofErr w:type="spellStart"/>
      <w:r>
        <w:t>volume</w:t>
      </w:r>
      <w:proofErr w:type="spellEnd"/>
      <w:r>
        <w:t>” Applikation für die Influenza A und B Systeme zu übertr</w:t>
      </w:r>
      <w:r>
        <w:t>agen, wurde eine Verringerung des Reaktionsvolumens untersucht.</w:t>
      </w:r>
    </w:p>
    <w:p w14:paraId="202ABA07" w14:textId="77777777" w:rsidR="009D64B7" w:rsidRDefault="008B75B9">
      <w:pPr>
        <w:spacing w:after="50" w:line="259" w:lineRule="auto"/>
        <w:ind w:left="47" w:right="14"/>
      </w:pPr>
      <w:r>
        <w:t>Dazu wurde eine RPA-Reaktion mit 50 µl Gesamtvolumen auf 8 Reaktionen aufgeteilt und so ein neues</w:t>
      </w:r>
    </w:p>
    <w:p w14:paraId="222F638E" w14:textId="77777777" w:rsidR="009D64B7" w:rsidRDefault="008B75B9">
      <w:pPr>
        <w:spacing w:after="52" w:line="259" w:lineRule="auto"/>
        <w:ind w:left="47" w:right="14"/>
      </w:pPr>
      <w:r>
        <w:t xml:space="preserve">Reaktionsvolumen von 6,5 µl erhalten. Für 8 Reaktionen wurde dabei insgesamt 40,8 µl </w:t>
      </w:r>
      <w:proofErr w:type="spellStart"/>
      <w:r>
        <w:t>Rehydrati</w:t>
      </w:r>
      <w:r>
        <w:t>onsmix</w:t>
      </w:r>
      <w:proofErr w:type="spellEnd"/>
    </w:p>
    <w:p w14:paraId="0F0AFD3B" w14:textId="739073E0" w:rsidR="009D64B7" w:rsidRDefault="008B75B9">
      <w:pPr>
        <w:spacing w:after="276"/>
        <w:ind w:left="47" w:right="14"/>
      </w:pPr>
      <w:r>
        <w:t xml:space="preserve">(Zusammensetzung siehe Tab. </w:t>
      </w:r>
      <w:r>
        <w:rPr>
          <w:color w:val="4169E1"/>
        </w:rPr>
        <w:t>8</w:t>
      </w:r>
      <w:r>
        <w:t xml:space="preserve">) hergestellt und auf das </w:t>
      </w:r>
      <w:proofErr w:type="spellStart"/>
      <w:r>
        <w:t>lyophilisierte</w:t>
      </w:r>
      <w:proofErr w:type="spellEnd"/>
      <w:r>
        <w:t xml:space="preserve"> RPA-Enzympellet zur </w:t>
      </w:r>
      <w:proofErr w:type="spellStart"/>
      <w:r>
        <w:t>Resuspendierung</w:t>
      </w:r>
      <w:proofErr w:type="spellEnd"/>
      <w:r>
        <w:t xml:space="preserve"> übertragen. Die Zusammensetzung des in Tabelle </w:t>
      </w:r>
      <w:r>
        <w:rPr>
          <w:color w:val="4169E1"/>
        </w:rPr>
        <w:t xml:space="preserve">8 </w:t>
      </w:r>
      <w:r>
        <w:t xml:space="preserve">aufgeführten 50X </w:t>
      </w:r>
      <w:proofErr w:type="spellStart"/>
      <w:proofErr w:type="gramStart"/>
      <w:r>
        <w:t>PSM´s</w:t>
      </w:r>
      <w:proofErr w:type="spellEnd"/>
      <w:proofErr w:type="gramEnd"/>
      <w:r>
        <w:t xml:space="preserve"> ist in Tabelle </w:t>
      </w:r>
      <w:r>
        <w:rPr>
          <w:color w:val="4169E1"/>
        </w:rPr>
        <w:t xml:space="preserve">9 </w:t>
      </w:r>
      <w:r>
        <w:t xml:space="preserve">gezeigt. Die Lösung wurde für ca. 2 min bei Raumtemperatur inkubiert und anschließend gut </w:t>
      </w:r>
      <w:r>
        <w:t xml:space="preserve">gemischt. Die </w:t>
      </w:r>
      <w:proofErr w:type="spellStart"/>
      <w:r>
        <w:t>resuspendierte</w:t>
      </w:r>
      <w:proofErr w:type="spellEnd"/>
      <w:r>
        <w:t xml:space="preserve"> RPA-Reaktion wurden auf einen 8-ter Messstreifens aufgeteilt (4,8 µl pro Kavität) und dieser kurz zentrifugiert. Nachfolgend wurden jeweils pro Kavität 1 µl zu amplifizierende Virus RNA bzw. 1 µl PCR reines H</w:t>
      </w:r>
      <w:r>
        <w:rPr>
          <w:vertAlign w:val="subscript"/>
        </w:rPr>
        <w:t>2</w:t>
      </w:r>
      <w:r>
        <w:t>O (Negativkontroll</w:t>
      </w:r>
      <w:r>
        <w:t>e) zum Reaktionsmix gegeben. Darauffolgend wurden 15 µl Mineralöl (Carl Roth), welches die Evaporation des Reaktionsmixes während der Messung verhindert, in den Deckel jeder Kavität pipettiert. Als Letztes wurden 0,64 µl Magnesium Acetat (140mM) an die Inn</w:t>
      </w:r>
      <w:r>
        <w:t>enseite der Kavität pipettiert. Zum Start der Messung wurde der Messstreifen kurz zentrifugiert und homogenisiert, um das Magnesium und das Mineralöl in den Reaktionsmix einzubringen. Es folgte eine erneute Zentrifugation, um die Öl-Phase von der wässrigen</w:t>
      </w:r>
      <w:r>
        <w:t xml:space="preserve"> Phase zu trennen. Die Messung erfolgte nach einer einminütigen </w:t>
      </w:r>
      <w:proofErr w:type="spellStart"/>
      <w:r>
        <w:t>Equilibrationszeit</w:t>
      </w:r>
      <w:proofErr w:type="spellEnd"/>
      <w:r>
        <w:t xml:space="preserve"> im </w:t>
      </w:r>
      <w:proofErr w:type="spellStart"/>
      <w:r>
        <w:t>ESEQuant</w:t>
      </w:r>
      <w:proofErr w:type="spellEnd"/>
      <w:r>
        <w:t xml:space="preserve"> TS2.4 (Qiagen) bei 38-42 °C. Je nach Fluorophor wurde die Fluoreszenz in </w:t>
      </w:r>
      <w:proofErr w:type="spellStart"/>
      <w:r>
        <w:t>dern</w:t>
      </w:r>
      <w:proofErr w:type="spellEnd"/>
      <w:r>
        <w:t xml:space="preserve"> Wellenlängen …. bis …. (FAM) und</w:t>
      </w:r>
      <w:proofErr w:type="gramStart"/>
      <w:r>
        <w:t xml:space="preserve"> ….</w:t>
      </w:r>
      <w:proofErr w:type="gramEnd"/>
      <w:r>
        <w:t xml:space="preserve">. bis …. (ATTO565) detektiert. Dabei wurden die </w:t>
      </w:r>
      <w:r>
        <w:t xml:space="preserve">Parameter des Geräts mit dem vom Hersteller </w:t>
      </w:r>
      <w:r w:rsidR="002604BD">
        <w:t>vorgegebenem</w:t>
      </w:r>
      <w:r>
        <w:t xml:space="preserve"> Programm TS2 Studio v1.17.1.1 eingestellt. Je nach </w:t>
      </w:r>
      <w:r>
        <w:lastRenderedPageBreak/>
        <w:t xml:space="preserve">Versuch wurde die Messung für ein zusätzliches Mischen unterbrochen. Die Auswertung der Daten erfolgte, wie bereits Kapitel </w:t>
      </w:r>
      <w:r>
        <w:rPr>
          <w:color w:val="4169E1"/>
        </w:rPr>
        <w:t xml:space="preserve">1.1.3 </w:t>
      </w:r>
      <w:r>
        <w:t>beschrieben.</w:t>
      </w:r>
    </w:p>
    <w:p w14:paraId="33A16E37" w14:textId="77777777" w:rsidR="009D64B7" w:rsidRDefault="008B75B9">
      <w:pPr>
        <w:spacing w:after="0" w:line="259" w:lineRule="auto"/>
        <w:ind w:left="31" w:right="0" w:hanging="10"/>
        <w:jc w:val="center"/>
      </w:pPr>
      <w:r>
        <w:t>Tabell</w:t>
      </w:r>
      <w:r>
        <w:t xml:space="preserve">e 8: </w:t>
      </w:r>
      <w:proofErr w:type="spellStart"/>
      <w:r>
        <w:t>Zusammenstzung</w:t>
      </w:r>
      <w:proofErr w:type="spellEnd"/>
      <w:r>
        <w:t xml:space="preserve"> des </w:t>
      </w:r>
      <w:proofErr w:type="spellStart"/>
      <w:r>
        <w:t>Rehydrationsmixes</w:t>
      </w:r>
      <w:proofErr w:type="spellEnd"/>
      <w:r>
        <w:t xml:space="preserve"> für den 8-tel Ansatz</w:t>
      </w:r>
    </w:p>
    <w:tbl>
      <w:tblPr>
        <w:tblStyle w:val="TableGrid"/>
        <w:tblW w:w="8489" w:type="dxa"/>
        <w:tblInd w:w="495" w:type="dxa"/>
        <w:tblCellMar>
          <w:top w:w="20" w:type="dxa"/>
          <w:left w:w="0" w:type="dxa"/>
          <w:bottom w:w="0" w:type="dxa"/>
          <w:right w:w="115" w:type="dxa"/>
        </w:tblCellMar>
        <w:tblLook w:val="04A0" w:firstRow="1" w:lastRow="0" w:firstColumn="1" w:lastColumn="0" w:noHBand="0" w:noVBand="1"/>
      </w:tblPr>
      <w:tblGrid>
        <w:gridCol w:w="3241"/>
        <w:gridCol w:w="1480"/>
        <w:gridCol w:w="1507"/>
        <w:gridCol w:w="2261"/>
      </w:tblGrid>
      <w:tr w:rsidR="009D64B7" w14:paraId="2DF582E6" w14:textId="77777777">
        <w:trPr>
          <w:trHeight w:val="340"/>
        </w:trPr>
        <w:tc>
          <w:tcPr>
            <w:tcW w:w="3242" w:type="dxa"/>
            <w:tcBorders>
              <w:top w:val="single" w:sz="6" w:space="0" w:color="000000"/>
              <w:left w:val="nil"/>
              <w:bottom w:val="single" w:sz="2" w:space="0" w:color="000000"/>
              <w:right w:val="nil"/>
            </w:tcBorders>
          </w:tcPr>
          <w:p w14:paraId="530E0D25" w14:textId="77777777" w:rsidR="009D64B7" w:rsidRDefault="008B75B9">
            <w:pPr>
              <w:spacing w:after="0" w:line="259" w:lineRule="auto"/>
              <w:ind w:left="0" w:right="4" w:firstLine="0"/>
              <w:jc w:val="center"/>
            </w:pPr>
            <w:r>
              <w:t>Bestandteil</w:t>
            </w:r>
          </w:p>
        </w:tc>
        <w:tc>
          <w:tcPr>
            <w:tcW w:w="1480" w:type="dxa"/>
            <w:tcBorders>
              <w:top w:val="single" w:sz="6" w:space="0" w:color="000000"/>
              <w:left w:val="nil"/>
              <w:bottom w:val="single" w:sz="2" w:space="0" w:color="000000"/>
              <w:right w:val="nil"/>
            </w:tcBorders>
          </w:tcPr>
          <w:p w14:paraId="5D1B2420" w14:textId="77777777" w:rsidR="009D64B7" w:rsidRDefault="008B75B9">
            <w:pPr>
              <w:spacing w:after="0" w:line="259" w:lineRule="auto"/>
              <w:ind w:left="0" w:right="0" w:firstLine="0"/>
              <w:jc w:val="left"/>
            </w:pPr>
            <w:r>
              <w:t>Konzentration</w:t>
            </w:r>
          </w:p>
        </w:tc>
        <w:tc>
          <w:tcPr>
            <w:tcW w:w="1507" w:type="dxa"/>
            <w:tcBorders>
              <w:top w:val="single" w:sz="6" w:space="0" w:color="000000"/>
              <w:left w:val="nil"/>
              <w:bottom w:val="single" w:sz="2" w:space="0" w:color="000000"/>
              <w:right w:val="nil"/>
            </w:tcBorders>
          </w:tcPr>
          <w:p w14:paraId="7545B7BD" w14:textId="77777777" w:rsidR="009D64B7" w:rsidRDefault="008B75B9">
            <w:pPr>
              <w:spacing w:after="0" w:line="259" w:lineRule="auto"/>
              <w:ind w:left="252" w:right="0" w:firstLine="0"/>
              <w:jc w:val="left"/>
            </w:pPr>
            <w:r>
              <w:t>Volumen</w:t>
            </w:r>
          </w:p>
        </w:tc>
        <w:tc>
          <w:tcPr>
            <w:tcW w:w="2261" w:type="dxa"/>
            <w:tcBorders>
              <w:top w:val="single" w:sz="6" w:space="0" w:color="000000"/>
              <w:left w:val="nil"/>
              <w:bottom w:val="single" w:sz="2" w:space="0" w:color="000000"/>
              <w:right w:val="nil"/>
            </w:tcBorders>
          </w:tcPr>
          <w:p w14:paraId="0EA6BEE1" w14:textId="77777777" w:rsidR="009D64B7" w:rsidRDefault="008B75B9">
            <w:pPr>
              <w:spacing w:after="0" w:line="259" w:lineRule="auto"/>
              <w:ind w:left="0" w:right="4" w:firstLine="0"/>
              <w:jc w:val="center"/>
            </w:pPr>
            <w:r>
              <w:t>Hersteller</w:t>
            </w:r>
          </w:p>
        </w:tc>
      </w:tr>
      <w:tr w:rsidR="009D64B7" w14:paraId="5161D6EB" w14:textId="77777777">
        <w:trPr>
          <w:trHeight w:val="285"/>
        </w:trPr>
        <w:tc>
          <w:tcPr>
            <w:tcW w:w="3242" w:type="dxa"/>
            <w:tcBorders>
              <w:top w:val="single" w:sz="2" w:space="0" w:color="000000"/>
              <w:left w:val="nil"/>
              <w:bottom w:val="nil"/>
              <w:right w:val="nil"/>
            </w:tcBorders>
          </w:tcPr>
          <w:p w14:paraId="3EAB7E22" w14:textId="77777777" w:rsidR="009D64B7" w:rsidRDefault="008B75B9">
            <w:pPr>
              <w:spacing w:after="0" w:line="259" w:lineRule="auto"/>
              <w:ind w:left="120" w:right="0" w:firstLine="0"/>
              <w:jc w:val="left"/>
            </w:pPr>
            <w:r>
              <w:t>50X PSM</w:t>
            </w:r>
          </w:p>
        </w:tc>
        <w:tc>
          <w:tcPr>
            <w:tcW w:w="1480" w:type="dxa"/>
            <w:tcBorders>
              <w:top w:val="single" w:sz="2" w:space="0" w:color="000000"/>
              <w:left w:val="nil"/>
              <w:bottom w:val="nil"/>
              <w:right w:val="nil"/>
            </w:tcBorders>
          </w:tcPr>
          <w:p w14:paraId="5412AA41" w14:textId="77777777" w:rsidR="009D64B7" w:rsidRDefault="008B75B9">
            <w:pPr>
              <w:spacing w:after="0" w:line="259" w:lineRule="auto"/>
              <w:ind w:left="0" w:right="0" w:firstLine="0"/>
              <w:jc w:val="left"/>
            </w:pPr>
            <w:r>
              <w:t>1,35X</w:t>
            </w:r>
          </w:p>
        </w:tc>
        <w:tc>
          <w:tcPr>
            <w:tcW w:w="1507" w:type="dxa"/>
            <w:tcBorders>
              <w:top w:val="single" w:sz="2" w:space="0" w:color="000000"/>
              <w:left w:val="nil"/>
              <w:bottom w:val="nil"/>
              <w:right w:val="nil"/>
            </w:tcBorders>
          </w:tcPr>
          <w:p w14:paraId="6B1A5986" w14:textId="77777777" w:rsidR="009D64B7" w:rsidRDefault="009D64B7">
            <w:pPr>
              <w:spacing w:after="160" w:line="259" w:lineRule="auto"/>
              <w:ind w:left="0" w:right="0" w:firstLine="0"/>
              <w:jc w:val="left"/>
            </w:pPr>
          </w:p>
        </w:tc>
        <w:tc>
          <w:tcPr>
            <w:tcW w:w="2261" w:type="dxa"/>
            <w:tcBorders>
              <w:top w:val="single" w:sz="2" w:space="0" w:color="000000"/>
              <w:left w:val="nil"/>
              <w:bottom w:val="nil"/>
              <w:right w:val="nil"/>
            </w:tcBorders>
          </w:tcPr>
          <w:p w14:paraId="6CE968AE" w14:textId="77777777" w:rsidR="009D64B7" w:rsidRDefault="008B75B9">
            <w:pPr>
              <w:spacing w:after="0" w:line="259" w:lineRule="auto"/>
              <w:ind w:left="0" w:right="0" w:firstLine="0"/>
              <w:jc w:val="left"/>
            </w:pPr>
            <w:r>
              <w:t>/</w:t>
            </w:r>
          </w:p>
        </w:tc>
      </w:tr>
      <w:tr w:rsidR="009D64B7" w14:paraId="2CCB171F" w14:textId="77777777">
        <w:trPr>
          <w:trHeight w:val="239"/>
        </w:trPr>
        <w:tc>
          <w:tcPr>
            <w:tcW w:w="3242" w:type="dxa"/>
            <w:tcBorders>
              <w:top w:val="nil"/>
              <w:left w:val="nil"/>
              <w:bottom w:val="nil"/>
              <w:right w:val="nil"/>
            </w:tcBorders>
          </w:tcPr>
          <w:p w14:paraId="317ECB04" w14:textId="77777777" w:rsidR="009D64B7" w:rsidRDefault="008B75B9">
            <w:pPr>
              <w:spacing w:after="0" w:line="259" w:lineRule="auto"/>
              <w:ind w:left="120" w:right="0" w:firstLine="0"/>
              <w:jc w:val="left"/>
            </w:pPr>
            <w:proofErr w:type="spellStart"/>
            <w:r>
              <w:t>RNase</w:t>
            </w:r>
            <w:proofErr w:type="spellEnd"/>
            <w:r>
              <w:t xml:space="preserve"> Inhibitor, Murine</w:t>
            </w:r>
          </w:p>
        </w:tc>
        <w:tc>
          <w:tcPr>
            <w:tcW w:w="1480" w:type="dxa"/>
            <w:tcBorders>
              <w:top w:val="nil"/>
              <w:left w:val="nil"/>
              <w:bottom w:val="nil"/>
              <w:right w:val="nil"/>
            </w:tcBorders>
          </w:tcPr>
          <w:p w14:paraId="683F2387" w14:textId="77777777" w:rsidR="009D64B7" w:rsidRDefault="008B75B9">
            <w:pPr>
              <w:spacing w:after="0" w:line="259" w:lineRule="auto"/>
              <w:ind w:left="0" w:right="0" w:firstLine="0"/>
              <w:jc w:val="left"/>
            </w:pPr>
            <w:r>
              <w:t>1,37 U/µl</w:t>
            </w:r>
          </w:p>
        </w:tc>
        <w:tc>
          <w:tcPr>
            <w:tcW w:w="1507" w:type="dxa"/>
            <w:tcBorders>
              <w:top w:val="nil"/>
              <w:left w:val="nil"/>
              <w:bottom w:val="nil"/>
              <w:right w:val="nil"/>
            </w:tcBorders>
          </w:tcPr>
          <w:p w14:paraId="5942F265" w14:textId="77777777" w:rsidR="009D64B7" w:rsidRDefault="009D64B7">
            <w:pPr>
              <w:spacing w:after="160" w:line="259" w:lineRule="auto"/>
              <w:ind w:left="0" w:right="0" w:firstLine="0"/>
              <w:jc w:val="left"/>
            </w:pPr>
          </w:p>
        </w:tc>
        <w:tc>
          <w:tcPr>
            <w:tcW w:w="2261" w:type="dxa"/>
            <w:tcBorders>
              <w:top w:val="nil"/>
              <w:left w:val="nil"/>
              <w:bottom w:val="nil"/>
              <w:right w:val="nil"/>
            </w:tcBorders>
          </w:tcPr>
          <w:p w14:paraId="7859EC4C" w14:textId="77777777" w:rsidR="009D64B7" w:rsidRDefault="008B75B9">
            <w:pPr>
              <w:spacing w:after="0" w:line="259" w:lineRule="auto"/>
              <w:ind w:left="0" w:right="0" w:firstLine="0"/>
              <w:jc w:val="left"/>
            </w:pPr>
            <w:proofErr w:type="spellStart"/>
            <w:r>
              <w:t>Thermo</w:t>
            </w:r>
            <w:proofErr w:type="spellEnd"/>
            <w:r>
              <w:t xml:space="preserve"> Fisher Scientific</w:t>
            </w:r>
          </w:p>
        </w:tc>
      </w:tr>
      <w:tr w:rsidR="009D64B7" w14:paraId="286FAECA" w14:textId="77777777">
        <w:trPr>
          <w:trHeight w:val="239"/>
        </w:trPr>
        <w:tc>
          <w:tcPr>
            <w:tcW w:w="3242" w:type="dxa"/>
            <w:tcBorders>
              <w:top w:val="nil"/>
              <w:left w:val="nil"/>
              <w:bottom w:val="nil"/>
              <w:right w:val="nil"/>
            </w:tcBorders>
          </w:tcPr>
          <w:p w14:paraId="0642CF51" w14:textId="77777777" w:rsidR="009D64B7" w:rsidRDefault="008B75B9">
            <w:pPr>
              <w:spacing w:after="0" w:line="259" w:lineRule="auto"/>
              <w:ind w:left="120" w:right="0" w:firstLine="0"/>
              <w:jc w:val="left"/>
            </w:pPr>
            <w:proofErr w:type="spellStart"/>
            <w:r>
              <w:t>RevertAid</w:t>
            </w:r>
            <w:proofErr w:type="spellEnd"/>
            <w:r>
              <w:t xml:space="preserve"> Reverse Transkriptase</w:t>
            </w:r>
          </w:p>
        </w:tc>
        <w:tc>
          <w:tcPr>
            <w:tcW w:w="1480" w:type="dxa"/>
            <w:tcBorders>
              <w:top w:val="nil"/>
              <w:left w:val="nil"/>
              <w:bottom w:val="nil"/>
              <w:right w:val="nil"/>
            </w:tcBorders>
          </w:tcPr>
          <w:p w14:paraId="4C17FBBD" w14:textId="77777777" w:rsidR="009D64B7" w:rsidRDefault="008B75B9">
            <w:pPr>
              <w:spacing w:after="0" w:line="259" w:lineRule="auto"/>
              <w:ind w:left="0" w:right="0" w:firstLine="0"/>
              <w:jc w:val="left"/>
            </w:pPr>
            <w:r>
              <w:t>13,73 U/µl</w:t>
            </w:r>
          </w:p>
        </w:tc>
        <w:tc>
          <w:tcPr>
            <w:tcW w:w="1507" w:type="dxa"/>
            <w:tcBorders>
              <w:top w:val="nil"/>
              <w:left w:val="nil"/>
              <w:bottom w:val="nil"/>
              <w:right w:val="nil"/>
            </w:tcBorders>
          </w:tcPr>
          <w:p w14:paraId="4F216D08" w14:textId="77777777" w:rsidR="009D64B7" w:rsidRDefault="009D64B7">
            <w:pPr>
              <w:spacing w:after="160" w:line="259" w:lineRule="auto"/>
              <w:ind w:left="0" w:right="0" w:firstLine="0"/>
              <w:jc w:val="left"/>
            </w:pPr>
          </w:p>
        </w:tc>
        <w:tc>
          <w:tcPr>
            <w:tcW w:w="2261" w:type="dxa"/>
            <w:tcBorders>
              <w:top w:val="nil"/>
              <w:left w:val="nil"/>
              <w:bottom w:val="nil"/>
              <w:right w:val="nil"/>
            </w:tcBorders>
          </w:tcPr>
          <w:p w14:paraId="5060B0E9" w14:textId="77777777" w:rsidR="009D64B7" w:rsidRDefault="008B75B9">
            <w:pPr>
              <w:spacing w:after="0" w:line="259" w:lineRule="auto"/>
              <w:ind w:left="0" w:right="0" w:firstLine="0"/>
              <w:jc w:val="left"/>
            </w:pPr>
            <w:r>
              <w:t xml:space="preserve">New England </w:t>
            </w:r>
            <w:proofErr w:type="spellStart"/>
            <w:r>
              <w:t>Biolabs</w:t>
            </w:r>
            <w:proofErr w:type="spellEnd"/>
          </w:p>
        </w:tc>
      </w:tr>
      <w:tr w:rsidR="009D64B7" w14:paraId="7F3D3EFC" w14:textId="77777777">
        <w:trPr>
          <w:trHeight w:val="239"/>
        </w:trPr>
        <w:tc>
          <w:tcPr>
            <w:tcW w:w="3242" w:type="dxa"/>
            <w:tcBorders>
              <w:top w:val="nil"/>
              <w:left w:val="nil"/>
              <w:bottom w:val="nil"/>
              <w:right w:val="nil"/>
            </w:tcBorders>
          </w:tcPr>
          <w:p w14:paraId="5F91548C" w14:textId="77777777" w:rsidR="009D64B7" w:rsidRDefault="008B75B9">
            <w:pPr>
              <w:spacing w:after="0" w:line="259" w:lineRule="auto"/>
              <w:ind w:left="120" w:right="0" w:firstLine="0"/>
              <w:jc w:val="left"/>
            </w:pPr>
            <w:proofErr w:type="spellStart"/>
            <w:r>
              <w:t>Rehydrations</w:t>
            </w:r>
            <w:proofErr w:type="spellEnd"/>
            <w:r>
              <w:t xml:space="preserve"> Puffer</w:t>
            </w:r>
          </w:p>
        </w:tc>
        <w:tc>
          <w:tcPr>
            <w:tcW w:w="1480" w:type="dxa"/>
            <w:tcBorders>
              <w:top w:val="nil"/>
              <w:left w:val="nil"/>
              <w:bottom w:val="nil"/>
              <w:right w:val="nil"/>
            </w:tcBorders>
          </w:tcPr>
          <w:p w14:paraId="65655E8A" w14:textId="77777777" w:rsidR="009D64B7" w:rsidRDefault="009D64B7">
            <w:pPr>
              <w:spacing w:after="160" w:line="259" w:lineRule="auto"/>
              <w:ind w:left="0" w:right="0" w:firstLine="0"/>
              <w:jc w:val="left"/>
            </w:pPr>
          </w:p>
        </w:tc>
        <w:tc>
          <w:tcPr>
            <w:tcW w:w="1507" w:type="dxa"/>
            <w:tcBorders>
              <w:top w:val="nil"/>
              <w:left w:val="nil"/>
              <w:bottom w:val="nil"/>
              <w:right w:val="nil"/>
            </w:tcBorders>
          </w:tcPr>
          <w:p w14:paraId="7CE8D29C" w14:textId="77777777" w:rsidR="009D64B7" w:rsidRDefault="008B75B9">
            <w:pPr>
              <w:spacing w:after="0" w:line="259" w:lineRule="auto"/>
              <w:ind w:left="0" w:right="0" w:firstLine="0"/>
              <w:jc w:val="left"/>
            </w:pPr>
            <w:r>
              <w:t>29,5 µl</w:t>
            </w:r>
          </w:p>
        </w:tc>
        <w:tc>
          <w:tcPr>
            <w:tcW w:w="2261" w:type="dxa"/>
            <w:tcBorders>
              <w:top w:val="nil"/>
              <w:left w:val="nil"/>
              <w:bottom w:val="nil"/>
              <w:right w:val="nil"/>
            </w:tcBorders>
          </w:tcPr>
          <w:p w14:paraId="0AE49BE4" w14:textId="77777777" w:rsidR="009D64B7" w:rsidRDefault="008B75B9">
            <w:pPr>
              <w:spacing w:after="0" w:line="259" w:lineRule="auto"/>
              <w:ind w:left="0" w:right="0" w:firstLine="0"/>
              <w:jc w:val="left"/>
            </w:pPr>
            <w:proofErr w:type="spellStart"/>
            <w:r>
              <w:t>TwistDX</w:t>
            </w:r>
            <w:proofErr w:type="spellEnd"/>
          </w:p>
        </w:tc>
      </w:tr>
      <w:tr w:rsidR="009D64B7" w14:paraId="626CE66E" w14:textId="77777777">
        <w:trPr>
          <w:trHeight w:val="295"/>
        </w:trPr>
        <w:tc>
          <w:tcPr>
            <w:tcW w:w="3242" w:type="dxa"/>
            <w:tcBorders>
              <w:top w:val="nil"/>
              <w:left w:val="nil"/>
              <w:bottom w:val="single" w:sz="6" w:space="0" w:color="000000"/>
              <w:right w:val="nil"/>
            </w:tcBorders>
          </w:tcPr>
          <w:p w14:paraId="6BA63C7C" w14:textId="77777777" w:rsidR="009D64B7" w:rsidRDefault="008B75B9">
            <w:pPr>
              <w:spacing w:after="0" w:line="259" w:lineRule="auto"/>
              <w:ind w:left="120" w:right="0" w:firstLine="0"/>
              <w:jc w:val="left"/>
            </w:pPr>
            <w:r>
              <w:t>PCR reines Wasser</w:t>
            </w:r>
          </w:p>
        </w:tc>
        <w:tc>
          <w:tcPr>
            <w:tcW w:w="1480" w:type="dxa"/>
            <w:tcBorders>
              <w:top w:val="nil"/>
              <w:left w:val="nil"/>
              <w:bottom w:val="single" w:sz="6" w:space="0" w:color="000000"/>
              <w:right w:val="nil"/>
            </w:tcBorders>
          </w:tcPr>
          <w:p w14:paraId="636B5376" w14:textId="77777777" w:rsidR="009D64B7" w:rsidRDefault="009D64B7">
            <w:pPr>
              <w:spacing w:after="160" w:line="259" w:lineRule="auto"/>
              <w:ind w:left="0" w:right="0" w:firstLine="0"/>
              <w:jc w:val="left"/>
            </w:pPr>
          </w:p>
        </w:tc>
        <w:tc>
          <w:tcPr>
            <w:tcW w:w="1507" w:type="dxa"/>
            <w:tcBorders>
              <w:top w:val="nil"/>
              <w:left w:val="nil"/>
              <w:bottom w:val="single" w:sz="6" w:space="0" w:color="000000"/>
              <w:right w:val="nil"/>
            </w:tcBorders>
          </w:tcPr>
          <w:p w14:paraId="276DBDCB" w14:textId="77777777" w:rsidR="009D64B7" w:rsidRDefault="008B75B9">
            <w:pPr>
              <w:spacing w:after="0" w:line="259" w:lineRule="auto"/>
              <w:ind w:left="0" w:right="0" w:firstLine="0"/>
              <w:jc w:val="left"/>
            </w:pPr>
            <w:r>
              <w:t xml:space="preserve">x µl </w:t>
            </w:r>
            <w:r>
              <w:t xml:space="preserve">∑ </w:t>
            </w:r>
            <w:r>
              <w:t>40,8 µl</w:t>
            </w:r>
          </w:p>
        </w:tc>
        <w:tc>
          <w:tcPr>
            <w:tcW w:w="2261" w:type="dxa"/>
            <w:tcBorders>
              <w:top w:val="nil"/>
              <w:left w:val="nil"/>
              <w:bottom w:val="single" w:sz="6" w:space="0" w:color="000000"/>
              <w:right w:val="nil"/>
            </w:tcBorders>
          </w:tcPr>
          <w:p w14:paraId="3816EC1D" w14:textId="77777777" w:rsidR="009D64B7" w:rsidRDefault="008B75B9">
            <w:pPr>
              <w:spacing w:after="0" w:line="259" w:lineRule="auto"/>
              <w:ind w:left="0" w:right="0" w:firstLine="0"/>
              <w:jc w:val="left"/>
            </w:pPr>
            <w:proofErr w:type="spellStart"/>
            <w:r>
              <w:t>Thermo</w:t>
            </w:r>
            <w:proofErr w:type="spellEnd"/>
            <w:r>
              <w:t xml:space="preserve"> Fisher Scientific</w:t>
            </w:r>
          </w:p>
        </w:tc>
      </w:tr>
    </w:tbl>
    <w:p w14:paraId="517B81BD" w14:textId="77777777" w:rsidR="002604BD" w:rsidRDefault="002604BD">
      <w:pPr>
        <w:spacing w:after="0" w:line="259" w:lineRule="auto"/>
        <w:ind w:left="31" w:right="0" w:hanging="10"/>
        <w:jc w:val="center"/>
      </w:pPr>
    </w:p>
    <w:p w14:paraId="06D0F842" w14:textId="55B3100C" w:rsidR="009D64B7" w:rsidRDefault="008B75B9">
      <w:pPr>
        <w:spacing w:after="0" w:line="259" w:lineRule="auto"/>
        <w:ind w:left="31" w:right="0" w:hanging="10"/>
        <w:jc w:val="center"/>
      </w:pPr>
      <w:r>
        <w:t>Tabelle 9: Zusammensetzung des Primer-Sonden-Mixes für den 8-tel Ansatz</w:t>
      </w:r>
    </w:p>
    <w:tbl>
      <w:tblPr>
        <w:tblStyle w:val="TableGrid"/>
        <w:tblW w:w="4285" w:type="dxa"/>
        <w:tblInd w:w="2598" w:type="dxa"/>
        <w:tblCellMar>
          <w:top w:w="20" w:type="dxa"/>
          <w:left w:w="0" w:type="dxa"/>
          <w:bottom w:w="0" w:type="dxa"/>
          <w:right w:w="115" w:type="dxa"/>
        </w:tblCellMar>
        <w:tblLook w:val="04A0" w:firstRow="1" w:lastRow="0" w:firstColumn="1" w:lastColumn="0" w:noHBand="0" w:noVBand="1"/>
      </w:tblPr>
      <w:tblGrid>
        <w:gridCol w:w="1847"/>
        <w:gridCol w:w="1480"/>
        <w:gridCol w:w="958"/>
      </w:tblGrid>
      <w:tr w:rsidR="009D64B7" w14:paraId="662B6FDF" w14:textId="77777777">
        <w:trPr>
          <w:trHeight w:val="340"/>
        </w:trPr>
        <w:tc>
          <w:tcPr>
            <w:tcW w:w="1847" w:type="dxa"/>
            <w:tcBorders>
              <w:top w:val="single" w:sz="6" w:space="0" w:color="000000"/>
              <w:left w:val="nil"/>
              <w:bottom w:val="single" w:sz="2" w:space="0" w:color="000000"/>
              <w:right w:val="nil"/>
            </w:tcBorders>
          </w:tcPr>
          <w:p w14:paraId="19D0BDD7" w14:textId="77777777" w:rsidR="009D64B7" w:rsidRDefault="008B75B9">
            <w:pPr>
              <w:spacing w:after="0" w:line="259" w:lineRule="auto"/>
              <w:ind w:left="372" w:right="0" w:firstLine="0"/>
              <w:jc w:val="left"/>
            </w:pPr>
            <w:r>
              <w:t>Bestandteil</w:t>
            </w:r>
          </w:p>
        </w:tc>
        <w:tc>
          <w:tcPr>
            <w:tcW w:w="1480" w:type="dxa"/>
            <w:tcBorders>
              <w:top w:val="single" w:sz="6" w:space="0" w:color="000000"/>
              <w:left w:val="nil"/>
              <w:bottom w:val="single" w:sz="2" w:space="0" w:color="000000"/>
              <w:right w:val="nil"/>
            </w:tcBorders>
          </w:tcPr>
          <w:p w14:paraId="780FADFB" w14:textId="77777777" w:rsidR="009D64B7" w:rsidRDefault="008B75B9">
            <w:pPr>
              <w:spacing w:after="0" w:line="259" w:lineRule="auto"/>
              <w:ind w:left="0" w:right="0" w:firstLine="0"/>
              <w:jc w:val="left"/>
            </w:pPr>
            <w:r>
              <w:t>Konzentration</w:t>
            </w:r>
          </w:p>
        </w:tc>
        <w:tc>
          <w:tcPr>
            <w:tcW w:w="958" w:type="dxa"/>
            <w:tcBorders>
              <w:top w:val="single" w:sz="6" w:space="0" w:color="000000"/>
              <w:left w:val="nil"/>
              <w:bottom w:val="single" w:sz="2" w:space="0" w:color="000000"/>
              <w:right w:val="nil"/>
            </w:tcBorders>
          </w:tcPr>
          <w:p w14:paraId="0C925DF6" w14:textId="77777777" w:rsidR="009D64B7" w:rsidRDefault="008B75B9">
            <w:pPr>
              <w:spacing w:after="0" w:line="259" w:lineRule="auto"/>
              <w:ind w:left="0" w:right="0" w:firstLine="0"/>
              <w:jc w:val="left"/>
            </w:pPr>
            <w:r>
              <w:t>Hersteller</w:t>
            </w:r>
          </w:p>
        </w:tc>
      </w:tr>
      <w:tr w:rsidR="009D64B7" w14:paraId="7E95E6AC" w14:textId="77777777">
        <w:trPr>
          <w:trHeight w:val="285"/>
        </w:trPr>
        <w:tc>
          <w:tcPr>
            <w:tcW w:w="1847" w:type="dxa"/>
            <w:tcBorders>
              <w:top w:val="single" w:sz="2" w:space="0" w:color="000000"/>
              <w:left w:val="nil"/>
              <w:bottom w:val="nil"/>
              <w:right w:val="nil"/>
            </w:tcBorders>
          </w:tcPr>
          <w:p w14:paraId="2B6F9F1F" w14:textId="77777777" w:rsidR="009D64B7" w:rsidRDefault="008B75B9">
            <w:pPr>
              <w:spacing w:after="0" w:line="259" w:lineRule="auto"/>
              <w:ind w:left="120" w:right="0" w:firstLine="0"/>
              <w:jc w:val="left"/>
            </w:pPr>
            <w:r>
              <w:t>Vorwärtsprimer</w:t>
            </w:r>
          </w:p>
        </w:tc>
        <w:tc>
          <w:tcPr>
            <w:tcW w:w="1480" w:type="dxa"/>
            <w:tcBorders>
              <w:top w:val="single" w:sz="2" w:space="0" w:color="000000"/>
              <w:left w:val="nil"/>
              <w:bottom w:val="nil"/>
              <w:right w:val="nil"/>
            </w:tcBorders>
          </w:tcPr>
          <w:p w14:paraId="74382B52" w14:textId="77777777" w:rsidR="009D64B7" w:rsidRDefault="008B75B9">
            <w:pPr>
              <w:spacing w:after="0" w:line="259" w:lineRule="auto"/>
              <w:ind w:left="0" w:right="0" w:firstLine="0"/>
              <w:jc w:val="left"/>
            </w:pPr>
            <w:r>
              <w:t>21 µM</w:t>
            </w:r>
          </w:p>
        </w:tc>
        <w:tc>
          <w:tcPr>
            <w:tcW w:w="958" w:type="dxa"/>
            <w:tcBorders>
              <w:top w:val="single" w:sz="2" w:space="0" w:color="000000"/>
              <w:left w:val="nil"/>
              <w:bottom w:val="nil"/>
              <w:right w:val="nil"/>
            </w:tcBorders>
          </w:tcPr>
          <w:p w14:paraId="29E2D86F" w14:textId="77777777" w:rsidR="009D64B7" w:rsidRDefault="008B75B9">
            <w:pPr>
              <w:spacing w:after="0" w:line="259" w:lineRule="auto"/>
              <w:ind w:left="0" w:right="0" w:firstLine="0"/>
              <w:jc w:val="left"/>
            </w:pPr>
            <w:proofErr w:type="spellStart"/>
            <w:r>
              <w:t>Biomers</w:t>
            </w:r>
            <w:proofErr w:type="spellEnd"/>
          </w:p>
        </w:tc>
      </w:tr>
      <w:tr w:rsidR="009D64B7" w14:paraId="0BB2F05A" w14:textId="77777777">
        <w:trPr>
          <w:trHeight w:val="239"/>
        </w:trPr>
        <w:tc>
          <w:tcPr>
            <w:tcW w:w="1847" w:type="dxa"/>
            <w:tcBorders>
              <w:top w:val="nil"/>
              <w:left w:val="nil"/>
              <w:bottom w:val="nil"/>
              <w:right w:val="nil"/>
            </w:tcBorders>
          </w:tcPr>
          <w:p w14:paraId="57BF5835" w14:textId="77777777" w:rsidR="009D64B7" w:rsidRDefault="008B75B9">
            <w:pPr>
              <w:spacing w:after="0" w:line="259" w:lineRule="auto"/>
              <w:ind w:left="120" w:right="0" w:firstLine="0"/>
              <w:jc w:val="left"/>
            </w:pPr>
            <w:r>
              <w:t>Rückwärtsprimer</w:t>
            </w:r>
          </w:p>
        </w:tc>
        <w:tc>
          <w:tcPr>
            <w:tcW w:w="1480" w:type="dxa"/>
            <w:tcBorders>
              <w:top w:val="nil"/>
              <w:left w:val="nil"/>
              <w:bottom w:val="nil"/>
              <w:right w:val="nil"/>
            </w:tcBorders>
          </w:tcPr>
          <w:p w14:paraId="62A7CFAE" w14:textId="77777777" w:rsidR="009D64B7" w:rsidRDefault="008B75B9">
            <w:pPr>
              <w:spacing w:after="0" w:line="259" w:lineRule="auto"/>
              <w:ind w:left="0" w:right="0" w:firstLine="0"/>
              <w:jc w:val="left"/>
            </w:pPr>
            <w:r>
              <w:t>21 µM</w:t>
            </w:r>
          </w:p>
        </w:tc>
        <w:tc>
          <w:tcPr>
            <w:tcW w:w="958" w:type="dxa"/>
            <w:tcBorders>
              <w:top w:val="nil"/>
              <w:left w:val="nil"/>
              <w:bottom w:val="nil"/>
              <w:right w:val="nil"/>
            </w:tcBorders>
          </w:tcPr>
          <w:p w14:paraId="5AD72BAA" w14:textId="77777777" w:rsidR="009D64B7" w:rsidRDefault="008B75B9">
            <w:pPr>
              <w:spacing w:after="0" w:line="259" w:lineRule="auto"/>
              <w:ind w:left="0" w:right="0" w:firstLine="0"/>
              <w:jc w:val="left"/>
            </w:pPr>
            <w:proofErr w:type="spellStart"/>
            <w:r>
              <w:t>Biomers</w:t>
            </w:r>
            <w:proofErr w:type="spellEnd"/>
          </w:p>
        </w:tc>
      </w:tr>
      <w:tr w:rsidR="009D64B7" w14:paraId="5DCEAF89" w14:textId="77777777">
        <w:trPr>
          <w:trHeight w:val="295"/>
        </w:trPr>
        <w:tc>
          <w:tcPr>
            <w:tcW w:w="1847" w:type="dxa"/>
            <w:tcBorders>
              <w:top w:val="nil"/>
              <w:left w:val="nil"/>
              <w:bottom w:val="single" w:sz="6" w:space="0" w:color="000000"/>
              <w:right w:val="nil"/>
            </w:tcBorders>
          </w:tcPr>
          <w:p w14:paraId="6ABB6D22" w14:textId="77777777" w:rsidR="009D64B7" w:rsidRDefault="008B75B9">
            <w:pPr>
              <w:spacing w:after="0" w:line="259" w:lineRule="auto"/>
              <w:ind w:left="120" w:right="0" w:firstLine="0"/>
              <w:jc w:val="left"/>
            </w:pPr>
            <w:r>
              <w:t>Sonde</w:t>
            </w:r>
          </w:p>
        </w:tc>
        <w:tc>
          <w:tcPr>
            <w:tcW w:w="1480" w:type="dxa"/>
            <w:tcBorders>
              <w:top w:val="nil"/>
              <w:left w:val="nil"/>
              <w:bottom w:val="single" w:sz="6" w:space="0" w:color="000000"/>
              <w:right w:val="nil"/>
            </w:tcBorders>
          </w:tcPr>
          <w:p w14:paraId="33569349" w14:textId="77777777" w:rsidR="009D64B7" w:rsidRDefault="008B75B9">
            <w:pPr>
              <w:spacing w:after="0" w:line="259" w:lineRule="auto"/>
              <w:ind w:left="0" w:right="0" w:firstLine="0"/>
              <w:jc w:val="left"/>
            </w:pPr>
            <w:r>
              <w:t>6 µM</w:t>
            </w:r>
          </w:p>
        </w:tc>
        <w:tc>
          <w:tcPr>
            <w:tcW w:w="958" w:type="dxa"/>
            <w:tcBorders>
              <w:top w:val="nil"/>
              <w:left w:val="nil"/>
              <w:bottom w:val="single" w:sz="6" w:space="0" w:color="000000"/>
              <w:right w:val="nil"/>
            </w:tcBorders>
          </w:tcPr>
          <w:p w14:paraId="1B5D1A82" w14:textId="77777777" w:rsidR="009D64B7" w:rsidRDefault="008B75B9">
            <w:pPr>
              <w:spacing w:after="0" w:line="259" w:lineRule="auto"/>
              <w:ind w:left="0" w:right="0" w:firstLine="0"/>
              <w:jc w:val="left"/>
            </w:pPr>
            <w:proofErr w:type="spellStart"/>
            <w:r>
              <w:t>Biomers</w:t>
            </w:r>
            <w:proofErr w:type="spellEnd"/>
          </w:p>
        </w:tc>
      </w:tr>
    </w:tbl>
    <w:p w14:paraId="4EA9D58D" w14:textId="77777777" w:rsidR="002604BD" w:rsidRDefault="002604BD">
      <w:pPr>
        <w:pStyle w:val="berschrift3"/>
        <w:tabs>
          <w:tab w:val="center" w:pos="2391"/>
        </w:tabs>
        <w:ind w:left="0" w:firstLine="0"/>
      </w:pPr>
      <w:bookmarkStart w:id="20" w:name="_Toc28910"/>
    </w:p>
    <w:p w14:paraId="5D311174" w14:textId="774FE24F" w:rsidR="009D64B7" w:rsidRDefault="008B75B9">
      <w:pPr>
        <w:pStyle w:val="berschrift3"/>
        <w:tabs>
          <w:tab w:val="center" w:pos="2391"/>
        </w:tabs>
        <w:ind w:left="0" w:firstLine="0"/>
      </w:pPr>
      <w:r>
        <w:t>1.4.4</w:t>
      </w:r>
      <w:r>
        <w:tab/>
      </w:r>
      <w:proofErr w:type="spellStart"/>
      <w:r>
        <w:t>Primerscreening</w:t>
      </w:r>
      <w:proofErr w:type="spellEnd"/>
      <w:r>
        <w:t xml:space="preserve"> für die RT-RPA</w:t>
      </w:r>
      <w:bookmarkEnd w:id="20"/>
    </w:p>
    <w:p w14:paraId="3E77848E" w14:textId="77777777" w:rsidR="009D64B7" w:rsidRDefault="008B75B9">
      <w:pPr>
        <w:spacing w:after="61" w:line="259" w:lineRule="auto"/>
        <w:ind w:left="47" w:right="14"/>
      </w:pPr>
      <w:r>
        <w:t xml:space="preserve">Für die Entwicklung der RT-RPA wurden die in Kapitel </w:t>
      </w:r>
      <w:r>
        <w:rPr>
          <w:color w:val="4169E1"/>
        </w:rPr>
        <w:t xml:space="preserve">1.1.1 </w:t>
      </w:r>
      <w:r>
        <w:t>designten Primer/Sonden Sets auf eine positive</w:t>
      </w:r>
    </w:p>
    <w:p w14:paraId="0A250744" w14:textId="77777777" w:rsidR="009D64B7" w:rsidRDefault="008B75B9">
      <w:pPr>
        <w:spacing w:after="48" w:line="259" w:lineRule="auto"/>
        <w:ind w:left="47" w:right="14"/>
      </w:pPr>
      <w:r>
        <w:t xml:space="preserve">Amplifikation getestet. Dabei wurden die für </w:t>
      </w:r>
      <w:proofErr w:type="spellStart"/>
      <w:r>
        <w:t>desingten</w:t>
      </w:r>
      <w:proofErr w:type="spellEnd"/>
      <w:r>
        <w:t xml:space="preserve"> Primer im 50 µl Ansatz (siehe Kapitel </w:t>
      </w:r>
      <w:r>
        <w:rPr>
          <w:color w:val="4169E1"/>
        </w:rPr>
        <w:t>1.4.2</w:t>
      </w:r>
      <w:r>
        <w:t>) bei 40</w:t>
      </w:r>
    </w:p>
    <w:p w14:paraId="499480B6" w14:textId="77777777" w:rsidR="009D64B7" w:rsidRDefault="008B75B9">
      <w:pPr>
        <w:spacing w:after="305"/>
        <w:ind w:left="47" w:right="14"/>
      </w:pPr>
      <w:r>
        <w:t>°C getestet. Als Template-RNA wurden bei Influenza B 10</w:t>
      </w:r>
      <w:r>
        <w:rPr>
          <w:vertAlign w:val="superscript"/>
        </w:rPr>
        <w:t xml:space="preserve">6 </w:t>
      </w:r>
      <w:r>
        <w:t>Kopien/µl des RNA-Standards eingesetzt. Bei Influenza A wurden 10</w:t>
      </w:r>
      <w:r>
        <w:rPr>
          <w:vertAlign w:val="superscript"/>
        </w:rPr>
        <w:t xml:space="preserve">7 </w:t>
      </w:r>
      <w:r>
        <w:t>Kopien/µl (H1N1 Subtyp) des RNA-Standards verwendet.</w:t>
      </w:r>
    </w:p>
    <w:p w14:paraId="611AAB1E" w14:textId="77777777" w:rsidR="009D64B7" w:rsidRDefault="008B75B9">
      <w:pPr>
        <w:pStyle w:val="berschrift3"/>
        <w:tabs>
          <w:tab w:val="right" w:pos="9459"/>
        </w:tabs>
        <w:ind w:left="0" w:firstLine="0"/>
      </w:pPr>
      <w:bookmarkStart w:id="21" w:name="_Toc28911"/>
      <w:r>
        <w:t>1.4.5</w:t>
      </w:r>
      <w:r>
        <w:tab/>
        <w:t xml:space="preserve">Optimierung der Reaktionstemperatur für die </w:t>
      </w:r>
      <w:proofErr w:type="spellStart"/>
      <w:r>
        <w:t>Rekombinase</w:t>
      </w:r>
      <w:proofErr w:type="spellEnd"/>
      <w:r>
        <w:t xml:space="preserve"> Polymerase Amplif</w:t>
      </w:r>
      <w:r>
        <w:t>ikation</w:t>
      </w:r>
      <w:bookmarkEnd w:id="21"/>
    </w:p>
    <w:p w14:paraId="57239868" w14:textId="77777777" w:rsidR="009D64B7" w:rsidRDefault="008B75B9">
      <w:pPr>
        <w:spacing w:after="307"/>
        <w:ind w:left="47" w:right="14"/>
      </w:pPr>
      <w:r>
        <w:t xml:space="preserve">Die Optimierung der Temperatur erfolgte im Temperaturintervall zwischen 38 - 42 °C. Dabei wurde das Intervall auf 3 Messungen (38 °C, 40 °C, 42 °C) aufgeteilt. Für Influenza B erfolgte die Temperaturoptimierung im 8-tel Ansatz (siehe Kapitel </w:t>
      </w:r>
      <w:r>
        <w:rPr>
          <w:color w:val="4169E1"/>
        </w:rPr>
        <w:t>1.4.3</w:t>
      </w:r>
      <w:r>
        <w:t>)</w:t>
      </w:r>
      <w:r>
        <w:t>, mit einer eingesetzten RNA-Konzentration von 10</w:t>
      </w:r>
      <w:r>
        <w:rPr>
          <w:vertAlign w:val="superscript"/>
        </w:rPr>
        <w:t xml:space="preserve">6 </w:t>
      </w:r>
      <w:r>
        <w:t xml:space="preserve">Kopien/µl. Das Temperaturoptimum bei Influenza A wurde im 50 µl Ansatz (siehe Kapitel </w:t>
      </w:r>
      <w:r>
        <w:rPr>
          <w:color w:val="4169E1"/>
        </w:rPr>
        <w:t>1.4.2</w:t>
      </w:r>
      <w:r>
        <w:t>) bei einer RNA-Konzentration von 10</w:t>
      </w:r>
      <w:r>
        <w:rPr>
          <w:vertAlign w:val="superscript"/>
        </w:rPr>
        <w:t xml:space="preserve">7 </w:t>
      </w:r>
      <w:r>
        <w:t>Kopien/µl (H1N1 Subtyp) und einer 1,5-fach erhöhten Reverse Primer-Konzentra</w:t>
      </w:r>
      <w:r>
        <w:t>tion bestimmt.</w:t>
      </w:r>
    </w:p>
    <w:p w14:paraId="0B9AA6F3" w14:textId="77777777" w:rsidR="009D64B7" w:rsidRDefault="008B75B9">
      <w:pPr>
        <w:pStyle w:val="berschrift3"/>
        <w:tabs>
          <w:tab w:val="center" w:pos="4709"/>
        </w:tabs>
        <w:ind w:left="0" w:firstLine="0"/>
      </w:pPr>
      <w:bookmarkStart w:id="22" w:name="_Toc28912"/>
      <w:r>
        <w:t>1.4.6</w:t>
      </w:r>
      <w:r>
        <w:tab/>
        <w:t xml:space="preserve">Optimierung des Mischzeitpunktes der </w:t>
      </w:r>
      <w:proofErr w:type="spellStart"/>
      <w:r>
        <w:t>Rekombinase</w:t>
      </w:r>
      <w:proofErr w:type="spellEnd"/>
      <w:r>
        <w:t xml:space="preserve"> Polymerase Amplifikation</w:t>
      </w:r>
      <w:bookmarkEnd w:id="22"/>
    </w:p>
    <w:p w14:paraId="47037199" w14:textId="151702E6" w:rsidR="009D64B7" w:rsidRDefault="008B75B9">
      <w:pPr>
        <w:ind w:left="47" w:right="14"/>
      </w:pPr>
      <w:r>
        <w:t xml:space="preserve">Die Einführung und Optimierung eines zusätzlichen Mischzeitpunktes während der Reaktion erfolgte bei </w:t>
      </w:r>
      <w:r w:rsidR="002604BD">
        <w:t>Influenza</w:t>
      </w:r>
      <w:r>
        <w:t xml:space="preserve"> B im 8-tel Ansatz (siehe Kapitel </w:t>
      </w:r>
      <w:r>
        <w:rPr>
          <w:color w:val="4169E1"/>
        </w:rPr>
        <w:t>1.4.3</w:t>
      </w:r>
      <w:r>
        <w:t>) bei 40 °C</w:t>
      </w:r>
      <w:r>
        <w:t>. Als Mischzeitpunkte wurde 5 min, 4 min und 3 min nach Messbeginn bei einer RNA-Konzentration von 10</w:t>
      </w:r>
      <w:r>
        <w:rPr>
          <w:vertAlign w:val="superscript"/>
        </w:rPr>
        <w:t xml:space="preserve">3 </w:t>
      </w:r>
      <w:r>
        <w:t>Kopien/µl gewählt. Zusätzlich wurde der Mischzeitpunkt von 5 Minuten bei RNA-Konzentrationen von 10</w:t>
      </w:r>
      <w:r>
        <w:rPr>
          <w:vertAlign w:val="superscript"/>
        </w:rPr>
        <w:t xml:space="preserve">2 </w:t>
      </w:r>
      <w:r>
        <w:t>und 10</w:t>
      </w:r>
      <w:r>
        <w:rPr>
          <w:vertAlign w:val="superscript"/>
        </w:rPr>
        <w:t xml:space="preserve">1 </w:t>
      </w:r>
      <w:r>
        <w:t>und einer 1.5X erhöhten Reverse Primer unter</w:t>
      </w:r>
      <w:r>
        <w:t>sucht. Als Referenz wurde bei jeder Messung eine Reaktion ohne zusätzliches Mischen mitgeführt.</w:t>
      </w:r>
    </w:p>
    <w:p w14:paraId="6A29D2B2" w14:textId="77777777" w:rsidR="009D64B7" w:rsidRDefault="008B75B9">
      <w:pPr>
        <w:spacing w:after="61" w:line="259" w:lineRule="auto"/>
        <w:ind w:left="47" w:right="14"/>
      </w:pPr>
      <w:r>
        <w:t xml:space="preserve">Für Influenza A erfolgte die Optimierung des Mischzeitpunktes im 50 µl Ansatz (siehe Kapitel </w:t>
      </w:r>
      <w:r>
        <w:rPr>
          <w:color w:val="4169E1"/>
        </w:rPr>
        <w:t>1.4.2</w:t>
      </w:r>
      <w:r>
        <w:t>) bei</w:t>
      </w:r>
    </w:p>
    <w:p w14:paraId="6184E7E1" w14:textId="77777777" w:rsidR="009D64B7" w:rsidRDefault="008B75B9">
      <w:pPr>
        <w:spacing w:after="268"/>
        <w:ind w:left="47" w:right="14"/>
      </w:pPr>
      <w:r>
        <w:lastRenderedPageBreak/>
        <w:t>42 °C und einer 1,5X erhöhten reverse Primer-Konzentrati</w:t>
      </w:r>
      <w:r>
        <w:t>on. Es wurden die Mischzeitpunkte 7 min, 5 min, 3min, 2 min, und 1,5 min nach Messbeginn bei einer RNA-Konzentration von 10</w:t>
      </w:r>
      <w:r>
        <w:rPr>
          <w:vertAlign w:val="superscript"/>
        </w:rPr>
        <w:t xml:space="preserve">3 </w:t>
      </w:r>
      <w:r>
        <w:t>Kopien/µl (H1N1 Subtyp) untersucht. Als Referenz wurde bei jeder Messung eine Reaktion ohne zusätzliches Mischen mitgeführt</w:t>
      </w:r>
    </w:p>
    <w:p w14:paraId="42C08E30" w14:textId="77777777" w:rsidR="009D64B7" w:rsidRDefault="008B75B9">
      <w:pPr>
        <w:pStyle w:val="berschrift3"/>
        <w:tabs>
          <w:tab w:val="center" w:pos="4724"/>
        </w:tabs>
        <w:ind w:left="0" w:firstLine="0"/>
      </w:pPr>
      <w:bookmarkStart w:id="23" w:name="_Toc28913"/>
      <w:r>
        <w:t>1.4.7</w:t>
      </w:r>
      <w:r>
        <w:tab/>
        <w:t>O</w:t>
      </w:r>
      <w:r>
        <w:t xml:space="preserve">ptimierung der </w:t>
      </w:r>
      <w:proofErr w:type="spellStart"/>
      <w:r>
        <w:t>Primerassymetrie</w:t>
      </w:r>
      <w:proofErr w:type="spellEnd"/>
      <w:r>
        <w:t xml:space="preserve"> der </w:t>
      </w:r>
      <w:proofErr w:type="spellStart"/>
      <w:r>
        <w:t>Rekombinase</w:t>
      </w:r>
      <w:proofErr w:type="spellEnd"/>
      <w:r>
        <w:t xml:space="preserve"> Polymerase Amplifikation</w:t>
      </w:r>
      <w:bookmarkEnd w:id="23"/>
    </w:p>
    <w:p w14:paraId="701B8D0B" w14:textId="28515DB1" w:rsidR="009D64B7" w:rsidRDefault="008B75B9">
      <w:pPr>
        <w:ind w:left="47" w:right="14"/>
      </w:pPr>
      <w:r>
        <w:t xml:space="preserve">Für die Optimierung der </w:t>
      </w:r>
      <w:proofErr w:type="spellStart"/>
      <w:r>
        <w:t>Primerasymmetrie</w:t>
      </w:r>
      <w:proofErr w:type="spellEnd"/>
      <w:r>
        <w:t xml:space="preserve"> wurden sowohl für </w:t>
      </w:r>
      <w:r w:rsidR="002604BD">
        <w:t>Influenza</w:t>
      </w:r>
      <w:r>
        <w:t xml:space="preserve"> B als auch Influenza A die verschiedenen Reverse Primer-Konzentrationen 1-Fach, 1,5-Fach und 2-Fach untersucht. Die</w:t>
      </w:r>
      <w:r>
        <w:t xml:space="preserve"> Messung für </w:t>
      </w:r>
      <w:r w:rsidR="002604BD">
        <w:t>Influenza</w:t>
      </w:r>
      <w:r>
        <w:t xml:space="preserve"> A erfolgte im 50 µl Ansatz (siehe Kapitel </w:t>
      </w:r>
      <w:r>
        <w:rPr>
          <w:color w:val="4169E1"/>
        </w:rPr>
        <w:t>1.4.2</w:t>
      </w:r>
      <w:r>
        <w:t>) bei 42 °C mit einer RNA-Konzentration von 10</w:t>
      </w:r>
      <w:r>
        <w:rPr>
          <w:vertAlign w:val="superscript"/>
        </w:rPr>
        <w:t xml:space="preserve">7 </w:t>
      </w:r>
      <w:r>
        <w:t xml:space="preserve">Kopien/µl (H1N1 Subtyp). Es wurde für die jeweiligen Messungen die </w:t>
      </w:r>
      <w:proofErr w:type="spellStart"/>
      <w:r>
        <w:t>Reverseprimer</w:t>
      </w:r>
      <w:proofErr w:type="spellEnd"/>
      <w:r>
        <w:t>-Konzentration im hergestellten Reaktionsmix von 0,45 µM au</w:t>
      </w:r>
      <w:r>
        <w:t>f 0,675 µM und 0,9 µM erhöht. Alle anderen Konzentrationen blieben unverändert.</w:t>
      </w:r>
    </w:p>
    <w:p w14:paraId="6BFED561" w14:textId="64251326" w:rsidR="009D64B7" w:rsidRDefault="008B75B9">
      <w:pPr>
        <w:spacing w:after="269"/>
        <w:ind w:left="47" w:right="14"/>
      </w:pPr>
      <w:r>
        <w:t xml:space="preserve">Bei Influenza B erfolgte die Messung im 8tel-Ansatz (siehe Kapitel </w:t>
      </w:r>
      <w:r>
        <w:rPr>
          <w:color w:val="4169E1"/>
        </w:rPr>
        <w:t>1.4.3</w:t>
      </w:r>
      <w:r>
        <w:t>) bei 40 °C und einer RNA-</w:t>
      </w:r>
      <w:r>
        <w:t>Konzentration von 10</w:t>
      </w:r>
      <w:r>
        <w:rPr>
          <w:vertAlign w:val="superscript"/>
        </w:rPr>
        <w:t xml:space="preserve">6 </w:t>
      </w:r>
      <w:r>
        <w:t xml:space="preserve">Kopien/µl. Hierbei wurden die </w:t>
      </w:r>
      <w:proofErr w:type="spellStart"/>
      <w:r>
        <w:t>Reverseprimer</w:t>
      </w:r>
      <w:proofErr w:type="spellEnd"/>
      <w:r>
        <w:t>-Konzentration</w:t>
      </w:r>
      <w:r>
        <w:t>en im Primer-Sonden-</w:t>
      </w:r>
      <w:r>
        <w:t>Mix von 21 µM auf 31,5 µM und 42 µM angepasst.</w:t>
      </w:r>
    </w:p>
    <w:p w14:paraId="2A4CEA24" w14:textId="5E8D16C7" w:rsidR="009D64B7" w:rsidRDefault="008B75B9">
      <w:pPr>
        <w:pStyle w:val="berschrift3"/>
        <w:tabs>
          <w:tab w:val="center" w:pos="4652"/>
        </w:tabs>
        <w:ind w:left="0" w:firstLine="0"/>
      </w:pPr>
      <w:bookmarkStart w:id="24" w:name="_Toc28914"/>
      <w:r>
        <w:t>1.4.8</w:t>
      </w:r>
      <w:r>
        <w:tab/>
        <w:t xml:space="preserve">Einfluss der </w:t>
      </w:r>
      <w:proofErr w:type="spellStart"/>
      <w:r>
        <w:t>Primeras</w:t>
      </w:r>
      <w:r>
        <w:t>ymm</w:t>
      </w:r>
      <w:r>
        <w:t>etrie</w:t>
      </w:r>
      <w:proofErr w:type="spellEnd"/>
      <w:r>
        <w:t xml:space="preserve"> auf die </w:t>
      </w:r>
      <w:proofErr w:type="spellStart"/>
      <w:r>
        <w:t>Rekombinase</w:t>
      </w:r>
      <w:proofErr w:type="spellEnd"/>
      <w:r>
        <w:t xml:space="preserve"> Polymerase Amplifikation</w:t>
      </w:r>
      <w:bookmarkEnd w:id="24"/>
    </w:p>
    <w:p w14:paraId="63BF4350" w14:textId="18FD39CE" w:rsidR="009D64B7" w:rsidRDefault="008B75B9">
      <w:pPr>
        <w:spacing w:after="100"/>
        <w:ind w:left="47" w:right="14"/>
      </w:pPr>
      <w:r>
        <w:t xml:space="preserve">Die </w:t>
      </w:r>
      <w:proofErr w:type="spellStart"/>
      <w:r>
        <w:t>Primerasymmetrie</w:t>
      </w:r>
      <w:proofErr w:type="spellEnd"/>
      <w:r>
        <w:t>, sprich</w:t>
      </w:r>
      <w:r>
        <w:t xml:space="preserve"> die ungleiche Verteilung der benötigten Primer ist für die PCR bereits in der Li</w:t>
      </w:r>
      <w:r>
        <w:t>teratur bekannt. Die ungleichmäßige Verteilung der Primer führt in der PCR dazu, dass spezifisch der sense- oder antisense-Strang öfter amplifiziert</w:t>
      </w:r>
      <w:r>
        <w:t xml:space="preserve"> wird und somit einzelsträngige DNA entsteht (</w:t>
      </w:r>
      <w:r>
        <w:rPr>
          <w:color w:val="4169E1"/>
        </w:rPr>
        <w:t>Chen, Ruff, and Halsey 2010</w:t>
      </w:r>
      <w:r>
        <w:t>). Dieses Phänomen kann dazu verwen</w:t>
      </w:r>
      <w:r>
        <w:t>det werden um spezifisch Punktmutationen zu detektieren (</w:t>
      </w:r>
      <w:r>
        <w:rPr>
          <w:color w:val="4169E1"/>
        </w:rPr>
        <w:t xml:space="preserve">Lázaro, </w:t>
      </w:r>
      <w:proofErr w:type="spellStart"/>
      <w:r>
        <w:rPr>
          <w:color w:val="4169E1"/>
        </w:rPr>
        <w:t>Tortajada</w:t>
      </w:r>
      <w:proofErr w:type="spellEnd"/>
      <w:r>
        <w:rPr>
          <w:color w:val="4169E1"/>
        </w:rPr>
        <w:t xml:space="preserve">-Genaro, and </w:t>
      </w:r>
      <w:proofErr w:type="spellStart"/>
      <w:r>
        <w:rPr>
          <w:color w:val="4169E1"/>
        </w:rPr>
        <w:t>Maquieira</w:t>
      </w:r>
      <w:proofErr w:type="spellEnd"/>
      <w:r>
        <w:rPr>
          <w:color w:val="4169E1"/>
        </w:rPr>
        <w:t xml:space="preserve"> 2021</w:t>
      </w:r>
      <w:r>
        <w:t>) aber auch auf die qPCR angewandt werden (</w:t>
      </w:r>
      <w:r>
        <w:rPr>
          <w:color w:val="4169E1"/>
        </w:rPr>
        <w:t>Chen, Ruff, and Halsey 2010</w:t>
      </w:r>
      <w:r>
        <w:t>).</w:t>
      </w:r>
    </w:p>
    <w:p w14:paraId="3B8644E8" w14:textId="7D19644A" w:rsidR="009D64B7" w:rsidRDefault="008B75B9">
      <w:pPr>
        <w:spacing w:after="270"/>
        <w:ind w:left="47" w:right="14"/>
      </w:pPr>
      <w:r>
        <w:t xml:space="preserve">Um den Einfluss einer generellen erhöhten Primer-Konzentration innerhalb der Influenza B RPA zu untersuchen wurden die Primer-Konzentrationen verdoppelt. Die Messung erfolgte bei 40 °C im 8-tel Ansatz (siehe Kapitel </w:t>
      </w:r>
      <w:r>
        <w:rPr>
          <w:color w:val="4169E1"/>
        </w:rPr>
        <w:t>1.4.3</w:t>
      </w:r>
      <w:r>
        <w:t>) mit einer RNA-Konzentration von 1</w:t>
      </w:r>
      <w:r>
        <w:t>0</w:t>
      </w:r>
      <w:r>
        <w:rPr>
          <w:vertAlign w:val="superscript"/>
        </w:rPr>
        <w:t xml:space="preserve">7 </w:t>
      </w:r>
      <w:r>
        <w:t xml:space="preserve">Kopien/µl. Anschließend wurde eine neue Sonde, welche an gleicher Position auf an dem entgegengesetzten </w:t>
      </w:r>
      <w:proofErr w:type="spellStart"/>
      <w:r>
        <w:t>forward</w:t>
      </w:r>
      <w:proofErr w:type="spellEnd"/>
      <w:r>
        <w:t>-Strang hybridisiert eingeführt (Sequenz</w:t>
      </w:r>
      <w:r>
        <w:t xml:space="preserve">: CCATCTTCTTCATCCTCCACTGTAAGATCA </w:t>
      </w:r>
      <w:r>
        <w:rPr>
          <w:shd w:val="clear" w:color="auto" w:fill="EEE9E9"/>
        </w:rPr>
        <w:t xml:space="preserve">12 </w:t>
      </w:r>
      <w:r>
        <w:t xml:space="preserve">A </w:t>
      </w:r>
      <w:r>
        <w:rPr>
          <w:shd w:val="clear" w:color="auto" w:fill="EEE9E9"/>
        </w:rPr>
        <w:t xml:space="preserve">3 </w:t>
      </w:r>
      <w:r>
        <w:t xml:space="preserve">GTAGCAACAAGTTTAGC, mit 1=FAM </w:t>
      </w:r>
      <w:r>
        <w:t>Fluorophor, 2=a-basische Seite und</w:t>
      </w:r>
      <w:r>
        <w:t xml:space="preserve"> 3=BMQ-535). Als Fluorophor wurde Mit dieser Sonde wurden jeweils Forward oder Reverse Primer in doppelter Konzentration sowie eine Messung mit normalen Primer-</w:t>
      </w:r>
      <w:r>
        <w:t>Konzentrationen als Referenz durchgeführt. Die Messungen erfolgten bei 40 °C im 8-tel Ansatz (sie</w:t>
      </w:r>
      <w:r>
        <w:t xml:space="preserve">he Kapitel </w:t>
      </w:r>
      <w:r>
        <w:rPr>
          <w:color w:val="4169E1"/>
        </w:rPr>
        <w:t>1.4.3</w:t>
      </w:r>
      <w:r>
        <w:t>) mit einer RNA-Konzentration von 10</w:t>
      </w:r>
      <w:r>
        <w:rPr>
          <w:vertAlign w:val="superscript"/>
        </w:rPr>
        <w:t xml:space="preserve">7 </w:t>
      </w:r>
      <w:r>
        <w:t>Kopien/µl. Die Erhöhung der Primer-Konzentrationen für Forward oder Reverse Primer erfolgte im Primer-Sonden-Mix.</w:t>
      </w:r>
    </w:p>
    <w:p w14:paraId="290E40E3" w14:textId="77777777" w:rsidR="009D64B7" w:rsidRDefault="008B75B9">
      <w:pPr>
        <w:pStyle w:val="berschrift3"/>
        <w:tabs>
          <w:tab w:val="center" w:pos="3494"/>
        </w:tabs>
        <w:ind w:left="0" w:firstLine="0"/>
      </w:pPr>
      <w:bookmarkStart w:id="25" w:name="_Toc28915"/>
      <w:r>
        <w:t>1.4.9</w:t>
      </w:r>
      <w:r>
        <w:tab/>
        <w:t>Ermittlung der Sensitivität von RT-PCR und RT-RPA</w:t>
      </w:r>
      <w:bookmarkEnd w:id="25"/>
    </w:p>
    <w:p w14:paraId="22DC1EAE" w14:textId="77777777" w:rsidR="009D64B7" w:rsidRDefault="008B75B9">
      <w:pPr>
        <w:ind w:left="47" w:right="14"/>
      </w:pPr>
      <w:r>
        <w:t xml:space="preserve">Die Ermittlung der Sensitivität </w:t>
      </w:r>
      <w:r>
        <w:t xml:space="preserve">erfolgte in dekadischen Verdünnungsstufen von </w:t>
      </w:r>
      <w:r>
        <w:t>2 ∗ 10</w:t>
      </w:r>
      <w:r>
        <w:rPr>
          <w:vertAlign w:val="superscript"/>
        </w:rPr>
        <w:t xml:space="preserve">7 </w:t>
      </w:r>
      <w:r>
        <w:t xml:space="preserve">RNA-Kopien/µl bis </w:t>
      </w:r>
      <w:r>
        <w:t>2 ∗ 10</w:t>
      </w:r>
      <w:r>
        <w:rPr>
          <w:vertAlign w:val="superscript"/>
        </w:rPr>
        <w:t xml:space="preserve">0 </w:t>
      </w:r>
      <w:r>
        <w:t xml:space="preserve">RNA-Kopien/µL. Die Amplifikationen wurden anschließend mit der in Kapitel </w:t>
      </w:r>
      <w:r>
        <w:rPr>
          <w:color w:val="4169E1"/>
        </w:rPr>
        <w:t xml:space="preserve">1.1.3 </w:t>
      </w:r>
      <w:r>
        <w:t xml:space="preserve">beschriebenen Methode ausgewertet. Das Detektionslimit wurde mit der in Kapitel </w:t>
      </w:r>
      <w:r>
        <w:rPr>
          <w:color w:val="4169E1"/>
        </w:rPr>
        <w:t xml:space="preserve">1.1.5 </w:t>
      </w:r>
      <w:r>
        <w:t>beschriebe</w:t>
      </w:r>
      <w:r>
        <w:t xml:space="preserve">nen Probit-Analyse berechnet. Alle </w:t>
      </w:r>
      <w:proofErr w:type="gramStart"/>
      <w:r>
        <w:t>RT-</w:t>
      </w:r>
      <w:proofErr w:type="spellStart"/>
      <w:r>
        <w:t>PCR’s</w:t>
      </w:r>
      <w:proofErr w:type="spellEnd"/>
      <w:proofErr w:type="gramEnd"/>
      <w:r>
        <w:t xml:space="preserve"> wurden dabei nach der in Kapitel </w:t>
      </w:r>
      <w:r>
        <w:rPr>
          <w:color w:val="4169E1"/>
        </w:rPr>
        <w:t xml:space="preserve">1.4.1 </w:t>
      </w:r>
      <w:r>
        <w:t xml:space="preserve">beschriebenen Methode durchgeführt. Die Influenza B RT-RPA wurde jeweils im 50 µl Ansatz (siehe Kapitel </w:t>
      </w:r>
      <w:r>
        <w:rPr>
          <w:color w:val="4169E1"/>
        </w:rPr>
        <w:t>1.4.2</w:t>
      </w:r>
      <w:r>
        <w:t xml:space="preserve">) und im 8tel-Ansatz (siehe Kapitel </w:t>
      </w:r>
      <w:r>
        <w:rPr>
          <w:color w:val="4169E1"/>
        </w:rPr>
        <w:t>1.4.3</w:t>
      </w:r>
      <w:r>
        <w:t>) bei 40 °C, 1,5-fach e</w:t>
      </w:r>
      <w:r>
        <w:t>rhöhten Reverse Primer-Konzentration und mit einem zusätzlichen Mischschritt nach 5 min gemessen.</w:t>
      </w:r>
    </w:p>
    <w:p w14:paraId="7191C75C" w14:textId="77777777" w:rsidR="009D64B7" w:rsidRDefault="008B75B9">
      <w:pPr>
        <w:spacing w:after="5" w:line="314" w:lineRule="auto"/>
        <w:ind w:left="47" w:right="0"/>
        <w:jc w:val="left"/>
      </w:pPr>
      <w:r>
        <w:t xml:space="preserve">Bei der Influenza A RT-RPA wurden die Sensitivität für den H1N1-Subtyp und den H3N2-Subtyp im 50 µl Ansatz (siehe Kapitel </w:t>
      </w:r>
      <w:r>
        <w:rPr>
          <w:color w:val="4169E1"/>
        </w:rPr>
        <w:t>1.4.2</w:t>
      </w:r>
      <w:r>
        <w:t xml:space="preserve">) bei 42 °C, 1,5-fach erhöhten </w:t>
      </w:r>
      <w:r>
        <w:t>Reverse Primer-Konzentration und einem zusätzlichen Mischschritt nach 2 min ermittelt.</w:t>
      </w:r>
    </w:p>
    <w:p w14:paraId="0099FF93" w14:textId="77777777" w:rsidR="009D64B7" w:rsidRDefault="008B75B9">
      <w:pPr>
        <w:ind w:left="351" w:right="14" w:hanging="306"/>
      </w:pPr>
      <w:proofErr w:type="spellStart"/>
      <w:r w:rsidRPr="002604BD">
        <w:rPr>
          <w:lang w:val="en-US"/>
        </w:rPr>
        <w:lastRenderedPageBreak/>
        <w:t>Aranha</w:t>
      </w:r>
      <w:proofErr w:type="spellEnd"/>
      <w:r w:rsidRPr="002604BD">
        <w:rPr>
          <w:lang w:val="en-US"/>
        </w:rPr>
        <w:t xml:space="preserve">, Clara, </w:t>
      </w:r>
      <w:proofErr w:type="spellStart"/>
      <w:r w:rsidRPr="002604BD">
        <w:rPr>
          <w:lang w:val="en-US"/>
        </w:rPr>
        <w:t>Vainav</w:t>
      </w:r>
      <w:proofErr w:type="spellEnd"/>
      <w:r w:rsidRPr="002604BD">
        <w:rPr>
          <w:lang w:val="en-US"/>
        </w:rPr>
        <w:t xml:space="preserve"> Patel, Vikrant </w:t>
      </w:r>
      <w:proofErr w:type="spellStart"/>
      <w:r w:rsidRPr="002604BD">
        <w:rPr>
          <w:lang w:val="en-US"/>
        </w:rPr>
        <w:t>Bhor</w:t>
      </w:r>
      <w:proofErr w:type="spellEnd"/>
      <w:r w:rsidRPr="002604BD">
        <w:rPr>
          <w:lang w:val="en-US"/>
        </w:rPr>
        <w:t xml:space="preserve">, and </w:t>
      </w:r>
      <w:proofErr w:type="spellStart"/>
      <w:r w:rsidRPr="002604BD">
        <w:rPr>
          <w:lang w:val="en-US"/>
        </w:rPr>
        <w:t>Dimpu</w:t>
      </w:r>
      <w:proofErr w:type="spellEnd"/>
      <w:r w:rsidRPr="002604BD">
        <w:rPr>
          <w:lang w:val="en-US"/>
        </w:rPr>
        <w:t xml:space="preserve"> </w:t>
      </w:r>
      <w:proofErr w:type="spellStart"/>
      <w:r w:rsidRPr="002604BD">
        <w:rPr>
          <w:lang w:val="en-US"/>
        </w:rPr>
        <w:t>Gogoi</w:t>
      </w:r>
      <w:proofErr w:type="spellEnd"/>
      <w:r w:rsidRPr="002604BD">
        <w:rPr>
          <w:lang w:val="en-US"/>
        </w:rPr>
        <w:t>. 2021. “Cycle Threshold Values in RT-PCR to Determine Dynamics of SARS-CoV-2 Viral Load: An Approach to Reduce</w:t>
      </w:r>
      <w:r w:rsidRPr="002604BD">
        <w:rPr>
          <w:lang w:val="en-US"/>
        </w:rPr>
        <w:t xml:space="preserve"> the Isolation Period for COVID-19 Patients.” </w:t>
      </w:r>
      <w:r w:rsidRPr="002604BD">
        <w:rPr>
          <w:i/>
          <w:lang w:val="en-US"/>
        </w:rPr>
        <w:t xml:space="preserve">Journal of Medical Virology </w:t>
      </w:r>
      <w:r w:rsidRPr="002604BD">
        <w:rPr>
          <w:lang w:val="en-US"/>
        </w:rPr>
        <w:t xml:space="preserve">93 (12): 6794–97. </w:t>
      </w:r>
      <w:hyperlink r:id="rId12">
        <w:r>
          <w:rPr>
            <w:color w:val="4169E1"/>
          </w:rPr>
          <w:t>https://doi.org/10.1002/jmv.27206</w:t>
        </w:r>
      </w:hyperlink>
      <w:r>
        <w:t>.</w:t>
      </w:r>
    </w:p>
    <w:p w14:paraId="2EEE544A" w14:textId="77777777" w:rsidR="009D64B7" w:rsidRDefault="008B75B9">
      <w:pPr>
        <w:spacing w:after="50" w:line="259" w:lineRule="auto"/>
        <w:ind w:left="47" w:right="14"/>
      </w:pPr>
      <w:r>
        <w:t>Behrmann, Ole, Iris Bachmann, Martin Spiege</w:t>
      </w:r>
      <w:r>
        <w:t>l, Marina Schramm, Ahmed Abd El Wahed, Gerhard Dobler,</w:t>
      </w:r>
    </w:p>
    <w:p w14:paraId="082462F8" w14:textId="77777777" w:rsidR="009D64B7" w:rsidRPr="002604BD" w:rsidRDefault="008B75B9">
      <w:pPr>
        <w:spacing w:after="50" w:line="259" w:lineRule="auto"/>
        <w:ind w:left="361" w:right="14"/>
        <w:rPr>
          <w:lang w:val="en-US"/>
        </w:rPr>
      </w:pPr>
      <w:r w:rsidRPr="002604BD">
        <w:rPr>
          <w:lang w:val="en-US"/>
        </w:rPr>
        <w:t>Gregory Dame, and Frank T Hufert. 2020. “Rapid Detection of SARS-CoV-2 by Low Volume Real-Time</w:t>
      </w:r>
    </w:p>
    <w:p w14:paraId="76F57907" w14:textId="77777777" w:rsidR="009D64B7" w:rsidRPr="002604BD" w:rsidRDefault="008B75B9">
      <w:pPr>
        <w:spacing w:after="5" w:line="314" w:lineRule="auto"/>
        <w:ind w:left="361" w:right="0"/>
        <w:jc w:val="left"/>
        <w:rPr>
          <w:lang w:val="en-US"/>
        </w:rPr>
      </w:pPr>
      <w:r w:rsidRPr="002604BD">
        <w:rPr>
          <w:lang w:val="en-US"/>
        </w:rPr>
        <w:t>Single Tube Reverse Transcription Recombinase Polymerase Amplification Using an Exo Probe with an Internal</w:t>
      </w:r>
      <w:r w:rsidRPr="002604BD">
        <w:rPr>
          <w:lang w:val="en-US"/>
        </w:rPr>
        <w:t xml:space="preserve">ly Linked Quencher (Exo-IQ).” </w:t>
      </w:r>
      <w:r w:rsidRPr="002604BD">
        <w:rPr>
          <w:i/>
          <w:lang w:val="en-US"/>
        </w:rPr>
        <w:t xml:space="preserve">Clinical Chemistry </w:t>
      </w:r>
      <w:r w:rsidRPr="002604BD">
        <w:rPr>
          <w:lang w:val="en-US"/>
        </w:rPr>
        <w:t xml:space="preserve">66 (8): 1047–54. </w:t>
      </w:r>
      <w:hyperlink r:id="rId13">
        <w:r w:rsidRPr="002604BD">
          <w:rPr>
            <w:color w:val="4169E1"/>
            <w:lang w:val="en-US"/>
          </w:rPr>
          <w:t xml:space="preserve">https://doi.org/10.1093/clin </w:t>
        </w:r>
      </w:hyperlink>
      <w:hyperlink r:id="rId14">
        <w:r w:rsidRPr="002604BD">
          <w:rPr>
            <w:color w:val="4169E1"/>
            <w:lang w:val="en-US"/>
          </w:rPr>
          <w:t>chem/hvaa</w:t>
        </w:r>
        <w:r w:rsidRPr="002604BD">
          <w:rPr>
            <w:color w:val="4169E1"/>
            <w:lang w:val="en-US"/>
          </w:rPr>
          <w:t>116</w:t>
        </w:r>
      </w:hyperlink>
      <w:r w:rsidRPr="002604BD">
        <w:rPr>
          <w:lang w:val="en-US"/>
        </w:rPr>
        <w:t>.</w:t>
      </w:r>
    </w:p>
    <w:p w14:paraId="4230FB30" w14:textId="77777777" w:rsidR="009D64B7" w:rsidRPr="002604BD" w:rsidRDefault="008B75B9">
      <w:pPr>
        <w:ind w:left="344" w:right="14" w:hanging="299"/>
        <w:rPr>
          <w:lang w:val="en-US"/>
        </w:rPr>
      </w:pPr>
      <w:proofErr w:type="spellStart"/>
      <w:r w:rsidRPr="002604BD">
        <w:rPr>
          <w:lang w:val="en-US"/>
        </w:rPr>
        <w:t>Bergkessel</w:t>
      </w:r>
      <w:proofErr w:type="spellEnd"/>
      <w:r w:rsidRPr="002604BD">
        <w:rPr>
          <w:lang w:val="en-US"/>
        </w:rPr>
        <w:t xml:space="preserve">, Megan, and Christine Guthrie. 2013. “Colony PCR.” In </w:t>
      </w:r>
      <w:r w:rsidRPr="002604BD">
        <w:rPr>
          <w:i/>
          <w:lang w:val="en-US"/>
        </w:rPr>
        <w:t>Methods in Enzymology</w:t>
      </w:r>
      <w:r w:rsidRPr="002604BD">
        <w:rPr>
          <w:lang w:val="en-US"/>
        </w:rPr>
        <w:t xml:space="preserve">, 299–309. </w:t>
      </w:r>
      <w:r>
        <w:t xml:space="preserve">Elsevier. </w:t>
      </w:r>
      <w:hyperlink r:id="rId15">
        <w:r w:rsidRPr="002604BD">
          <w:rPr>
            <w:color w:val="4169E1"/>
            <w:lang w:val="en-US"/>
          </w:rPr>
          <w:t>https://doi.org/10.1016/b978-0-12-418687-3.00025-2</w:t>
        </w:r>
      </w:hyperlink>
      <w:r w:rsidRPr="002604BD">
        <w:rPr>
          <w:lang w:val="en-US"/>
        </w:rPr>
        <w:t>.</w:t>
      </w:r>
    </w:p>
    <w:p w14:paraId="6C214969" w14:textId="77777777" w:rsidR="009D64B7" w:rsidRPr="002604BD" w:rsidRDefault="008B75B9">
      <w:pPr>
        <w:ind w:left="344" w:right="14" w:hanging="299"/>
        <w:rPr>
          <w:lang w:val="en-US"/>
        </w:rPr>
      </w:pPr>
      <w:r w:rsidRPr="002604BD">
        <w:rPr>
          <w:lang w:val="en-US"/>
        </w:rPr>
        <w:t xml:space="preserve">Bingham, N. H., and John M. Fry. 2010. </w:t>
      </w:r>
      <w:r>
        <w:rPr>
          <w:i/>
        </w:rPr>
        <w:t>Regression</w:t>
      </w:r>
      <w:r>
        <w:t xml:space="preserve">. </w:t>
      </w:r>
      <w:r w:rsidRPr="002604BD">
        <w:rPr>
          <w:lang w:val="en-US"/>
        </w:rPr>
        <w:t xml:space="preserve">Springer London. </w:t>
      </w:r>
      <w:hyperlink r:id="rId16">
        <w:r w:rsidRPr="002604BD">
          <w:rPr>
            <w:color w:val="4169E1"/>
            <w:lang w:val="en-US"/>
          </w:rPr>
          <w:t>https://doi.org/10.1007/978-1-84882</w:t>
        </w:r>
      </w:hyperlink>
      <w:hyperlink r:id="rId17">
        <w:r w:rsidRPr="002604BD">
          <w:rPr>
            <w:color w:val="4169E1"/>
            <w:lang w:val="en-US"/>
          </w:rPr>
          <w:t>969-5</w:t>
        </w:r>
      </w:hyperlink>
      <w:r w:rsidRPr="002604BD">
        <w:rPr>
          <w:lang w:val="en-US"/>
        </w:rPr>
        <w:t>.</w:t>
      </w:r>
    </w:p>
    <w:p w14:paraId="540A2D57" w14:textId="77777777" w:rsidR="009D64B7" w:rsidRDefault="008B75B9">
      <w:pPr>
        <w:spacing w:after="56" w:line="259" w:lineRule="auto"/>
        <w:ind w:left="339" w:right="0" w:hanging="279"/>
        <w:jc w:val="left"/>
      </w:pPr>
      <w:proofErr w:type="spellStart"/>
      <w:r w:rsidRPr="002604BD">
        <w:rPr>
          <w:lang w:val="en-US"/>
        </w:rPr>
        <w:t>BioEcho</w:t>
      </w:r>
      <w:proofErr w:type="spellEnd"/>
      <w:r w:rsidRPr="002604BD">
        <w:rPr>
          <w:lang w:val="en-US"/>
        </w:rPr>
        <w:t>. 2022. “</w:t>
      </w:r>
      <w:proofErr w:type="spellStart"/>
      <w:r w:rsidRPr="002604BD">
        <w:rPr>
          <w:lang w:val="en-US"/>
        </w:rPr>
        <w:t>EchoCLEAN</w:t>
      </w:r>
      <w:proofErr w:type="spellEnd"/>
      <w:r w:rsidRPr="002604BD">
        <w:rPr>
          <w:lang w:val="en-US"/>
        </w:rPr>
        <w:t xml:space="preserve"> DNA &amp; RNA Cleanup Kits </w:t>
      </w:r>
      <w:proofErr w:type="spellStart"/>
      <w:r w:rsidRPr="002604BD">
        <w:rPr>
          <w:lang w:val="en-US"/>
        </w:rPr>
        <w:t>Produkt</w:t>
      </w:r>
      <w:proofErr w:type="spellEnd"/>
      <w:r w:rsidRPr="002604BD">
        <w:rPr>
          <w:lang w:val="en-US"/>
        </w:rPr>
        <w:t xml:space="preserve"> </w:t>
      </w:r>
      <w:proofErr w:type="spellStart"/>
      <w:r w:rsidRPr="002604BD">
        <w:rPr>
          <w:lang w:val="en-US"/>
        </w:rPr>
        <w:t>Br</w:t>
      </w:r>
      <w:r w:rsidRPr="002604BD">
        <w:rPr>
          <w:lang w:val="en-US"/>
        </w:rPr>
        <w:t>ochüre</w:t>
      </w:r>
      <w:proofErr w:type="spellEnd"/>
      <w:r w:rsidRPr="002604BD">
        <w:rPr>
          <w:lang w:val="en-US"/>
        </w:rPr>
        <w:t xml:space="preserve">.” </w:t>
      </w:r>
      <w:r>
        <w:rPr>
          <w:i/>
        </w:rPr>
        <w:t xml:space="preserve">Online </w:t>
      </w:r>
      <w:proofErr w:type="gramStart"/>
      <w:r>
        <w:rPr>
          <w:i/>
        </w:rPr>
        <w:t>Verfügbar</w:t>
      </w:r>
      <w:proofErr w:type="gramEnd"/>
      <w:r>
        <w:rPr>
          <w:i/>
        </w:rPr>
        <w:t xml:space="preserve"> Unter</w:t>
      </w:r>
      <w:r>
        <w:t>. https://doi.org/</w:t>
      </w:r>
      <w:hyperlink r:id="rId18">
        <w:r>
          <w:rPr>
            <w:color w:val="4169E1"/>
          </w:rPr>
          <w:t xml:space="preserve">https://bioecho-prod-media-hp.s3.sbg.perf.cloud.ovh.net/media/d0/9e/c1/1655465490 </w:t>
        </w:r>
      </w:hyperlink>
      <w:hyperlink r:id="rId19">
        <w:r>
          <w:rPr>
            <w:color w:val="4169E1"/>
          </w:rPr>
          <w:t>/</w:t>
        </w:r>
        <w:proofErr w:type="spellStart"/>
        <w:r>
          <w:rPr>
            <w:color w:val="4169E1"/>
          </w:rPr>
          <w:t>Cleanup-Brochure_ENG.pd</w:t>
        </w:r>
        <w:proofErr w:type="spellEnd"/>
      </w:hyperlink>
      <w:r>
        <w:t>.</w:t>
      </w:r>
    </w:p>
    <w:p w14:paraId="257A4789" w14:textId="77777777" w:rsidR="009D64B7" w:rsidRPr="002604BD" w:rsidRDefault="008B75B9">
      <w:pPr>
        <w:spacing w:after="0" w:line="321" w:lineRule="auto"/>
        <w:ind w:left="359" w:right="0" w:hanging="299"/>
        <w:jc w:val="left"/>
        <w:rPr>
          <w:lang w:val="en-US"/>
        </w:rPr>
      </w:pPr>
      <w:proofErr w:type="spellStart"/>
      <w:r>
        <w:t>Biomers</w:t>
      </w:r>
      <w:proofErr w:type="spellEnd"/>
      <w:r>
        <w:t xml:space="preserve">. 2023a. “PCR-Blocker.” </w:t>
      </w:r>
      <w:r w:rsidRPr="002604BD">
        <w:rPr>
          <w:i/>
          <w:lang w:val="en-US"/>
        </w:rPr>
        <w:t>Biomers.net the Biopolymer Factory</w:t>
      </w:r>
      <w:r w:rsidRPr="002604BD">
        <w:rPr>
          <w:lang w:val="en-US"/>
        </w:rPr>
        <w:t xml:space="preserve">. </w:t>
      </w:r>
      <w:hyperlink r:id="rId20">
        <w:r w:rsidRPr="002604BD">
          <w:rPr>
            <w:color w:val="4169E1"/>
            <w:lang w:val="en-US"/>
          </w:rPr>
          <w:t xml:space="preserve">https://www.biomers.net/de/Produ </w:t>
        </w:r>
      </w:hyperlink>
      <w:hyperlink r:id="rId21">
        <w:proofErr w:type="spellStart"/>
        <w:r w:rsidRPr="002604BD">
          <w:rPr>
            <w:color w:val="4169E1"/>
            <w:lang w:val="en-US"/>
          </w:rPr>
          <w:t>kte</w:t>
        </w:r>
        <w:proofErr w:type="spellEnd"/>
        <w:r w:rsidRPr="002604BD">
          <w:rPr>
            <w:color w:val="4169E1"/>
            <w:lang w:val="en-US"/>
          </w:rPr>
          <w:t>/DNA/Real-</w:t>
        </w:r>
        <w:proofErr w:type="spellStart"/>
        <w:r w:rsidRPr="002604BD">
          <w:rPr>
            <w:color w:val="4169E1"/>
            <w:lang w:val="en-US"/>
          </w:rPr>
          <w:t>time_PCR</w:t>
        </w:r>
        <w:proofErr w:type="spellEnd"/>
        <w:r w:rsidRPr="002604BD">
          <w:rPr>
            <w:color w:val="4169E1"/>
            <w:lang w:val="en-US"/>
          </w:rPr>
          <w:t>/PCR_Blocker.html</w:t>
        </w:r>
      </w:hyperlink>
      <w:r w:rsidRPr="002604BD">
        <w:rPr>
          <w:lang w:val="en-US"/>
        </w:rPr>
        <w:t>.</w:t>
      </w:r>
    </w:p>
    <w:p w14:paraId="5F171FF2" w14:textId="77777777" w:rsidR="009D64B7" w:rsidRPr="002604BD" w:rsidRDefault="008B75B9">
      <w:pPr>
        <w:spacing w:after="0" w:line="321" w:lineRule="auto"/>
        <w:ind w:left="359" w:right="0" w:hanging="359"/>
        <w:jc w:val="left"/>
        <w:rPr>
          <w:lang w:val="en-US"/>
        </w:rPr>
      </w:pPr>
      <w:r w:rsidRPr="002604BD">
        <w:rPr>
          <w:lang w:val="en-US"/>
        </w:rPr>
        <w:t xml:space="preserve">———. 2023b. “REAL-TIME PCR PROBES.” </w:t>
      </w:r>
      <w:r w:rsidRPr="002604BD">
        <w:rPr>
          <w:i/>
          <w:lang w:val="en-US"/>
        </w:rPr>
        <w:t>Biomers.net the Biopolymer Factory</w:t>
      </w:r>
      <w:r w:rsidRPr="002604BD">
        <w:rPr>
          <w:lang w:val="en-US"/>
        </w:rPr>
        <w:t xml:space="preserve">. </w:t>
      </w:r>
      <w:hyperlink r:id="rId22">
        <w:r w:rsidRPr="002604BD">
          <w:rPr>
            <w:color w:val="4169E1"/>
            <w:lang w:val="en-US"/>
          </w:rPr>
          <w:t xml:space="preserve">https://www.biomers. </w:t>
        </w:r>
      </w:hyperlink>
      <w:hyperlink r:id="rId23">
        <w:r w:rsidRPr="002604BD">
          <w:rPr>
            <w:color w:val="4169E1"/>
            <w:lang w:val="en-US"/>
          </w:rPr>
          <w:t>net/de/</w:t>
        </w:r>
        <w:proofErr w:type="spellStart"/>
        <w:r w:rsidRPr="002604BD">
          <w:rPr>
            <w:color w:val="4169E1"/>
            <w:lang w:val="en-US"/>
          </w:rPr>
          <w:t>Produkte</w:t>
        </w:r>
        <w:proofErr w:type="spellEnd"/>
        <w:r w:rsidRPr="002604BD">
          <w:rPr>
            <w:color w:val="4169E1"/>
            <w:lang w:val="en-US"/>
          </w:rPr>
          <w:t>/Real_Time_PCR_Probes.html</w:t>
        </w:r>
      </w:hyperlink>
      <w:r w:rsidRPr="002604BD">
        <w:rPr>
          <w:lang w:val="en-US"/>
        </w:rPr>
        <w:t>.</w:t>
      </w:r>
    </w:p>
    <w:p w14:paraId="15316434" w14:textId="77777777" w:rsidR="009D64B7" w:rsidRDefault="008B75B9">
      <w:pPr>
        <w:ind w:left="344" w:right="14" w:hanging="299"/>
      </w:pPr>
      <w:r w:rsidRPr="002604BD">
        <w:rPr>
          <w:lang w:val="en-US"/>
        </w:rPr>
        <w:t xml:space="preserve">Bliss, C. I. 1934. “The Method of Probits.” </w:t>
      </w:r>
      <w:r w:rsidRPr="002604BD">
        <w:rPr>
          <w:i/>
          <w:lang w:val="en-US"/>
        </w:rPr>
        <w:t xml:space="preserve">Science </w:t>
      </w:r>
      <w:r w:rsidRPr="002604BD">
        <w:rPr>
          <w:lang w:val="en-US"/>
        </w:rPr>
        <w:t xml:space="preserve">79 (2037): 38–39. </w:t>
      </w:r>
      <w:hyperlink r:id="rId24">
        <w:r>
          <w:rPr>
            <w:color w:val="4169E1"/>
          </w:rPr>
          <w:t xml:space="preserve">https://doi.org/10.1126/science.79.2 </w:t>
        </w:r>
      </w:hyperlink>
      <w:hyperlink r:id="rId25">
        <w:r>
          <w:rPr>
            <w:color w:val="4169E1"/>
          </w:rPr>
          <w:t>037.38</w:t>
        </w:r>
      </w:hyperlink>
      <w:hyperlink r:id="rId26">
        <w:r>
          <w:t>.</w:t>
        </w:r>
      </w:hyperlink>
    </w:p>
    <w:p w14:paraId="22DDD7D7" w14:textId="77777777" w:rsidR="009D64B7" w:rsidRDefault="008B75B9">
      <w:pPr>
        <w:spacing w:after="5" w:line="314" w:lineRule="auto"/>
        <w:ind w:left="344" w:right="0" w:hanging="299"/>
        <w:jc w:val="left"/>
      </w:pPr>
      <w:proofErr w:type="spellStart"/>
      <w:r>
        <w:t>Bustin</w:t>
      </w:r>
      <w:proofErr w:type="spellEnd"/>
      <w:r>
        <w:t xml:space="preserve">, Stephen A, Vladimir </w:t>
      </w:r>
      <w:proofErr w:type="spellStart"/>
      <w:r>
        <w:t>Benes</w:t>
      </w:r>
      <w:proofErr w:type="spellEnd"/>
      <w:r>
        <w:t xml:space="preserve">, Jeremy A Garson, Jan Hellemans, Jim </w:t>
      </w:r>
      <w:proofErr w:type="spellStart"/>
      <w:r>
        <w:t>Huggett</w:t>
      </w:r>
      <w:proofErr w:type="spellEnd"/>
      <w:r>
        <w:t>, Mikael Kubista, Reinhold Muell</w:t>
      </w:r>
      <w:r>
        <w:t xml:space="preserve">er, et al. 2009. </w:t>
      </w:r>
      <w:r w:rsidRPr="002604BD">
        <w:rPr>
          <w:lang w:val="en-US"/>
        </w:rPr>
        <w:t xml:space="preserve">“The MIQE Guidelines: Minimum Information for Publication of Quantitative Real-Time PCR Experiments.” </w:t>
      </w:r>
      <w:r>
        <w:rPr>
          <w:i/>
        </w:rPr>
        <w:t xml:space="preserve">Clinical Chemistry </w:t>
      </w:r>
      <w:r>
        <w:t xml:space="preserve">55 (4): 611–22. </w:t>
      </w:r>
      <w:hyperlink r:id="rId27">
        <w:r>
          <w:rPr>
            <w:color w:val="4169E1"/>
          </w:rPr>
          <w:t>https://doi.org/10.1373/clinchem.200</w:t>
        </w:r>
      </w:hyperlink>
    </w:p>
    <w:p w14:paraId="33AE0861" w14:textId="77777777" w:rsidR="009D64B7" w:rsidRPr="002604BD" w:rsidRDefault="008B75B9">
      <w:pPr>
        <w:spacing w:after="56" w:line="259" w:lineRule="auto"/>
        <w:ind w:left="344" w:right="0" w:firstLine="10"/>
        <w:jc w:val="left"/>
        <w:rPr>
          <w:lang w:val="en-US"/>
        </w:rPr>
      </w:pPr>
      <w:hyperlink r:id="rId28">
        <w:r w:rsidRPr="002604BD">
          <w:rPr>
            <w:color w:val="4169E1"/>
            <w:lang w:val="en-US"/>
          </w:rPr>
          <w:t>8.112797</w:t>
        </w:r>
      </w:hyperlink>
      <w:r w:rsidRPr="002604BD">
        <w:rPr>
          <w:lang w:val="en-US"/>
        </w:rPr>
        <w:t>.</w:t>
      </w:r>
    </w:p>
    <w:p w14:paraId="368450B3" w14:textId="77777777" w:rsidR="009D64B7" w:rsidRPr="002604BD" w:rsidRDefault="008B75B9">
      <w:pPr>
        <w:ind w:left="339" w:right="14" w:hanging="294"/>
        <w:rPr>
          <w:lang w:val="en-US"/>
        </w:rPr>
      </w:pPr>
      <w:r w:rsidRPr="002604BD">
        <w:rPr>
          <w:lang w:val="en-US"/>
        </w:rPr>
        <w:t xml:space="preserve">Chen, </w:t>
      </w:r>
      <w:proofErr w:type="spellStart"/>
      <w:r w:rsidRPr="002604BD">
        <w:rPr>
          <w:lang w:val="en-US"/>
        </w:rPr>
        <w:t>Caifu</w:t>
      </w:r>
      <w:proofErr w:type="spellEnd"/>
      <w:r w:rsidRPr="002604BD">
        <w:rPr>
          <w:lang w:val="en-US"/>
        </w:rPr>
        <w:t xml:space="preserve">, David Ruff, and Jason Halsey. 2010. “Asynchronous PCR.” In </w:t>
      </w:r>
      <w:r w:rsidRPr="002604BD">
        <w:rPr>
          <w:i/>
          <w:lang w:val="en-US"/>
        </w:rPr>
        <w:t>Methods in Molecular Biology</w:t>
      </w:r>
      <w:r w:rsidRPr="002604BD">
        <w:rPr>
          <w:lang w:val="en-US"/>
        </w:rPr>
        <w:t xml:space="preserve">, 231–43. </w:t>
      </w:r>
      <w:r>
        <w:t xml:space="preserve">Humana </w:t>
      </w:r>
      <w:r>
        <w:t xml:space="preserve">Press. </w:t>
      </w:r>
      <w:hyperlink r:id="rId29">
        <w:r w:rsidRPr="002604BD">
          <w:rPr>
            <w:color w:val="4169E1"/>
            <w:lang w:val="en-US"/>
          </w:rPr>
          <w:t>https://doi.org/10.1007/978-1-60761-944-4_16</w:t>
        </w:r>
      </w:hyperlink>
      <w:r w:rsidRPr="002604BD">
        <w:rPr>
          <w:lang w:val="en-US"/>
        </w:rPr>
        <w:t>.</w:t>
      </w:r>
    </w:p>
    <w:p w14:paraId="0D18A63E" w14:textId="77777777" w:rsidR="009D64B7" w:rsidRPr="002604BD" w:rsidRDefault="008B75B9">
      <w:pPr>
        <w:ind w:left="344" w:right="14" w:hanging="299"/>
        <w:rPr>
          <w:lang w:val="en-US"/>
        </w:rPr>
      </w:pPr>
      <w:proofErr w:type="spellStart"/>
      <w:r w:rsidRPr="002604BD">
        <w:rPr>
          <w:lang w:val="en-US"/>
        </w:rPr>
        <w:t>Diagne</w:t>
      </w:r>
      <w:proofErr w:type="spellEnd"/>
      <w:r w:rsidRPr="002604BD">
        <w:rPr>
          <w:lang w:val="en-US"/>
        </w:rPr>
        <w:t xml:space="preserve">, Cheikh </w:t>
      </w:r>
      <w:proofErr w:type="spellStart"/>
      <w:r w:rsidRPr="002604BD">
        <w:rPr>
          <w:lang w:val="en-US"/>
        </w:rPr>
        <w:t>Tidiane</w:t>
      </w:r>
      <w:proofErr w:type="spellEnd"/>
      <w:r w:rsidRPr="002604BD">
        <w:rPr>
          <w:lang w:val="en-US"/>
        </w:rPr>
        <w:t xml:space="preserve">, Martin Faye, Benjamin Lopez-Jimena, Ahmed Abd El </w:t>
      </w:r>
      <w:proofErr w:type="spellStart"/>
      <w:r w:rsidRPr="002604BD">
        <w:rPr>
          <w:lang w:val="en-US"/>
        </w:rPr>
        <w:t>Wahed</w:t>
      </w:r>
      <w:proofErr w:type="spellEnd"/>
      <w:r w:rsidRPr="002604BD">
        <w:rPr>
          <w:lang w:val="en-US"/>
        </w:rPr>
        <w:t xml:space="preserve">, Cheikh </w:t>
      </w:r>
      <w:proofErr w:type="spellStart"/>
      <w:r w:rsidRPr="002604BD">
        <w:rPr>
          <w:lang w:val="en-US"/>
        </w:rPr>
        <w:t>Loucoubar</w:t>
      </w:r>
      <w:proofErr w:type="spellEnd"/>
      <w:r w:rsidRPr="002604BD">
        <w:rPr>
          <w:lang w:val="en-US"/>
        </w:rPr>
        <w:t xml:space="preserve">, Cheikh </w:t>
      </w:r>
      <w:r w:rsidRPr="002604BD">
        <w:rPr>
          <w:lang w:val="en-US"/>
        </w:rPr>
        <w:t xml:space="preserve">Fall, Giulia </w:t>
      </w:r>
      <w:proofErr w:type="spellStart"/>
      <w:r w:rsidRPr="002604BD">
        <w:rPr>
          <w:lang w:val="en-US"/>
        </w:rPr>
        <w:t>Mencatelli</w:t>
      </w:r>
      <w:proofErr w:type="spellEnd"/>
      <w:r w:rsidRPr="002604BD">
        <w:rPr>
          <w:lang w:val="en-US"/>
        </w:rPr>
        <w:t>, et al. 2020. “Comparative Analysis of Zika Virus Detection by RT-qPCR,</w:t>
      </w:r>
    </w:p>
    <w:p w14:paraId="05AE4961" w14:textId="77777777" w:rsidR="009D64B7" w:rsidRPr="002604BD" w:rsidRDefault="008B75B9">
      <w:pPr>
        <w:ind w:left="361" w:right="14"/>
        <w:rPr>
          <w:lang w:val="en-US"/>
        </w:rPr>
      </w:pPr>
      <w:r w:rsidRPr="002604BD">
        <w:rPr>
          <w:lang w:val="en-US"/>
        </w:rPr>
        <w:t xml:space="preserve">RT-LAMP, and RT-RPA.” In </w:t>
      </w:r>
      <w:r w:rsidRPr="002604BD">
        <w:rPr>
          <w:i/>
          <w:lang w:val="en-US"/>
        </w:rPr>
        <w:t>Methods in Molecular Biology</w:t>
      </w:r>
      <w:r w:rsidRPr="002604BD">
        <w:rPr>
          <w:lang w:val="en-US"/>
        </w:rPr>
        <w:t xml:space="preserve">, 165–79. Springer US. </w:t>
      </w:r>
      <w:hyperlink r:id="rId30">
        <w:r w:rsidRPr="002604BD">
          <w:rPr>
            <w:color w:val="4169E1"/>
            <w:lang w:val="en-US"/>
          </w:rPr>
          <w:t xml:space="preserve">https://doi.org/10.1 </w:t>
        </w:r>
      </w:hyperlink>
      <w:hyperlink r:id="rId31">
        <w:r w:rsidRPr="002604BD">
          <w:rPr>
            <w:color w:val="4169E1"/>
            <w:lang w:val="en-US"/>
          </w:rPr>
          <w:t>007/978-1-0716-0581-3_14</w:t>
        </w:r>
      </w:hyperlink>
      <w:r w:rsidRPr="002604BD">
        <w:rPr>
          <w:lang w:val="en-US"/>
        </w:rPr>
        <w:t>.</w:t>
      </w:r>
    </w:p>
    <w:p w14:paraId="0A41D234" w14:textId="77777777" w:rsidR="009D64B7" w:rsidRPr="002604BD" w:rsidRDefault="008B75B9">
      <w:pPr>
        <w:ind w:left="344" w:right="14" w:hanging="299"/>
        <w:rPr>
          <w:lang w:val="en-US"/>
        </w:rPr>
      </w:pPr>
      <w:proofErr w:type="spellStart"/>
      <w:r>
        <w:t>Fahrmeir</w:t>
      </w:r>
      <w:proofErr w:type="spellEnd"/>
      <w:r>
        <w:t xml:space="preserve">, Ludwig, Christian Heumann, Rita Künstler, Iris </w:t>
      </w:r>
      <w:proofErr w:type="spellStart"/>
      <w:r>
        <w:t>Pigeot</w:t>
      </w:r>
      <w:proofErr w:type="spellEnd"/>
      <w:r>
        <w:t xml:space="preserve">, and Gerhard </w:t>
      </w:r>
      <w:proofErr w:type="spellStart"/>
      <w:r>
        <w:t>Tutz</w:t>
      </w:r>
      <w:proofErr w:type="spellEnd"/>
      <w:r>
        <w:t xml:space="preserve">. 2016. </w:t>
      </w:r>
      <w:r>
        <w:rPr>
          <w:i/>
        </w:rPr>
        <w:t>Statistik</w:t>
      </w:r>
      <w:r>
        <w:t xml:space="preserve">. </w:t>
      </w:r>
      <w:r w:rsidRPr="002604BD">
        <w:rPr>
          <w:lang w:val="en-US"/>
        </w:rPr>
        <w:t xml:space="preserve">Springer Berlin Heidelberg. </w:t>
      </w:r>
      <w:hyperlink r:id="rId32">
        <w:r w:rsidRPr="002604BD">
          <w:rPr>
            <w:color w:val="4169E1"/>
            <w:lang w:val="en-US"/>
          </w:rPr>
          <w:t>https://doi.org/10.1007/978-3-662-50372-0</w:t>
        </w:r>
      </w:hyperlink>
      <w:r w:rsidRPr="002604BD">
        <w:rPr>
          <w:lang w:val="en-US"/>
        </w:rPr>
        <w:t>.</w:t>
      </w:r>
    </w:p>
    <w:p w14:paraId="1A29BEB4" w14:textId="77777777" w:rsidR="009D64B7" w:rsidRPr="002604BD" w:rsidRDefault="008B75B9">
      <w:pPr>
        <w:spacing w:after="61" w:line="259" w:lineRule="auto"/>
        <w:ind w:left="47" w:right="14"/>
        <w:rPr>
          <w:lang w:val="en-US"/>
        </w:rPr>
      </w:pPr>
      <w:r w:rsidRPr="002604BD">
        <w:rPr>
          <w:lang w:val="en-US"/>
        </w:rPr>
        <w:t xml:space="preserve">Fisher, R. A. 1992. “Statistical Methods for Research Workers.” In </w:t>
      </w:r>
      <w:r w:rsidRPr="002604BD">
        <w:rPr>
          <w:i/>
          <w:lang w:val="en-US"/>
        </w:rPr>
        <w:t>Springer Series in Statistics</w:t>
      </w:r>
      <w:r w:rsidRPr="002604BD">
        <w:rPr>
          <w:lang w:val="en-US"/>
        </w:rPr>
        <w:t>, 66–70.</w:t>
      </w:r>
    </w:p>
    <w:p w14:paraId="4E85C081" w14:textId="77777777" w:rsidR="009D64B7" w:rsidRPr="002604BD" w:rsidRDefault="008B75B9">
      <w:pPr>
        <w:spacing w:after="56" w:line="259" w:lineRule="auto"/>
        <w:ind w:left="344" w:right="0" w:firstLine="10"/>
        <w:jc w:val="left"/>
        <w:rPr>
          <w:lang w:val="en-US"/>
        </w:rPr>
      </w:pPr>
      <w:r w:rsidRPr="002604BD">
        <w:rPr>
          <w:lang w:val="en-US"/>
        </w:rPr>
        <w:t xml:space="preserve">Springer New York. </w:t>
      </w:r>
      <w:hyperlink r:id="rId33">
        <w:r w:rsidRPr="002604BD">
          <w:rPr>
            <w:color w:val="4169E1"/>
            <w:lang w:val="en-US"/>
          </w:rPr>
          <w:t>https://doi.org/10.1007/978-1-4612-4380-9_6</w:t>
        </w:r>
      </w:hyperlink>
      <w:r w:rsidRPr="002604BD">
        <w:rPr>
          <w:lang w:val="en-US"/>
        </w:rPr>
        <w:t>.</w:t>
      </w:r>
    </w:p>
    <w:p w14:paraId="7C36E8C8" w14:textId="77777777" w:rsidR="009D64B7" w:rsidRDefault="008B75B9">
      <w:pPr>
        <w:ind w:left="344" w:right="14" w:hanging="299"/>
      </w:pPr>
      <w:r w:rsidRPr="002604BD">
        <w:rPr>
          <w:lang w:val="en-US"/>
        </w:rPr>
        <w:t xml:space="preserve">Frey, Andreas, James Di </w:t>
      </w:r>
      <w:proofErr w:type="spellStart"/>
      <w:r w:rsidRPr="002604BD">
        <w:rPr>
          <w:lang w:val="en-US"/>
        </w:rPr>
        <w:t>Canzio</w:t>
      </w:r>
      <w:proofErr w:type="spellEnd"/>
      <w:r w:rsidRPr="002604BD">
        <w:rPr>
          <w:lang w:val="en-US"/>
        </w:rPr>
        <w:t xml:space="preserve">, and David </w:t>
      </w:r>
      <w:proofErr w:type="spellStart"/>
      <w:r w:rsidRPr="002604BD">
        <w:rPr>
          <w:lang w:val="en-US"/>
        </w:rPr>
        <w:t>Zurakowski</w:t>
      </w:r>
      <w:proofErr w:type="spellEnd"/>
      <w:r w:rsidRPr="002604BD">
        <w:rPr>
          <w:lang w:val="en-US"/>
        </w:rPr>
        <w:t xml:space="preserve">. 1998. “A Statistically Defined Endpoint Titer Determination Method for Immunoassays.” </w:t>
      </w:r>
      <w:r w:rsidRPr="002604BD">
        <w:rPr>
          <w:i/>
          <w:lang w:val="en-US"/>
        </w:rPr>
        <w:t xml:space="preserve">Journal of Immunological Methods </w:t>
      </w:r>
      <w:r w:rsidRPr="002604BD">
        <w:rPr>
          <w:lang w:val="en-US"/>
        </w:rPr>
        <w:t xml:space="preserve">221 (1-2): 35–41. </w:t>
      </w:r>
      <w:hyperlink r:id="rId34">
        <w:r>
          <w:rPr>
            <w:color w:val="4169E1"/>
          </w:rPr>
          <w:t>https:</w:t>
        </w:r>
      </w:hyperlink>
    </w:p>
    <w:p w14:paraId="618D2B47" w14:textId="77777777" w:rsidR="009D64B7" w:rsidRPr="002604BD" w:rsidRDefault="008B75B9">
      <w:pPr>
        <w:spacing w:after="56" w:line="259" w:lineRule="auto"/>
        <w:ind w:left="344" w:right="0" w:firstLine="10"/>
        <w:jc w:val="left"/>
        <w:rPr>
          <w:lang w:val="en-US"/>
        </w:rPr>
      </w:pPr>
      <w:hyperlink r:id="rId35">
        <w:proofErr w:type="gramStart"/>
        <w:r w:rsidRPr="002604BD">
          <w:rPr>
            <w:color w:val="4169E1"/>
            <w:lang w:val="en-US"/>
          </w:rPr>
          <w:t>//doi.org/10.1016/s0022-1759(</w:t>
        </w:r>
        <w:proofErr w:type="gramEnd"/>
        <w:r w:rsidRPr="002604BD">
          <w:rPr>
            <w:color w:val="4169E1"/>
            <w:lang w:val="en-US"/>
          </w:rPr>
          <w:t>98)00170-7</w:t>
        </w:r>
      </w:hyperlink>
      <w:hyperlink r:id="rId36">
        <w:r w:rsidRPr="002604BD">
          <w:rPr>
            <w:lang w:val="en-US"/>
          </w:rPr>
          <w:t>.</w:t>
        </w:r>
      </w:hyperlink>
    </w:p>
    <w:p w14:paraId="7FC22EE9" w14:textId="77777777" w:rsidR="009D64B7" w:rsidRPr="002604BD" w:rsidRDefault="008B75B9">
      <w:pPr>
        <w:ind w:left="336" w:right="14" w:hanging="291"/>
        <w:rPr>
          <w:lang w:val="en-US"/>
        </w:rPr>
      </w:pPr>
      <w:proofErr w:type="spellStart"/>
      <w:r w:rsidRPr="002604BD">
        <w:rPr>
          <w:lang w:val="en-US"/>
        </w:rPr>
        <w:t>Gastwirth</w:t>
      </w:r>
      <w:proofErr w:type="spellEnd"/>
      <w:r w:rsidRPr="002604BD">
        <w:rPr>
          <w:lang w:val="en-US"/>
        </w:rPr>
        <w:t xml:space="preserve">, Joseph L., </w:t>
      </w:r>
      <w:proofErr w:type="spellStart"/>
      <w:r w:rsidRPr="002604BD">
        <w:rPr>
          <w:lang w:val="en-US"/>
        </w:rPr>
        <w:t>Yulia</w:t>
      </w:r>
      <w:proofErr w:type="spellEnd"/>
      <w:r w:rsidRPr="002604BD">
        <w:rPr>
          <w:lang w:val="en-US"/>
        </w:rPr>
        <w:t xml:space="preserve"> R. Gel, and </w:t>
      </w:r>
      <w:proofErr w:type="spellStart"/>
      <w:r w:rsidRPr="002604BD">
        <w:rPr>
          <w:lang w:val="en-US"/>
        </w:rPr>
        <w:t>Weiwen</w:t>
      </w:r>
      <w:proofErr w:type="spellEnd"/>
      <w:r w:rsidRPr="002604BD">
        <w:rPr>
          <w:lang w:val="en-US"/>
        </w:rPr>
        <w:t xml:space="preserve"> Miao. 2009. “The Impact of </w:t>
      </w:r>
      <w:proofErr w:type="spellStart"/>
      <w:r w:rsidRPr="002604BD">
        <w:rPr>
          <w:lang w:val="en-US"/>
        </w:rPr>
        <w:t>Levene’s</w:t>
      </w:r>
      <w:proofErr w:type="spellEnd"/>
      <w:r w:rsidRPr="002604BD">
        <w:rPr>
          <w:lang w:val="en-US"/>
        </w:rPr>
        <w:t xml:space="preserve"> Test of Equality of Variances on Statistical Theory and Practice.” </w:t>
      </w:r>
      <w:r w:rsidRPr="002604BD">
        <w:rPr>
          <w:i/>
          <w:lang w:val="en-US"/>
        </w:rPr>
        <w:t xml:space="preserve">Statistical Science </w:t>
      </w:r>
      <w:r w:rsidRPr="002604BD">
        <w:rPr>
          <w:lang w:val="en-US"/>
        </w:rPr>
        <w:t xml:space="preserve">24 (3). </w:t>
      </w:r>
      <w:hyperlink r:id="rId37">
        <w:r w:rsidRPr="002604BD">
          <w:rPr>
            <w:color w:val="4169E1"/>
            <w:lang w:val="en-US"/>
          </w:rPr>
          <w:t>https://doi.org/10.1214/09</w:t>
        </w:r>
      </w:hyperlink>
      <w:hyperlink r:id="rId38">
        <w:r w:rsidRPr="002604BD">
          <w:rPr>
            <w:color w:val="4169E1"/>
            <w:lang w:val="en-US"/>
          </w:rPr>
          <w:t>sts301</w:t>
        </w:r>
      </w:hyperlink>
      <w:r w:rsidRPr="002604BD">
        <w:rPr>
          <w:lang w:val="en-US"/>
        </w:rPr>
        <w:t>.</w:t>
      </w:r>
    </w:p>
    <w:p w14:paraId="578EA4F7" w14:textId="77777777" w:rsidR="009D64B7" w:rsidRPr="002604BD" w:rsidRDefault="008B75B9">
      <w:pPr>
        <w:ind w:left="344" w:right="14" w:hanging="299"/>
        <w:rPr>
          <w:lang w:val="en-US"/>
        </w:rPr>
      </w:pPr>
      <w:r w:rsidRPr="002604BD">
        <w:rPr>
          <w:lang w:val="en-US"/>
        </w:rPr>
        <w:t xml:space="preserve">Gautam, Akash. 2022. </w:t>
      </w:r>
      <w:r w:rsidRPr="002604BD">
        <w:rPr>
          <w:i/>
          <w:lang w:val="en-US"/>
        </w:rPr>
        <w:t>DNA and RNA Isolation Techniques for Non-Experts</w:t>
      </w:r>
      <w:r w:rsidRPr="002604BD">
        <w:rPr>
          <w:lang w:val="en-US"/>
        </w:rPr>
        <w:t xml:space="preserve">. Springer International Publishing. </w:t>
      </w:r>
      <w:hyperlink r:id="rId39">
        <w:r w:rsidRPr="002604BD">
          <w:rPr>
            <w:color w:val="4169E1"/>
            <w:lang w:val="en-US"/>
          </w:rPr>
          <w:t>https://doi.org/10.1007/978-3-030-94230-4</w:t>
        </w:r>
      </w:hyperlink>
      <w:r w:rsidRPr="002604BD">
        <w:rPr>
          <w:lang w:val="en-US"/>
        </w:rPr>
        <w:t>.</w:t>
      </w:r>
    </w:p>
    <w:p w14:paraId="165B8F8B" w14:textId="77777777" w:rsidR="009D64B7" w:rsidRPr="002604BD" w:rsidRDefault="008B75B9">
      <w:pPr>
        <w:ind w:left="331" w:right="14" w:hanging="286"/>
        <w:rPr>
          <w:lang w:val="en-US"/>
        </w:rPr>
      </w:pPr>
      <w:proofErr w:type="spellStart"/>
      <w:r w:rsidRPr="002604BD">
        <w:rPr>
          <w:lang w:val="en-US"/>
        </w:rPr>
        <w:t>Gehrau</w:t>
      </w:r>
      <w:proofErr w:type="spellEnd"/>
      <w:r w:rsidRPr="002604BD">
        <w:rPr>
          <w:lang w:val="en-US"/>
        </w:rPr>
        <w:t xml:space="preserve">, Volker, Katharina </w:t>
      </w:r>
      <w:proofErr w:type="spellStart"/>
      <w:r w:rsidRPr="002604BD">
        <w:rPr>
          <w:lang w:val="en-US"/>
        </w:rPr>
        <w:t>Maubach</w:t>
      </w:r>
      <w:proofErr w:type="spellEnd"/>
      <w:r w:rsidRPr="002604BD">
        <w:rPr>
          <w:lang w:val="en-US"/>
        </w:rPr>
        <w:t xml:space="preserve">, and Sam </w:t>
      </w:r>
      <w:proofErr w:type="spellStart"/>
      <w:r w:rsidRPr="002604BD">
        <w:rPr>
          <w:lang w:val="en-US"/>
        </w:rPr>
        <w:t>Fujarski</w:t>
      </w:r>
      <w:proofErr w:type="spellEnd"/>
      <w:r w:rsidRPr="002604BD">
        <w:rPr>
          <w:lang w:val="en-US"/>
        </w:rPr>
        <w:t xml:space="preserve">. 2022. </w:t>
      </w:r>
      <w:r>
        <w:t xml:space="preserve">“Mittelwertvergleiche.” In </w:t>
      </w:r>
      <w:r>
        <w:rPr>
          <w:i/>
        </w:rPr>
        <w:t>Einfache Datenauswertung Mit r</w:t>
      </w:r>
      <w:r>
        <w:t xml:space="preserve">, 319–83. Springer Fachmedien Wiesbaden. </w:t>
      </w:r>
      <w:hyperlink r:id="rId40">
        <w:r w:rsidRPr="002604BD">
          <w:rPr>
            <w:color w:val="4169E1"/>
            <w:lang w:val="en-US"/>
          </w:rPr>
          <w:t>https://doi.org/10.1007/978-3-658-342</w:t>
        </w:r>
        <w:r w:rsidRPr="002604BD">
          <w:rPr>
            <w:color w:val="4169E1"/>
            <w:lang w:val="en-US"/>
          </w:rPr>
          <w:t>85-2_12</w:t>
        </w:r>
      </w:hyperlink>
      <w:r w:rsidRPr="002604BD">
        <w:rPr>
          <w:lang w:val="en-US"/>
        </w:rPr>
        <w:t>.</w:t>
      </w:r>
    </w:p>
    <w:p w14:paraId="519E8BFB" w14:textId="77777777" w:rsidR="009D64B7" w:rsidRPr="002604BD" w:rsidRDefault="008B75B9">
      <w:pPr>
        <w:ind w:left="344" w:right="14" w:hanging="299"/>
        <w:rPr>
          <w:lang w:val="en-US"/>
        </w:rPr>
      </w:pPr>
      <w:r w:rsidRPr="002604BD">
        <w:rPr>
          <w:lang w:val="en-US"/>
        </w:rPr>
        <w:lastRenderedPageBreak/>
        <w:t xml:space="preserve">González-Estrada, Elizabeth, José A. </w:t>
      </w:r>
      <w:proofErr w:type="spellStart"/>
      <w:r w:rsidRPr="002604BD">
        <w:rPr>
          <w:lang w:val="en-US"/>
        </w:rPr>
        <w:t>Villaseñor</w:t>
      </w:r>
      <w:proofErr w:type="spellEnd"/>
      <w:r w:rsidRPr="002604BD">
        <w:rPr>
          <w:lang w:val="en-US"/>
        </w:rPr>
        <w:t xml:space="preserve">, and </w:t>
      </w:r>
      <w:proofErr w:type="spellStart"/>
      <w:r w:rsidRPr="002604BD">
        <w:rPr>
          <w:lang w:val="en-US"/>
        </w:rPr>
        <w:t>Rocı́o</w:t>
      </w:r>
      <w:proofErr w:type="spellEnd"/>
      <w:r w:rsidRPr="002604BD">
        <w:rPr>
          <w:lang w:val="en-US"/>
        </w:rPr>
        <w:t xml:space="preserve"> Acosta-</w:t>
      </w:r>
      <w:proofErr w:type="spellStart"/>
      <w:r w:rsidRPr="002604BD">
        <w:rPr>
          <w:lang w:val="en-US"/>
        </w:rPr>
        <w:t>Pech</w:t>
      </w:r>
      <w:proofErr w:type="spellEnd"/>
      <w:r w:rsidRPr="002604BD">
        <w:rPr>
          <w:lang w:val="en-US"/>
        </w:rPr>
        <w:t xml:space="preserve">. </w:t>
      </w:r>
      <w:r>
        <w:t xml:space="preserve">2022. “Shapiro-Wilk Test </w:t>
      </w:r>
      <w:proofErr w:type="spellStart"/>
      <w:r>
        <w:t>for</w:t>
      </w:r>
      <w:proofErr w:type="spellEnd"/>
      <w:r>
        <w:t xml:space="preserve"> Multivariate </w:t>
      </w:r>
      <w:proofErr w:type="spellStart"/>
      <w:r>
        <w:t>Skew-Normality</w:t>
      </w:r>
      <w:proofErr w:type="spellEnd"/>
      <w:r>
        <w:t xml:space="preserve">.” </w:t>
      </w:r>
      <w:r w:rsidRPr="002604BD">
        <w:rPr>
          <w:i/>
          <w:lang w:val="en-US"/>
        </w:rPr>
        <w:t xml:space="preserve">Computational Statistics </w:t>
      </w:r>
      <w:r w:rsidRPr="002604BD">
        <w:rPr>
          <w:lang w:val="en-US"/>
        </w:rPr>
        <w:t xml:space="preserve">37 (4): 1985–2001. </w:t>
      </w:r>
      <w:hyperlink r:id="rId41">
        <w:r w:rsidRPr="002604BD">
          <w:rPr>
            <w:color w:val="4169E1"/>
            <w:lang w:val="en-US"/>
          </w:rPr>
          <w:t>https://doi.org/10.1007/s00180</w:t>
        </w:r>
      </w:hyperlink>
      <w:hyperlink r:id="rId42">
        <w:r w:rsidRPr="002604BD">
          <w:rPr>
            <w:color w:val="4169E1"/>
            <w:lang w:val="en-US"/>
          </w:rPr>
          <w:t>021-01188-y</w:t>
        </w:r>
      </w:hyperlink>
      <w:r w:rsidRPr="002604BD">
        <w:rPr>
          <w:lang w:val="en-US"/>
        </w:rPr>
        <w:t>.</w:t>
      </w:r>
    </w:p>
    <w:p w14:paraId="4A6CF6C6" w14:textId="77777777" w:rsidR="009D64B7" w:rsidRDefault="008B75B9">
      <w:pPr>
        <w:ind w:left="344" w:right="14" w:hanging="299"/>
      </w:pPr>
      <w:r w:rsidRPr="002604BD">
        <w:rPr>
          <w:lang w:val="en-US"/>
        </w:rPr>
        <w:t>Higgins, Matthew, Matt Ravenhall, Daniel Ward, Jody Phela</w:t>
      </w:r>
      <w:r w:rsidRPr="002604BD">
        <w:rPr>
          <w:lang w:val="en-US"/>
        </w:rPr>
        <w:t xml:space="preserve">n, Amy Ibrahim, Matthew S Forrest, </w:t>
      </w:r>
      <w:proofErr w:type="spellStart"/>
      <w:r w:rsidRPr="002604BD">
        <w:rPr>
          <w:lang w:val="en-US"/>
        </w:rPr>
        <w:t>Taane</w:t>
      </w:r>
      <w:proofErr w:type="spellEnd"/>
      <w:r w:rsidRPr="002604BD">
        <w:rPr>
          <w:lang w:val="en-US"/>
        </w:rPr>
        <w:t xml:space="preserve"> G Clark, and Susana </w:t>
      </w:r>
      <w:proofErr w:type="spellStart"/>
      <w:r w:rsidRPr="002604BD">
        <w:rPr>
          <w:lang w:val="en-US"/>
        </w:rPr>
        <w:t>Campino</w:t>
      </w:r>
      <w:proofErr w:type="spellEnd"/>
      <w:r w:rsidRPr="002604BD">
        <w:rPr>
          <w:lang w:val="en-US"/>
        </w:rPr>
        <w:t>. 2018. “</w:t>
      </w:r>
      <w:proofErr w:type="spellStart"/>
      <w:r w:rsidRPr="002604BD">
        <w:rPr>
          <w:lang w:val="en-US"/>
        </w:rPr>
        <w:t>PrimedRPA</w:t>
      </w:r>
      <w:proofErr w:type="spellEnd"/>
      <w:r w:rsidRPr="002604BD">
        <w:rPr>
          <w:lang w:val="en-US"/>
        </w:rPr>
        <w:t xml:space="preserve">: Primer Design for Recombinase Polymerase Amplification Assays.” Edited by John Hancock. </w:t>
      </w:r>
      <w:r w:rsidRPr="002604BD">
        <w:rPr>
          <w:i/>
          <w:lang w:val="en-US"/>
        </w:rPr>
        <w:t xml:space="preserve">Bioinformatics </w:t>
      </w:r>
      <w:r w:rsidRPr="002604BD">
        <w:rPr>
          <w:lang w:val="en-US"/>
        </w:rPr>
        <w:t xml:space="preserve">35 (4): 682–84. </w:t>
      </w:r>
      <w:hyperlink r:id="rId43">
        <w:r>
          <w:rPr>
            <w:color w:val="4169E1"/>
          </w:rPr>
          <w:t xml:space="preserve">https://doi.org/10.1093/bioinfor </w:t>
        </w:r>
      </w:hyperlink>
      <w:hyperlink r:id="rId44">
        <w:proofErr w:type="spellStart"/>
        <w:r>
          <w:rPr>
            <w:color w:val="4169E1"/>
          </w:rPr>
          <w:t>matics</w:t>
        </w:r>
        <w:proofErr w:type="spellEnd"/>
        <w:r>
          <w:rPr>
            <w:color w:val="4169E1"/>
          </w:rPr>
          <w:t>/bty701</w:t>
        </w:r>
      </w:hyperlink>
      <w:r>
        <w:t>.</w:t>
      </w:r>
    </w:p>
    <w:p w14:paraId="5143D48F" w14:textId="77777777" w:rsidR="009D64B7" w:rsidRPr="002604BD" w:rsidRDefault="008B75B9">
      <w:pPr>
        <w:ind w:left="349" w:right="14" w:hanging="304"/>
        <w:rPr>
          <w:lang w:val="en-US"/>
        </w:rPr>
      </w:pPr>
      <w:r>
        <w:t>Johnston, Andrew D., Jennifer Lu, Ke-</w:t>
      </w:r>
      <w:proofErr w:type="spellStart"/>
      <w:r>
        <w:t>lin</w:t>
      </w:r>
      <w:proofErr w:type="spellEnd"/>
      <w:r>
        <w:t xml:space="preserve"> </w:t>
      </w:r>
      <w:proofErr w:type="spellStart"/>
      <w:r>
        <w:t>Ru</w:t>
      </w:r>
      <w:proofErr w:type="spellEnd"/>
      <w:r>
        <w:t xml:space="preserve">, Darren </w:t>
      </w:r>
      <w:proofErr w:type="spellStart"/>
      <w:r>
        <w:t>Korbie</w:t>
      </w:r>
      <w:proofErr w:type="spellEnd"/>
      <w:r>
        <w:t>,</w:t>
      </w:r>
      <w:r>
        <w:t xml:space="preserve"> and Matt Trau. 2019. “</w:t>
      </w:r>
      <w:proofErr w:type="spellStart"/>
      <w:r>
        <w:t>PrimerROC</w:t>
      </w:r>
      <w:proofErr w:type="spellEnd"/>
      <w:r>
        <w:t xml:space="preserve">: </w:t>
      </w:r>
      <w:proofErr w:type="spellStart"/>
      <w:r>
        <w:t>Accurate</w:t>
      </w:r>
      <w:proofErr w:type="spellEnd"/>
      <w:r>
        <w:t xml:space="preserve"> </w:t>
      </w:r>
      <w:proofErr w:type="spellStart"/>
      <w:r>
        <w:t>Condition</w:t>
      </w:r>
      <w:proofErr w:type="spellEnd"/>
      <w:r>
        <w:t xml:space="preserve">-Independent Dimer </w:t>
      </w:r>
      <w:proofErr w:type="spellStart"/>
      <w:r>
        <w:t>Prediction</w:t>
      </w:r>
      <w:proofErr w:type="spellEnd"/>
      <w:r>
        <w:t xml:space="preserve"> </w:t>
      </w:r>
      <w:proofErr w:type="spellStart"/>
      <w:r>
        <w:t>Using</w:t>
      </w:r>
      <w:proofErr w:type="spellEnd"/>
      <w:r>
        <w:t xml:space="preserve"> ROC Analysis.” </w:t>
      </w:r>
      <w:r w:rsidRPr="002604BD">
        <w:rPr>
          <w:i/>
          <w:lang w:val="en-US"/>
        </w:rPr>
        <w:t xml:space="preserve">Scientific Reports </w:t>
      </w:r>
      <w:r w:rsidRPr="002604BD">
        <w:rPr>
          <w:lang w:val="en-US"/>
        </w:rPr>
        <w:t xml:space="preserve">9 (1). </w:t>
      </w:r>
      <w:hyperlink r:id="rId45">
        <w:r w:rsidRPr="002604BD">
          <w:rPr>
            <w:color w:val="4169E1"/>
            <w:lang w:val="en-US"/>
          </w:rPr>
          <w:t xml:space="preserve">https://doi.or </w:t>
        </w:r>
      </w:hyperlink>
      <w:hyperlink r:id="rId46">
        <w:r w:rsidRPr="002604BD">
          <w:rPr>
            <w:color w:val="4169E1"/>
            <w:lang w:val="en-US"/>
          </w:rPr>
          <w:t>g/10.1038/s41598-018-36612-9</w:t>
        </w:r>
      </w:hyperlink>
      <w:r w:rsidRPr="002604BD">
        <w:rPr>
          <w:lang w:val="en-US"/>
        </w:rPr>
        <w:t>.</w:t>
      </w:r>
    </w:p>
    <w:p w14:paraId="323E487E" w14:textId="77777777" w:rsidR="009D64B7" w:rsidRDefault="008B75B9">
      <w:pPr>
        <w:spacing w:after="52" w:line="259" w:lineRule="auto"/>
        <w:ind w:left="47" w:right="14"/>
      </w:pPr>
      <w:r w:rsidRPr="002604BD">
        <w:rPr>
          <w:lang w:val="en-US"/>
        </w:rPr>
        <w:t xml:space="preserve">Jones, Laurie J., Stephen T. Yue, Ching-Ying Cheung, and Victoria L. Singer. </w:t>
      </w:r>
      <w:r>
        <w:t xml:space="preserve">1998. “RNA </w:t>
      </w:r>
      <w:proofErr w:type="spellStart"/>
      <w:r>
        <w:t>Quantitation</w:t>
      </w:r>
      <w:proofErr w:type="spellEnd"/>
      <w:r>
        <w:t xml:space="preserve"> </w:t>
      </w:r>
      <w:proofErr w:type="spellStart"/>
      <w:r>
        <w:t>by</w:t>
      </w:r>
      <w:proofErr w:type="spellEnd"/>
    </w:p>
    <w:p w14:paraId="1A6FDBBF" w14:textId="77777777" w:rsidR="009D64B7" w:rsidRDefault="008B75B9">
      <w:pPr>
        <w:spacing w:after="61" w:line="259" w:lineRule="auto"/>
        <w:ind w:left="361" w:right="14"/>
      </w:pPr>
      <w:r w:rsidRPr="002604BD">
        <w:rPr>
          <w:lang w:val="en-US"/>
        </w:rPr>
        <w:t xml:space="preserve">Fluorescence-Based Solution Assay: </w:t>
      </w:r>
      <w:proofErr w:type="spellStart"/>
      <w:r w:rsidRPr="002604BD">
        <w:rPr>
          <w:lang w:val="en-US"/>
        </w:rPr>
        <w:t>RiboGree</w:t>
      </w:r>
      <w:r w:rsidRPr="002604BD">
        <w:rPr>
          <w:lang w:val="en-US"/>
        </w:rPr>
        <w:t>n</w:t>
      </w:r>
      <w:proofErr w:type="spellEnd"/>
      <w:r w:rsidRPr="002604BD">
        <w:rPr>
          <w:lang w:val="en-US"/>
        </w:rPr>
        <w:t xml:space="preserve"> Reagent Characterization.” </w:t>
      </w:r>
      <w:r>
        <w:rPr>
          <w:i/>
        </w:rPr>
        <w:t xml:space="preserve">Analytical </w:t>
      </w:r>
      <w:proofErr w:type="spellStart"/>
      <w:r>
        <w:rPr>
          <w:i/>
        </w:rPr>
        <w:t>Biochemistry</w:t>
      </w:r>
      <w:proofErr w:type="spellEnd"/>
      <w:r>
        <w:rPr>
          <w:i/>
        </w:rPr>
        <w:t xml:space="preserve"> </w:t>
      </w:r>
      <w:r>
        <w:t>265</w:t>
      </w:r>
    </w:p>
    <w:p w14:paraId="504DFD49" w14:textId="77777777" w:rsidR="009D64B7" w:rsidRDefault="008B75B9">
      <w:pPr>
        <w:spacing w:after="56" w:line="259" w:lineRule="auto"/>
        <w:ind w:left="344" w:right="0" w:firstLine="10"/>
        <w:jc w:val="left"/>
      </w:pPr>
      <w:r>
        <w:t xml:space="preserve">(2): 368–74. </w:t>
      </w:r>
      <w:hyperlink r:id="rId47">
        <w:r>
          <w:rPr>
            <w:color w:val="4169E1"/>
          </w:rPr>
          <w:t>https://doi.org/10.1006/abio.1998.2914</w:t>
        </w:r>
      </w:hyperlink>
      <w:hyperlink r:id="rId48">
        <w:r>
          <w:t>.</w:t>
        </w:r>
      </w:hyperlink>
    </w:p>
    <w:p w14:paraId="5AFABD9F" w14:textId="77777777" w:rsidR="009D64B7" w:rsidRDefault="008B75B9">
      <w:pPr>
        <w:ind w:left="344" w:right="14" w:hanging="299"/>
      </w:pPr>
      <w:r>
        <w:t xml:space="preserve">Kück, Ulrich. 2005. “PCR-Analytik.” In </w:t>
      </w:r>
      <w:r>
        <w:rPr>
          <w:i/>
        </w:rPr>
        <w:t>Praktikum Der Molekulargenetik</w:t>
      </w:r>
      <w:r>
        <w:t xml:space="preserve">, 221–45. Springer Berlin Heidelberg. </w:t>
      </w:r>
      <w:hyperlink r:id="rId49">
        <w:r>
          <w:rPr>
            <w:color w:val="4169E1"/>
          </w:rPr>
          <w:t>https://doi.org/10.1007/3-540-26469-8_4</w:t>
        </w:r>
      </w:hyperlink>
      <w:r>
        <w:t>.</w:t>
      </w:r>
    </w:p>
    <w:p w14:paraId="60497060" w14:textId="77777777" w:rsidR="009D64B7" w:rsidRPr="002604BD" w:rsidRDefault="008B75B9">
      <w:pPr>
        <w:ind w:left="339" w:right="14" w:hanging="294"/>
        <w:rPr>
          <w:lang w:val="en-US"/>
        </w:rPr>
      </w:pPr>
      <w:r>
        <w:t xml:space="preserve">Kuckartz, Udo, Stefan </w:t>
      </w:r>
      <w:proofErr w:type="spellStart"/>
      <w:r>
        <w:t>Rädiker</w:t>
      </w:r>
      <w:proofErr w:type="spellEnd"/>
      <w:r>
        <w:t xml:space="preserve">, Thomas Ebert, and Julia </w:t>
      </w:r>
      <w:proofErr w:type="spellStart"/>
      <w:r>
        <w:t>Schehl</w:t>
      </w:r>
      <w:proofErr w:type="spellEnd"/>
      <w:r>
        <w:t xml:space="preserve">. 2010. “T-Test: Zwei Mittelwerte Vergleichen.” In </w:t>
      </w:r>
      <w:r>
        <w:rPr>
          <w:i/>
        </w:rPr>
        <w:t>Statistik</w:t>
      </w:r>
      <w:r>
        <w:t>, 147–66. VS Verlag fü</w:t>
      </w:r>
      <w:r>
        <w:t xml:space="preserve">r Sozialwissenschaften. </w:t>
      </w:r>
      <w:hyperlink r:id="rId50">
        <w:r w:rsidRPr="002604BD">
          <w:rPr>
            <w:color w:val="4169E1"/>
            <w:lang w:val="en-US"/>
          </w:rPr>
          <w:t>https://doi.org/10.1007/978-3-531-92033</w:t>
        </w:r>
      </w:hyperlink>
      <w:hyperlink r:id="rId51">
        <w:r w:rsidRPr="002604BD">
          <w:rPr>
            <w:color w:val="4169E1"/>
            <w:lang w:val="en-US"/>
          </w:rPr>
          <w:t>7_7</w:t>
        </w:r>
      </w:hyperlink>
      <w:r w:rsidRPr="002604BD">
        <w:rPr>
          <w:lang w:val="en-US"/>
        </w:rPr>
        <w:t>.</w:t>
      </w:r>
    </w:p>
    <w:p w14:paraId="7C68F720" w14:textId="77777777" w:rsidR="009D64B7" w:rsidRDefault="008B75B9">
      <w:pPr>
        <w:spacing w:after="52" w:line="259" w:lineRule="auto"/>
        <w:ind w:left="47" w:right="14"/>
      </w:pPr>
      <w:proofErr w:type="spellStart"/>
      <w:r w:rsidRPr="002604BD">
        <w:rPr>
          <w:lang w:val="en-US"/>
        </w:rPr>
        <w:t>Lázaro</w:t>
      </w:r>
      <w:proofErr w:type="spellEnd"/>
      <w:r w:rsidRPr="002604BD">
        <w:rPr>
          <w:lang w:val="en-US"/>
        </w:rPr>
        <w:t xml:space="preserve">, Ana, Luis A. </w:t>
      </w:r>
      <w:proofErr w:type="spellStart"/>
      <w:r w:rsidRPr="002604BD">
        <w:rPr>
          <w:lang w:val="en-US"/>
        </w:rPr>
        <w:t>Tortajada</w:t>
      </w:r>
      <w:proofErr w:type="spellEnd"/>
      <w:r w:rsidRPr="002604BD">
        <w:rPr>
          <w:lang w:val="en-US"/>
        </w:rPr>
        <w:t xml:space="preserve">-Genaro, and </w:t>
      </w:r>
      <w:proofErr w:type="spellStart"/>
      <w:r w:rsidRPr="002604BD">
        <w:rPr>
          <w:lang w:val="en-US"/>
        </w:rPr>
        <w:t>Ángel</w:t>
      </w:r>
      <w:proofErr w:type="spellEnd"/>
      <w:r w:rsidRPr="002604BD">
        <w:rPr>
          <w:lang w:val="en-US"/>
        </w:rPr>
        <w:t xml:space="preserve"> </w:t>
      </w:r>
      <w:proofErr w:type="spellStart"/>
      <w:r w:rsidRPr="002604BD">
        <w:rPr>
          <w:lang w:val="en-US"/>
        </w:rPr>
        <w:t>Maquieira</w:t>
      </w:r>
      <w:proofErr w:type="spellEnd"/>
      <w:r w:rsidRPr="002604BD">
        <w:rPr>
          <w:lang w:val="en-US"/>
        </w:rPr>
        <w:t xml:space="preserve">. </w:t>
      </w:r>
      <w:r>
        <w:t xml:space="preserve">2021. “Enhanced </w:t>
      </w:r>
      <w:proofErr w:type="spellStart"/>
      <w:r>
        <w:t>Asymmetric</w:t>
      </w:r>
      <w:proofErr w:type="spellEnd"/>
      <w:r>
        <w:t xml:space="preserve"> </w:t>
      </w:r>
      <w:proofErr w:type="spellStart"/>
      <w:r>
        <w:t>Blocked</w:t>
      </w:r>
      <w:proofErr w:type="spellEnd"/>
      <w:r>
        <w:t xml:space="preserve"> qPCR</w:t>
      </w:r>
    </w:p>
    <w:p w14:paraId="61DD882D" w14:textId="77777777" w:rsidR="009D64B7" w:rsidRPr="002604BD" w:rsidRDefault="008B75B9">
      <w:pPr>
        <w:ind w:left="340" w:right="14"/>
        <w:rPr>
          <w:lang w:val="en-US"/>
        </w:rPr>
      </w:pPr>
      <w:r w:rsidRPr="002604BD">
        <w:rPr>
          <w:lang w:val="en-US"/>
        </w:rPr>
        <w:t xml:space="preserve">Method for Affordable Detection of Point Mutations in KRAS Oncogene.” </w:t>
      </w:r>
      <w:r w:rsidRPr="002604BD">
        <w:rPr>
          <w:i/>
          <w:lang w:val="en-US"/>
        </w:rPr>
        <w:t xml:space="preserve">Analytical and Bioanalytical Chemistry </w:t>
      </w:r>
      <w:r w:rsidRPr="002604BD">
        <w:rPr>
          <w:lang w:val="en-US"/>
        </w:rPr>
        <w:t xml:space="preserve">413 (11): 2961–69. </w:t>
      </w:r>
      <w:hyperlink r:id="rId52">
        <w:r w:rsidRPr="002604BD">
          <w:rPr>
            <w:color w:val="4169E1"/>
            <w:lang w:val="en-US"/>
          </w:rPr>
          <w:t>https://doi.org/10.1007/s00216-021-03229-3</w:t>
        </w:r>
      </w:hyperlink>
      <w:r w:rsidRPr="002604BD">
        <w:rPr>
          <w:lang w:val="en-US"/>
        </w:rPr>
        <w:t>.</w:t>
      </w:r>
    </w:p>
    <w:p w14:paraId="0ABE0270" w14:textId="77777777" w:rsidR="009D64B7" w:rsidRDefault="008B75B9">
      <w:pPr>
        <w:ind w:left="333" w:right="14" w:hanging="288"/>
      </w:pPr>
      <w:r w:rsidRPr="002604BD">
        <w:rPr>
          <w:lang w:val="en-US"/>
        </w:rPr>
        <w:t xml:space="preserve">Lee, </w:t>
      </w:r>
      <w:proofErr w:type="spellStart"/>
      <w:r w:rsidRPr="002604BD">
        <w:rPr>
          <w:lang w:val="en-US"/>
        </w:rPr>
        <w:t>Sangseok</w:t>
      </w:r>
      <w:proofErr w:type="spellEnd"/>
      <w:r w:rsidRPr="002604BD">
        <w:rPr>
          <w:lang w:val="en-US"/>
        </w:rPr>
        <w:t xml:space="preserve">, and Dong Kyu Lee. 2018. “What Is the Proper Way to Apply the Multiple Comparison Test?” </w:t>
      </w:r>
      <w:r w:rsidRPr="002604BD">
        <w:rPr>
          <w:i/>
          <w:lang w:val="en-US"/>
        </w:rPr>
        <w:t xml:space="preserve">Korean Journal of Anesthesiology </w:t>
      </w:r>
      <w:r w:rsidRPr="002604BD">
        <w:rPr>
          <w:lang w:val="en-US"/>
        </w:rPr>
        <w:t xml:space="preserve">71 (5): 353–60. </w:t>
      </w:r>
      <w:hyperlink r:id="rId53">
        <w:r>
          <w:rPr>
            <w:color w:val="4169E1"/>
          </w:rPr>
          <w:t>https://doi.org/10.4097/kja.d.18.00242</w:t>
        </w:r>
      </w:hyperlink>
      <w:r>
        <w:t>.</w:t>
      </w:r>
    </w:p>
    <w:p w14:paraId="36703F3B" w14:textId="77777777" w:rsidR="009D64B7" w:rsidRPr="002604BD" w:rsidRDefault="008B75B9">
      <w:pPr>
        <w:spacing w:after="50" w:line="259" w:lineRule="auto"/>
        <w:ind w:left="47" w:right="14"/>
        <w:rPr>
          <w:lang w:val="en-US"/>
        </w:rPr>
      </w:pPr>
      <w:r w:rsidRPr="002604BD">
        <w:rPr>
          <w:lang w:val="en-US"/>
        </w:rPr>
        <w:t xml:space="preserve">Lillis, Lorraine, Joshua </w:t>
      </w:r>
      <w:proofErr w:type="spellStart"/>
      <w:r w:rsidRPr="002604BD">
        <w:rPr>
          <w:lang w:val="en-US"/>
        </w:rPr>
        <w:t>Siverson</w:t>
      </w:r>
      <w:proofErr w:type="spellEnd"/>
      <w:r w:rsidRPr="002604BD">
        <w:rPr>
          <w:lang w:val="en-US"/>
        </w:rPr>
        <w:t xml:space="preserve">, Arthur Lee, Jason Cantera, Mathew Parker, Olaf </w:t>
      </w:r>
      <w:proofErr w:type="spellStart"/>
      <w:r w:rsidRPr="002604BD">
        <w:rPr>
          <w:lang w:val="en-US"/>
        </w:rPr>
        <w:t>Piepenburg</w:t>
      </w:r>
      <w:proofErr w:type="spellEnd"/>
      <w:r w:rsidRPr="002604BD">
        <w:rPr>
          <w:lang w:val="en-US"/>
        </w:rPr>
        <w:t>, Dara A.</w:t>
      </w:r>
    </w:p>
    <w:p w14:paraId="0B368B49" w14:textId="77777777" w:rsidR="009D64B7" w:rsidRPr="002604BD" w:rsidRDefault="008B75B9">
      <w:pPr>
        <w:spacing w:after="52" w:line="259" w:lineRule="auto"/>
        <w:ind w:left="361" w:right="14"/>
        <w:rPr>
          <w:lang w:val="en-US"/>
        </w:rPr>
      </w:pPr>
      <w:r w:rsidRPr="002604BD">
        <w:rPr>
          <w:lang w:val="en-US"/>
        </w:rPr>
        <w:t>Lehman, and David S. Boyle. 2016. “Factors Influencing Recombinase Polymerase Amplification (RPA)</w:t>
      </w:r>
    </w:p>
    <w:p w14:paraId="468A229F" w14:textId="77777777" w:rsidR="009D64B7" w:rsidRPr="002604BD" w:rsidRDefault="008B75B9">
      <w:pPr>
        <w:ind w:left="353" w:right="14"/>
        <w:rPr>
          <w:lang w:val="en-US"/>
        </w:rPr>
      </w:pPr>
      <w:r w:rsidRPr="002604BD">
        <w:rPr>
          <w:lang w:val="en-US"/>
        </w:rPr>
        <w:t>Assay Outcomes at Point of Ca</w:t>
      </w:r>
      <w:r w:rsidRPr="002604BD">
        <w:rPr>
          <w:lang w:val="en-US"/>
        </w:rPr>
        <w:t xml:space="preserve">re.” </w:t>
      </w:r>
      <w:r w:rsidRPr="002604BD">
        <w:rPr>
          <w:i/>
          <w:lang w:val="en-US"/>
        </w:rPr>
        <w:t xml:space="preserve">Molecular and Cellular Probes </w:t>
      </w:r>
      <w:r w:rsidRPr="002604BD">
        <w:rPr>
          <w:lang w:val="en-US"/>
        </w:rPr>
        <w:t xml:space="preserve">30 (2): 74–78. </w:t>
      </w:r>
      <w:hyperlink r:id="rId54">
        <w:r w:rsidRPr="002604BD">
          <w:rPr>
            <w:color w:val="4169E1"/>
            <w:lang w:val="en-US"/>
          </w:rPr>
          <w:t xml:space="preserve">https://doi.org/10.101 </w:t>
        </w:r>
      </w:hyperlink>
      <w:hyperlink r:id="rId55">
        <w:r w:rsidRPr="002604BD">
          <w:rPr>
            <w:color w:val="4169E1"/>
            <w:lang w:val="en-US"/>
          </w:rPr>
          <w:t>6/j.mcp.2016.01.009</w:t>
        </w:r>
      </w:hyperlink>
      <w:r w:rsidRPr="002604BD">
        <w:rPr>
          <w:lang w:val="en-US"/>
        </w:rPr>
        <w:t>.</w:t>
      </w:r>
    </w:p>
    <w:p w14:paraId="3C5F02F5" w14:textId="77777777" w:rsidR="009D64B7" w:rsidRDefault="008B75B9">
      <w:pPr>
        <w:ind w:left="344" w:right="14" w:hanging="299"/>
      </w:pPr>
      <w:r w:rsidRPr="002604BD">
        <w:rPr>
          <w:lang w:val="en-US"/>
        </w:rPr>
        <w:t xml:space="preserve">Mann, H. B., and D. R. Whitney. 1947. “On a Test of Whether One of Two Random Variables Is Stochastically Larger Than the Other.” </w:t>
      </w:r>
      <w:r w:rsidRPr="002604BD">
        <w:rPr>
          <w:i/>
          <w:lang w:val="en-US"/>
        </w:rPr>
        <w:t>The Annals of</w:t>
      </w:r>
      <w:r w:rsidRPr="002604BD">
        <w:rPr>
          <w:i/>
          <w:lang w:val="en-US"/>
        </w:rPr>
        <w:t xml:space="preserve"> Mathematical Statistics </w:t>
      </w:r>
      <w:r w:rsidRPr="002604BD">
        <w:rPr>
          <w:lang w:val="en-US"/>
        </w:rPr>
        <w:t xml:space="preserve">18 (1): 50–60. </w:t>
      </w:r>
      <w:hyperlink r:id="rId56">
        <w:r>
          <w:rPr>
            <w:color w:val="4169E1"/>
          </w:rPr>
          <w:t xml:space="preserve">https://doi.org/10.1214/ </w:t>
        </w:r>
      </w:hyperlink>
      <w:hyperlink r:id="rId57">
        <w:proofErr w:type="spellStart"/>
        <w:r>
          <w:rPr>
            <w:color w:val="4169E1"/>
          </w:rPr>
          <w:t>aoms</w:t>
        </w:r>
        <w:proofErr w:type="spellEnd"/>
        <w:r>
          <w:rPr>
            <w:color w:val="4169E1"/>
          </w:rPr>
          <w:t>/1177730491</w:t>
        </w:r>
      </w:hyperlink>
      <w:r>
        <w:t>.</w:t>
      </w:r>
    </w:p>
    <w:p w14:paraId="240138A3" w14:textId="77777777" w:rsidR="009D64B7" w:rsidRDefault="008B75B9">
      <w:pPr>
        <w:ind w:left="344" w:right="14" w:hanging="299"/>
      </w:pPr>
      <w:proofErr w:type="spellStart"/>
      <w:r>
        <w:t>Mülhardt</w:t>
      </w:r>
      <w:proofErr w:type="spellEnd"/>
      <w:r>
        <w:t xml:space="preserve">, Cornel. 2009. </w:t>
      </w:r>
      <w:r>
        <w:rPr>
          <w:i/>
        </w:rPr>
        <w:t xml:space="preserve">Der Experimentator: Molekularbiologie/ </w:t>
      </w:r>
      <w:proofErr w:type="spellStart"/>
      <w:r>
        <w:rPr>
          <w:i/>
        </w:rPr>
        <w:t>Genomics</w:t>
      </w:r>
      <w:proofErr w:type="spellEnd"/>
      <w:r>
        <w:t xml:space="preserve">. Spektrum Akademischer Verlag. </w:t>
      </w:r>
      <w:hyperlink r:id="rId58">
        <w:r>
          <w:rPr>
            <w:color w:val="4169E1"/>
          </w:rPr>
          <w:t>https://doi.org/10.1007/978-3-8274-2158-6</w:t>
        </w:r>
      </w:hyperlink>
      <w:r>
        <w:t>.</w:t>
      </w:r>
    </w:p>
    <w:p w14:paraId="5DE69191" w14:textId="77777777" w:rsidR="009D64B7" w:rsidRDefault="008B75B9">
      <w:pPr>
        <w:ind w:left="333" w:right="14" w:hanging="288"/>
      </w:pPr>
      <w:r>
        <w:t>NCIRD</w:t>
      </w:r>
      <w:r>
        <w:t xml:space="preserve">. 2021. </w:t>
      </w:r>
      <w:r w:rsidRPr="002604BD">
        <w:rPr>
          <w:lang w:val="en-US"/>
        </w:rPr>
        <w:t>“National Center for Immunization and Respiratory Diseases (</w:t>
      </w:r>
      <w:proofErr w:type="spellStart"/>
      <w:r w:rsidRPr="002604BD">
        <w:rPr>
          <w:lang w:val="en-US"/>
        </w:rPr>
        <w:t>u.s.</w:t>
      </w:r>
      <w:proofErr w:type="spellEnd"/>
      <w:r w:rsidRPr="002604BD">
        <w:rPr>
          <w:lang w:val="en-US"/>
        </w:rPr>
        <w:t xml:space="preserve">).” </w:t>
      </w:r>
      <w:r w:rsidRPr="002604BD">
        <w:rPr>
          <w:i/>
          <w:lang w:val="en-US"/>
        </w:rPr>
        <w:t>Research Use Only CDC Flu Sc2 Multiplex Assay Primers and Probes</w:t>
      </w:r>
      <w:r w:rsidRPr="002604BD">
        <w:rPr>
          <w:lang w:val="en-US"/>
        </w:rPr>
        <w:t xml:space="preserve">, July. </w:t>
      </w:r>
      <w:hyperlink r:id="rId59">
        <w:r>
          <w:rPr>
            <w:color w:val="4169E1"/>
          </w:rPr>
          <w:t>https://stacks.cdc.gov/view/cdc/107944</w:t>
        </w:r>
      </w:hyperlink>
      <w:r>
        <w:t>.</w:t>
      </w:r>
    </w:p>
    <w:p w14:paraId="716B4509" w14:textId="77777777" w:rsidR="009D64B7" w:rsidRDefault="008B75B9">
      <w:pPr>
        <w:ind w:left="316" w:right="14" w:hanging="271"/>
      </w:pPr>
      <w:proofErr w:type="spellStart"/>
      <w:r>
        <w:t>Pabinger</w:t>
      </w:r>
      <w:proofErr w:type="spellEnd"/>
      <w:r>
        <w:t xml:space="preserve">, Stephan, Stefan Rödiger, Albert </w:t>
      </w:r>
      <w:proofErr w:type="spellStart"/>
      <w:r>
        <w:t>Kriegner</w:t>
      </w:r>
      <w:proofErr w:type="spellEnd"/>
      <w:r>
        <w:t xml:space="preserve">, Klemens </w:t>
      </w:r>
      <w:proofErr w:type="spellStart"/>
      <w:r>
        <w:t>Vierlinger</w:t>
      </w:r>
      <w:proofErr w:type="spellEnd"/>
      <w:r>
        <w:t xml:space="preserve">, and Andreas Weinhäusel. </w:t>
      </w:r>
      <w:r w:rsidRPr="002604BD">
        <w:rPr>
          <w:lang w:val="en-US"/>
        </w:rPr>
        <w:t xml:space="preserve">2014. “A Survey of Tools for the Analysis of Quantitative PCR (qPCR) Data.” </w:t>
      </w:r>
      <w:r w:rsidRPr="002604BD">
        <w:rPr>
          <w:i/>
          <w:lang w:val="en-US"/>
        </w:rPr>
        <w:t xml:space="preserve">Biomolecular Detection and Quantification </w:t>
      </w:r>
      <w:r w:rsidRPr="002604BD">
        <w:rPr>
          <w:lang w:val="en-US"/>
        </w:rPr>
        <w:t xml:space="preserve">1 (1): 23–33. </w:t>
      </w:r>
      <w:hyperlink r:id="rId60">
        <w:r>
          <w:rPr>
            <w:color w:val="4169E1"/>
          </w:rPr>
          <w:t>https://doi.org/10.1016/j.bdq.2014.08.002</w:t>
        </w:r>
      </w:hyperlink>
      <w:r>
        <w:t>.</w:t>
      </w:r>
    </w:p>
    <w:p w14:paraId="3B44508C" w14:textId="77777777" w:rsidR="009D64B7" w:rsidRPr="002604BD" w:rsidRDefault="008B75B9">
      <w:pPr>
        <w:ind w:left="344" w:right="14" w:hanging="299"/>
        <w:rPr>
          <w:lang w:val="en-US"/>
        </w:rPr>
      </w:pPr>
      <w:proofErr w:type="spellStart"/>
      <w:r w:rsidRPr="002604BD">
        <w:rPr>
          <w:lang w:val="en-US"/>
        </w:rPr>
        <w:t>Prazeres</w:t>
      </w:r>
      <w:proofErr w:type="spellEnd"/>
      <w:r w:rsidRPr="002604BD">
        <w:rPr>
          <w:lang w:val="en-US"/>
        </w:rPr>
        <w:t xml:space="preserve">, Duarte Miguel F, Thomas </w:t>
      </w:r>
      <w:proofErr w:type="spellStart"/>
      <w:r w:rsidRPr="002604BD">
        <w:rPr>
          <w:lang w:val="en-US"/>
        </w:rPr>
        <w:t>Schluep</w:t>
      </w:r>
      <w:proofErr w:type="spellEnd"/>
      <w:r w:rsidRPr="002604BD">
        <w:rPr>
          <w:lang w:val="en-US"/>
        </w:rPr>
        <w:t>, and Charles Cooney. 1998. “Preparative Purification of Supercoiled Plasmid DNA U</w:t>
      </w:r>
      <w:r w:rsidRPr="002604BD">
        <w:rPr>
          <w:lang w:val="en-US"/>
        </w:rPr>
        <w:t xml:space="preserve">sing Anion-Exchange Chromatography.” </w:t>
      </w:r>
      <w:r w:rsidRPr="002604BD">
        <w:rPr>
          <w:i/>
          <w:lang w:val="en-US"/>
        </w:rPr>
        <w:t xml:space="preserve">Journal of Chromatography A </w:t>
      </w:r>
      <w:r w:rsidRPr="002604BD">
        <w:rPr>
          <w:lang w:val="en-US"/>
        </w:rPr>
        <w:t>806 (1):</w:t>
      </w:r>
    </w:p>
    <w:p w14:paraId="46D2E273" w14:textId="77777777" w:rsidR="009D64B7" w:rsidRDefault="008B75B9">
      <w:pPr>
        <w:spacing w:after="56" w:line="259" w:lineRule="auto"/>
        <w:ind w:left="344" w:right="0" w:firstLine="10"/>
        <w:jc w:val="left"/>
      </w:pPr>
      <w:r w:rsidRPr="002604BD">
        <w:rPr>
          <w:lang w:val="en-US"/>
        </w:rPr>
        <w:t xml:space="preserve">31–45. </w:t>
      </w:r>
      <w:hyperlink r:id="rId61">
        <w:r>
          <w:rPr>
            <w:color w:val="4169E1"/>
          </w:rPr>
          <w:t>https://doi.org/10.1016/s0021-9673(97)01254-5</w:t>
        </w:r>
      </w:hyperlink>
      <w:r>
        <w:t>.</w:t>
      </w:r>
    </w:p>
    <w:p w14:paraId="23463C95" w14:textId="77777777" w:rsidR="009D64B7" w:rsidRDefault="008B75B9">
      <w:pPr>
        <w:spacing w:after="0" w:line="311" w:lineRule="auto"/>
        <w:ind w:left="60" w:right="0" w:firstLine="0"/>
      </w:pPr>
      <w:r>
        <w:t xml:space="preserve">QIAGEN. 2021. “QIAGEN® </w:t>
      </w:r>
      <w:proofErr w:type="spellStart"/>
      <w:r>
        <w:t>Plasmi</w:t>
      </w:r>
      <w:r>
        <w:t>dPurification</w:t>
      </w:r>
      <w:proofErr w:type="spellEnd"/>
      <w:r>
        <w:t xml:space="preserve"> Handbook.” </w:t>
      </w:r>
      <w:r>
        <w:rPr>
          <w:i/>
        </w:rPr>
        <w:t>QIAGEN</w:t>
      </w:r>
      <w:r>
        <w:rPr>
          <w:i/>
        </w:rPr>
        <w:tab/>
        <w:t>Plasmid</w:t>
      </w:r>
      <w:r>
        <w:rPr>
          <w:i/>
        </w:rPr>
        <w:tab/>
        <w:t>Mini,</w:t>
      </w:r>
      <w:r>
        <w:rPr>
          <w:i/>
        </w:rPr>
        <w:tab/>
        <w:t>Midi,</w:t>
      </w:r>
      <w:r>
        <w:rPr>
          <w:i/>
        </w:rPr>
        <w:tab/>
        <w:t xml:space="preserve">Maxi, </w:t>
      </w:r>
      <w:proofErr w:type="spellStart"/>
      <w:r>
        <w:rPr>
          <w:i/>
        </w:rPr>
        <w:t>Mega</w:t>
      </w:r>
      <w:proofErr w:type="spellEnd"/>
      <w:r>
        <w:rPr>
          <w:i/>
        </w:rPr>
        <w:t xml:space="preserve">, </w:t>
      </w:r>
      <w:proofErr w:type="spellStart"/>
      <w:r>
        <w:rPr>
          <w:i/>
        </w:rPr>
        <w:t>andGiga</w:t>
      </w:r>
      <w:proofErr w:type="spellEnd"/>
      <w:r>
        <w:rPr>
          <w:i/>
        </w:rPr>
        <w:t xml:space="preserve"> Kits. </w:t>
      </w:r>
      <w:proofErr w:type="spellStart"/>
      <w:r>
        <w:rPr>
          <w:i/>
        </w:rPr>
        <w:t>For</w:t>
      </w:r>
      <w:proofErr w:type="spellEnd"/>
      <w:r>
        <w:rPr>
          <w:i/>
        </w:rPr>
        <w:t xml:space="preserve"> </w:t>
      </w:r>
      <w:proofErr w:type="spellStart"/>
      <w:r>
        <w:rPr>
          <w:i/>
        </w:rPr>
        <w:t>Purification</w:t>
      </w:r>
      <w:proofErr w:type="spellEnd"/>
      <w:r>
        <w:rPr>
          <w:i/>
        </w:rPr>
        <w:t xml:space="preserve"> </w:t>
      </w:r>
      <w:proofErr w:type="spellStart"/>
      <w:r>
        <w:rPr>
          <w:i/>
        </w:rPr>
        <w:t>of</w:t>
      </w:r>
      <w:proofErr w:type="spellEnd"/>
      <w:r>
        <w:rPr>
          <w:i/>
        </w:rPr>
        <w:t xml:space="preserve"> Ultrapure, </w:t>
      </w:r>
      <w:proofErr w:type="spellStart"/>
      <w:r>
        <w:rPr>
          <w:i/>
        </w:rPr>
        <w:t>Transfection</w:t>
      </w:r>
      <w:proofErr w:type="spellEnd"/>
      <w:r>
        <w:rPr>
          <w:i/>
        </w:rPr>
        <w:t xml:space="preserve">-Grade Plasmid DNA </w:t>
      </w:r>
      <w:proofErr w:type="spellStart"/>
      <w:r>
        <w:rPr>
          <w:i/>
        </w:rPr>
        <w:t>Online</w:t>
      </w:r>
      <w:proofErr w:type="spellEnd"/>
      <w:r>
        <w:rPr>
          <w:i/>
        </w:rPr>
        <w:t xml:space="preserve"> </w:t>
      </w:r>
      <w:proofErr w:type="gramStart"/>
      <w:r>
        <w:rPr>
          <w:i/>
        </w:rPr>
        <w:t>Verfügbar</w:t>
      </w:r>
      <w:proofErr w:type="gramEnd"/>
      <w:r>
        <w:rPr>
          <w:i/>
        </w:rPr>
        <w:t xml:space="preserve"> </w:t>
      </w:r>
      <w:proofErr w:type="spellStart"/>
      <w:r>
        <w:rPr>
          <w:i/>
        </w:rPr>
        <w:t>Unter</w:t>
      </w:r>
      <w:proofErr w:type="spellEnd"/>
      <w:r>
        <w:rPr>
          <w:i/>
        </w:rPr>
        <w:t>: Https://Www.qiagen.com/Us/Resources/Download.aspx?id=0bd0c5fb-C271-43e7-Af4332d539374fa9&amp;lan</w:t>
      </w:r>
      <w:r>
        <w:rPr>
          <w:i/>
        </w:rPr>
        <w:t>g=en</w:t>
      </w:r>
      <w:r>
        <w:t>.</w:t>
      </w:r>
    </w:p>
    <w:p w14:paraId="588EDBB2" w14:textId="77777777" w:rsidR="009D64B7" w:rsidRDefault="008B75B9">
      <w:pPr>
        <w:ind w:left="344" w:right="14" w:hanging="299"/>
      </w:pPr>
      <w:r>
        <w:t xml:space="preserve">Rasch, Björn, Malte Friese, Wilhelm Hofmann, and Ewald Naumann. 2014. “Einfaktorielle Varianzanalyse.” In </w:t>
      </w:r>
      <w:r>
        <w:rPr>
          <w:i/>
        </w:rPr>
        <w:t>Springer-Lehrbuch</w:t>
      </w:r>
      <w:r>
        <w:t xml:space="preserve">, 1–34. Springer Berlin Heidelberg. </w:t>
      </w:r>
      <w:hyperlink r:id="rId62">
        <w:r>
          <w:rPr>
            <w:color w:val="4169E1"/>
          </w:rPr>
          <w:t>https://doi.org/10.1007/978-3-662-43548-9_1</w:t>
        </w:r>
      </w:hyperlink>
      <w:r>
        <w:t>.</w:t>
      </w:r>
    </w:p>
    <w:p w14:paraId="7B8F2503" w14:textId="77777777" w:rsidR="009D64B7" w:rsidRPr="002604BD" w:rsidRDefault="008B75B9">
      <w:pPr>
        <w:spacing w:after="52" w:line="259" w:lineRule="auto"/>
        <w:ind w:left="47" w:right="14"/>
        <w:rPr>
          <w:lang w:val="en-US"/>
        </w:rPr>
      </w:pPr>
      <w:r>
        <w:t xml:space="preserve">Ritz, C., and A.-N. </w:t>
      </w:r>
      <w:proofErr w:type="spellStart"/>
      <w:r>
        <w:t>Spiess</w:t>
      </w:r>
      <w:proofErr w:type="spellEnd"/>
      <w:r>
        <w:t xml:space="preserve">. 2008. </w:t>
      </w:r>
      <w:r w:rsidRPr="002604BD">
        <w:rPr>
          <w:lang w:val="en-US"/>
        </w:rPr>
        <w:t>“</w:t>
      </w:r>
      <w:proofErr w:type="spellStart"/>
      <w:r w:rsidRPr="002604BD">
        <w:rPr>
          <w:lang w:val="en-US"/>
        </w:rPr>
        <w:t>qpcR</w:t>
      </w:r>
      <w:proofErr w:type="spellEnd"/>
      <w:r w:rsidRPr="002604BD">
        <w:rPr>
          <w:lang w:val="en-US"/>
        </w:rPr>
        <w:t>: An r Package for Sigmoidal Model Selection in Quantitative Real-</w:t>
      </w:r>
    </w:p>
    <w:p w14:paraId="3D8BCCC4" w14:textId="77777777" w:rsidR="009D64B7" w:rsidRPr="002604BD" w:rsidRDefault="008B75B9">
      <w:pPr>
        <w:ind w:left="353" w:right="14"/>
        <w:rPr>
          <w:lang w:val="en-US"/>
        </w:rPr>
      </w:pPr>
      <w:r w:rsidRPr="002604BD">
        <w:rPr>
          <w:lang w:val="en-US"/>
        </w:rPr>
        <w:lastRenderedPageBreak/>
        <w:t xml:space="preserve">Time Polymerase Chain Reaction Analysis.” </w:t>
      </w:r>
      <w:r w:rsidRPr="002604BD">
        <w:rPr>
          <w:i/>
          <w:lang w:val="en-US"/>
        </w:rPr>
        <w:t xml:space="preserve">Bioinformatics </w:t>
      </w:r>
      <w:r w:rsidRPr="002604BD">
        <w:rPr>
          <w:lang w:val="en-US"/>
        </w:rPr>
        <w:t xml:space="preserve">24 (13): 1549–51. </w:t>
      </w:r>
      <w:hyperlink r:id="rId63">
        <w:r w:rsidRPr="002604BD">
          <w:rPr>
            <w:color w:val="4169E1"/>
            <w:lang w:val="en-US"/>
          </w:rPr>
          <w:t xml:space="preserve">https://doi.org/10.1093/ </w:t>
        </w:r>
      </w:hyperlink>
      <w:hyperlink r:id="rId64">
        <w:r w:rsidRPr="002604BD">
          <w:rPr>
            <w:color w:val="4169E1"/>
            <w:lang w:val="en-US"/>
          </w:rPr>
          <w:t>bioinformatics/btn227</w:t>
        </w:r>
      </w:hyperlink>
      <w:r w:rsidRPr="002604BD">
        <w:rPr>
          <w:lang w:val="en-US"/>
        </w:rPr>
        <w:t>.</w:t>
      </w:r>
    </w:p>
    <w:p w14:paraId="373B4B9A" w14:textId="77777777" w:rsidR="009D64B7" w:rsidRDefault="008B75B9">
      <w:pPr>
        <w:ind w:left="344" w:right="14" w:hanging="299"/>
      </w:pPr>
      <w:r>
        <w:t xml:space="preserve">Rödiger, Stefan, </w:t>
      </w:r>
      <w:proofErr w:type="spellStart"/>
      <w:r>
        <w:t>Michał</w:t>
      </w:r>
      <w:proofErr w:type="spellEnd"/>
      <w:r>
        <w:t xml:space="preserve"> </w:t>
      </w:r>
      <w:proofErr w:type="spellStart"/>
      <w:r>
        <w:t>Burdukiewicz</w:t>
      </w:r>
      <w:proofErr w:type="spellEnd"/>
      <w:r>
        <w:t xml:space="preserve">, and Peter Schierack. </w:t>
      </w:r>
      <w:r w:rsidRPr="002604BD">
        <w:rPr>
          <w:lang w:val="en-US"/>
        </w:rPr>
        <w:t>2015. “</w:t>
      </w:r>
      <w:proofErr w:type="spellStart"/>
      <w:r w:rsidRPr="002604BD">
        <w:rPr>
          <w:lang w:val="en-US"/>
        </w:rPr>
        <w:t>chipPCR</w:t>
      </w:r>
      <w:proofErr w:type="spellEnd"/>
      <w:r w:rsidRPr="002604BD">
        <w:rPr>
          <w:lang w:val="en-US"/>
        </w:rPr>
        <w:t xml:space="preserve">: An r Package to Pre-Process Raw Data of Amplification Curves: Fig. 1.” </w:t>
      </w:r>
      <w:proofErr w:type="spellStart"/>
      <w:r>
        <w:rPr>
          <w:i/>
        </w:rPr>
        <w:t>Bioinformatics</w:t>
      </w:r>
      <w:proofErr w:type="spellEnd"/>
      <w:r>
        <w:rPr>
          <w:i/>
        </w:rPr>
        <w:t xml:space="preserve"> </w:t>
      </w:r>
      <w:r>
        <w:t xml:space="preserve">31 (17): 2900–2902. </w:t>
      </w:r>
      <w:hyperlink r:id="rId65">
        <w:r>
          <w:rPr>
            <w:color w:val="4169E1"/>
          </w:rPr>
          <w:t xml:space="preserve">https://doi.org/10.1093/ </w:t>
        </w:r>
      </w:hyperlink>
      <w:hyperlink r:id="rId66">
        <w:proofErr w:type="spellStart"/>
        <w:r>
          <w:rPr>
            <w:color w:val="4169E1"/>
          </w:rPr>
          <w:t>bioinformatics</w:t>
        </w:r>
        <w:proofErr w:type="spellEnd"/>
        <w:r>
          <w:rPr>
            <w:color w:val="4169E1"/>
          </w:rPr>
          <w:t>/btv205</w:t>
        </w:r>
      </w:hyperlink>
      <w:hyperlink r:id="rId67">
        <w:r>
          <w:t>.</w:t>
        </w:r>
      </w:hyperlink>
    </w:p>
    <w:p w14:paraId="78D028F6" w14:textId="77777777" w:rsidR="009D64B7" w:rsidRDefault="008B75B9">
      <w:pPr>
        <w:spacing w:after="52" w:line="259" w:lineRule="auto"/>
        <w:ind w:left="47" w:right="14"/>
      </w:pPr>
      <w:r>
        <w:t xml:space="preserve">Rödiger, Stefan, Michal </w:t>
      </w:r>
      <w:proofErr w:type="spellStart"/>
      <w:r>
        <w:t>Burdukiewicz</w:t>
      </w:r>
      <w:proofErr w:type="spellEnd"/>
      <w:r>
        <w:t xml:space="preserve">, Andrej-Nikolai </w:t>
      </w:r>
      <w:proofErr w:type="spellStart"/>
      <w:r>
        <w:t>Spiess</w:t>
      </w:r>
      <w:proofErr w:type="spellEnd"/>
      <w:r>
        <w:t xml:space="preserve">, and Konstantin </w:t>
      </w:r>
      <w:proofErr w:type="spellStart"/>
      <w:r>
        <w:t>Blagodatskikh</w:t>
      </w:r>
      <w:proofErr w:type="spellEnd"/>
      <w:r>
        <w:t>. 2022. “PC-</w:t>
      </w:r>
    </w:p>
    <w:p w14:paraId="64C05349" w14:textId="77777777" w:rsidR="009D64B7" w:rsidRPr="002604BD" w:rsidRDefault="008B75B9">
      <w:pPr>
        <w:spacing w:after="0" w:line="321" w:lineRule="auto"/>
        <w:ind w:left="344" w:right="0" w:firstLine="10"/>
        <w:jc w:val="left"/>
        <w:rPr>
          <w:lang w:val="en-US"/>
        </w:rPr>
      </w:pPr>
      <w:r w:rsidRPr="002604BD">
        <w:rPr>
          <w:lang w:val="en-US"/>
        </w:rPr>
        <w:t xml:space="preserve">Redux204 Package - an Overview [Vignette].” </w:t>
      </w:r>
      <w:r w:rsidRPr="002604BD">
        <w:rPr>
          <w:i/>
          <w:lang w:val="en-US"/>
        </w:rPr>
        <w:t>Comprehensive R Archive Network,</w:t>
      </w:r>
      <w:r w:rsidRPr="002604BD">
        <w:rPr>
          <w:i/>
          <w:lang w:val="en-US"/>
        </w:rPr>
        <w:t xml:space="preserve"> 1–104. </w:t>
      </w:r>
      <w:r w:rsidRPr="002604BD">
        <w:rPr>
          <w:color w:val="4169E1"/>
          <w:lang w:val="en-US"/>
        </w:rPr>
        <w:t>https: 205 //cran.r-project.org/web/packages/</w:t>
      </w:r>
      <w:proofErr w:type="spellStart"/>
      <w:r w:rsidRPr="002604BD">
        <w:rPr>
          <w:color w:val="4169E1"/>
          <w:lang w:val="en-US"/>
        </w:rPr>
        <w:t>PCRedux</w:t>
      </w:r>
      <w:proofErr w:type="spellEnd"/>
      <w:r w:rsidRPr="002604BD">
        <w:rPr>
          <w:color w:val="4169E1"/>
          <w:lang w:val="en-US"/>
        </w:rPr>
        <w:t>/vignettes/PCRedux.pdf</w:t>
      </w:r>
      <w:r w:rsidRPr="002604BD">
        <w:rPr>
          <w:lang w:val="en-US"/>
        </w:rPr>
        <w:t>.</w:t>
      </w:r>
    </w:p>
    <w:p w14:paraId="41480357" w14:textId="77777777" w:rsidR="009D64B7" w:rsidRDefault="008B75B9">
      <w:pPr>
        <w:ind w:left="333" w:right="14" w:hanging="288"/>
      </w:pPr>
      <w:r w:rsidRPr="002604BD">
        <w:rPr>
          <w:lang w:val="en-US"/>
        </w:rPr>
        <w:t xml:space="preserve">Sanger, F., S. Nicklen, and A. R. Coulson. 1977. “DNA Sequencing with Chain-Terminating Inhibitors.” </w:t>
      </w:r>
      <w:r w:rsidRPr="002604BD">
        <w:rPr>
          <w:i/>
          <w:lang w:val="en-US"/>
        </w:rPr>
        <w:t xml:space="preserve">Proceedings of the National Academy of Sciences </w:t>
      </w:r>
      <w:r w:rsidRPr="002604BD">
        <w:rPr>
          <w:lang w:val="en-US"/>
        </w:rPr>
        <w:t xml:space="preserve">74 (12): 5463–67. </w:t>
      </w:r>
      <w:hyperlink r:id="rId68">
        <w:r>
          <w:rPr>
            <w:color w:val="4169E1"/>
          </w:rPr>
          <w:t xml:space="preserve">https://doi.org/10.1073/pnas.74.12.5 </w:t>
        </w:r>
      </w:hyperlink>
      <w:hyperlink r:id="rId69">
        <w:r>
          <w:rPr>
            <w:color w:val="4169E1"/>
          </w:rPr>
          <w:t>463</w:t>
        </w:r>
      </w:hyperlink>
      <w:r>
        <w:t>.</w:t>
      </w:r>
    </w:p>
    <w:p w14:paraId="02B5090F" w14:textId="77777777" w:rsidR="009D64B7" w:rsidRPr="002604BD" w:rsidRDefault="008B75B9">
      <w:pPr>
        <w:ind w:left="344" w:right="14" w:hanging="299"/>
        <w:rPr>
          <w:lang w:val="en-US"/>
        </w:rPr>
      </w:pPr>
      <w:r>
        <w:t xml:space="preserve">Schmidt, Torsten, Karl </w:t>
      </w:r>
      <w:proofErr w:type="spellStart"/>
      <w:r>
        <w:t>Friehs</w:t>
      </w:r>
      <w:proofErr w:type="spellEnd"/>
      <w:r>
        <w:t xml:space="preserve">, Martin Schleef, Carsten Voss, and Erwin </w:t>
      </w:r>
      <w:proofErr w:type="spellStart"/>
      <w:r>
        <w:t>Flaschel</w:t>
      </w:r>
      <w:proofErr w:type="spellEnd"/>
      <w:r>
        <w:t xml:space="preserve">. </w:t>
      </w:r>
      <w:r w:rsidRPr="002604BD">
        <w:rPr>
          <w:lang w:val="en-US"/>
        </w:rPr>
        <w:t xml:space="preserve">1999. “Quantitative Analysis of Plasmid Forms by Agarose and Capillary Gel Electrophoresis.” </w:t>
      </w:r>
      <w:r w:rsidRPr="002604BD">
        <w:rPr>
          <w:i/>
          <w:lang w:val="en-US"/>
        </w:rPr>
        <w:t xml:space="preserve">Analytical Biochemistry </w:t>
      </w:r>
      <w:r w:rsidRPr="002604BD">
        <w:rPr>
          <w:lang w:val="en-US"/>
        </w:rPr>
        <w:t>274 (2):</w:t>
      </w:r>
    </w:p>
    <w:p w14:paraId="76293FDD" w14:textId="77777777" w:rsidR="009D64B7" w:rsidRDefault="008B75B9">
      <w:pPr>
        <w:spacing w:after="56" w:line="259" w:lineRule="auto"/>
        <w:ind w:left="344" w:right="0" w:firstLine="10"/>
        <w:jc w:val="left"/>
      </w:pPr>
      <w:r w:rsidRPr="002604BD">
        <w:rPr>
          <w:lang w:val="en-US"/>
        </w:rPr>
        <w:t xml:space="preserve">235–40. </w:t>
      </w:r>
      <w:hyperlink r:id="rId70">
        <w:r>
          <w:rPr>
            <w:color w:val="4169E1"/>
          </w:rPr>
          <w:t>https://doi.org/10.1006/abio.1999.4291</w:t>
        </w:r>
      </w:hyperlink>
      <w:r>
        <w:t>.</w:t>
      </w:r>
    </w:p>
    <w:p w14:paraId="27840311" w14:textId="77777777" w:rsidR="009D64B7" w:rsidRDefault="008B75B9">
      <w:pPr>
        <w:ind w:left="331" w:right="14" w:hanging="286"/>
      </w:pPr>
      <w:r w:rsidRPr="002604BD">
        <w:rPr>
          <w:lang w:val="en-US"/>
        </w:rPr>
        <w:t xml:space="preserve">SHAPIRO, S. S., and M. B. WILK. 1965. “An Analysis of Variance Test for Normality (Complete Samples).” </w:t>
      </w:r>
      <w:proofErr w:type="spellStart"/>
      <w:r w:rsidRPr="002604BD">
        <w:rPr>
          <w:i/>
          <w:lang w:val="en-US"/>
        </w:rPr>
        <w:t>Biometrika</w:t>
      </w:r>
      <w:proofErr w:type="spellEnd"/>
      <w:r w:rsidRPr="002604BD">
        <w:rPr>
          <w:i/>
          <w:lang w:val="en-US"/>
        </w:rPr>
        <w:t xml:space="preserve"> </w:t>
      </w:r>
      <w:r w:rsidRPr="002604BD">
        <w:rPr>
          <w:lang w:val="en-US"/>
        </w:rPr>
        <w:t xml:space="preserve">52 (3-4): 591–611. </w:t>
      </w:r>
      <w:hyperlink r:id="rId71">
        <w:r>
          <w:rPr>
            <w:color w:val="4169E1"/>
          </w:rPr>
          <w:t>https://doi.org/10.1093/biomet/52.3-4.591</w:t>
        </w:r>
      </w:hyperlink>
      <w:r>
        <w:t>.</w:t>
      </w:r>
    </w:p>
    <w:p w14:paraId="0E765E73" w14:textId="77777777" w:rsidR="009D64B7" w:rsidRDefault="008B75B9">
      <w:pPr>
        <w:ind w:left="344" w:right="14" w:hanging="299"/>
      </w:pPr>
      <w:r w:rsidRPr="002604BD">
        <w:rPr>
          <w:lang w:val="en-US"/>
        </w:rPr>
        <w:t>Sievers, Fabian, and Desmond G. Higgins. 2017. “</w:t>
      </w:r>
      <w:proofErr w:type="spellStart"/>
      <w:r w:rsidRPr="002604BD">
        <w:rPr>
          <w:lang w:val="en-US"/>
        </w:rPr>
        <w:t>Clustal</w:t>
      </w:r>
      <w:proofErr w:type="spellEnd"/>
      <w:r w:rsidRPr="002604BD">
        <w:rPr>
          <w:lang w:val="en-US"/>
        </w:rPr>
        <w:t xml:space="preserve"> Omega for Making Accurate Alignments of Many Protein Sequences.” </w:t>
      </w:r>
      <w:r w:rsidRPr="002604BD">
        <w:rPr>
          <w:i/>
          <w:lang w:val="en-US"/>
        </w:rPr>
        <w:t xml:space="preserve">Protein Science </w:t>
      </w:r>
      <w:r w:rsidRPr="002604BD">
        <w:rPr>
          <w:lang w:val="en-US"/>
        </w:rPr>
        <w:t>27 (1): 135–45</w:t>
      </w:r>
      <w:r w:rsidRPr="002604BD">
        <w:rPr>
          <w:lang w:val="en-US"/>
        </w:rPr>
        <w:t xml:space="preserve">. </w:t>
      </w:r>
      <w:hyperlink r:id="rId72">
        <w:r>
          <w:rPr>
            <w:color w:val="4169E1"/>
          </w:rPr>
          <w:t>https://doi.org/10.1002/pro.3290</w:t>
        </w:r>
      </w:hyperlink>
      <w:r>
        <w:t>.</w:t>
      </w:r>
    </w:p>
    <w:p w14:paraId="6E1208E3" w14:textId="77777777" w:rsidR="009D64B7" w:rsidRPr="002604BD" w:rsidRDefault="008B75B9">
      <w:pPr>
        <w:spacing w:after="61" w:line="259" w:lineRule="auto"/>
        <w:ind w:left="47" w:right="14"/>
        <w:rPr>
          <w:lang w:val="en-US"/>
        </w:rPr>
      </w:pPr>
      <w:r w:rsidRPr="002604BD">
        <w:rPr>
          <w:lang w:val="en-US"/>
        </w:rPr>
        <w:t xml:space="preserve">Smith, Duncan R. n.d. “Restriction Endonuclease Digestion of DNA.” In </w:t>
      </w:r>
      <w:r w:rsidRPr="002604BD">
        <w:rPr>
          <w:i/>
          <w:lang w:val="en-US"/>
        </w:rPr>
        <w:t>Transgenesis Techniques</w:t>
      </w:r>
      <w:r w:rsidRPr="002604BD">
        <w:rPr>
          <w:lang w:val="en-US"/>
        </w:rPr>
        <w:t>, 427–32.</w:t>
      </w:r>
    </w:p>
    <w:p w14:paraId="44EBE5A0" w14:textId="77777777" w:rsidR="009D64B7" w:rsidRPr="002604BD" w:rsidRDefault="008B75B9">
      <w:pPr>
        <w:spacing w:after="56" w:line="259" w:lineRule="auto"/>
        <w:ind w:left="344" w:right="0" w:firstLine="10"/>
        <w:jc w:val="left"/>
        <w:rPr>
          <w:lang w:val="en-US"/>
        </w:rPr>
      </w:pPr>
      <w:r w:rsidRPr="002604BD">
        <w:rPr>
          <w:lang w:val="en-US"/>
        </w:rPr>
        <w:t xml:space="preserve">Humana Press. </w:t>
      </w:r>
      <w:hyperlink r:id="rId73">
        <w:r w:rsidRPr="002604BD">
          <w:rPr>
            <w:color w:val="4169E1"/>
            <w:lang w:val="en-US"/>
          </w:rPr>
          <w:t>https://doi.org/10.1385/0-89603-245-0:427</w:t>
        </w:r>
      </w:hyperlink>
      <w:r w:rsidRPr="002604BD">
        <w:rPr>
          <w:lang w:val="en-US"/>
        </w:rPr>
        <w:t>.</w:t>
      </w:r>
    </w:p>
    <w:p w14:paraId="28D4FA07" w14:textId="77777777" w:rsidR="009D64B7" w:rsidRPr="002604BD" w:rsidRDefault="008B75B9">
      <w:pPr>
        <w:ind w:left="336" w:right="14" w:hanging="291"/>
        <w:rPr>
          <w:lang w:val="en-US"/>
        </w:rPr>
      </w:pPr>
      <w:proofErr w:type="spellStart"/>
      <w:r w:rsidRPr="002604BD">
        <w:rPr>
          <w:lang w:val="en-US"/>
        </w:rPr>
        <w:t>Stahel</w:t>
      </w:r>
      <w:proofErr w:type="spellEnd"/>
      <w:r w:rsidRPr="002604BD">
        <w:rPr>
          <w:lang w:val="en-US"/>
        </w:rPr>
        <w:t xml:space="preserve">, Werner A. 1999. </w:t>
      </w:r>
      <w:r>
        <w:t xml:space="preserve">“Multivariate Statistik.” In </w:t>
      </w:r>
      <w:r>
        <w:rPr>
          <w:i/>
        </w:rPr>
        <w:t>Statistische Datenanalyse</w:t>
      </w:r>
      <w:r>
        <w:t xml:space="preserve">, 304–21. </w:t>
      </w:r>
      <w:proofErr w:type="spellStart"/>
      <w:r>
        <w:t>Vieweg</w:t>
      </w:r>
      <w:r>
        <w:t>+</w:t>
      </w:r>
      <w:r>
        <w:t>Teubner</w:t>
      </w:r>
      <w:proofErr w:type="spellEnd"/>
      <w:r>
        <w:t xml:space="preserve"> Verlag. </w:t>
      </w:r>
      <w:hyperlink r:id="rId74">
        <w:r w:rsidRPr="002604BD">
          <w:rPr>
            <w:color w:val="4169E1"/>
            <w:lang w:val="en-US"/>
          </w:rPr>
          <w:t>https://doi.org/10.1007/978-3-663-11500-7_15</w:t>
        </w:r>
      </w:hyperlink>
      <w:r w:rsidRPr="002604BD">
        <w:rPr>
          <w:lang w:val="en-US"/>
        </w:rPr>
        <w:t>.</w:t>
      </w:r>
    </w:p>
    <w:p w14:paraId="0D889C4A" w14:textId="77777777" w:rsidR="009D64B7" w:rsidRDefault="008B75B9">
      <w:pPr>
        <w:ind w:left="354" w:right="14" w:hanging="309"/>
      </w:pPr>
      <w:r w:rsidRPr="002604BD">
        <w:rPr>
          <w:lang w:val="en-US"/>
        </w:rPr>
        <w:t xml:space="preserve">WELCH, B. L. 1947. “THE GENERALIZATION OF ‘STUDENT's’ PROBLEM WHEN SEVERAL DIFFERENT POPULATION VARLANCES ARE INVOLVED.” </w:t>
      </w:r>
      <w:proofErr w:type="spellStart"/>
      <w:r>
        <w:rPr>
          <w:i/>
        </w:rPr>
        <w:t>Biometrika</w:t>
      </w:r>
      <w:proofErr w:type="spellEnd"/>
      <w:r>
        <w:rPr>
          <w:i/>
        </w:rPr>
        <w:t xml:space="preserve"> </w:t>
      </w:r>
      <w:r>
        <w:t xml:space="preserve">34 (1-2): 28–35. </w:t>
      </w:r>
      <w:hyperlink r:id="rId75">
        <w:r>
          <w:rPr>
            <w:color w:val="4169E1"/>
          </w:rPr>
          <w:t xml:space="preserve">https://doi.or </w:t>
        </w:r>
      </w:hyperlink>
      <w:hyperlink r:id="rId76">
        <w:r>
          <w:rPr>
            <w:color w:val="4169E1"/>
          </w:rPr>
          <w:t>g/10.1093/</w:t>
        </w:r>
        <w:proofErr w:type="spellStart"/>
        <w:r>
          <w:rPr>
            <w:color w:val="4169E1"/>
          </w:rPr>
          <w:t>biomet</w:t>
        </w:r>
        <w:proofErr w:type="spellEnd"/>
        <w:r>
          <w:rPr>
            <w:color w:val="4169E1"/>
          </w:rPr>
          <w:t>/34.1-2.28</w:t>
        </w:r>
      </w:hyperlink>
      <w:r>
        <w:t>.</w:t>
      </w:r>
    </w:p>
    <w:sectPr w:rsidR="009D64B7">
      <w:footerReference w:type="even" r:id="rId77"/>
      <w:footerReference w:type="default" r:id="rId78"/>
      <w:footerReference w:type="first" r:id="rId79"/>
      <w:pgSz w:w="12240" w:h="15840"/>
      <w:pgMar w:top="1408" w:right="1401" w:bottom="1412" w:left="1380" w:header="720" w:footer="80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Julius Rublack" w:date="2023-03-01T15:56:00Z" w:initials="JR">
    <w:p w14:paraId="2E927E64" w14:textId="77777777" w:rsidR="002604BD" w:rsidRDefault="002604BD" w:rsidP="00522C0B">
      <w:pPr>
        <w:pStyle w:val="Kommentartext"/>
        <w:ind w:left="0" w:firstLine="0"/>
        <w:jc w:val="left"/>
      </w:pPr>
      <w:r>
        <w:rPr>
          <w:rStyle w:val="Kommentarzeichen"/>
        </w:rPr>
        <w:annotationRef/>
      </w:r>
      <w:r>
        <w:t>Wurde oder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927E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F41D" w16cex:dateUtc="2023-03-01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927E64" w16cid:durableId="27A9F4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7116" w14:textId="77777777" w:rsidR="00000000" w:rsidRDefault="008B75B9">
      <w:pPr>
        <w:spacing w:after="0" w:line="240" w:lineRule="auto"/>
      </w:pPr>
      <w:r>
        <w:separator/>
      </w:r>
    </w:p>
  </w:endnote>
  <w:endnote w:type="continuationSeparator" w:id="0">
    <w:p w14:paraId="7AFA964B" w14:textId="77777777" w:rsidR="00000000" w:rsidRDefault="008B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BE5B" w14:textId="77777777" w:rsidR="009D64B7" w:rsidRDefault="008B75B9">
    <w:pPr>
      <w:spacing w:after="0" w:line="259" w:lineRule="auto"/>
      <w:ind w:left="21"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AB94" w14:textId="77777777" w:rsidR="009D64B7" w:rsidRDefault="008B75B9">
    <w:pPr>
      <w:spacing w:after="0" w:line="259" w:lineRule="auto"/>
      <w:ind w:left="21"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1300" w14:textId="77777777" w:rsidR="009D64B7" w:rsidRDefault="008B75B9">
    <w:pPr>
      <w:spacing w:after="0" w:line="259" w:lineRule="auto"/>
      <w:ind w:left="21"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28C11" w14:textId="77777777" w:rsidR="009D64B7" w:rsidRDefault="008B75B9">
      <w:pPr>
        <w:spacing w:after="22" w:line="259" w:lineRule="auto"/>
        <w:ind w:left="264" w:right="0" w:firstLine="0"/>
        <w:jc w:val="left"/>
      </w:pPr>
      <w:r>
        <w:separator/>
      </w:r>
    </w:p>
  </w:footnote>
  <w:footnote w:type="continuationSeparator" w:id="0">
    <w:p w14:paraId="301F9F3C" w14:textId="77777777" w:rsidR="009D64B7" w:rsidRDefault="008B75B9">
      <w:pPr>
        <w:spacing w:after="22" w:line="259" w:lineRule="auto"/>
        <w:ind w:left="264" w:right="0" w:firstLine="0"/>
        <w:jc w:val="left"/>
      </w:pPr>
      <w:r>
        <w:continuationSeparator/>
      </w:r>
    </w:p>
  </w:footnote>
  <w:footnote w:id="1">
    <w:p w14:paraId="31899E2B" w14:textId="77777777" w:rsidR="009D64B7" w:rsidRDefault="008B75B9">
      <w:pPr>
        <w:pStyle w:val="footnotedescription"/>
        <w:spacing w:after="22"/>
      </w:pPr>
      <w:r>
        <w:rPr>
          <w:rStyle w:val="footnotemark"/>
        </w:rPr>
        <w:footnoteRef/>
      </w:r>
      <w:r>
        <w:t xml:space="preserve"> </w:t>
      </w:r>
      <w:hyperlink r:id="rId1">
        <w:r>
          <w:t>http://www.primer-dimer.com/</w:t>
        </w:r>
      </w:hyperlink>
    </w:p>
  </w:footnote>
  <w:footnote w:id="2">
    <w:p w14:paraId="0785A374" w14:textId="77777777" w:rsidR="009D64B7" w:rsidRDefault="008B75B9">
      <w:pPr>
        <w:pStyle w:val="footnotedescription"/>
      </w:pPr>
      <w:r>
        <w:rPr>
          <w:rStyle w:val="footnotemark"/>
        </w:rPr>
        <w:footnoteRef/>
      </w:r>
      <w:r>
        <w:t xml:space="preserve"> </w:t>
      </w:r>
      <w:hyperlink r:id="rId2">
        <w:r>
          <w:t>https://www.ebi.ac.uk/Tools/msa/clustalo/</w:t>
        </w:r>
      </w:hyperlink>
    </w:p>
  </w:footnote>
  <w:footnote w:id="3">
    <w:p w14:paraId="2CDC45B9" w14:textId="77777777" w:rsidR="009D64B7" w:rsidRDefault="008B75B9">
      <w:pPr>
        <w:pStyle w:val="footnotedescription"/>
        <w:spacing w:after="22"/>
      </w:pPr>
      <w:r>
        <w:rPr>
          <w:rStyle w:val="footnotemark"/>
        </w:rPr>
        <w:footnoteRef/>
      </w:r>
      <w:r>
        <w:t xml:space="preserve"> </w:t>
      </w:r>
      <w:hyperlink r:id="rId3">
        <w:r>
          <w:t>https://search.r-project.org/CRAN/refmans/ie2misc/html/madstat.html</w:t>
        </w:r>
      </w:hyperlink>
    </w:p>
  </w:footnote>
  <w:footnote w:id="4">
    <w:p w14:paraId="196BA6F9" w14:textId="77777777" w:rsidR="009D64B7" w:rsidRDefault="008B75B9">
      <w:pPr>
        <w:pStyle w:val="footnotedescription"/>
      </w:pPr>
      <w:r>
        <w:rPr>
          <w:rStyle w:val="footnotemark"/>
        </w:rPr>
        <w:footnoteRef/>
      </w:r>
      <w:r>
        <w:t xml:space="preserve"> </w:t>
      </w:r>
      <w:hyperlink r:id="rId4">
        <w:r>
          <w:t>https://search.r-project.org/CRAN/refmans/warbleR/html/sig2</w:t>
        </w:r>
        <w:r>
          <w:t>noise.html</w:t>
        </w:r>
      </w:hyperlink>
    </w:p>
  </w:footnote>
  <w:footnote w:id="5">
    <w:p w14:paraId="51F14CFD" w14:textId="77777777" w:rsidR="009D64B7" w:rsidRDefault="008B75B9">
      <w:pPr>
        <w:pStyle w:val="footnotedescription"/>
      </w:pPr>
      <w:r>
        <w:rPr>
          <w:rStyle w:val="footnotemark"/>
        </w:rPr>
        <w:footnoteRef/>
      </w:r>
      <w:r>
        <w:t xml:space="preserve"> </w:t>
      </w:r>
      <w:hyperlink r:id="rId5">
        <w:r>
          <w:t>https://international.neb.com/protocols/0001/01/01/high-efficiency-transformation-protocol-c29</w:t>
        </w:r>
        <w:r>
          <w:t>87</w:t>
        </w:r>
      </w:hyperlink>
    </w:p>
  </w:footnote>
  <w:footnote w:id="6">
    <w:p w14:paraId="31235808" w14:textId="77777777" w:rsidR="009D64B7" w:rsidRDefault="008B75B9">
      <w:pPr>
        <w:pStyle w:val="footnotedescription"/>
      </w:pPr>
      <w:r>
        <w:rPr>
          <w:rStyle w:val="footnotemark"/>
        </w:rPr>
        <w:footnoteRef/>
      </w:r>
      <w:r>
        <w:t xml:space="preserve"> </w:t>
      </w:r>
      <w:hyperlink r:id="rId6">
        <w:r>
          <w:t>https://www.qiagen.com/us/resources/download.aspx?id=0bd0c5fb-c271-43e7-af43-32d539374fa9&amp;lang=en</w:t>
        </w:r>
      </w:hyperlink>
    </w:p>
  </w:footnote>
  <w:footnote w:id="7">
    <w:p w14:paraId="33F507BE" w14:textId="77777777" w:rsidR="009D64B7" w:rsidRDefault="008B75B9">
      <w:pPr>
        <w:pStyle w:val="footnotedescription"/>
      </w:pPr>
      <w:r>
        <w:rPr>
          <w:rStyle w:val="footnotemark"/>
        </w:rPr>
        <w:footnoteRef/>
      </w:r>
      <w:r>
        <w:t xml:space="preserve"> </w:t>
      </w:r>
      <w:hyperlink r:id="rId7">
        <w:r>
          <w:t>https://files.zymoresearch.com/protocols/_d4003t_d4003_d4004_d4013_d4014_dna_clean_concentrator_-5.pdf</w:t>
        </w:r>
      </w:hyperlink>
    </w:p>
  </w:footnote>
  <w:footnote w:id="8">
    <w:p w14:paraId="5A36DFE2" w14:textId="77777777" w:rsidR="009D64B7" w:rsidRDefault="008B75B9">
      <w:pPr>
        <w:pStyle w:val="footnotedescription"/>
        <w:spacing w:after="21"/>
      </w:pPr>
      <w:r>
        <w:rPr>
          <w:rStyle w:val="footnotemark"/>
        </w:rPr>
        <w:footnoteRef/>
      </w:r>
      <w:r>
        <w:t xml:space="preserve"> </w:t>
      </w:r>
      <w:hyperlink r:id="rId8">
        <w:r>
          <w:t>https://international.neb.com/protocols/0001/01/01/standard-rna-synthesis-e2040</w:t>
        </w:r>
      </w:hyperlink>
    </w:p>
  </w:footnote>
  <w:footnote w:id="9">
    <w:p w14:paraId="0637D578" w14:textId="77777777" w:rsidR="009D64B7" w:rsidRPr="002604BD" w:rsidRDefault="008B75B9">
      <w:pPr>
        <w:pStyle w:val="footnotedescription"/>
        <w:spacing w:line="272" w:lineRule="auto"/>
        <w:ind w:left="60" w:firstLine="204"/>
        <w:rPr>
          <w:lang w:val="en-US"/>
        </w:rPr>
      </w:pPr>
      <w:r>
        <w:rPr>
          <w:rStyle w:val="footnotemark"/>
        </w:rPr>
        <w:footnoteRef/>
      </w:r>
      <w:r w:rsidRPr="002604BD">
        <w:rPr>
          <w:lang w:val="en-US"/>
        </w:rPr>
        <w:t xml:space="preserve"> </w:t>
      </w:r>
      <w:hyperlink r:id="rId9">
        <w:r w:rsidRPr="002604BD">
          <w:rPr>
            <w:lang w:val="en-US"/>
          </w:rPr>
          <w:t xml:space="preserve">https://bioecho-prod-media-hp.s3.sbg.perf.cloud.ovh.net/media/e8/6b/93/1650492291/Protocol_EchoCLEANRNAClea </w:t>
        </w:r>
      </w:hyperlink>
      <w:hyperlink r:id="rId10">
        <w:r w:rsidRPr="002604BD">
          <w:rPr>
            <w:lang w:val="en-US"/>
          </w:rPr>
          <w:t>nupcolumn_001_EN.pdf</w:t>
        </w:r>
      </w:hyperlink>
    </w:p>
  </w:footnote>
  <w:footnote w:id="10">
    <w:p w14:paraId="27051371" w14:textId="77777777" w:rsidR="009D64B7" w:rsidRPr="002604BD" w:rsidRDefault="008B75B9">
      <w:pPr>
        <w:pStyle w:val="footnotedescription"/>
        <w:ind w:left="191"/>
        <w:rPr>
          <w:lang w:val="en-US"/>
        </w:rPr>
      </w:pPr>
      <w:r>
        <w:rPr>
          <w:rStyle w:val="footnotemark"/>
        </w:rPr>
        <w:footnoteRef/>
      </w:r>
      <w:r w:rsidRPr="002604BD">
        <w:rPr>
          <w:lang w:val="en-US"/>
        </w:rPr>
        <w:t xml:space="preserve"> </w:t>
      </w:r>
      <w:hyperlink r:id="rId11">
        <w:r w:rsidRPr="002604BD">
          <w:rPr>
            <w:lang w:val="en-US"/>
          </w:rPr>
          <w:t>https://www.qiagen.com/us/resources/resourcedetail?id=c80685c0-4103-49ea-aa72-8989420e3018&amp;lang=en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64FD"/>
    <w:multiLevelType w:val="hybridMultilevel"/>
    <w:tmpl w:val="FCAABF7E"/>
    <w:lvl w:ilvl="0" w:tplc="FBB604F6">
      <w:start w:val="1"/>
      <w:numFmt w:val="bullet"/>
      <w:lvlText w:val="*"/>
      <w:lvlJc w:val="left"/>
      <w:pPr>
        <w:ind w:left="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AA645008">
      <w:start w:val="1"/>
      <w:numFmt w:val="bullet"/>
      <w:lvlText w:val="o"/>
      <w:lvlJc w:val="left"/>
      <w:pPr>
        <w:ind w:left="2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94180002">
      <w:start w:val="1"/>
      <w:numFmt w:val="bullet"/>
      <w:lvlText w:val="▪"/>
      <w:lvlJc w:val="left"/>
      <w:pPr>
        <w:ind w:left="30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A9A219E8">
      <w:start w:val="1"/>
      <w:numFmt w:val="bullet"/>
      <w:lvlText w:val="•"/>
      <w:lvlJc w:val="left"/>
      <w:pPr>
        <w:ind w:left="37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32B48338">
      <w:start w:val="1"/>
      <w:numFmt w:val="bullet"/>
      <w:lvlText w:val="o"/>
      <w:lvlJc w:val="left"/>
      <w:pPr>
        <w:ind w:left="44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8D72EE2A">
      <w:start w:val="1"/>
      <w:numFmt w:val="bullet"/>
      <w:lvlText w:val="▪"/>
      <w:lvlJc w:val="left"/>
      <w:pPr>
        <w:ind w:left="51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63F056F8">
      <w:start w:val="1"/>
      <w:numFmt w:val="bullet"/>
      <w:lvlText w:val="•"/>
      <w:lvlJc w:val="left"/>
      <w:pPr>
        <w:ind w:left="58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DEA4D9A8">
      <w:start w:val="1"/>
      <w:numFmt w:val="bullet"/>
      <w:lvlText w:val="o"/>
      <w:lvlJc w:val="left"/>
      <w:pPr>
        <w:ind w:left="66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7AC2C000">
      <w:start w:val="1"/>
      <w:numFmt w:val="bullet"/>
      <w:lvlText w:val="▪"/>
      <w:lvlJc w:val="left"/>
      <w:pPr>
        <w:ind w:left="73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 w15:restartNumberingAfterBreak="0">
    <w:nsid w:val="595F6845"/>
    <w:multiLevelType w:val="hybridMultilevel"/>
    <w:tmpl w:val="B5F654A6"/>
    <w:lvl w:ilvl="0" w:tplc="BB72B472">
      <w:start w:val="1"/>
      <w:numFmt w:val="bullet"/>
      <w:lvlText w:val="*"/>
      <w:lvlJc w:val="left"/>
      <w:pPr>
        <w:ind w:left="7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F3769390">
      <w:start w:val="1"/>
      <w:numFmt w:val="bullet"/>
      <w:lvlText w:val="o"/>
      <w:lvlJc w:val="left"/>
      <w:pPr>
        <w:ind w:left="16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953A6B88">
      <w:start w:val="1"/>
      <w:numFmt w:val="bullet"/>
      <w:lvlText w:val="▪"/>
      <w:lvlJc w:val="left"/>
      <w:pPr>
        <w:ind w:left="2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A1945894">
      <w:start w:val="1"/>
      <w:numFmt w:val="bullet"/>
      <w:lvlText w:val="•"/>
      <w:lvlJc w:val="left"/>
      <w:pPr>
        <w:ind w:left="31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95FEA138">
      <w:start w:val="1"/>
      <w:numFmt w:val="bullet"/>
      <w:lvlText w:val="o"/>
      <w:lvlJc w:val="left"/>
      <w:pPr>
        <w:ind w:left="38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5CFC84A8">
      <w:start w:val="1"/>
      <w:numFmt w:val="bullet"/>
      <w:lvlText w:val="▪"/>
      <w:lvlJc w:val="left"/>
      <w:pPr>
        <w:ind w:left="45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83B2ED98">
      <w:start w:val="1"/>
      <w:numFmt w:val="bullet"/>
      <w:lvlText w:val="•"/>
      <w:lvlJc w:val="left"/>
      <w:pPr>
        <w:ind w:left="5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8404F676">
      <w:start w:val="1"/>
      <w:numFmt w:val="bullet"/>
      <w:lvlText w:val="o"/>
      <w:lvlJc w:val="left"/>
      <w:pPr>
        <w:ind w:left="6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910AB110">
      <w:start w:val="1"/>
      <w:numFmt w:val="bullet"/>
      <w:lvlText w:val="▪"/>
      <w:lvlJc w:val="left"/>
      <w:pPr>
        <w:ind w:left="6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num w:numId="1" w16cid:durableId="836262648">
    <w:abstractNumId w:val="1"/>
  </w:num>
  <w:num w:numId="2" w16cid:durableId="20485313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us Rublack">
    <w15:presenceInfo w15:providerId="Windows Live" w15:userId="745d74a4dee6b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B7"/>
    <w:rsid w:val="002604BD"/>
    <w:rsid w:val="008B75B9"/>
    <w:rsid w:val="009D64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1C92"/>
  <w15:docId w15:val="{8BE9B483-DC3E-4E53-8F48-4A8B4E96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323" w:lineRule="auto"/>
      <w:ind w:left="62" w:right="39" w:hanging="2"/>
      <w:jc w:val="both"/>
    </w:pPr>
    <w:rPr>
      <w:rFonts w:ascii="Times New Roman" w:eastAsia="Times New Roman" w:hAnsi="Times New Roman" w:cs="Times New Roman"/>
      <w:color w:val="000000"/>
      <w:sz w:val="20"/>
    </w:rPr>
  </w:style>
  <w:style w:type="paragraph" w:styleId="berschrift1">
    <w:name w:val="heading 1"/>
    <w:next w:val="Standard"/>
    <w:link w:val="berschrift1Zchn"/>
    <w:uiPriority w:val="9"/>
    <w:qFormat/>
    <w:pPr>
      <w:keepNext/>
      <w:keepLines/>
      <w:spacing w:after="0"/>
      <w:ind w:left="70" w:hanging="10"/>
      <w:outlineLvl w:val="0"/>
    </w:pPr>
    <w:rPr>
      <w:rFonts w:ascii="Times New Roman" w:eastAsia="Times New Roman" w:hAnsi="Times New Roman" w:cs="Times New Roman"/>
      <w:b/>
      <w:color w:val="000000"/>
      <w:sz w:val="29"/>
    </w:rPr>
  </w:style>
  <w:style w:type="paragraph" w:styleId="berschrift2">
    <w:name w:val="heading 2"/>
    <w:next w:val="Standard"/>
    <w:link w:val="berschrift2Zchn"/>
    <w:uiPriority w:val="9"/>
    <w:unhideWhenUsed/>
    <w:qFormat/>
    <w:pPr>
      <w:keepNext/>
      <w:keepLines/>
      <w:spacing w:after="140"/>
      <w:ind w:left="70" w:hanging="10"/>
      <w:outlineLvl w:val="1"/>
    </w:pPr>
    <w:rPr>
      <w:rFonts w:ascii="Times New Roman" w:eastAsia="Times New Roman" w:hAnsi="Times New Roman" w:cs="Times New Roman"/>
      <w:b/>
      <w:color w:val="000000"/>
      <w:sz w:val="24"/>
    </w:rPr>
  </w:style>
  <w:style w:type="paragraph" w:styleId="berschrift3">
    <w:name w:val="heading 3"/>
    <w:next w:val="Standard"/>
    <w:link w:val="berschrift3Zchn"/>
    <w:uiPriority w:val="9"/>
    <w:unhideWhenUsed/>
    <w:qFormat/>
    <w:pPr>
      <w:keepNext/>
      <w:keepLines/>
      <w:spacing w:after="185"/>
      <w:ind w:left="70" w:hanging="10"/>
      <w:outlineLvl w:val="2"/>
    </w:pPr>
    <w:rPr>
      <w:rFonts w:ascii="Times New Roman" w:eastAsia="Times New Roman" w:hAnsi="Times New Roman" w:cs="Times New Roman"/>
      <w:b/>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Times New Roman" w:eastAsia="Times New Roman" w:hAnsi="Times New Roman" w:cs="Times New Roman"/>
      <w:b/>
      <w:color w:val="000000"/>
      <w:sz w:val="24"/>
    </w:rPr>
  </w:style>
  <w:style w:type="paragraph" w:customStyle="1" w:styleId="footnotedescription">
    <w:name w:val="footnote description"/>
    <w:next w:val="Standard"/>
    <w:link w:val="footnotedescriptionChar"/>
    <w:hidden/>
    <w:pPr>
      <w:spacing w:after="0"/>
      <w:ind w:left="264"/>
    </w:pPr>
    <w:rPr>
      <w:rFonts w:ascii="Times New Roman" w:eastAsia="Times New Roman" w:hAnsi="Times New Roman" w:cs="Times New Roman"/>
      <w:color w:val="4169E1"/>
      <w:sz w:val="16"/>
    </w:rPr>
  </w:style>
  <w:style w:type="character" w:customStyle="1" w:styleId="footnotedescriptionChar">
    <w:name w:val="footnote description Char"/>
    <w:link w:val="footnotedescription"/>
    <w:rPr>
      <w:rFonts w:ascii="Times New Roman" w:eastAsia="Times New Roman" w:hAnsi="Times New Roman" w:cs="Times New Roman"/>
      <w:color w:val="4169E1"/>
      <w:sz w:val="16"/>
    </w:rPr>
  </w:style>
  <w:style w:type="character" w:customStyle="1" w:styleId="berschrift1Zchn">
    <w:name w:val="Überschrift 1 Zchn"/>
    <w:link w:val="berschrift1"/>
    <w:rPr>
      <w:rFonts w:ascii="Times New Roman" w:eastAsia="Times New Roman" w:hAnsi="Times New Roman" w:cs="Times New Roman"/>
      <w:b/>
      <w:color w:val="000000"/>
      <w:sz w:val="29"/>
    </w:rPr>
  </w:style>
  <w:style w:type="character" w:customStyle="1" w:styleId="berschrift3Zchn">
    <w:name w:val="Überschrift 3 Zchn"/>
    <w:link w:val="berschrift3"/>
    <w:rPr>
      <w:rFonts w:ascii="Times New Roman" w:eastAsia="Times New Roman" w:hAnsi="Times New Roman" w:cs="Times New Roman"/>
      <w:b/>
      <w:color w:val="000000"/>
      <w:sz w:val="20"/>
    </w:rPr>
  </w:style>
  <w:style w:type="paragraph" w:styleId="Verzeichnis1">
    <w:name w:val="toc 1"/>
    <w:hidden/>
    <w:pPr>
      <w:spacing w:after="80"/>
      <w:ind w:left="20" w:right="15" w:hanging="5"/>
    </w:pPr>
    <w:rPr>
      <w:rFonts w:ascii="Calibri" w:eastAsia="Calibri" w:hAnsi="Calibri" w:cs="Calibri"/>
      <w:color w:val="000000"/>
    </w:rPr>
  </w:style>
  <w:style w:type="paragraph" w:styleId="Verzeichnis2">
    <w:name w:val="toc 2"/>
    <w:hidden/>
    <w:pPr>
      <w:ind w:left="15" w:right="15"/>
    </w:pPr>
    <w:rPr>
      <w:rFonts w:ascii="Calibri" w:eastAsia="Calibri" w:hAnsi="Calibri" w:cs="Calibri"/>
      <w:color w:val="000000"/>
    </w:rPr>
  </w:style>
  <w:style w:type="paragraph" w:styleId="Verzeichnis3">
    <w:name w:val="toc 3"/>
    <w:hidden/>
    <w:pPr>
      <w:ind w:left="15" w:right="15"/>
    </w:pPr>
    <w:rPr>
      <w:rFonts w:ascii="Calibri" w:eastAsia="Calibri" w:hAnsi="Calibri" w:cs="Calibri"/>
      <w:color w:val="000000"/>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Kommentarzeichen">
    <w:name w:val="annotation reference"/>
    <w:basedOn w:val="Absatz-Standardschriftart"/>
    <w:uiPriority w:val="99"/>
    <w:semiHidden/>
    <w:unhideWhenUsed/>
    <w:rsid w:val="002604BD"/>
    <w:rPr>
      <w:sz w:val="16"/>
      <w:szCs w:val="16"/>
    </w:rPr>
  </w:style>
  <w:style w:type="paragraph" w:styleId="Kommentartext">
    <w:name w:val="annotation text"/>
    <w:basedOn w:val="Standard"/>
    <w:link w:val="KommentartextZchn"/>
    <w:uiPriority w:val="99"/>
    <w:unhideWhenUsed/>
    <w:rsid w:val="002604BD"/>
    <w:pPr>
      <w:spacing w:line="240" w:lineRule="auto"/>
    </w:pPr>
    <w:rPr>
      <w:szCs w:val="20"/>
    </w:rPr>
  </w:style>
  <w:style w:type="character" w:customStyle="1" w:styleId="KommentartextZchn">
    <w:name w:val="Kommentartext Zchn"/>
    <w:basedOn w:val="Absatz-Standardschriftart"/>
    <w:link w:val="Kommentartext"/>
    <w:uiPriority w:val="99"/>
    <w:rsid w:val="002604BD"/>
    <w:rPr>
      <w:rFonts w:ascii="Times New Roman" w:eastAsia="Times New Roman" w:hAnsi="Times New Roman" w:cs="Times New Roman"/>
      <w:color w:val="000000"/>
      <w:sz w:val="20"/>
      <w:szCs w:val="20"/>
    </w:rPr>
  </w:style>
  <w:style w:type="paragraph" w:styleId="Kommentarthema">
    <w:name w:val="annotation subject"/>
    <w:basedOn w:val="Kommentartext"/>
    <w:next w:val="Kommentartext"/>
    <w:link w:val="KommentarthemaZchn"/>
    <w:uiPriority w:val="99"/>
    <w:semiHidden/>
    <w:unhideWhenUsed/>
    <w:rsid w:val="002604BD"/>
    <w:rPr>
      <w:b/>
      <w:bCs/>
    </w:rPr>
  </w:style>
  <w:style w:type="character" w:customStyle="1" w:styleId="KommentarthemaZchn">
    <w:name w:val="Kommentarthema Zchn"/>
    <w:basedOn w:val="KommentartextZchn"/>
    <w:link w:val="Kommentarthema"/>
    <w:uiPriority w:val="99"/>
    <w:semiHidden/>
    <w:rsid w:val="002604BD"/>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93/clinchem/hvaa116" TargetMode="External"/><Relationship Id="rId18" Type="http://schemas.openxmlformats.org/officeDocument/2006/relationships/hyperlink" Target="https://bioecho-prod-media-hp.s3.sbg.perf.cloud.ovh.net/media/d0/9e/c1/1655465490/Cleanup-Brochure_ENG.pd" TargetMode="External"/><Relationship Id="rId26" Type="http://schemas.openxmlformats.org/officeDocument/2006/relationships/hyperlink" Target="https://doi.org/10.1126/science.79.2037.38" TargetMode="External"/><Relationship Id="rId39" Type="http://schemas.openxmlformats.org/officeDocument/2006/relationships/hyperlink" Target="https://doi.org/10.1007/978-3-030-94230-4" TargetMode="External"/><Relationship Id="rId21" Type="http://schemas.openxmlformats.org/officeDocument/2006/relationships/hyperlink" Target="https://www.biomers.net/de/Produkte/DNA/Real-time_PCR/PCR_Blocker.html" TargetMode="External"/><Relationship Id="rId34" Type="http://schemas.openxmlformats.org/officeDocument/2006/relationships/hyperlink" Target="https://doi.org/10.1016/s0022-1759(98)00170-7" TargetMode="External"/><Relationship Id="rId42" Type="http://schemas.openxmlformats.org/officeDocument/2006/relationships/hyperlink" Target="https://doi.org/10.1007/s00180-021-01188-y" TargetMode="External"/><Relationship Id="rId47" Type="http://schemas.openxmlformats.org/officeDocument/2006/relationships/hyperlink" Target="https://doi.org/10.1006/abio.1998.2914" TargetMode="External"/><Relationship Id="rId50" Type="http://schemas.openxmlformats.org/officeDocument/2006/relationships/hyperlink" Target="https://doi.org/10.1007/978-3-531-92033-7_7" TargetMode="External"/><Relationship Id="rId55" Type="http://schemas.openxmlformats.org/officeDocument/2006/relationships/hyperlink" Target="https://doi.org/10.1016/j.mcp.2016.01.009" TargetMode="External"/><Relationship Id="rId63" Type="http://schemas.openxmlformats.org/officeDocument/2006/relationships/hyperlink" Target="https://doi.org/10.1093/bioinformatics/btn227" TargetMode="External"/><Relationship Id="rId68" Type="http://schemas.openxmlformats.org/officeDocument/2006/relationships/hyperlink" Target="https://doi.org/10.1073/pnas.74.12.5463" TargetMode="External"/><Relationship Id="rId76" Type="http://schemas.openxmlformats.org/officeDocument/2006/relationships/hyperlink" Target="https://doi.org/10.1093/biomet/34.1-2.28" TargetMode="External"/><Relationship Id="rId7" Type="http://schemas.openxmlformats.org/officeDocument/2006/relationships/image" Target="media/image1.jpg"/><Relationship Id="rId71" Type="http://schemas.openxmlformats.org/officeDocument/2006/relationships/hyperlink" Target="https://doi.org/10.1093/biomet/52.3-4.591" TargetMode="External"/><Relationship Id="rId2" Type="http://schemas.openxmlformats.org/officeDocument/2006/relationships/styles" Target="styles.xml"/><Relationship Id="rId16" Type="http://schemas.openxmlformats.org/officeDocument/2006/relationships/hyperlink" Target="https://doi.org/10.1007/978-1-84882-969-5" TargetMode="External"/><Relationship Id="rId29" Type="http://schemas.openxmlformats.org/officeDocument/2006/relationships/hyperlink" Target="https://doi.org/10.1007/978-1-60761-944-4_16" TargetMode="External"/><Relationship Id="rId11" Type="http://schemas.microsoft.com/office/2018/08/relationships/commentsExtensible" Target="commentsExtensible.xml"/><Relationship Id="rId24" Type="http://schemas.openxmlformats.org/officeDocument/2006/relationships/hyperlink" Target="https://doi.org/10.1126/science.79.2037.38" TargetMode="External"/><Relationship Id="rId32" Type="http://schemas.openxmlformats.org/officeDocument/2006/relationships/hyperlink" Target="https://doi.org/10.1007/978-3-662-50372-0" TargetMode="External"/><Relationship Id="rId37" Type="http://schemas.openxmlformats.org/officeDocument/2006/relationships/hyperlink" Target="https://doi.org/10.1214/09-sts301" TargetMode="External"/><Relationship Id="rId40" Type="http://schemas.openxmlformats.org/officeDocument/2006/relationships/hyperlink" Target="https://doi.org/10.1007/978-3-658-34285-2_12" TargetMode="External"/><Relationship Id="rId45" Type="http://schemas.openxmlformats.org/officeDocument/2006/relationships/hyperlink" Target="https://doi.org/10.1038/s41598-018-36612-9" TargetMode="External"/><Relationship Id="rId53" Type="http://schemas.openxmlformats.org/officeDocument/2006/relationships/hyperlink" Target="https://doi.org/10.4097/kja.d.18.00242" TargetMode="External"/><Relationship Id="rId58" Type="http://schemas.openxmlformats.org/officeDocument/2006/relationships/hyperlink" Target="https://doi.org/10.1007/978-3-8274-2158-6" TargetMode="External"/><Relationship Id="rId66" Type="http://schemas.openxmlformats.org/officeDocument/2006/relationships/hyperlink" Target="https://doi.org/10.1093/bioinformatics/btv205" TargetMode="External"/><Relationship Id="rId74" Type="http://schemas.openxmlformats.org/officeDocument/2006/relationships/hyperlink" Target="https://doi.org/10.1007/978-3-663-11500-7_15" TargetMode="External"/><Relationship Id="rId79"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doi.org/10.1016/s0021-9673(97)01254-5" TargetMode="External"/><Relationship Id="rId82"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bioecho-prod-media-hp.s3.sbg.perf.cloud.ovh.net/media/d0/9e/c1/1655465490/Cleanup-Brochure_ENG.pd" TargetMode="External"/><Relationship Id="rId31" Type="http://schemas.openxmlformats.org/officeDocument/2006/relationships/hyperlink" Target="https://doi.org/10.1007/978-1-0716-0581-3_14" TargetMode="External"/><Relationship Id="rId44" Type="http://schemas.openxmlformats.org/officeDocument/2006/relationships/hyperlink" Target="https://doi.org/10.1093/bioinformatics/bty701" TargetMode="External"/><Relationship Id="rId52" Type="http://schemas.openxmlformats.org/officeDocument/2006/relationships/hyperlink" Target="https://doi.org/10.1007/s00216-021-03229-3" TargetMode="External"/><Relationship Id="rId60" Type="http://schemas.openxmlformats.org/officeDocument/2006/relationships/hyperlink" Target="https://doi.org/10.1016/j.bdq.2014.08.002" TargetMode="External"/><Relationship Id="rId65" Type="http://schemas.openxmlformats.org/officeDocument/2006/relationships/hyperlink" Target="https://doi.org/10.1093/bioinformatics/btv205" TargetMode="External"/><Relationship Id="rId73" Type="http://schemas.openxmlformats.org/officeDocument/2006/relationships/hyperlink" Target="https://doi.org/10.1385/0-89603-245-0:427" TargetMode="External"/><Relationship Id="rId78" Type="http://schemas.openxmlformats.org/officeDocument/2006/relationships/footer" Target="footer2.xml"/><Relationship Id="rId8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93/clinchem/hvaa116" TargetMode="External"/><Relationship Id="rId22" Type="http://schemas.openxmlformats.org/officeDocument/2006/relationships/hyperlink" Target="https://www.biomers.net/de/Produkte/Real_Time_PCR_Probes.html" TargetMode="External"/><Relationship Id="rId27" Type="http://schemas.openxmlformats.org/officeDocument/2006/relationships/hyperlink" Target="https://doi.org/10.1373/clinchem.2008.112797" TargetMode="External"/><Relationship Id="rId30" Type="http://schemas.openxmlformats.org/officeDocument/2006/relationships/hyperlink" Target="https://doi.org/10.1007/978-1-0716-0581-3_14" TargetMode="External"/><Relationship Id="rId35" Type="http://schemas.openxmlformats.org/officeDocument/2006/relationships/hyperlink" Target="https://doi.org/10.1016/s0022-1759(98)00170-7" TargetMode="External"/><Relationship Id="rId43" Type="http://schemas.openxmlformats.org/officeDocument/2006/relationships/hyperlink" Target="https://doi.org/10.1093/bioinformatics/bty701" TargetMode="External"/><Relationship Id="rId48" Type="http://schemas.openxmlformats.org/officeDocument/2006/relationships/hyperlink" Target="https://doi.org/10.1006/abio.1998.2914" TargetMode="External"/><Relationship Id="rId56" Type="http://schemas.openxmlformats.org/officeDocument/2006/relationships/hyperlink" Target="https://doi.org/10.1214/aoms/1177730491" TargetMode="External"/><Relationship Id="rId64" Type="http://schemas.openxmlformats.org/officeDocument/2006/relationships/hyperlink" Target="https://doi.org/10.1093/bioinformatics/btn227" TargetMode="External"/><Relationship Id="rId69" Type="http://schemas.openxmlformats.org/officeDocument/2006/relationships/hyperlink" Target="https://doi.org/10.1073/pnas.74.12.5463" TargetMode="External"/><Relationship Id="rId77"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i.org/10.1007/978-3-531-92033-7_7" TargetMode="External"/><Relationship Id="rId72" Type="http://schemas.openxmlformats.org/officeDocument/2006/relationships/hyperlink" Target="https://doi.org/10.1002/pro.3290"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2/jmv.27206" TargetMode="External"/><Relationship Id="rId17" Type="http://schemas.openxmlformats.org/officeDocument/2006/relationships/hyperlink" Target="https://doi.org/10.1007/978-1-84882-969-5" TargetMode="External"/><Relationship Id="rId25" Type="http://schemas.openxmlformats.org/officeDocument/2006/relationships/hyperlink" Target="https://doi.org/10.1126/science.79.2037.38" TargetMode="External"/><Relationship Id="rId33" Type="http://schemas.openxmlformats.org/officeDocument/2006/relationships/hyperlink" Target="https://doi.org/10.1007/978-1-4612-4380-9_6" TargetMode="External"/><Relationship Id="rId38" Type="http://schemas.openxmlformats.org/officeDocument/2006/relationships/hyperlink" Target="https://doi.org/10.1214/09-sts301" TargetMode="External"/><Relationship Id="rId46" Type="http://schemas.openxmlformats.org/officeDocument/2006/relationships/hyperlink" Target="https://doi.org/10.1038/s41598-018-36612-9" TargetMode="External"/><Relationship Id="rId59" Type="http://schemas.openxmlformats.org/officeDocument/2006/relationships/hyperlink" Target="https://stacks.cdc.gov/view/cdc/107944" TargetMode="External"/><Relationship Id="rId67" Type="http://schemas.openxmlformats.org/officeDocument/2006/relationships/hyperlink" Target="https://doi.org/10.1093/bioinformatics/btv205" TargetMode="External"/><Relationship Id="rId20" Type="http://schemas.openxmlformats.org/officeDocument/2006/relationships/hyperlink" Target="https://www.biomers.net/de/Produkte/DNA/Real-time_PCR/PCR_Blocker.html" TargetMode="External"/><Relationship Id="rId41" Type="http://schemas.openxmlformats.org/officeDocument/2006/relationships/hyperlink" Target="https://doi.org/10.1007/s00180-021-01188-y" TargetMode="External"/><Relationship Id="rId54" Type="http://schemas.openxmlformats.org/officeDocument/2006/relationships/hyperlink" Target="https://doi.org/10.1016/j.mcp.2016.01.009" TargetMode="External"/><Relationship Id="rId62" Type="http://schemas.openxmlformats.org/officeDocument/2006/relationships/hyperlink" Target="https://doi.org/10.1007/978-3-662-43548-9_1" TargetMode="External"/><Relationship Id="rId70" Type="http://schemas.openxmlformats.org/officeDocument/2006/relationships/hyperlink" Target="https://doi.org/10.1006/abio.1999.4291" TargetMode="External"/><Relationship Id="rId75" Type="http://schemas.openxmlformats.org/officeDocument/2006/relationships/hyperlink" Target="https://doi.org/10.1093/biomet/34.1-2.2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b978-0-12-418687-3.00025-2" TargetMode="External"/><Relationship Id="rId23" Type="http://schemas.openxmlformats.org/officeDocument/2006/relationships/hyperlink" Target="https://www.biomers.net/de/Produkte/Real_Time_PCR_Probes.html" TargetMode="External"/><Relationship Id="rId28" Type="http://schemas.openxmlformats.org/officeDocument/2006/relationships/hyperlink" Target="https://doi.org/10.1373/clinchem.2008.112797" TargetMode="External"/><Relationship Id="rId36" Type="http://schemas.openxmlformats.org/officeDocument/2006/relationships/hyperlink" Target="https://doi.org/10.1016/s0022-1759(98)00170-7" TargetMode="External"/><Relationship Id="rId49" Type="http://schemas.openxmlformats.org/officeDocument/2006/relationships/hyperlink" Target="https://doi.org/10.1007/3-540-26469-8_4" TargetMode="External"/><Relationship Id="rId57" Type="http://schemas.openxmlformats.org/officeDocument/2006/relationships/hyperlink" Target="https://doi.org/10.1214/aoms/117773049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international.neb.com/protocols/0001/01/01/standard-rna-synthesis-e2040" TargetMode="External"/><Relationship Id="rId3" Type="http://schemas.openxmlformats.org/officeDocument/2006/relationships/hyperlink" Target="https://search.r-project.org/CRAN/refmans/ie2misc/html/madstat.html" TargetMode="External"/><Relationship Id="rId7" Type="http://schemas.openxmlformats.org/officeDocument/2006/relationships/hyperlink" Target="https://files.zymoresearch.com/protocols/_d4003t_d4003_d4004_d4013_d4014_dna_clean_concentrator_-5.pdf" TargetMode="External"/><Relationship Id="rId2" Type="http://schemas.openxmlformats.org/officeDocument/2006/relationships/hyperlink" Target="https://www.ebi.ac.uk/Tools/msa/clustalo/" TargetMode="External"/><Relationship Id="rId1" Type="http://schemas.openxmlformats.org/officeDocument/2006/relationships/hyperlink" Target="http://www.primer-dimer.com/" TargetMode="External"/><Relationship Id="rId6" Type="http://schemas.openxmlformats.org/officeDocument/2006/relationships/hyperlink" Target="https://www.qiagen.com/us/resources/download.aspx?id=0bd0c5fb-c271-43e7-af43-32d539374fa9&amp;lang=en" TargetMode="External"/><Relationship Id="rId11" Type="http://schemas.openxmlformats.org/officeDocument/2006/relationships/hyperlink" Target="https://www.qiagen.com/us/resources/resourcedetail?id=c80685c0-4103-49ea-aa72-8989420e3018&amp;lang=en" TargetMode="External"/><Relationship Id="rId5" Type="http://schemas.openxmlformats.org/officeDocument/2006/relationships/hyperlink" Target="https://international.neb.com/protocols/0001/01/01/high-efficiency-transformation-protocol-c2987" TargetMode="External"/><Relationship Id="rId10" Type="http://schemas.openxmlformats.org/officeDocument/2006/relationships/hyperlink" Target="https://bioecho-prod-media-hp.s3.sbg.perf.cloud.ovh.net/media/e8/6b/93/1650492291/Protocol_EchoCLEANRNACleanupcolumn_001_EN.pdf" TargetMode="External"/><Relationship Id="rId4" Type="http://schemas.openxmlformats.org/officeDocument/2006/relationships/hyperlink" Target="https://search.r-project.org/CRAN/refmans/warbleR/html/sig2noise.html" TargetMode="External"/><Relationship Id="rId9" Type="http://schemas.openxmlformats.org/officeDocument/2006/relationships/hyperlink" Target="https://bioecho-prod-media-hp.s3.sbg.perf.cloud.ovh.net/media/e8/6b/93/1650492291/Protocol_EchoCLEANRNACleanupcolumn_001_EN.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7421</Words>
  <Characters>46753</Characters>
  <Application>Microsoft Office Word</Application>
  <DocSecurity>0</DocSecurity>
  <Lines>389</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cp:lastModifiedBy>Julius Rublack</cp:lastModifiedBy>
  <cp:revision>2</cp:revision>
  <dcterms:created xsi:type="dcterms:W3CDTF">2023-03-01T15:01:00Z</dcterms:created>
  <dcterms:modified xsi:type="dcterms:W3CDTF">2023-03-01T15:01:00Z</dcterms:modified>
</cp:coreProperties>
</file>