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MethodsTitle"/>
      </w:pPr>
      <w:r>
        <w:t>Methods: Global-Scale Coastal Flood Risk Assessment Under Socioeconomic and Climatic Uncertainty</w:t>
      </w:r>
    </w:p>
    <w:p>
      <w:pPr>
        <w:pStyle w:val="MethodsH1"/>
      </w:pPr>
      <w:r>
        <w:t>Overview</w:t>
      </w:r>
    </w:p>
    <w:p>
      <w:r>
        <w:t>We assess present-day and future coastal flood risk at global scale by coupling a high-resolution, tile-based coastal inundation model with a coarse-resolution exposure and adaptation framework. For each coastal location, flood hazard is simulated at ten return periods (1–1000 years) and a range of prescribed global-mean sea-level-rise (SLR) increments, from which we derive the Expected Annual (population) Impact (EAI) under a baseline (present-day protection) scenario and three stylised adaptation strategies—structural protection, managed retreat, and avoided development. Socioeconomic uncertainty is introduced through Shared Socioeconomic Pathway (SSP) population projections, and climatic uncertainty through the ensemble of SLR increments combined with SSP-consistent sea-level trajectories.</w:t>
      </w:r>
    </w:p>
    <w:p>
      <w:pPr>
        <w:pStyle w:val="MethodsH1"/>
      </w:pPr>
      <w:r>
        <w:t>Computational domain and hazard simulation</w:t>
      </w:r>
    </w:p>
    <w:p>
      <w:r>
        <w:t>The global coastline is discretised into a regular grid of tiles, each buffered to a fixed extent around its coastal cells; tiles that are entirely ocean or have insufficient valid elevation/coastline coverage are merged into neighbouring tiles or dropped. Within each tile, topography is taken from the DeltaDTM v1.1 global coastal digital terrain model at ≈30 m resolution, referenced to mean sea level (base DEM: Pronk et al., 2024, Earth Syst. Sci. Data, 16, 2343–2360; the MSL-referenced v1.1 update requires citation confirmation — see note below), refined with OpenStreetMap land/water/lake/river polygons. Surface roughness (Manning’s n) is derived from Copernicus Global Land Cover (100 m; Buchhorn et al., 2020, Remote Sensing, 12, 1044) via a land-cover-to-roughness lookup table.</w:t>
      </w:r>
    </w:p>
    <w:p>
      <w:r>
        <w:t>Coastal flood hazard is simulated with a bathtub-type inundation model, extending the WRI/Deltares Aqueduct Coastal Flooding methodology: boundary water levels at nearby COAST-RP virtual stations (Dullaart et al., 2021, Communications Earth &amp; Environment, 2, 135) are interpolated onto coastal DEM pixels by inverse-distance weighting, propagated inland through a friction-weighted eikonal (fast-sweeping) solver, and compared against terrain elevation; only inundated cells hydraulically connected to the coastline (connected-component labelling) are retained as flooded, giving per-pixel flood depth. This is repeated for every simulated combination of return period and SLR increment.</w:t>
      </w:r>
    </w:p>
    <w:p>
      <w:r>
        <w:t>Boundary water levels combine an extreme-value storm-tide return level (from COAST-RP, itself mean-sea-level referenced, consistent with the DEM) with a spatially resolved SLR increment:</w:t>
      </w:r>
    </w:p>
    <w:p>
      <w:pPr>
        <w:pStyle w:val="MethodsFormula"/>
      </w:pPr>
      <w:r>
        <w:t>total water level(RP, target SLR) = storm-tide(RP) + SLR_fingerprint(target SLR)</w:t>
      </w:r>
    </w:p>
    <w:p>
      <w:r>
        <w:t>where the fingerprint scales the regional pattern of 21st-century sea-level change (IPCC AR6 regional projections, SSP2-4.5, 2100 median) to match the prescribed global-mean SLR target, applied independently at each COAST-RP station.</w:t>
      </w:r>
    </w:p>
    <w:p>
      <w:pPr>
        <w:pStyle w:val="MethodsH1"/>
      </w:pPr>
      <w:r>
        <w:t>Aggregation to the coarse exposure grid</w:t>
      </w:r>
    </w:p>
    <w:p>
      <w:r>
        <w:t>Fine-resolution (≈30 m) flood depths are aggregated onto the ≈1 km population grid as a per-cell flood fraction (ff): the proportion of fine pixels within a coarse cell exceeding a minimum flood-depth threshold, with out-of-domain pixels treated as non-flooded rather than excluded from the calculation. Population counts (WorldPop, 2020, ≈1 km) and administrative attribution (WRI/Aqueduct Global Flood Analyzer “geogunit” protection units) are resampled onto the same coarse grid.</w:t>
      </w:r>
    </w:p>
    <w:p>
      <w:pPr>
        <w:pStyle w:val="MethodsH1"/>
      </w:pPr>
      <w:r>
        <w:t>Baseline exposure and Expected Annual Impact</w:t>
      </w:r>
    </w:p>
    <w:p>
      <w:r>
        <w:t>Each ≈1 km cell is assigned a design flood-protection standard from the FLOPROS database (Tiggeloven et al., 2020, Natural Hazards and Earth System Sciences, 20, 1025–1044), snapped to the nearest simulated return period at or above the FLOPROS standard. Baseline exposure at each simulated (return period, SLR) combination follows a binary design-exceedance rule:</w:t>
      </w:r>
    </w:p>
    <w:p>
      <w:pPr>
        <w:pStyle w:val="MethodsFormula"/>
      </w:pPr>
      <w:r>
        <w:t>exposure(cell) = ff(cell) × population(cell),  if ff(cell) &gt; ff_design(cell); 0 otherwise</w:t>
      </w:r>
    </w:p>
    <w:p>
      <w:r>
        <w:t>where ff_design is the flood fraction the cell would experience at its own design return period under present-day (zero) SLR — i.e., protection is assumed to hold exactly up to, and be fully overwhelmed beyond, its design standard. Country-level Expected Annual Impact (EAI) is obtained by trapezoidal integration of exposure over the exceedance-probability domain (1/return period) across all simulated return periods, with the tail beyond the rarest simulated event held constant at the lowest simulated exceedance probability.</w:t>
      </w:r>
    </w:p>
    <w:p>
      <w:pPr>
        <w:pStyle w:val="MethodsH1"/>
      </w:pPr>
      <w:r>
        <w:t>Adaptation scenarios</w:t>
      </w:r>
    </w:p>
    <w:p>
      <w:r>
        <w:t>Three adaptation strategies are evaluated against the baseline, each defined at three design intensities corresponding to a target SLR of 250, 500 and 1000 mm.</w:t>
      </w:r>
    </w:p>
    <w:p>
      <w:r>
        <w:t>Protection uses the same binary design-exceedance formula as the baseline, but with ff_design calibrated at the adaptation target SLR instead of zero SLR — i.e., structural protection is upgraded to remain effective up to a higher future sea level. Because a higher design SLR always yields an equal-or-higher design flood fraction than the baseline, this construction guarantees that protection scenarios never show higher exposure than the unprotected baseline.</w:t>
      </w:r>
    </w:p>
    <w:p>
      <w:r>
        <w:t>Managed retreat relocates the population within the design floodplain (ff_design × population) to the non-flooded portion of the same cell and, where local capacity is insufficient, redistributes the remainder proportionally across the receiving capacity of all cells within the same country. Exposure under retreat is the marginal exceedance beyond the design flood fraction, applied to the concentrated (post-relocation) population and normalised by the remaining non-flooded share of the cell:</w:t>
      </w:r>
    </w:p>
    <w:p>
      <w:pPr>
        <w:pStyle w:val="MethodsFormula"/>
      </w:pPr>
      <w:r>
        <w:t>exposure(cell) = [(ff(cell) − ff_design(cell)) / (1 − ff_design(cell))] × eff_pop(cell),  for ff &gt; ff_design</w:t>
      </w:r>
    </w:p>
    <w:p>
      <w:r>
        <w:t>Avoided development leaves the existing (2020) population undisturbed — its exposure follows the same formula as protection — but redirects the share of future population growth that would otherwise occur within the design floodplain to the surrounding non-flood-prone capacity of the same country, using the same proportional-redistribution logic as retreat. Only growth above the 2020 reference population is redirected; the redirected growth is exposed according to the retreat-style marginal-exceedance term, added to the unredirected population's baseline-equivalent exposure:</w:t>
      </w:r>
    </w:p>
    <w:p>
      <w:pPr>
        <w:pStyle w:val="MethodsFormula"/>
      </w:pPr>
      <w:r>
        <w:t>exposure(cell) = ff(cell) × population_2020(cell) + [(ff(cell) − ff_design(cell)) / (1 − ff_design(cell))] × redirected(cell),  for ff &gt; ff_design</w:t>
      </w:r>
    </w:p>
    <w:p>
      <w:pPr>
        <w:pStyle w:val="MethodsH1"/>
      </w:pPr>
      <w:r>
        <w:t>Socioeconomic and climate scenarios</w:t>
      </w:r>
    </w:p>
    <w:p>
      <w:r>
        <w:t>Future population change is represented via SSP-consistent, country-level population growth factors relative to a 2020 baseline. Two complementary treatments of uncertainty are used. First, a scenario-neutral sensitivity analysis evaluates EAI across an evenly spaced grid of SLR levels (linearly interpolated between simulated increments) and generic population-growth multipliers (−50% to +150% of the 2020 population), applied uniformly across all countries, independent of any particular SSP. Second, SSP/RCP-specific projections evaluate EAI at the real, time-varying global-mean SLR trajectory associated with each SSP-consistent emission pathway (SSP1–RCP2.6, SSP2–RCP4.5, SSP5–RCP8.5) and scale it by that SSP's real, country-specific population growth factor at each future year. SLR trajectories are taken from AR6-based global-mean projections at the 17th, 50th and 83rd percentiles, so that projected risk can be reported together with its sea-level-driven uncertainty range.</w:t>
      </w:r>
    </w:p>
    <w:p>
      <w:pPr>
        <w:pStyle w:val="MethodsH1"/>
      </w:pPr>
      <w:r>
        <w:t>Notes on citations to confirm before submission</w:t>
      </w:r>
    </w:p>
    <w:p>
      <w:pPr>
        <w:pStyle w:val="MethodsNote"/>
      </w:pPr>
      <w:r>
        <w:t>The exact publication for the DeltaDTM v1.1 mean-sea-level-referenced release (used here in place of the original EGM2008-referenced v1.0 release, Pronk et al., 2024) should be confirmed directly with the dataset provider before external citation.</w:t>
      </w:r>
    </w:p>
    <w:p>
      <w:pPr>
        <w:pStyle w:val="MethodsNote"/>
      </w:pPr>
      <w:r>
        <w:t>The SSP population growth factors are described in the project data catalogue only as “based on UN SSP population projections”; the primary source dataset (e.g. IIASA SSP Database, KC &amp; Lutz, 2017) should be confirmed and cited explicitly.</w:t>
      </w:r>
    </w:p>
    <w:p>
      <w:pPr>
        <w:pStyle w:val="MethodsNote"/>
      </w:pPr>
      <w:r>
        <w:t>The regional sea-level fingerprint used to spatially distribute the prescribed global-mean SLR increments is derived from IPCC AR6 regional projections (SSP2-4.5, 2100 median); if the paper reports results for other SSP/RCP pathways, consider whether a pathway-matched fingerprint would be more appropriate than a single fixed pattern scaled to each target.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thodsTitle">
    <w:name w:val="MethodsTitle"/>
    <w:basedOn w:val="Normal"/>
    <w:pPr>
      <w:spacing w:after="240"/>
    </w:pPr>
    <w:rPr>
      <w:b/>
      <w:sz w:val="28"/>
    </w:rPr>
  </w:style>
  <w:style w:type="paragraph" w:customStyle="1" w:styleId="MethodsH1">
    <w:name w:val="MethodsH1"/>
    <w:basedOn w:val="Normal"/>
    <w:pPr>
      <w:spacing w:before="200" w:after="80"/>
    </w:pPr>
    <w:rPr>
      <w:b/>
      <w:sz w:val="24"/>
    </w:rPr>
  </w:style>
  <w:style w:type="paragraph" w:customStyle="1" w:styleId="MethodsFormula">
    <w:name w:val="MethodsFormula"/>
    <w:basedOn w:val="Normal"/>
    <w:pPr>
      <w:spacing w:after="160" w:before="40"/>
      <w:ind w:left="504"/>
    </w:pPr>
    <w:rPr>
      <w:rFonts w:ascii="Consolas" w:hAnsi="Consolas"/>
      <w:sz w:val="20"/>
    </w:rPr>
  </w:style>
  <w:style w:type="paragraph" w:customStyle="1" w:styleId="MethodsNote">
    <w:name w:val="MethodsNote"/>
    <w:basedOn w:val="Normal"/>
    <w:rPr>
      <w: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