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6FDBEB09"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 In a grip force task, tremor amplitude increases during large scale visual feedback compared to a condition with low scale visual feedback.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arousal/psychological stress. We hypothesized that (1) amplitude of ET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N</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age 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consistently showed a significantly increased pupil diameter during the large scale visual- and auditory 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0A02E75F"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w:t>
      </w:r>
      <w:proofErr w:type="gramStart"/>
      <w:r w:rsidR="00D565D6" w:rsidRPr="00D565D6">
        <w:t>tremor</w:t>
      </w:r>
      <w:proofErr w:type="gramEnd"/>
      <w:r w:rsidR="00D565D6" w:rsidRPr="00D565D6">
        <w:t xml:space="preserve">- the etiology remains obscure. However, as </w:t>
      </w:r>
      <w:r w:rsidR="00350B4B">
        <w:t xml:space="preserve">a </w:t>
      </w:r>
      <w:r w:rsidR="00D565D6" w:rsidRPr="00D565D6">
        <w:t xml:space="preserve">common pathophysiological substrate of action tremor syndromes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(Helmich, Toni et al. 2013)</w:t>
      </w:r>
      <w:r w:rsidR="00F8107A">
        <w:fldChar w:fldCharType="end"/>
      </w:r>
    </w:p>
    <w:p w14:paraId="57510B53" w14:textId="7187FD45" w:rsidR="000123DF" w:rsidRDefault="002736E0" w:rsidP="000123D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3A5EC8">
        <w:t>Or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p>
    <w:p w14:paraId="14745D57" w14:textId="2D256245" w:rsidR="00383A9B" w:rsidRPr="009208BA" w:rsidRDefault="00FA5FB4" w:rsidP="009208BA">
      <w:pPr>
        <w:pStyle w:val="MainTextwithTab"/>
        <w:ind w:firstLine="0"/>
      </w:pPr>
      <w:r>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integration of somatosensory afferent and efferent signals within certain thalamic areas play a decisive role in the generation of tremor amplitude.</w:t>
      </w:r>
      <w:r w:rsidR="00383A9B" w:rsidRPr="00383A9B">
        <w:rPr>
          <w:lang w:val="en-GB"/>
        </w:rPr>
        <w:fldChar w:fldCharType="begin"/>
      </w:r>
      <w:r>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Pr>
          <w:noProof/>
          <w:lang w:val="en-GB"/>
        </w:rPr>
        <w:t>(Pedrosa, Brown et al. 2018)</w:t>
      </w:r>
      <w:r w:rsidR="00383A9B" w:rsidRPr="00383A9B">
        <w:fldChar w:fldCharType="end"/>
      </w:r>
    </w:p>
    <w:p w14:paraId="3BEC42FA" w14:textId="5B33D292" w:rsidR="00CF2384" w:rsidRPr="00D565D6" w:rsidRDefault="00F720B6" w:rsidP="00CF2384">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like ET and </w:t>
      </w:r>
      <w:r w:rsidR="005A0526">
        <w:t>intention tremor in multiple sclerosis</w:t>
      </w:r>
      <w:r w:rsidR="005E473D">
        <w:t xml:space="preserve"> was shown </w:t>
      </w:r>
      <w:r w:rsidR="00EF4316">
        <w:t>responsive to</w:t>
      </w:r>
      <w:r w:rsidR="005E473D">
        <w:t xml:space="preserve"> </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LiAyMDEyKTwvRGlzcGxheVRleHQ+PHJlY29yZD48cmVjLW51bWJlcj4xMzE0PC9yZWMtbnVtYmVy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</w:fldData>
        </w:fldChar>
      </w:r>
      <w:r w:rsidR="00683D55">
        <w:rPr>
          <w:lang w:val="en-GB"/>
        </w:rPr>
        <w:instrText xml:space="preserve"> ADDIN EN.CITE </w:instrText>
      </w:r>
      <w:r w:rsidR="00683D55">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LiAyMDEyKTwvRGlzcGxheVRleHQ+PHJlY29yZD48cmVjLW51bWJlcj4xMzE0PC9yZWMtbnVtYmVy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</w:fldData>
        </w:fldChar>
      </w:r>
      <w:r w:rsidR="00683D55">
        <w:rPr>
          <w:lang w:val="en-GB"/>
        </w:rPr>
        <w:instrText xml:space="preserve"> ADDIN EN.CITE.DATA </w:instrText>
      </w:r>
      <w:r w:rsidR="00683D55">
        <w:rPr>
          <w:lang w:val="en-GB"/>
        </w:rPr>
      </w:r>
      <w:r w:rsidR="00683D55">
        <w:rPr>
          <w:lang w:val="en-GB"/>
        </w:rPr>
        <w:fldChar w:fldCharType="end"/>
      </w:r>
      <w:r w:rsidR="00DB7FA7" w:rsidRPr="00DB7FA7">
        <w:rPr>
          <w:lang w:val="en-GB"/>
        </w:rPr>
      </w:r>
      <w:r w:rsidR="00DB7FA7" w:rsidRPr="00DB7FA7">
        <w:rPr>
          <w:lang w:val="en-GB"/>
        </w:rPr>
        <w:fldChar w:fldCharType="separate"/>
      </w:r>
      <w:r w:rsidR="00683D55">
        <w:rPr>
          <w:noProof/>
          <w:lang w:val="en-GB"/>
        </w:rPr>
        <w:t>(Keogh, Morrison et al. 2004, Feys, Helsen et al. 2006, Gironell, Ribosa-Nogue et al. 2012)</w:t>
      </w:r>
      <w:r w:rsidR="00DB7FA7" w:rsidRPr="00DB7FA7">
        <w:fldChar w:fldCharType="end"/>
      </w:r>
      <w:r w:rsidR="00D565D6" w:rsidRPr="00D565D6">
        <w:t xml:space="preserve"> A recent functional MRI study found -apart from the well-known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pathway- a widespread visually sensitive network including key regions in the visual cortex and parietal lobule associated with severity of essential tremor during a static grip force task.</w:t>
      </w:r>
      <w:r w:rsidR="0073349E">
        <w:fldChar w:fldCharType="begin"/>
      </w:r>
      <w:r w:rsidR="0073349E">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73349E">
        <w:fldChar w:fldCharType="separate"/>
      </w:r>
      <w:r w:rsidR="0073349E">
        <w:rPr>
          <w:noProof/>
        </w:rPr>
        <w:t>(Archer, Coombes et al. 2017)</w:t>
      </w:r>
      <w:r w:rsidR="0073349E">
        <w:fldChar w:fldCharType="end"/>
      </w:r>
      <w:r w:rsidR="00D565D6" w:rsidRPr="00D565D6">
        <w:t xml:space="preserve"> However, it has not been examined </w:t>
      </w:r>
      <w:r w:rsidR="00EA2AC5">
        <w:t xml:space="preserve">yet </w:t>
      </w:r>
      <w:r w:rsidR="00D565D6" w:rsidRPr="00D565D6">
        <w:t xml:space="preserve">whether visual feedback exclusively modulates action tremor severity or if an increase of other afferent input like auditory sensation has a modulatory effect on tremor amplitude as well. </w:t>
      </w:r>
      <w:r w:rsidR="000E57D7">
        <w:t xml:space="preserve"> </w:t>
      </w:r>
      <w:r w:rsidR="00D565D6" w:rsidRPr="00D565D6">
        <w:t>It is unknown whether the sensory signal itself directly affects the tremor generating network or if the effect is rather indirect: enhanced sensory feedback during targeted driven movements might cause arousal/psychological stress.</w:t>
      </w:r>
      <w:r w:rsidR="00CF2384">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increases </w:t>
      </w:r>
      <w:r w:rsidR="00CF2384" w:rsidRPr="00D565D6">
        <w:lastRenderedPageBreak/>
        <w:t>tremor amplitude.</w:t>
      </w:r>
      <w:r w:rsidR="00CF2384">
        <w:t xml:space="preserve"> </w:t>
      </w:r>
      <w:r w:rsidR="00CF2384" w:rsidRPr="00D565D6">
        <w:t>This can be tested when manipulating the scale of the feedback in any sensory condition.</w:t>
      </w:r>
    </w:p>
    <w:p w14:paraId="5A3727DC" w14:textId="1D536B32" w:rsidR="009154BC" w:rsidRDefault="00D565D6" w:rsidP="002C2DBE">
      <w:pPr>
        <w:pStyle w:val="MainTextwithTab"/>
      </w:pPr>
      <w:r w:rsidRPr="00D565D6">
        <w:t xml:space="preserve"> Recently, a modulatory role of psychological stress (or rather arousal?), as measured by a coincident pupillary dilation, onto the rest tremor network of Parkinson´s disease was shown.</w:t>
      </w:r>
      <w:r w:rsidR="006B1A86">
        <w:fldChar w:fldCharType="begin"/>
      </w:r>
      <w:r w:rsidR="006B1A86">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006B1A86">
        <w:fldChar w:fldCharType="separate"/>
      </w:r>
      <w:r w:rsidR="006B1A86">
        <w:rPr>
          <w:noProof/>
        </w:rPr>
        <w:t>(Dirkx, Zach et al. 2020)</w:t>
      </w:r>
      <w:r w:rsidR="006B1A86">
        <w:fldChar w:fldCharType="end"/>
      </w:r>
      <w:r w:rsidRPr="00D565D6">
        <w:t xml:space="preserve"> This effect is most likely exerted by direct bottom-up noradrenergic influences onto the thalamus and indirectly by top-down cognitive influences onto the </w:t>
      </w:r>
      <w:proofErr w:type="spellStart"/>
      <w:r w:rsidRPr="00D565D6">
        <w:t>cerebello</w:t>
      </w:r>
      <w:proofErr w:type="spellEnd"/>
      <w:r w:rsidRPr="00D565D6">
        <w:t>-</w:t>
      </w:r>
      <w:proofErr w:type="spellStart"/>
      <w:r w:rsidRPr="00D565D6">
        <w:t>thalamo</w:t>
      </w:r>
      <w:proofErr w:type="spellEnd"/>
      <w:r w:rsidRPr="00D565D6">
        <w:t xml:space="preserve">-cortical circuit. Since the thalamus is a key node not only </w:t>
      </w:r>
      <w:r w:rsidR="00AA167A">
        <w:t xml:space="preserve">within </w:t>
      </w:r>
      <w:r w:rsidR="008936E7">
        <w:t xml:space="preserve">the </w:t>
      </w:r>
      <w:r w:rsidR="00EB5614">
        <w:t>PD</w:t>
      </w:r>
      <w:r w:rsidRPr="00D565D6">
        <w:t xml:space="preserve"> resting tremor </w:t>
      </w:r>
      <w:r w:rsidR="008936E7">
        <w:t xml:space="preserve">network </w:t>
      </w:r>
      <w:r w:rsidRPr="00D565D6">
        <w:t>but also action tremor network</w:t>
      </w:r>
      <w:r w:rsidR="00AA167A">
        <w:t>s</w:t>
      </w:r>
      <w:r w:rsidRPr="00D565D6">
        <w:t xml:space="preserve"> as well, an amplification of action tremor by ascending arousal systems (</w:t>
      </w:r>
      <w:proofErr w:type="gramStart"/>
      <w:r w:rsidRPr="00D565D6">
        <w:t>i.e.</w:t>
      </w:r>
      <w:proofErr w:type="gramEnd"/>
      <w:r w:rsidRPr="00D565D6">
        <w:t xml:space="preserve"> noradrenergic systems) seems likely. </w:t>
      </w:r>
    </w:p>
    <w:p w14:paraId="15A9B6F8" w14:textId="740D3338" w:rsidR="00D565D6" w:rsidRDefault="00314906" w:rsidP="002C2DBE">
      <w:pPr>
        <w:pStyle w:val="MainTextwithTab"/>
      </w:pPr>
      <w:r>
        <w:rPr>
          <w:noProof/>
        </w:rPr>
        <mc:AlternateContent>
          <mc:Choice Requires="wps">
            <w:drawing>
              <wp:anchor distT="45720" distB="45720" distL="114300" distR="114300" simplePos="0" relativeHeight="251658242" behindDoc="0" locked="0" layoutInCell="1" allowOverlap="1" wp14:anchorId="2CCAA277" wp14:editId="262AFC9A">
                <wp:simplePos x="0" y="0"/>
                <wp:positionH relativeFrom="margin">
                  <wp:align>right</wp:align>
                </wp:positionH>
                <wp:positionV relativeFrom="paragraph">
                  <wp:posOffset>18415</wp:posOffset>
                </wp:positionV>
                <wp:extent cx="3196590" cy="2450465"/>
                <wp:effectExtent l="0" t="0" r="22860" b="260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2450592"/>
                        </a:xfrm>
                        <a:prstGeom prst="rect">
                          <a:avLst/>
                        </a:prstGeom>
                        <a:solidFill>
                          <a:srgbClr val="FFFFFF"/>
                        </a:solidFill>
                        <a:ln w="9525">
                          <a:solidFill>
                            <a:srgbClr val="000000"/>
                          </a:solidFill>
                          <a:miter lim="800000"/>
                          <a:headEnd/>
                          <a:tailEnd/>
                        </a:ln>
                      </wps:spPr>
                      <wps:txbx>
                        <w:txbxContent>
                          <w:p w14:paraId="528D1640" w14:textId="623B1B57" w:rsidR="00314906" w:rsidRDefault="00314906">
                            <w:r>
                              <w:rPr>
                                <w:noProof/>
                              </w:rPr>
                              <w:drawing>
                                <wp:inline distT="0" distB="0" distL="0" distR="0" wp14:anchorId="1A4FF4A0" wp14:editId="00A05133">
                                  <wp:extent cx="3065069" cy="2066842"/>
                                  <wp:effectExtent l="0" t="0" r="254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6B53DA76" w14:textId="3ED77C07" w:rsidR="00314906" w:rsidRPr="002C2DBE" w:rsidRDefault="00314906" w:rsidP="00314906">
                            <w:pPr>
                              <w:pStyle w:val="FigureLegendMain"/>
                            </w:pPr>
                            <w:r w:rsidRPr="00B4753D">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1094B36C" w14:textId="77777777" w:rsidR="00314906" w:rsidRDefault="003149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AA277" id="_x0000_t202" coordsize="21600,21600" o:spt="202" path="m,l,21600r21600,l21600,xe">
                <v:stroke joinstyle="miter"/>
                <v:path gradientshapeok="t" o:connecttype="rect"/>
              </v:shapetype>
              <v:shape id="_x0000_s1026" type="#_x0000_t202" style="position:absolute;left:0;text-align:left;margin-left:200.5pt;margin-top:1.45pt;width:251.7pt;height:192.95pt;z-index:25165824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">
                <v:textbox>
                  <w:txbxContent>
                    <w:p w14:paraId="528D1640" w14:textId="623B1B57" w:rsidR="00314906" w:rsidRDefault="00314906">
                      <w:r>
                        <w:rPr>
                          <w:noProof/>
                        </w:rPr>
                        <w:drawing>
                          <wp:inline distT="0" distB="0" distL="0" distR="0" wp14:anchorId="1A4FF4A0" wp14:editId="00A05133">
                            <wp:extent cx="3065069" cy="2066842"/>
                            <wp:effectExtent l="0" t="0" r="254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6B53DA76" w14:textId="3ED77C07" w:rsidR="00314906" w:rsidRPr="002C2DBE" w:rsidRDefault="00314906" w:rsidP="00314906">
                      <w:pPr>
                        <w:pStyle w:val="FigureLegendMain"/>
                      </w:pPr>
                      <w:r w:rsidRPr="00B4753D">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1094B36C" w14:textId="77777777" w:rsidR="00314906" w:rsidRDefault="00314906"/>
                  </w:txbxContent>
                </v:textbox>
                <w10:wrap type="square" anchorx="margin"/>
              </v:shape>
            </w:pict>
          </mc:Fallback>
        </mc:AlternateContent>
      </w:r>
      <w:r w:rsidR="00D565D6" w:rsidRPr="00D565D6">
        <w:t xml:space="preserve">Also, a potential role of multisensory integration in tremor amplitude modulation has not been examined yet. Simultaneously incoming sensory feedback could lead to an amplification of the tremor modulating effect compared to </w:t>
      </w:r>
      <w:proofErr w:type="spellStart"/>
      <w:r w:rsidR="00D565D6" w:rsidRPr="00D565D6">
        <w:t>monosensory</w:t>
      </w:r>
      <w:proofErr w:type="spellEnd"/>
      <w:r w:rsidR="00D565D6" w:rsidRPr="00D565D6">
        <w:t xml:space="preserve"> condition. To test </w:t>
      </w:r>
      <w:proofErr w:type="gramStart"/>
      <w:r w:rsidR="00D565D6" w:rsidRPr="00D565D6">
        <w:t>this</w:t>
      </w:r>
      <w:proofErr w:type="gramEnd"/>
      <w:r w:rsidR="00D565D6" w:rsidRPr="00D565D6">
        <w:t xml:space="preserve"> we plan to examine the modulation </w:t>
      </w:r>
      <w:proofErr w:type="spellStart"/>
      <w:r w:rsidR="00D565D6" w:rsidRPr="00D565D6">
        <w:t>tremoroulus</w:t>
      </w:r>
      <w:proofErr w:type="spellEnd"/>
      <w:r w:rsidR="00D565D6" w:rsidRPr="00D565D6">
        <w:t xml:space="preserve"> activity by visual and auditory feedback, as standalone and in combination.</w:t>
      </w:r>
    </w:p>
    <w:p w14:paraId="708C06C5" w14:textId="77777777" w:rsidR="00AF139F" w:rsidRPr="00D565D6" w:rsidRDefault="00AF139F" w:rsidP="002C2DBE">
      <w:pPr>
        <w:pStyle w:val="MainTextwithTab"/>
      </w:pPr>
    </w:p>
    <w:p w14:paraId="2ADD09CF" w14:textId="77777777" w:rsidR="00D565D6" w:rsidRPr="00D565D6" w:rsidRDefault="00D565D6" w:rsidP="002C2DBE">
      <w:pPr>
        <w:pStyle w:val="MainTextwithTab"/>
      </w:pPr>
      <w:r w:rsidRPr="00D565D6">
        <w:t>Therefore, our study aims at testing the following hypotheses:</w:t>
      </w:r>
    </w:p>
    <w:p w14:paraId="07F7C6DF" w14:textId="63B6E392" w:rsidR="008C3AFB" w:rsidRDefault="00D565D6" w:rsidP="002C2DBE">
      <w:pPr>
        <w:pStyle w:val="MainTextwithTab"/>
      </w:pPr>
      <w:r w:rsidRPr="00D565D6">
        <w:t xml:space="preserve">1: </w:t>
      </w:r>
      <w:r w:rsidR="008C3AFB">
        <w:t>Feedback s</w:t>
      </w:r>
      <w:r w:rsidRPr="00D565D6">
        <w:t>cal</w:t>
      </w:r>
      <w:r w:rsidR="008C3AFB">
        <w:t>ing</w:t>
      </w:r>
      <w:r w:rsidRPr="00D565D6">
        <w:t xml:space="preserve"> influences tremor </w:t>
      </w:r>
      <w:r w:rsidR="008C3AFB">
        <w:t>severity in different sensory feedback conditions in ET patients, not HC.</w:t>
      </w:r>
    </w:p>
    <w:p w14:paraId="7CCE0923" w14:textId="4D1D724F" w:rsidR="00D565D6" w:rsidRPr="00D565D6" w:rsidRDefault="008C3AFB" w:rsidP="002C2DBE">
      <w:pPr>
        <w:pStyle w:val="MainTextwithTab"/>
      </w:pPr>
      <w:r>
        <w:t>2: Increased p</w:t>
      </w:r>
      <w:r w:rsidR="00D565D6" w:rsidRPr="00D565D6">
        <w:t xml:space="preserve">upil </w:t>
      </w:r>
      <w:r w:rsidRPr="00D565D6">
        <w:t>dilation</w:t>
      </w:r>
      <w:r w:rsidR="00D565D6" w:rsidRPr="00D565D6">
        <w:t xml:space="preserve"> </w:t>
      </w:r>
      <w:r>
        <w:t>during the task is expected during more prominent feedback</w:t>
      </w:r>
    </w:p>
    <w:p w14:paraId="5E9826DF" w14:textId="491FDD5B" w:rsidR="00D565D6" w:rsidRDefault="008C3AFB" w:rsidP="002C2DBE">
      <w:pPr>
        <w:pStyle w:val="MainTextwithTab"/>
      </w:pPr>
      <w:r>
        <w:t xml:space="preserve">3: The higher gain with increased scaling in tremor force is reflected in pupil </w:t>
      </w:r>
      <w:proofErr w:type="spellStart"/>
      <w:r>
        <w:t>dialation</w:t>
      </w:r>
      <w:proofErr w:type="spellEnd"/>
      <w:r>
        <w:t>.</w:t>
      </w:r>
    </w:p>
    <w:p w14:paraId="667BC9DE" w14:textId="35FC3360" w:rsidR="002C2DBE" w:rsidRDefault="002C2DBE" w:rsidP="002C2DBE">
      <w:pPr>
        <w:pStyle w:val="MainTextwithTab"/>
      </w:pPr>
    </w:p>
    <w:p w14:paraId="274BA8AB" w14:textId="73922198" w:rsidR="002C2DBE" w:rsidRDefault="002C2DBE" w:rsidP="002C2DBE">
      <w:pPr>
        <w:pStyle w:val="Heading4"/>
      </w:pPr>
      <w:r>
        <w:t>Vocabulary</w:t>
      </w:r>
    </w:p>
    <w:p w14:paraId="481FBB34" w14:textId="2E86DEA0" w:rsidR="002C2DBE" w:rsidRDefault="002C2DBE" w:rsidP="002C2DBE">
      <w:pPr>
        <w:pStyle w:val="MainText"/>
      </w:pPr>
      <w:r w:rsidRPr="002C2DBE">
        <w:rPr>
          <w:b/>
          <w:bCs/>
        </w:rPr>
        <w:t>Feedback condition</w:t>
      </w:r>
      <w:r w:rsidRPr="002C2DBE">
        <w:rPr>
          <w:i/>
          <w:iCs/>
        </w:rPr>
        <w:t xml:space="preserve"> </w:t>
      </w:r>
      <w:r>
        <w:t>-&gt; high vs. low gain</w:t>
      </w:r>
    </w:p>
    <w:p w14:paraId="07176CC8" w14:textId="56640F62" w:rsidR="002C2DBE" w:rsidRDefault="002C2DBE" w:rsidP="002C2DBE">
      <w:pPr>
        <w:pStyle w:val="MainText"/>
      </w:pPr>
      <w:r w:rsidRPr="002C2DBE">
        <w:rPr>
          <w:b/>
          <w:bCs/>
        </w:rPr>
        <w:t>Feedback type</w:t>
      </w:r>
      <w:r>
        <w:t xml:space="preserve"> -&gt; visual only (</w:t>
      </w:r>
      <w:proofErr w:type="spellStart"/>
      <w:r>
        <w:t>vo</w:t>
      </w:r>
      <w:proofErr w:type="spellEnd"/>
      <w:r>
        <w:t>), auditive-visual (av) and auditive-only (</w:t>
      </w:r>
      <w:proofErr w:type="spellStart"/>
      <w:r>
        <w:t>ao</w:t>
      </w:r>
      <w:proofErr w:type="spellEnd"/>
      <w:r>
        <w:t>)</w:t>
      </w:r>
    </w:p>
    <w:p w14:paraId="57AEF7DE" w14:textId="6E791F46" w:rsidR="002C2DBE" w:rsidRPr="002C2DBE" w:rsidRDefault="002C2DBE" w:rsidP="002C2DBE">
      <w:pPr>
        <w:pStyle w:val="MainText"/>
      </w:pPr>
      <w:r w:rsidRPr="002C2DBE">
        <w:rPr>
          <w:b/>
          <w:bCs/>
        </w:rPr>
        <w:t>Groups</w:t>
      </w:r>
      <w:r>
        <w:t xml:space="preserve"> -&gt; essential tremor patients (ET) and healthy controls (HC)</w:t>
      </w:r>
    </w:p>
    <w:p w14:paraId="51B1BC64" w14:textId="77777777" w:rsidR="002C2DBE" w:rsidRDefault="002C2DBE" w:rsidP="002C2DBE">
      <w:pPr>
        <w:pStyle w:val="MainTextwithTab"/>
      </w:pPr>
    </w:p>
    <w:p w14:paraId="4F6E5625" w14:textId="77777777" w:rsidR="002C2DBE" w:rsidRDefault="002C2DBE" w:rsidP="00D565D6">
      <w:pPr>
        <w:pStyle w:val="MainText"/>
      </w:pPr>
    </w:p>
    <w:p w14:paraId="0825F38F" w14:textId="2F53F8C8" w:rsidR="009208BA" w:rsidRDefault="001F543C" w:rsidP="009208BA">
      <w:pPr>
        <w:pStyle w:val="Heading1"/>
      </w:pPr>
      <w:r w:rsidRPr="00892B5D">
        <w:t>Results</w:t>
      </w:r>
    </w:p>
    <w:p w14:paraId="437BE926" w14:textId="77777777" w:rsidR="009208BA" w:rsidRPr="009208BA" w:rsidRDefault="009208BA" w:rsidP="009208BA"/>
    <w:p w14:paraId="2CB78893" w14:textId="656DD533" w:rsidR="00BF3959" w:rsidRDefault="00D565D6" w:rsidP="00BF3959">
      <w:pPr>
        <w:pStyle w:val="Heading2"/>
      </w:pPr>
      <w:r>
        <w:t>Tremor force</w:t>
      </w:r>
    </w:p>
    <w:p w14:paraId="1EDA22EB" w14:textId="6D478C7C" w:rsidR="005B488C" w:rsidRDefault="00124A28" w:rsidP="00124A28">
      <w:pPr>
        <w:pStyle w:val="MainText"/>
        <w:rPr>
          <w:noProof/>
        </w:rPr>
      </w:pPr>
      <w:r>
        <w:rPr>
          <w:noProof/>
        </w:rPr>
        <w:t>Mean Force (MF), Rout-mean-squred-error (RMSE) and Force Power 0-3 Hz are presented in Figure N and did not differ between conditions or groups.</w:t>
      </w:r>
    </w:p>
    <w:p w14:paraId="3022ED15" w14:textId="25C9C88F" w:rsidR="00085AD2" w:rsidRDefault="00124A28" w:rsidP="002C2DBE">
      <w:pPr>
        <w:pStyle w:val="MainTextwithTab"/>
        <w:rPr>
          <w:noProof/>
        </w:rPr>
      </w:pPr>
      <w:r>
        <w:rPr>
          <w:noProof/>
        </w:rPr>
        <w:t xml:space="preserve">For the </w:t>
      </w:r>
      <w:r w:rsidR="00ED4D21">
        <w:rPr>
          <w:noProof/>
        </w:rPr>
        <w:t xml:space="preserve">differences in the tremor relevant frequency spectrum, we found a statistical significant difference between </w:t>
      </w:r>
      <w:r w:rsidR="002C2DBE">
        <w:rPr>
          <w:noProof/>
        </w:rPr>
        <w:t>each group in each of the feedback types, visual only (t[53]=39.00, p=0.018), auditiv-visual (t[53]=24.00, p=0.041) and auditiv only (t[53]=42.00, p=0.013)</w:t>
      </w:r>
      <w:r w:rsidR="005B488C">
        <w:rPr>
          <w:noProof/>
        </w:rPr>
        <w:t>.</w:t>
      </w:r>
      <w:r w:rsidR="002C2DBE" w:rsidRPr="002C2DBE">
        <w:rPr>
          <w:noProof/>
        </w:rPr>
        <w:t xml:space="preserve"> </w:t>
      </w:r>
      <w:r w:rsidR="002C2DBE">
        <w:rPr>
          <w:noProof/>
        </w:rPr>
        <mc:AlternateContent>
          <mc:Choice Requires="wps">
            <w:drawing>
              <wp:inline distT="0" distB="0" distL="0" distR="0" wp14:anchorId="2D2CC4C6" wp14:editId="2985BC78">
                <wp:extent cx="3188970" cy="2345055"/>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345055"/>
                        </a:xfrm>
                        <a:prstGeom prst="rect">
                          <a:avLst/>
                        </a:prstGeom>
                        <a:solidFill>
                          <a:srgbClr val="FFFFFF"/>
                        </a:solidFill>
                        <a:ln w="9525">
                          <a:noFill/>
                          <a:miter lim="800000"/>
                          <a:headEnd/>
                          <a:tailEnd/>
                        </a:ln>
                      </wps:spPr>
                      <wps:txbx>
                        <w:txbxContent>
                          <w:p w14:paraId="569D6DFD" w14:textId="77777777" w:rsidR="002C2DBE" w:rsidRDefault="002C2DBE" w:rsidP="002C2DBE">
                            <w:r>
                              <w:rPr>
                                <w:noProof/>
                              </w:rPr>
                              <w:drawing>
                                <wp:inline distT="0" distB="0" distL="0" distR="0" wp14:anchorId="242F4E56" wp14:editId="45DCFEED">
                                  <wp:extent cx="2992120" cy="2005965"/>
                                  <wp:effectExtent l="0" t="0" r="0" b="0"/>
                                  <wp:docPr id="16" name="Grafik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Chart&#10;&#10;Description automatically generated with medium confidence"/>
                                          <pic:cNvPicPr>
                                            <a:picLocks noChangeAspect="1"/>
                                          </pic:cNvPicPr>
                                        </pic:nvPicPr>
                                        <pic:blipFill>
                                          <a:blip r:embed="rId14"/>
                                          <a:stretch>
                                            <a:fillRect/>
                                          </a:stretch>
                                        </pic:blipFill>
                                        <pic:spPr>
                                          <a:xfrm>
                                            <a:off x="0" y="0"/>
                                            <a:ext cx="2992120" cy="2005965"/>
                                          </a:xfrm>
                                          <a:prstGeom prst="rect">
                                            <a:avLst/>
                                          </a:prstGeom>
                                        </pic:spPr>
                                      </pic:pic>
                                    </a:graphicData>
                                  </a:graphic>
                                </wp:inline>
                              </w:drawing>
                            </w:r>
                          </w:p>
                          <w:p w14:paraId="70915840" w14:textId="77777777" w:rsidR="002C2DBE" w:rsidRPr="002C2DBE" w:rsidRDefault="002C2DBE" w:rsidP="002C2DBE">
                            <w:pPr>
                              <w:pStyle w:val="FigureLegendMain"/>
                            </w:pPr>
                            <w:r w:rsidRPr="00B4753D">
                              <w:rPr>
                                <w:rStyle w:val="FigureLegendTitleTegn"/>
                              </w:rPr>
                              <w:t xml:space="preserve">Figure </w:t>
                            </w:r>
                            <w:r>
                              <w:rPr>
                                <w:rStyle w:val="FigureLegendTitleTegn"/>
                              </w:rPr>
                              <w:t>1</w:t>
                            </w:r>
                            <w:r w:rsidRPr="00B4753D">
                              <w:rPr>
                                <w:rStyle w:val="FigureLegendTitleTegn"/>
                              </w:rPr>
                              <w:t xml:space="preserve">: </w:t>
                            </w:r>
                            <w:r>
                              <w:rPr>
                                <w:rStyle w:val="FigureLegendTitleTegn"/>
                              </w:rPr>
                              <w:t xml:space="preserve">Single trial power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12F38B2F" w14:textId="77777777" w:rsidR="002C2DBE" w:rsidRDefault="002C2DBE" w:rsidP="002C2DBE"/>
                        </w:txbxContent>
                      </wps:txbx>
                      <wps:bodyPr rot="0" vert="horz" wrap="square" lIns="91440" tIns="45720" rIns="91440" bIns="45720" anchor="t" anchorCtr="0">
                        <a:noAutofit/>
                      </wps:bodyPr>
                    </wps:wsp>
                  </a:graphicData>
                </a:graphic>
              </wp:inline>
            </w:drawing>
          </mc:Choice>
          <mc:Fallback>
            <w:pict>
              <v:shape w14:anchorId="2D2CC4C6" id="Text Box 2" o:spid="_x0000_s1027" type="#_x0000_t202" style="width:251.1pt;height:18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" stroked="f">
                <v:textbox>
                  <w:txbxContent>
                    <w:p w14:paraId="569D6DFD" w14:textId="77777777" w:rsidR="002C2DBE" w:rsidRDefault="002C2DBE" w:rsidP="002C2DBE">
                      <w:r>
                        <w:rPr>
                          <w:noProof/>
                        </w:rPr>
                        <w:drawing>
                          <wp:inline distT="0" distB="0" distL="0" distR="0" wp14:anchorId="242F4E56" wp14:editId="45DCFEED">
                            <wp:extent cx="2992120" cy="2005965"/>
                            <wp:effectExtent l="0" t="0" r="0" b="0"/>
                            <wp:docPr id="16" name="Grafik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Chart&#10;&#10;Description automatically generated with medium confidence"/>
                                    <pic:cNvPicPr>
                                      <a:picLocks noChangeAspect="1"/>
                                    </pic:cNvPicPr>
                                  </pic:nvPicPr>
                                  <pic:blipFill>
                                    <a:blip r:embed="rId14"/>
                                    <a:stretch>
                                      <a:fillRect/>
                                    </a:stretch>
                                  </pic:blipFill>
                                  <pic:spPr>
                                    <a:xfrm>
                                      <a:off x="0" y="0"/>
                                      <a:ext cx="2992120" cy="2005965"/>
                                    </a:xfrm>
                                    <a:prstGeom prst="rect">
                                      <a:avLst/>
                                    </a:prstGeom>
                                  </pic:spPr>
                                </pic:pic>
                              </a:graphicData>
                            </a:graphic>
                          </wp:inline>
                        </w:drawing>
                      </w:r>
                    </w:p>
                    <w:p w14:paraId="70915840" w14:textId="77777777" w:rsidR="002C2DBE" w:rsidRPr="002C2DBE" w:rsidRDefault="002C2DBE" w:rsidP="002C2DBE">
                      <w:pPr>
                        <w:pStyle w:val="FigureLegendMain"/>
                      </w:pPr>
                      <w:r w:rsidRPr="00B4753D">
                        <w:rPr>
                          <w:rStyle w:val="FigureLegendTitleTegn"/>
                        </w:rPr>
                        <w:t xml:space="preserve">Figure </w:t>
                      </w:r>
                      <w:r>
                        <w:rPr>
                          <w:rStyle w:val="FigureLegendTitleTegn"/>
                        </w:rPr>
                        <w:t>1</w:t>
                      </w:r>
                      <w:r w:rsidRPr="00B4753D">
                        <w:rPr>
                          <w:rStyle w:val="FigureLegendTitleTegn"/>
                        </w:rPr>
                        <w:t xml:space="preserve">: </w:t>
                      </w:r>
                      <w:r>
                        <w:rPr>
                          <w:rStyle w:val="FigureLegendTitleTegn"/>
                        </w:rPr>
                        <w:t xml:space="preserve">Single trial power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12F38B2F" w14:textId="77777777" w:rsidR="002C2DBE" w:rsidRDefault="002C2DBE" w:rsidP="002C2DBE"/>
                  </w:txbxContent>
                </v:textbox>
                <w10:anchorlock/>
              </v:shape>
            </w:pict>
          </mc:Fallback>
        </mc:AlternateContent>
      </w:r>
    </w:p>
    <w:p w14:paraId="62FCEFB6" w14:textId="1C84F7AE" w:rsidR="002C2DBE" w:rsidRDefault="002C2DBE" w:rsidP="002C2DBE">
      <w:pPr>
        <w:pStyle w:val="MainTextwithTab"/>
        <w:rPr>
          <w:noProof/>
        </w:rPr>
      </w:pPr>
    </w:p>
    <w:p w14:paraId="341E8A87" w14:textId="604F4197" w:rsidR="002C2DBE" w:rsidRDefault="002C2DBE" w:rsidP="002C2DBE">
      <w:pPr>
        <w:pStyle w:val="Heading2"/>
        <w:rPr>
          <w:noProof/>
        </w:rPr>
      </w:pPr>
      <w:r>
        <w:rPr>
          <w:noProof/>
        </w:rPr>
        <w:t>Pupil Size</w:t>
      </w:r>
    </w:p>
    <w:p w14:paraId="448DCCE3" w14:textId="12C4E5BD" w:rsidR="002C2DBE" w:rsidRPr="002C2DBE" w:rsidRDefault="002C2DBE" w:rsidP="002C2DBE">
      <w:pPr>
        <w:pStyle w:val="MainTextwithTab"/>
      </w:pPr>
      <w:r>
        <w:t xml:space="preserve">Pupil dilation also revealed significant differences between </w:t>
      </w:r>
      <w:r>
        <w:rPr>
          <w:noProof/>
        </w:rPr>
        <w:t>each feedback conditions in some of the feedback types, visual only (t[53]=</w:t>
      </w:r>
      <w:r w:rsidR="000138A9">
        <w:rPr>
          <w:noProof/>
        </w:rPr>
        <w:t>2</w:t>
      </w:r>
      <w:r>
        <w:rPr>
          <w:noProof/>
        </w:rPr>
        <w:t>.00, p=0.</w:t>
      </w:r>
      <w:r w:rsidR="000138A9">
        <w:rPr>
          <w:noProof/>
        </w:rPr>
        <w:t>187</w:t>
      </w:r>
      <w:r>
        <w:rPr>
          <w:noProof/>
        </w:rPr>
        <w:t>), auditiv-visual (t[53]=</w:t>
      </w:r>
      <w:r w:rsidR="000138A9">
        <w:rPr>
          <w:noProof/>
        </w:rPr>
        <w:t>2.33</w:t>
      </w:r>
      <w:r>
        <w:rPr>
          <w:noProof/>
        </w:rPr>
        <w:t>, p=0.0</w:t>
      </w:r>
      <w:r w:rsidR="000138A9">
        <w:rPr>
          <w:noProof/>
        </w:rPr>
        <w:t>22</w:t>
      </w:r>
      <w:r>
        <w:rPr>
          <w:noProof/>
        </w:rPr>
        <w:t>) and auditiv only (t[53]=</w:t>
      </w:r>
      <w:r w:rsidR="000138A9">
        <w:rPr>
          <w:noProof/>
        </w:rPr>
        <w:t>1.33</w:t>
      </w:r>
      <w:r>
        <w:rPr>
          <w:noProof/>
        </w:rPr>
        <w:t>, p=0.0</w:t>
      </w:r>
      <w:r w:rsidR="000138A9">
        <w:rPr>
          <w:noProof/>
        </w:rPr>
        <w:t>47</w:t>
      </w:r>
      <w:r w:rsidRPr="006531CB">
        <w:rPr>
          <w:noProof/>
        </w:rPr>
        <w:t>)</w:t>
      </w:r>
      <w:r w:rsidR="00A23106" w:rsidRPr="006531CB">
        <w:rPr>
          <w:noProof/>
        </w:rPr>
        <w:t>. Within group pupil size.</w:t>
      </w:r>
    </w:p>
    <w:p w14:paraId="2A3AC595" w14:textId="00893951" w:rsidR="001F543C" w:rsidRPr="00892B5D" w:rsidRDefault="00A23106" w:rsidP="009208BA">
      <w:pPr>
        <w:pStyle w:val="MainTextwithTab"/>
      </w:pPr>
      <w:r>
        <w:rPr>
          <w:noProof/>
        </w:rPr>
        <w:lastRenderedPageBreak/>
        <mc:AlternateContent>
          <mc:Choice Requires="wps">
            <w:drawing>
              <wp:anchor distT="45720" distB="45720" distL="114300" distR="114300" simplePos="0" relativeHeight="251658241" behindDoc="0" locked="0" layoutInCell="1" allowOverlap="1" wp14:anchorId="0BCEE867" wp14:editId="09B94C3D">
                <wp:simplePos x="0" y="0"/>
                <wp:positionH relativeFrom="column">
                  <wp:posOffset>1983740</wp:posOffset>
                </wp:positionH>
                <wp:positionV relativeFrom="paragraph">
                  <wp:posOffset>347345</wp:posOffset>
                </wp:positionV>
                <wp:extent cx="4869180" cy="1946910"/>
                <wp:effectExtent l="0" t="0" r="762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1946910"/>
                        </a:xfrm>
                        <a:prstGeom prst="rect">
                          <a:avLst/>
                        </a:prstGeom>
                        <a:solidFill>
                          <a:srgbClr val="FFFFFF"/>
                        </a:solidFill>
                        <a:ln w="9525">
                          <a:noFill/>
                          <a:miter lim="800000"/>
                          <a:headEnd/>
                          <a:tailEnd/>
                        </a:ln>
                      </wps:spPr>
                      <wps:txbx>
                        <w:txbxContent>
                          <w:p w14:paraId="1AF51D02" w14:textId="77777777" w:rsidR="002C2DBE" w:rsidRDefault="002C2DBE" w:rsidP="002C2DBE">
                            <w:r>
                              <w:rPr>
                                <w:noProof/>
                              </w:rPr>
                              <w:drawing>
                                <wp:inline distT="0" distB="0" distL="0" distR="0" wp14:anchorId="395055DB" wp14:editId="2B415CD1">
                                  <wp:extent cx="4572000" cy="15294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b="49756"/>
                                          <a:stretch/>
                                        </pic:blipFill>
                                        <pic:spPr bwMode="auto">
                                          <a:xfrm>
                                            <a:off x="0" y="0"/>
                                            <a:ext cx="4592051" cy="1536107"/>
                                          </a:xfrm>
                                          <a:prstGeom prst="rect">
                                            <a:avLst/>
                                          </a:prstGeom>
                                          <a:noFill/>
                                          <a:ln>
                                            <a:noFill/>
                                          </a:ln>
                                          <a:extLst>
                                            <a:ext uri="{53640926-AAD7-44D8-BBD7-CCE9431645EC}">
                                              <a14:shadowObscured xmlns:a14="http://schemas.microsoft.com/office/drawing/2010/main"/>
                                            </a:ext>
                                          </a:extLst>
                                        </pic:spPr>
                                      </pic:pic>
                                    </a:graphicData>
                                  </a:graphic>
                                </wp:inline>
                              </w:drawing>
                            </w:r>
                          </w:p>
                          <w:p w14:paraId="4866A560" w14:textId="77777777" w:rsidR="002C2DBE" w:rsidRDefault="002C2DBE" w:rsidP="002C2DBE">
                            <w:pPr>
                              <w:pStyle w:val="FigureLegendMain"/>
                            </w:pPr>
                            <w:r w:rsidRPr="00B4753D">
                              <w:rPr>
                                <w:rStyle w:val="FigureLegendTitleTegn"/>
                              </w:rPr>
                              <w:t xml:space="preserve">Figure </w:t>
                            </w:r>
                            <w:r>
                              <w:rPr>
                                <w:rStyle w:val="FigureLegendTitleTegn"/>
                              </w:rPr>
                              <w:t>2</w:t>
                            </w:r>
                            <w:r w:rsidRPr="00B4753D">
                              <w:rPr>
                                <w:rStyle w:val="FigureLegendTitleTegn"/>
                              </w:rPr>
                              <w:t xml:space="preserve">: </w:t>
                            </w:r>
                            <w:r>
                              <w:rPr>
                                <w:rStyle w:val="FigureLegendTitleTegn"/>
                              </w:rPr>
                              <w:t>Pupil times series data of a single participant</w:t>
                            </w:r>
                            <w:r w:rsidRPr="00B4753D">
                              <w:rPr>
                                <w:rStyle w:val="FigureLegendTitleTegn"/>
                              </w:rPr>
                              <w:t>. (A)</w:t>
                            </w:r>
                            <w:r w:rsidRPr="00781102">
                              <w:t xml:space="preserve"> </w:t>
                            </w:r>
                            <w:r>
                              <w:t>Raw times series separate for all trials</w:t>
                            </w:r>
                            <w:r w:rsidRPr="00B4753D">
                              <w:t xml:space="preserve">. </w:t>
                            </w:r>
                          </w:p>
                          <w:p w14:paraId="24E330F0" w14:textId="77777777" w:rsidR="002C2DBE" w:rsidRPr="00781102" w:rsidRDefault="002C2DBE" w:rsidP="002C2DBE">
                            <w:pPr>
                              <w:pStyle w:val="FigureLegendMain"/>
                            </w:pPr>
                            <w:r w:rsidRPr="00B4753D">
                              <w:rPr>
                                <w:rStyle w:val="FigureLegendTitleTegn"/>
                              </w:rPr>
                              <w:t>(B</w:t>
                            </w:r>
                            <w:r>
                              <w:rPr>
                                <w:rStyle w:val="FigureLegendTitleTegn"/>
                              </w:rPr>
                              <w:t xml:space="preserve"> &amp; C</w:t>
                            </w:r>
                            <w:r w:rsidRPr="00B4753D">
                              <w:rPr>
                                <w:rStyle w:val="FigureLegendTitleTegn"/>
                              </w:rPr>
                              <w:t>)</w:t>
                            </w:r>
                            <w:r w:rsidRPr="00B4753D">
                              <w:t xml:space="preserve"> </w:t>
                            </w:r>
                            <w:r>
                              <w:t>Distributions for baseline and trial part of epoch.</w:t>
                            </w:r>
                          </w:p>
                          <w:p w14:paraId="3AD93198" w14:textId="77777777" w:rsidR="002C2DBE" w:rsidRDefault="002C2DBE" w:rsidP="002C2D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EE867" id="_x0000_s1028" type="#_x0000_t202" style="position:absolute;left:0;text-align:left;margin-left:156.2pt;margin-top:27.35pt;width:383.4pt;height:153.3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" stroked="f">
                <v:textbox>
                  <w:txbxContent>
                    <w:p w14:paraId="1AF51D02" w14:textId="77777777" w:rsidR="002C2DBE" w:rsidRDefault="002C2DBE" w:rsidP="002C2DBE">
                      <w:r>
                        <w:rPr>
                          <w:noProof/>
                        </w:rPr>
                        <w:drawing>
                          <wp:inline distT="0" distB="0" distL="0" distR="0" wp14:anchorId="395055DB" wp14:editId="2B415CD1">
                            <wp:extent cx="4572000" cy="15294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b="49756"/>
                                    <a:stretch/>
                                  </pic:blipFill>
                                  <pic:spPr bwMode="auto">
                                    <a:xfrm>
                                      <a:off x="0" y="0"/>
                                      <a:ext cx="4592051" cy="1536107"/>
                                    </a:xfrm>
                                    <a:prstGeom prst="rect">
                                      <a:avLst/>
                                    </a:prstGeom>
                                    <a:noFill/>
                                    <a:ln>
                                      <a:noFill/>
                                    </a:ln>
                                    <a:extLst>
                                      <a:ext uri="{53640926-AAD7-44D8-BBD7-CCE9431645EC}">
                                        <a14:shadowObscured xmlns:a14="http://schemas.microsoft.com/office/drawing/2010/main"/>
                                      </a:ext>
                                    </a:extLst>
                                  </pic:spPr>
                                </pic:pic>
                              </a:graphicData>
                            </a:graphic>
                          </wp:inline>
                        </w:drawing>
                      </w:r>
                    </w:p>
                    <w:p w14:paraId="4866A560" w14:textId="77777777" w:rsidR="002C2DBE" w:rsidRDefault="002C2DBE" w:rsidP="002C2DBE">
                      <w:pPr>
                        <w:pStyle w:val="FigureLegendMain"/>
                      </w:pPr>
                      <w:r w:rsidRPr="00B4753D">
                        <w:rPr>
                          <w:rStyle w:val="FigureLegendTitleTegn"/>
                        </w:rPr>
                        <w:t xml:space="preserve">Figure </w:t>
                      </w:r>
                      <w:r>
                        <w:rPr>
                          <w:rStyle w:val="FigureLegendTitleTegn"/>
                        </w:rPr>
                        <w:t>2</w:t>
                      </w:r>
                      <w:r w:rsidRPr="00B4753D">
                        <w:rPr>
                          <w:rStyle w:val="FigureLegendTitleTegn"/>
                        </w:rPr>
                        <w:t xml:space="preserve">: </w:t>
                      </w:r>
                      <w:r>
                        <w:rPr>
                          <w:rStyle w:val="FigureLegendTitleTegn"/>
                        </w:rPr>
                        <w:t>Pupil times series data of a single participant</w:t>
                      </w:r>
                      <w:r w:rsidRPr="00B4753D">
                        <w:rPr>
                          <w:rStyle w:val="FigureLegendTitleTegn"/>
                        </w:rPr>
                        <w:t>. (A)</w:t>
                      </w:r>
                      <w:r w:rsidRPr="00781102">
                        <w:t xml:space="preserve"> </w:t>
                      </w:r>
                      <w:r>
                        <w:t>Raw times series separate for all trials</w:t>
                      </w:r>
                      <w:r w:rsidRPr="00B4753D">
                        <w:t xml:space="preserve">. </w:t>
                      </w:r>
                    </w:p>
                    <w:p w14:paraId="24E330F0" w14:textId="77777777" w:rsidR="002C2DBE" w:rsidRPr="00781102" w:rsidRDefault="002C2DBE" w:rsidP="002C2DBE">
                      <w:pPr>
                        <w:pStyle w:val="FigureLegendMain"/>
                      </w:pPr>
                      <w:r w:rsidRPr="00B4753D">
                        <w:rPr>
                          <w:rStyle w:val="FigureLegendTitleTegn"/>
                        </w:rPr>
                        <w:t>(B</w:t>
                      </w:r>
                      <w:r>
                        <w:rPr>
                          <w:rStyle w:val="FigureLegendTitleTegn"/>
                        </w:rPr>
                        <w:t xml:space="preserve"> &amp; C</w:t>
                      </w:r>
                      <w:r w:rsidRPr="00B4753D">
                        <w:rPr>
                          <w:rStyle w:val="FigureLegendTitleTegn"/>
                        </w:rPr>
                        <w:t>)</w:t>
                      </w:r>
                      <w:r w:rsidRPr="00B4753D">
                        <w:t xml:space="preserve"> </w:t>
                      </w:r>
                      <w:r>
                        <w:t>Distributions for baseline and trial part of epoch.</w:t>
                      </w:r>
                    </w:p>
                    <w:p w14:paraId="3AD93198" w14:textId="77777777" w:rsidR="002C2DBE" w:rsidRDefault="002C2DBE" w:rsidP="002C2DBE"/>
                  </w:txbxContent>
                </v:textbox>
                <w10:wrap type="square"/>
              </v:shape>
            </w:pict>
          </mc:Fallback>
        </mc:AlternateContent>
      </w:r>
      <w:r w:rsidR="001F543C" w:rsidRPr="00892B5D">
        <w:t>Discussion</w:t>
      </w:r>
    </w:p>
    <w:p w14:paraId="001907BE" w14:textId="77777777" w:rsidR="00CC1D36" w:rsidRDefault="00D84CD1" w:rsidP="00892B5D">
      <w:pPr>
        <w:rPr>
          <w:rStyle w:val="Heading2Char"/>
          <w:b w:val="0"/>
          <w:bCs w:val="0"/>
        </w:rPr>
      </w:pPr>
      <w:r w:rsidRPr="009208BA">
        <w:rPr>
          <w:rStyle w:val="Heading2Char"/>
          <w:b w:val="0"/>
          <w:bCs w:val="0"/>
        </w:rPr>
        <w:t xml:space="preserve">In summary, we found that Essential tremor amplitude is modulated by </w:t>
      </w:r>
      <w:r w:rsidR="00F447AB" w:rsidRPr="009208BA">
        <w:rPr>
          <w:rStyle w:val="Heading2Char"/>
          <w:b w:val="0"/>
          <w:bCs w:val="0"/>
        </w:rPr>
        <w:t xml:space="preserve">visual and auditory </w:t>
      </w:r>
      <w:r w:rsidRPr="009208BA">
        <w:rPr>
          <w:rStyle w:val="Heading2Char"/>
          <w:b w:val="0"/>
          <w:bCs w:val="0"/>
        </w:rPr>
        <w:t xml:space="preserve">sensory feedback </w:t>
      </w:r>
      <w:r w:rsidR="00F447AB" w:rsidRPr="009208BA">
        <w:rPr>
          <w:rStyle w:val="Heading2Char"/>
          <w:b w:val="0"/>
          <w:bCs w:val="0"/>
        </w:rPr>
        <w:t xml:space="preserve">scaling, independently of the type of </w:t>
      </w:r>
      <w:r w:rsidR="00862D91" w:rsidRPr="009208BA">
        <w:rPr>
          <w:rStyle w:val="Heading2Char"/>
          <w:b w:val="0"/>
          <w:bCs w:val="0"/>
        </w:rPr>
        <w:t>sensation</w:t>
      </w:r>
      <w:r w:rsidR="00F447AB" w:rsidRPr="009208BA">
        <w:rPr>
          <w:rStyle w:val="Heading2Char"/>
          <w:b w:val="0"/>
          <w:bCs w:val="0"/>
        </w:rPr>
        <w:t>.</w:t>
      </w:r>
      <w:r w:rsidR="00862D91" w:rsidRPr="009208BA">
        <w:rPr>
          <w:rStyle w:val="Heading2Char"/>
          <w:b w:val="0"/>
          <w:bCs w:val="0"/>
        </w:rPr>
        <w:t xml:space="preserve"> </w:t>
      </w:r>
      <w:r w:rsidR="006F1BDD">
        <w:rPr>
          <w:rStyle w:val="Heading2Char"/>
          <w:b w:val="0"/>
          <w:bCs w:val="0"/>
        </w:rPr>
        <w:t xml:space="preserve">Increased sensory feedback </w:t>
      </w:r>
      <w:r w:rsidR="00270E4C">
        <w:rPr>
          <w:rStyle w:val="Heading2Char"/>
          <w:b w:val="0"/>
          <w:bCs w:val="0"/>
        </w:rPr>
        <w:t>coincide</w:t>
      </w:r>
      <w:r w:rsidR="009E13ED">
        <w:rPr>
          <w:rStyle w:val="Heading2Char"/>
          <w:b w:val="0"/>
          <w:bCs w:val="0"/>
        </w:rPr>
        <w:t>d</w:t>
      </w:r>
      <w:r w:rsidR="00270E4C">
        <w:rPr>
          <w:rStyle w:val="Heading2Char"/>
          <w:b w:val="0"/>
          <w:bCs w:val="0"/>
        </w:rPr>
        <w:t xml:space="preserve"> with an increase of pupil </w:t>
      </w:r>
      <w:r w:rsidR="00A6110E">
        <w:rPr>
          <w:rStyle w:val="Heading2Char"/>
          <w:b w:val="0"/>
          <w:bCs w:val="0"/>
        </w:rPr>
        <w:t>diameter</w:t>
      </w:r>
      <w:r w:rsidR="009E13ED">
        <w:rPr>
          <w:rStyle w:val="Heading2Char"/>
          <w:b w:val="0"/>
          <w:bCs w:val="0"/>
        </w:rPr>
        <w:t xml:space="preserve"> in patients</w:t>
      </w:r>
      <w:r w:rsidR="00F81223">
        <w:rPr>
          <w:rStyle w:val="Heading2Char"/>
          <w:b w:val="0"/>
          <w:bCs w:val="0"/>
        </w:rPr>
        <w:t>,</w:t>
      </w:r>
      <w:r w:rsidR="009E13ED">
        <w:rPr>
          <w:rStyle w:val="Heading2Char"/>
          <w:b w:val="0"/>
          <w:bCs w:val="0"/>
        </w:rPr>
        <w:t xml:space="preserve"> but not in controls. Combined auditory and </w:t>
      </w:r>
      <w:r w:rsidR="0027778A">
        <w:rPr>
          <w:rStyle w:val="Heading2Char"/>
          <w:b w:val="0"/>
          <w:bCs w:val="0"/>
        </w:rPr>
        <w:t>visual feedback evoke</w:t>
      </w:r>
      <w:r w:rsidR="0053419D">
        <w:rPr>
          <w:rStyle w:val="Heading2Char"/>
          <w:b w:val="0"/>
          <w:bCs w:val="0"/>
        </w:rPr>
        <w:t>d</w:t>
      </w:r>
      <w:r w:rsidR="0027778A">
        <w:rPr>
          <w:rStyle w:val="Heading2Char"/>
          <w:b w:val="0"/>
          <w:bCs w:val="0"/>
        </w:rPr>
        <w:t xml:space="preserve"> the largest </w:t>
      </w:r>
      <w:r w:rsidR="00E02EBA">
        <w:rPr>
          <w:rStyle w:val="Heading2Char"/>
          <w:b w:val="0"/>
          <w:bCs w:val="0"/>
        </w:rPr>
        <w:t>increase in tremor amplitude and pupil diameter</w:t>
      </w:r>
      <w:r w:rsidR="00F81223">
        <w:rPr>
          <w:rStyle w:val="Heading2Char"/>
          <w:b w:val="0"/>
          <w:bCs w:val="0"/>
        </w:rPr>
        <w:t xml:space="preserve"> in patients, although the differences </w:t>
      </w:r>
      <w:r w:rsidR="00CC1D36">
        <w:rPr>
          <w:rStyle w:val="Heading2Char"/>
          <w:b w:val="0"/>
          <w:bCs w:val="0"/>
        </w:rPr>
        <w:t>in the tremor amplitude were not significant</w:t>
      </w:r>
      <w:r w:rsidR="00E02EBA">
        <w:rPr>
          <w:rStyle w:val="Heading2Char"/>
          <w:b w:val="0"/>
          <w:bCs w:val="0"/>
        </w:rPr>
        <w:t>.</w:t>
      </w:r>
    </w:p>
    <w:p w14:paraId="2043AEF1" w14:textId="49C6FEF1" w:rsidR="00E02EBA" w:rsidRDefault="00CC1D36" w:rsidP="00892B5D">
      <w:pPr>
        <w:rPr>
          <w:rStyle w:val="Heading2Char"/>
          <w:b w:val="0"/>
          <w:bCs w:val="0"/>
        </w:rPr>
      </w:pPr>
      <w:r>
        <w:rPr>
          <w:rStyle w:val="Heading2Char"/>
          <w:b w:val="0"/>
          <w:bCs w:val="0"/>
        </w:rPr>
        <w:t xml:space="preserve">To our best knowledge, this is the first study to show that auditory feedback modulates </w:t>
      </w:r>
      <w:r w:rsidR="00577E42">
        <w:rPr>
          <w:rStyle w:val="Heading2Char"/>
          <w:b w:val="0"/>
          <w:bCs w:val="0"/>
        </w:rPr>
        <w:t xml:space="preserve">the amplitude of target tremor in ET, comparable to visual feedback. It is long </w:t>
      </w:r>
      <w:proofErr w:type="gramStart"/>
      <w:r w:rsidR="00577E42">
        <w:rPr>
          <w:rStyle w:val="Heading2Char"/>
          <w:b w:val="0"/>
          <w:bCs w:val="0"/>
        </w:rPr>
        <w:t>known,</w:t>
      </w:r>
      <w:proofErr w:type="gramEnd"/>
      <w:r w:rsidR="00577E42">
        <w:rPr>
          <w:rStyle w:val="Heading2Char"/>
          <w:b w:val="0"/>
          <w:bCs w:val="0"/>
        </w:rPr>
        <w:t xml:space="preserve"> that visual feedback</w:t>
      </w:r>
      <w:r w:rsidR="0027778A">
        <w:rPr>
          <w:rStyle w:val="Heading2Char"/>
          <w:b w:val="0"/>
          <w:bCs w:val="0"/>
        </w:rPr>
        <w:t xml:space="preserve"> </w:t>
      </w:r>
      <w:r w:rsidR="00211D71">
        <w:rPr>
          <w:rStyle w:val="Heading2Char"/>
          <w:b w:val="0"/>
          <w:bCs w:val="0"/>
        </w:rPr>
        <w:t xml:space="preserve">modulates action tremor in </w:t>
      </w:r>
      <w:r w:rsidR="00860077">
        <w:rPr>
          <w:rStyle w:val="Heading2Char"/>
          <w:b w:val="0"/>
          <w:bCs w:val="0"/>
        </w:rPr>
        <w:t xml:space="preserve">different disease conditions like multiple sclerosis and ET. </w:t>
      </w:r>
    </w:p>
    <w:p w14:paraId="3DB6820F" w14:textId="0A4B272F" w:rsidR="00D84CD1" w:rsidRPr="00862D91" w:rsidRDefault="00E668CF" w:rsidP="00892B5D">
      <w:pPr>
        <w:rPr>
          <w:rStyle w:val="Heading2Char"/>
        </w:rPr>
      </w:pPr>
      <w:r>
        <w:rPr>
          <w:rStyle w:val="Heading2Char"/>
          <w:b w:val="0"/>
          <w:bCs w:val="0"/>
        </w:rPr>
        <w:t xml:space="preserve"> </w:t>
      </w:r>
    </w:p>
    <w:p w14:paraId="4BECA450" w14:textId="77777777" w:rsidR="00D84CD1" w:rsidRDefault="00D84CD1" w:rsidP="00892B5D">
      <w:pPr>
        <w:rPr>
          <w:rStyle w:val="Heading2Char"/>
        </w:rPr>
      </w:pPr>
    </w:p>
    <w:p w14:paraId="4F5E82A9" w14:textId="77777777" w:rsidR="00D84CD1" w:rsidRDefault="00D84CD1" w:rsidP="00892B5D">
      <w:pPr>
        <w:rPr>
          <w:rStyle w:val="Heading2Char"/>
        </w:rPr>
      </w:pPr>
    </w:p>
    <w:p w14:paraId="3AF6A3FD" w14:textId="77777777" w:rsidR="00D84CD1" w:rsidRDefault="00D84CD1" w:rsidP="00892B5D">
      <w:pPr>
        <w:rPr>
          <w:rFonts w:cs="STIX Two Math"/>
        </w:rPr>
      </w:pPr>
    </w:p>
    <w:p w14:paraId="0621597D" w14:textId="2B688708" w:rsidR="005B488C" w:rsidRDefault="005B488C" w:rsidP="009208BA">
      <w:pPr>
        <w:pStyle w:val="MainTextwithTab"/>
        <w:rPr>
          <w:noProof/>
        </w:rPr>
      </w:pPr>
      <w:r w:rsidRPr="006531CB">
        <w:rPr>
          <w:noProof/>
          <w:lang w:val="en-GB"/>
        </w:rPr>
        <w:t xml:space="preserve"> </w:t>
      </w:r>
    </w:p>
    <w:p w14:paraId="19669854" w14:textId="77777777" w:rsidR="001F543C" w:rsidRPr="00892B5D" w:rsidRDefault="001F543C" w:rsidP="009B4970">
      <w:pPr>
        <w:pStyle w:val="Heading2"/>
        <w:spacing w:before="120"/>
      </w:pPr>
      <w:r w:rsidRPr="00892B5D">
        <w:t>Conclusion</w:t>
      </w:r>
    </w:p>
    <w:p w14:paraId="7EAC18DA" w14:textId="77777777" w:rsidR="009208BA" w:rsidRDefault="009208BA" w:rsidP="002A1DD3">
      <w:pPr>
        <w:pStyle w:val="Heading1"/>
      </w:pPr>
    </w:p>
    <w:p w14:paraId="7DB70777" w14:textId="641116FF" w:rsidR="00892B5D" w:rsidRDefault="00892B5D" w:rsidP="002A1DD3">
      <w:pPr>
        <w:pStyle w:val="Heading1"/>
      </w:pPr>
      <w:r w:rsidRPr="00B07AC6">
        <w:t>References</w:t>
      </w:r>
    </w:p>
    <w:p w14:paraId="2347D847" w14:textId="77777777" w:rsidR="00157FAE" w:rsidRPr="00157FAE" w:rsidRDefault="003C581F" w:rsidP="00157FAE">
      <w:pPr>
        <w:pStyle w:val="Bibliography"/>
        <w:rPr>
          <w:sz w:val="16"/>
        </w:rPr>
      </w:pPr>
      <w:r>
        <w:fldChar w:fldCharType="begin"/>
      </w:r>
      <w:r w:rsidR="00185AD1" w:rsidRPr="00157FAE">
        <w:rPr>
          <w:lang w:val="en-GB"/>
        </w:rPr>
        <w:instrText xml:space="preserve"> ADDIN ZOTERO_BIBL {"uncited":[],"omitted":[],"custom":[]} CSL_BIBLIOGRAPHY </w:instrText>
      </w:r>
      <w:r>
        <w:fldChar w:fldCharType="separate"/>
      </w:r>
      <w:r w:rsidR="00157FAE" w:rsidRPr="00157FAE">
        <w:rPr>
          <w:sz w:val="16"/>
        </w:rPr>
        <w:t xml:space="preserve">Deuschl, G., Raethjen, J., Lindemann, M., &amp; Krack, P. (2001). The pathophysiology of tremor. </w:t>
      </w:r>
      <w:r w:rsidR="00157FAE" w:rsidRPr="00157FAE">
        <w:rPr>
          <w:i/>
          <w:iCs/>
          <w:sz w:val="16"/>
        </w:rPr>
        <w:t>Muscle and Nerve</w:t>
      </w:r>
      <w:r w:rsidR="00157FAE" w:rsidRPr="00157FAE">
        <w:rPr>
          <w:sz w:val="16"/>
        </w:rPr>
        <w:t xml:space="preserve">, </w:t>
      </w:r>
      <w:r w:rsidR="00157FAE" w:rsidRPr="00157FAE">
        <w:rPr>
          <w:i/>
          <w:iCs/>
          <w:sz w:val="16"/>
        </w:rPr>
        <w:t>24</w:t>
      </w:r>
      <w:r w:rsidR="00157FAE" w:rsidRPr="00157FAE">
        <w:rPr>
          <w:sz w:val="16"/>
        </w:rPr>
        <w:t>(6), 716–735. https://doi.org/10.1002/mus.1063</w:t>
      </w:r>
    </w:p>
    <w:p w14:paraId="1640CEAC" w14:textId="77777777" w:rsidR="00157FAE" w:rsidRPr="00157FAE" w:rsidRDefault="00157FAE" w:rsidP="00157FAE">
      <w:pPr>
        <w:pStyle w:val="Bibliography"/>
        <w:rPr>
          <w:sz w:val="16"/>
        </w:rPr>
      </w:pPr>
      <w:r w:rsidRPr="00157FAE">
        <w:rPr>
          <w:sz w:val="16"/>
        </w:rPr>
        <w:t xml:space="preserve">Deuschl, G., Wenzelburger, R., Lo, K., Raethjen, J., &amp; Stolze, H. (2000). Essential tremor and cerebellar dysfunction. </w:t>
      </w:r>
      <w:r w:rsidRPr="00157FAE">
        <w:rPr>
          <w:i/>
          <w:iCs/>
          <w:sz w:val="16"/>
        </w:rPr>
        <w:t>Brain</w:t>
      </w:r>
      <w:r w:rsidRPr="00157FAE">
        <w:rPr>
          <w:sz w:val="16"/>
        </w:rPr>
        <w:t>, 1568–1580.</w:t>
      </w:r>
    </w:p>
    <w:p w14:paraId="4F455CC6" w14:textId="77777777" w:rsidR="00157FAE" w:rsidRPr="00157FAE" w:rsidRDefault="00157FAE" w:rsidP="00157FAE">
      <w:pPr>
        <w:pStyle w:val="Bibliography"/>
        <w:rPr>
          <w:sz w:val="16"/>
        </w:rPr>
      </w:pPr>
      <w:r w:rsidRPr="00157FAE">
        <w:rPr>
          <w:sz w:val="16"/>
        </w:rPr>
        <w:t xml:space="preserve">Peirce, J., Gray, J. R., Simpson, S., MacAskill, M., Höchenberger, R., Sogo, H., Kastman, E., &amp; Lindeløv, J. K. (2019). PsychoPy2: Experiments in behavior made easy. </w:t>
      </w:r>
      <w:r w:rsidRPr="00157FAE">
        <w:rPr>
          <w:i/>
          <w:iCs/>
          <w:sz w:val="16"/>
        </w:rPr>
        <w:t>Behavior Research Methods</w:t>
      </w:r>
      <w:r w:rsidRPr="00157FAE">
        <w:rPr>
          <w:sz w:val="16"/>
        </w:rPr>
        <w:t xml:space="preserve">, </w:t>
      </w:r>
      <w:r w:rsidRPr="00157FAE">
        <w:rPr>
          <w:i/>
          <w:iCs/>
          <w:sz w:val="16"/>
        </w:rPr>
        <w:t>51</w:t>
      </w:r>
      <w:r w:rsidRPr="00157FAE">
        <w:rPr>
          <w:sz w:val="16"/>
        </w:rPr>
        <w:t>(1), 195–203. https://doi.org/10.3758/s13428-018-01193-y</w:t>
      </w:r>
    </w:p>
    <w:p w14:paraId="26963A47" w14:textId="2CBB8E14" w:rsidR="00BC7641" w:rsidRPr="00BC7641" w:rsidRDefault="003C581F" w:rsidP="003C581F">
      <w:pPr>
        <w:pStyle w:val="References"/>
      </w:pPr>
      <w:r>
        <w:fldChar w:fldCharType="end"/>
      </w:r>
    </w:p>
    <w:p w14:paraId="4EAFDC65" w14:textId="6C468CDB" w:rsidR="00892B5D" w:rsidRPr="00D44BCB" w:rsidRDefault="00892B5D" w:rsidP="00B01966">
      <w:pPr>
        <w:pStyle w:val="Heading1"/>
        <w:ind w:left="340" w:hanging="340"/>
        <w:jc w:val="left"/>
      </w:pPr>
      <w:r w:rsidRPr="00D44BCB">
        <w:t>Acknowledgements</w:t>
      </w:r>
    </w:p>
    <w:p w14:paraId="5BBABF79" w14:textId="730AC106" w:rsidR="00892B5D" w:rsidRPr="00892B5D" w:rsidRDefault="00892B5D" w:rsidP="002A1DD3">
      <w:pPr>
        <w:pStyle w:val="Heading1"/>
      </w:pPr>
      <w:r w:rsidRPr="00892B5D">
        <w:t>Author contributions</w:t>
      </w:r>
    </w:p>
    <w:p w14:paraId="4B5EF5D4" w14:textId="12C3063D" w:rsidR="00B4753D" w:rsidRPr="00847704" w:rsidRDefault="00B4753D" w:rsidP="00847704">
      <w:pPr>
        <w:pStyle w:val="MethodsText"/>
      </w:pPr>
      <w:r w:rsidRPr="00847704">
        <w:t xml:space="preserve">Lorem ipsum dolor sit </w:t>
      </w:r>
      <w:proofErr w:type="spellStart"/>
      <w:r w:rsidRPr="00847704">
        <w:t>amet</w:t>
      </w:r>
      <w:proofErr w:type="spellEnd"/>
      <w:r w:rsidRPr="00847704">
        <w:t xml:space="preserve">, </w:t>
      </w:r>
      <w:proofErr w:type="spellStart"/>
      <w:r w:rsidRPr="00847704">
        <w:t>consectetuer</w:t>
      </w:r>
      <w:proofErr w:type="spellEnd"/>
      <w:r w:rsidRPr="00847704">
        <w:t xml:space="preserve"> </w:t>
      </w:r>
      <w:proofErr w:type="spellStart"/>
      <w:r w:rsidRPr="00847704">
        <w:t>adipiscing</w:t>
      </w:r>
      <w:proofErr w:type="spellEnd"/>
      <w:r w:rsidRPr="00847704">
        <w:t xml:space="preserve"> </w:t>
      </w:r>
      <w:proofErr w:type="spellStart"/>
      <w:r w:rsidRPr="00847704">
        <w:t>elit</w:t>
      </w:r>
      <w:proofErr w:type="spellEnd"/>
      <w:r w:rsidRPr="00847704">
        <w:t xml:space="preserve">. Maecenas </w:t>
      </w:r>
      <w:proofErr w:type="spellStart"/>
      <w:r w:rsidRPr="00847704">
        <w:t>porttitor</w:t>
      </w:r>
      <w:proofErr w:type="spellEnd"/>
      <w:r w:rsidRPr="00847704">
        <w:t xml:space="preserve"> </w:t>
      </w:r>
      <w:proofErr w:type="spellStart"/>
      <w:r w:rsidRPr="00847704">
        <w:t>congue</w:t>
      </w:r>
      <w:proofErr w:type="spellEnd"/>
      <w:r w:rsidRPr="00847704">
        <w:t xml:space="preserve"> </w:t>
      </w:r>
      <w:proofErr w:type="spellStart"/>
      <w:r w:rsidRPr="00847704">
        <w:t>massa</w:t>
      </w:r>
      <w:proofErr w:type="spellEnd"/>
      <w:r w:rsidRPr="00847704">
        <w:t xml:space="preserve">. </w:t>
      </w:r>
      <w:proofErr w:type="spellStart"/>
      <w:r w:rsidRPr="00847704">
        <w:t>Fusce</w:t>
      </w:r>
      <w:proofErr w:type="spellEnd"/>
      <w:r w:rsidRPr="00847704">
        <w:t xml:space="preserve"> </w:t>
      </w:r>
      <w:proofErr w:type="spellStart"/>
      <w:r w:rsidRPr="00847704">
        <w:t>posuere</w:t>
      </w:r>
      <w:proofErr w:type="spellEnd"/>
      <w:r w:rsidRPr="00847704">
        <w:t xml:space="preserve">, magna sed pulvinar </w:t>
      </w:r>
      <w:proofErr w:type="spellStart"/>
      <w:r w:rsidRPr="00847704">
        <w:t>ultricies</w:t>
      </w:r>
      <w:proofErr w:type="spellEnd"/>
      <w:r w:rsidRPr="00847704">
        <w:t xml:space="preserve">, </w:t>
      </w:r>
      <w:proofErr w:type="spellStart"/>
      <w:r w:rsidRPr="00847704">
        <w:t>purus</w:t>
      </w:r>
      <w:proofErr w:type="spellEnd"/>
      <w:r w:rsidRPr="00847704">
        <w:t xml:space="preserve"> </w:t>
      </w:r>
      <w:proofErr w:type="spellStart"/>
      <w:r w:rsidRPr="00847704">
        <w:t>lectus</w:t>
      </w:r>
      <w:proofErr w:type="spellEnd"/>
      <w:r w:rsidRPr="00847704">
        <w:t xml:space="preserve"> </w:t>
      </w:r>
      <w:proofErr w:type="spellStart"/>
      <w:r w:rsidRPr="00847704">
        <w:t>malesuada</w:t>
      </w:r>
      <w:proofErr w:type="spellEnd"/>
      <w:r w:rsidRPr="00847704">
        <w:t xml:space="preserve"> libero, sit </w:t>
      </w:r>
      <w:proofErr w:type="spellStart"/>
      <w:r w:rsidRPr="00847704">
        <w:t>amet</w:t>
      </w:r>
      <w:proofErr w:type="spellEnd"/>
      <w:r w:rsidRPr="00847704">
        <w:t xml:space="preserve"> </w:t>
      </w:r>
      <w:proofErr w:type="spellStart"/>
      <w:r w:rsidRPr="00847704">
        <w:t>commodo</w:t>
      </w:r>
      <w:proofErr w:type="spellEnd"/>
      <w:r w:rsidRPr="00847704">
        <w:t xml:space="preserve"> magna eros </w:t>
      </w:r>
      <w:proofErr w:type="spellStart"/>
      <w:r w:rsidRPr="00847704">
        <w:t>quis</w:t>
      </w:r>
      <w:proofErr w:type="spellEnd"/>
      <w:r w:rsidRPr="00847704">
        <w:t xml:space="preserve"> </w:t>
      </w:r>
      <w:proofErr w:type="spellStart"/>
      <w:r w:rsidRPr="00847704">
        <w:t>urna</w:t>
      </w:r>
      <w:proofErr w:type="spellEnd"/>
      <w:r w:rsidRPr="00847704">
        <w:t xml:space="preserve">. Nunc </w:t>
      </w:r>
      <w:proofErr w:type="spellStart"/>
      <w:r w:rsidRPr="00847704">
        <w:t>viverra</w:t>
      </w:r>
      <w:proofErr w:type="spellEnd"/>
      <w:r w:rsidRPr="00847704">
        <w:t xml:space="preserve"> </w:t>
      </w:r>
      <w:proofErr w:type="spellStart"/>
      <w:r w:rsidRPr="00847704">
        <w:t>imperdiet</w:t>
      </w:r>
      <w:proofErr w:type="spellEnd"/>
      <w:r w:rsidRPr="00847704">
        <w:t xml:space="preserve"> </w:t>
      </w:r>
      <w:proofErr w:type="spellStart"/>
      <w:r w:rsidRPr="00847704">
        <w:t>enim</w:t>
      </w:r>
      <w:proofErr w:type="spellEnd"/>
      <w:r w:rsidRPr="00847704">
        <w:t xml:space="preserve">. </w:t>
      </w:r>
      <w:proofErr w:type="spellStart"/>
      <w:r w:rsidRPr="00847704">
        <w:t>Fusce</w:t>
      </w:r>
      <w:proofErr w:type="spellEnd"/>
      <w:r w:rsidRPr="00847704">
        <w:t xml:space="preserve"> est.</w:t>
      </w:r>
    </w:p>
    <w:p w14:paraId="6933C910" w14:textId="431439E1" w:rsidR="00892B5D" w:rsidRPr="00892B5D" w:rsidRDefault="00892B5D" w:rsidP="002A1DD3">
      <w:pPr>
        <w:pStyle w:val="Heading1"/>
      </w:pPr>
      <w:r w:rsidRPr="00892B5D">
        <w:t>Competing interest statement</w:t>
      </w:r>
    </w:p>
    <w:p w14:paraId="24F7E67E" w14:textId="555231DC" w:rsidR="00A45218" w:rsidRDefault="00A45218">
      <w:pPr>
        <w:jc w:val="left"/>
        <w:rPr>
          <w:sz w:val="15"/>
        </w:rPr>
      </w:pPr>
      <w:r>
        <w:br w:type="page"/>
      </w:r>
    </w:p>
    <w:p w14:paraId="4B7F44A3" w14:textId="4142A669" w:rsidR="001F543C" w:rsidRPr="00892B5D" w:rsidRDefault="001F543C" w:rsidP="002A1DD3">
      <w:pPr>
        <w:pStyle w:val="Heading1"/>
      </w:pPr>
      <w:r w:rsidRPr="00892B5D">
        <w:lastRenderedPageBreak/>
        <w:t>Materials and Methods</w:t>
      </w:r>
    </w:p>
    <w:p w14:paraId="2BB15559" w14:textId="1188D37D" w:rsidR="001F543C" w:rsidRDefault="0067142B" w:rsidP="00847704">
      <w:pPr>
        <w:pStyle w:val="MethodsText"/>
      </w:pPr>
      <w:r>
        <w:t xml:space="preserve">The study included 26 participants: 14 with essential tremor and 12 healthy control subjects. Tremor patients were diagnosed according to </w:t>
      </w:r>
      <w:proofErr w:type="gramStart"/>
      <w:r>
        <w:t>… .</w:t>
      </w:r>
      <w:proofErr w:type="gramEnd"/>
      <w:r>
        <w:t xml:space="preserve">  Covariates (Age, sex, handedness) between groups were compares using t-test.</w:t>
      </w:r>
    </w:p>
    <w:p w14:paraId="49262984" w14:textId="58139541" w:rsidR="004E49F5" w:rsidRDefault="004E49F5" w:rsidP="00847704">
      <w:pPr>
        <w:pStyle w:val="MethodsText"/>
      </w:pPr>
    </w:p>
    <w:tbl>
      <w:tblPr>
        <w:tblW w:w="5052" w:type="dxa"/>
        <w:tblLook w:val="04A0" w:firstRow="1" w:lastRow="0" w:firstColumn="1" w:lastColumn="0" w:noHBand="0" w:noVBand="1"/>
      </w:tblPr>
      <w:tblGrid>
        <w:gridCol w:w="993"/>
        <w:gridCol w:w="708"/>
        <w:gridCol w:w="709"/>
        <w:gridCol w:w="709"/>
        <w:gridCol w:w="992"/>
        <w:gridCol w:w="941"/>
      </w:tblGrid>
      <w:tr w:rsidR="00267434" w:rsidRPr="00267434" w14:paraId="51DF8797" w14:textId="77777777" w:rsidTr="00267434">
        <w:trPr>
          <w:trHeight w:val="291"/>
        </w:trPr>
        <w:tc>
          <w:tcPr>
            <w:tcW w:w="5052" w:type="dxa"/>
            <w:gridSpan w:val="6"/>
            <w:tcBorders>
              <w:top w:val="nil"/>
              <w:left w:val="nil"/>
              <w:bottom w:val="single" w:sz="4" w:space="0" w:color="auto"/>
              <w:right w:val="nil"/>
            </w:tcBorders>
            <w:shd w:val="clear" w:color="auto" w:fill="auto"/>
            <w:noWrap/>
            <w:vAlign w:val="bottom"/>
            <w:hideMark/>
          </w:tcPr>
          <w:p w14:paraId="1936441B" w14:textId="77777777" w:rsidR="00267434" w:rsidRPr="00267434" w:rsidRDefault="00267434" w:rsidP="00267434">
            <w:pPr>
              <w:pStyle w:val="MethodsText"/>
              <w:rPr>
                <w:lang w:val="en-GB" w:eastAsia="en-GB"/>
              </w:rPr>
            </w:pPr>
            <w:commentRangeStart w:id="1"/>
            <w:commentRangeStart w:id="2"/>
            <w:commentRangeStart w:id="3"/>
            <w:r w:rsidRPr="00267434">
              <w:rPr>
                <w:lang w:val="en-GB" w:eastAsia="en-GB"/>
              </w:rPr>
              <w:t>Description</w:t>
            </w:r>
            <w:commentRangeEnd w:id="1"/>
            <w:r w:rsidR="006531CB">
              <w:rPr>
                <w:rStyle w:val="CommentReference"/>
                <w:rFonts w:asciiTheme="minorHAnsi" w:eastAsiaTheme="minorHAnsi" w:hAnsiTheme="minorHAnsi" w:cstheme="minorBidi"/>
                <w:color w:val="auto"/>
                <w:lang w:val="de-DE"/>
              </w:rPr>
              <w:commentReference w:id="1"/>
            </w:r>
            <w:commentRangeEnd w:id="2"/>
            <w:r w:rsidR="006531CB">
              <w:rPr>
                <w:rStyle w:val="CommentReference"/>
                <w:rFonts w:asciiTheme="minorHAnsi" w:eastAsiaTheme="minorHAnsi" w:hAnsiTheme="minorHAnsi" w:cstheme="minorBidi"/>
                <w:color w:val="auto"/>
                <w:lang w:val="de-DE"/>
              </w:rPr>
              <w:commentReference w:id="2"/>
            </w:r>
            <w:commentRangeEnd w:id="3"/>
            <w:r w:rsidR="006531CB">
              <w:rPr>
                <w:rStyle w:val="CommentReference"/>
                <w:rFonts w:asciiTheme="minorHAnsi" w:eastAsiaTheme="minorHAnsi" w:hAnsiTheme="minorHAnsi" w:cstheme="minorBidi"/>
                <w:color w:val="auto"/>
                <w:lang w:val="de-DE"/>
              </w:rPr>
              <w:commentReference w:id="3"/>
            </w:r>
          </w:p>
        </w:tc>
      </w:tr>
      <w:tr w:rsidR="00267434" w:rsidRPr="00267434" w14:paraId="2D7D0B57" w14:textId="77777777" w:rsidTr="00267434">
        <w:trPr>
          <w:trHeight w:val="291"/>
        </w:trPr>
        <w:tc>
          <w:tcPr>
            <w:tcW w:w="993" w:type="dxa"/>
            <w:tcBorders>
              <w:top w:val="single" w:sz="6" w:space="0" w:color="auto"/>
              <w:left w:val="nil"/>
              <w:bottom w:val="single" w:sz="6" w:space="0" w:color="auto"/>
              <w:right w:val="nil"/>
            </w:tcBorders>
            <w:shd w:val="clear" w:color="auto" w:fill="auto"/>
            <w:vAlign w:val="center"/>
            <w:hideMark/>
          </w:tcPr>
          <w:p w14:paraId="07618626" w14:textId="77777777" w:rsidR="00267434" w:rsidRPr="00267434" w:rsidRDefault="00267434" w:rsidP="00267434">
            <w:pPr>
              <w:pStyle w:val="MethodsText"/>
              <w:rPr>
                <w:lang w:val="en-GB" w:eastAsia="en-GB"/>
              </w:rPr>
            </w:pPr>
            <w:r w:rsidRPr="00267434">
              <w:rPr>
                <w:lang w:val="en-GB" w:eastAsia="en-GB"/>
              </w:rPr>
              <w:t> </w:t>
            </w:r>
          </w:p>
        </w:tc>
        <w:tc>
          <w:tcPr>
            <w:tcW w:w="708" w:type="dxa"/>
            <w:tcBorders>
              <w:top w:val="single" w:sz="6" w:space="0" w:color="auto"/>
              <w:left w:val="nil"/>
              <w:bottom w:val="single" w:sz="6" w:space="0" w:color="auto"/>
              <w:right w:val="nil"/>
            </w:tcBorders>
            <w:shd w:val="clear" w:color="auto" w:fill="auto"/>
            <w:vAlign w:val="center"/>
            <w:hideMark/>
          </w:tcPr>
          <w:p w14:paraId="43640E8F" w14:textId="79A0D2E2"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 </w:t>
            </w:r>
            <w:r>
              <w:rPr>
                <w:rFonts w:ascii="Times New Roman" w:hAnsi="Times New Roman" w:cs="Times New Roman"/>
                <w:szCs w:val="15"/>
                <w:lang w:val="en-GB" w:eastAsia="en-GB"/>
              </w:rPr>
              <w:t>Group</w:t>
            </w:r>
          </w:p>
        </w:tc>
        <w:tc>
          <w:tcPr>
            <w:tcW w:w="709" w:type="dxa"/>
            <w:tcBorders>
              <w:top w:val="single" w:sz="6" w:space="0" w:color="auto"/>
              <w:left w:val="nil"/>
              <w:bottom w:val="single" w:sz="6" w:space="0" w:color="auto"/>
              <w:right w:val="nil"/>
            </w:tcBorders>
            <w:shd w:val="clear" w:color="auto" w:fill="auto"/>
            <w:vAlign w:val="center"/>
            <w:hideMark/>
          </w:tcPr>
          <w:p w14:paraId="708F6AF9"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Mean</w:t>
            </w:r>
          </w:p>
        </w:tc>
        <w:tc>
          <w:tcPr>
            <w:tcW w:w="709" w:type="dxa"/>
            <w:tcBorders>
              <w:top w:val="single" w:sz="6" w:space="0" w:color="auto"/>
              <w:left w:val="nil"/>
              <w:bottom w:val="single" w:sz="6" w:space="0" w:color="auto"/>
              <w:right w:val="nil"/>
            </w:tcBorders>
            <w:shd w:val="clear" w:color="auto" w:fill="auto"/>
            <w:vAlign w:val="center"/>
            <w:hideMark/>
          </w:tcPr>
          <w:p w14:paraId="4907C94B" w14:textId="0B9F4F95" w:rsidR="00267434" w:rsidRPr="00267434" w:rsidRDefault="00267434" w:rsidP="00267434">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SD</w:t>
            </w:r>
          </w:p>
        </w:tc>
        <w:tc>
          <w:tcPr>
            <w:tcW w:w="992" w:type="dxa"/>
            <w:tcBorders>
              <w:top w:val="single" w:sz="6" w:space="0" w:color="auto"/>
              <w:left w:val="nil"/>
              <w:bottom w:val="single" w:sz="6" w:space="0" w:color="auto"/>
              <w:right w:val="nil"/>
            </w:tcBorders>
            <w:shd w:val="clear" w:color="auto" w:fill="auto"/>
            <w:vAlign w:val="center"/>
            <w:hideMark/>
          </w:tcPr>
          <w:p w14:paraId="4AC21F62"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Minimum</w:t>
            </w:r>
          </w:p>
        </w:tc>
        <w:tc>
          <w:tcPr>
            <w:tcW w:w="941" w:type="dxa"/>
            <w:tcBorders>
              <w:top w:val="single" w:sz="6" w:space="0" w:color="auto"/>
              <w:left w:val="nil"/>
              <w:bottom w:val="single" w:sz="6" w:space="0" w:color="auto"/>
              <w:right w:val="nil"/>
            </w:tcBorders>
            <w:shd w:val="clear" w:color="auto" w:fill="auto"/>
            <w:vAlign w:val="center"/>
            <w:hideMark/>
          </w:tcPr>
          <w:p w14:paraId="143AC3FA"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Maximum</w:t>
            </w:r>
          </w:p>
        </w:tc>
      </w:tr>
      <w:tr w:rsidR="00267434" w:rsidRPr="00267434" w14:paraId="44CC4056" w14:textId="77777777" w:rsidTr="00267434">
        <w:trPr>
          <w:trHeight w:val="291"/>
        </w:trPr>
        <w:tc>
          <w:tcPr>
            <w:tcW w:w="993" w:type="dxa"/>
            <w:vMerge w:val="restart"/>
            <w:tcBorders>
              <w:top w:val="single" w:sz="6" w:space="0" w:color="auto"/>
              <w:left w:val="nil"/>
              <w:bottom w:val="nil"/>
              <w:right w:val="nil"/>
            </w:tcBorders>
            <w:shd w:val="clear" w:color="auto" w:fill="auto"/>
            <w:vAlign w:val="center"/>
            <w:hideMark/>
          </w:tcPr>
          <w:p w14:paraId="3128C0F4"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Alter</w:t>
            </w:r>
          </w:p>
        </w:tc>
        <w:tc>
          <w:tcPr>
            <w:tcW w:w="708" w:type="dxa"/>
            <w:tcBorders>
              <w:top w:val="single" w:sz="6" w:space="0" w:color="auto"/>
              <w:left w:val="nil"/>
              <w:bottom w:val="nil"/>
              <w:right w:val="nil"/>
            </w:tcBorders>
            <w:shd w:val="clear" w:color="auto" w:fill="auto"/>
            <w:vAlign w:val="center"/>
            <w:hideMark/>
          </w:tcPr>
          <w:p w14:paraId="037F1AE6"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709" w:type="dxa"/>
            <w:tcBorders>
              <w:top w:val="single" w:sz="6" w:space="0" w:color="auto"/>
              <w:left w:val="nil"/>
              <w:bottom w:val="nil"/>
              <w:right w:val="nil"/>
            </w:tcBorders>
            <w:shd w:val="clear" w:color="auto" w:fill="auto"/>
            <w:vAlign w:val="center"/>
            <w:hideMark/>
          </w:tcPr>
          <w:p w14:paraId="3E379D41" w14:textId="29C7107A"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55.11</w:t>
            </w:r>
          </w:p>
        </w:tc>
        <w:tc>
          <w:tcPr>
            <w:tcW w:w="709" w:type="dxa"/>
            <w:tcBorders>
              <w:top w:val="single" w:sz="6" w:space="0" w:color="auto"/>
              <w:left w:val="nil"/>
              <w:bottom w:val="nil"/>
              <w:right w:val="nil"/>
            </w:tcBorders>
            <w:shd w:val="clear" w:color="auto" w:fill="auto"/>
            <w:vAlign w:val="center"/>
            <w:hideMark/>
          </w:tcPr>
          <w:p w14:paraId="7698AD30" w14:textId="3B1C7309"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17.01</w:t>
            </w:r>
          </w:p>
        </w:tc>
        <w:tc>
          <w:tcPr>
            <w:tcW w:w="992" w:type="dxa"/>
            <w:tcBorders>
              <w:top w:val="single" w:sz="6" w:space="0" w:color="auto"/>
              <w:left w:val="nil"/>
              <w:bottom w:val="nil"/>
              <w:right w:val="nil"/>
            </w:tcBorders>
            <w:shd w:val="clear" w:color="auto" w:fill="auto"/>
            <w:vAlign w:val="center"/>
            <w:hideMark/>
          </w:tcPr>
          <w:p w14:paraId="5A38FDD3" w14:textId="018862AD"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23</w:t>
            </w:r>
          </w:p>
        </w:tc>
        <w:tc>
          <w:tcPr>
            <w:tcW w:w="941" w:type="dxa"/>
            <w:tcBorders>
              <w:top w:val="single" w:sz="6" w:space="0" w:color="auto"/>
              <w:left w:val="nil"/>
              <w:bottom w:val="nil"/>
              <w:right w:val="nil"/>
            </w:tcBorders>
            <w:shd w:val="clear" w:color="auto" w:fill="auto"/>
            <w:vAlign w:val="center"/>
            <w:hideMark/>
          </w:tcPr>
          <w:p w14:paraId="576E7D5D" w14:textId="09D0B5BD"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73</w:t>
            </w:r>
          </w:p>
        </w:tc>
      </w:tr>
      <w:tr w:rsidR="00267434" w:rsidRPr="00267434" w14:paraId="1A845176" w14:textId="77777777" w:rsidTr="00267434">
        <w:trPr>
          <w:trHeight w:val="291"/>
        </w:trPr>
        <w:tc>
          <w:tcPr>
            <w:tcW w:w="993" w:type="dxa"/>
            <w:vMerge/>
            <w:tcBorders>
              <w:top w:val="single" w:sz="4" w:space="0" w:color="auto"/>
              <w:left w:val="nil"/>
              <w:bottom w:val="nil"/>
              <w:right w:val="nil"/>
            </w:tcBorders>
            <w:vAlign w:val="center"/>
            <w:hideMark/>
          </w:tcPr>
          <w:p w14:paraId="6ACCFE21" w14:textId="77777777" w:rsidR="00267434" w:rsidRPr="00267434" w:rsidRDefault="00267434" w:rsidP="00267434">
            <w:pPr>
              <w:pStyle w:val="MethodsText"/>
              <w:rPr>
                <w:rFonts w:ascii="Times New Roman" w:hAnsi="Times New Roman" w:cs="Times New Roman"/>
                <w:szCs w:val="15"/>
                <w:lang w:val="en-GB" w:eastAsia="en-GB"/>
              </w:rPr>
            </w:pPr>
          </w:p>
        </w:tc>
        <w:tc>
          <w:tcPr>
            <w:tcW w:w="708" w:type="dxa"/>
            <w:tcBorders>
              <w:top w:val="nil"/>
              <w:left w:val="nil"/>
              <w:bottom w:val="nil"/>
              <w:right w:val="nil"/>
            </w:tcBorders>
            <w:shd w:val="clear" w:color="auto" w:fill="auto"/>
            <w:vAlign w:val="center"/>
            <w:hideMark/>
          </w:tcPr>
          <w:p w14:paraId="553E1E7D"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709" w:type="dxa"/>
            <w:tcBorders>
              <w:top w:val="nil"/>
              <w:left w:val="nil"/>
              <w:bottom w:val="nil"/>
              <w:right w:val="nil"/>
            </w:tcBorders>
            <w:shd w:val="clear" w:color="auto" w:fill="auto"/>
            <w:vAlign w:val="center"/>
            <w:hideMark/>
          </w:tcPr>
          <w:p w14:paraId="4B248DD5" w14:textId="54CFF335"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65.50</w:t>
            </w:r>
          </w:p>
        </w:tc>
        <w:tc>
          <w:tcPr>
            <w:tcW w:w="709" w:type="dxa"/>
            <w:tcBorders>
              <w:top w:val="nil"/>
              <w:left w:val="nil"/>
              <w:bottom w:val="nil"/>
              <w:right w:val="nil"/>
            </w:tcBorders>
            <w:shd w:val="clear" w:color="auto" w:fill="auto"/>
            <w:vAlign w:val="center"/>
            <w:hideMark/>
          </w:tcPr>
          <w:p w14:paraId="5461F7D9" w14:textId="7C1D8775"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11.3</w:t>
            </w:r>
            <w:r>
              <w:rPr>
                <w:rFonts w:ascii="Times New Roman" w:hAnsi="Times New Roman" w:cs="Times New Roman"/>
                <w:szCs w:val="15"/>
                <w:lang w:val="en-GB" w:eastAsia="en-GB"/>
              </w:rPr>
              <w:t>9</w:t>
            </w:r>
          </w:p>
        </w:tc>
        <w:tc>
          <w:tcPr>
            <w:tcW w:w="992" w:type="dxa"/>
            <w:tcBorders>
              <w:top w:val="nil"/>
              <w:left w:val="nil"/>
              <w:bottom w:val="nil"/>
              <w:right w:val="nil"/>
            </w:tcBorders>
            <w:shd w:val="clear" w:color="auto" w:fill="auto"/>
            <w:vAlign w:val="center"/>
            <w:hideMark/>
          </w:tcPr>
          <w:p w14:paraId="4D6E2702" w14:textId="3744A8D5"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34</w:t>
            </w:r>
          </w:p>
        </w:tc>
        <w:tc>
          <w:tcPr>
            <w:tcW w:w="941" w:type="dxa"/>
            <w:tcBorders>
              <w:top w:val="nil"/>
              <w:left w:val="nil"/>
              <w:bottom w:val="nil"/>
              <w:right w:val="nil"/>
            </w:tcBorders>
            <w:shd w:val="clear" w:color="auto" w:fill="auto"/>
            <w:vAlign w:val="center"/>
            <w:hideMark/>
          </w:tcPr>
          <w:p w14:paraId="15DB5624" w14:textId="68087C9B"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79</w:t>
            </w:r>
          </w:p>
        </w:tc>
      </w:tr>
      <w:tr w:rsidR="00267434" w:rsidRPr="00267434" w14:paraId="72572A48" w14:textId="77777777" w:rsidTr="00267434">
        <w:trPr>
          <w:trHeight w:val="291"/>
        </w:trPr>
        <w:tc>
          <w:tcPr>
            <w:tcW w:w="993" w:type="dxa"/>
            <w:vMerge w:val="restart"/>
            <w:tcBorders>
              <w:top w:val="nil"/>
              <w:left w:val="nil"/>
              <w:bottom w:val="nil"/>
              <w:right w:val="nil"/>
            </w:tcBorders>
            <w:shd w:val="clear" w:color="auto" w:fill="auto"/>
            <w:vAlign w:val="center"/>
            <w:hideMark/>
          </w:tcPr>
          <w:p w14:paraId="6135E00D"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BDI-Score</w:t>
            </w:r>
          </w:p>
        </w:tc>
        <w:tc>
          <w:tcPr>
            <w:tcW w:w="708" w:type="dxa"/>
            <w:tcBorders>
              <w:top w:val="nil"/>
              <w:left w:val="nil"/>
              <w:bottom w:val="nil"/>
              <w:right w:val="nil"/>
            </w:tcBorders>
            <w:shd w:val="clear" w:color="auto" w:fill="auto"/>
            <w:vAlign w:val="center"/>
            <w:hideMark/>
          </w:tcPr>
          <w:p w14:paraId="6AE137CC"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709" w:type="dxa"/>
            <w:tcBorders>
              <w:top w:val="nil"/>
              <w:left w:val="nil"/>
              <w:bottom w:val="nil"/>
              <w:right w:val="nil"/>
            </w:tcBorders>
            <w:shd w:val="clear" w:color="auto" w:fill="auto"/>
            <w:vAlign w:val="center"/>
            <w:hideMark/>
          </w:tcPr>
          <w:p w14:paraId="5D268E96" w14:textId="48B21EC1"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1.80</w:t>
            </w:r>
          </w:p>
        </w:tc>
        <w:tc>
          <w:tcPr>
            <w:tcW w:w="709" w:type="dxa"/>
            <w:tcBorders>
              <w:top w:val="nil"/>
              <w:left w:val="nil"/>
              <w:bottom w:val="nil"/>
              <w:right w:val="nil"/>
            </w:tcBorders>
            <w:shd w:val="clear" w:color="auto" w:fill="auto"/>
            <w:vAlign w:val="center"/>
            <w:hideMark/>
          </w:tcPr>
          <w:p w14:paraId="2B38E58A" w14:textId="13E2808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2.97</w:t>
            </w:r>
          </w:p>
        </w:tc>
        <w:tc>
          <w:tcPr>
            <w:tcW w:w="992" w:type="dxa"/>
            <w:tcBorders>
              <w:top w:val="nil"/>
              <w:left w:val="nil"/>
              <w:bottom w:val="nil"/>
              <w:right w:val="nil"/>
            </w:tcBorders>
            <w:shd w:val="clear" w:color="auto" w:fill="auto"/>
            <w:vAlign w:val="center"/>
            <w:hideMark/>
          </w:tcPr>
          <w:p w14:paraId="40CA98D4" w14:textId="0D6CA4AC"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0</w:t>
            </w:r>
          </w:p>
        </w:tc>
        <w:tc>
          <w:tcPr>
            <w:tcW w:w="941" w:type="dxa"/>
            <w:tcBorders>
              <w:top w:val="nil"/>
              <w:left w:val="nil"/>
              <w:bottom w:val="nil"/>
              <w:right w:val="nil"/>
            </w:tcBorders>
            <w:shd w:val="clear" w:color="auto" w:fill="auto"/>
            <w:vAlign w:val="center"/>
            <w:hideMark/>
          </w:tcPr>
          <w:p w14:paraId="3755D19C" w14:textId="4AC8078B"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9</w:t>
            </w:r>
          </w:p>
        </w:tc>
      </w:tr>
      <w:tr w:rsidR="00267434" w:rsidRPr="00267434" w14:paraId="050AB99F" w14:textId="77777777" w:rsidTr="00267434">
        <w:trPr>
          <w:trHeight w:val="291"/>
        </w:trPr>
        <w:tc>
          <w:tcPr>
            <w:tcW w:w="993" w:type="dxa"/>
            <w:vMerge/>
            <w:tcBorders>
              <w:top w:val="nil"/>
              <w:left w:val="nil"/>
              <w:bottom w:val="nil"/>
              <w:right w:val="nil"/>
            </w:tcBorders>
            <w:vAlign w:val="center"/>
            <w:hideMark/>
          </w:tcPr>
          <w:p w14:paraId="14FDF97B" w14:textId="77777777" w:rsidR="00267434" w:rsidRPr="00267434" w:rsidRDefault="00267434" w:rsidP="00267434">
            <w:pPr>
              <w:pStyle w:val="MethodsText"/>
              <w:rPr>
                <w:rFonts w:ascii="Times New Roman" w:hAnsi="Times New Roman" w:cs="Times New Roman"/>
                <w:szCs w:val="15"/>
                <w:lang w:val="en-GB" w:eastAsia="en-GB"/>
              </w:rPr>
            </w:pPr>
          </w:p>
        </w:tc>
        <w:tc>
          <w:tcPr>
            <w:tcW w:w="708" w:type="dxa"/>
            <w:tcBorders>
              <w:top w:val="nil"/>
              <w:left w:val="nil"/>
              <w:bottom w:val="nil"/>
              <w:right w:val="nil"/>
            </w:tcBorders>
            <w:shd w:val="clear" w:color="auto" w:fill="auto"/>
            <w:vAlign w:val="center"/>
            <w:hideMark/>
          </w:tcPr>
          <w:p w14:paraId="6E5897C2"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709" w:type="dxa"/>
            <w:tcBorders>
              <w:top w:val="nil"/>
              <w:left w:val="nil"/>
              <w:bottom w:val="nil"/>
              <w:right w:val="nil"/>
            </w:tcBorders>
            <w:shd w:val="clear" w:color="auto" w:fill="auto"/>
            <w:vAlign w:val="center"/>
            <w:hideMark/>
          </w:tcPr>
          <w:p w14:paraId="57C2D088" w14:textId="16F3487D"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8.6</w:t>
            </w:r>
            <w:r>
              <w:rPr>
                <w:rFonts w:ascii="Times New Roman" w:hAnsi="Times New Roman" w:cs="Times New Roman"/>
                <w:szCs w:val="15"/>
                <w:lang w:val="en-GB" w:eastAsia="en-GB"/>
              </w:rPr>
              <w:t>2</w:t>
            </w:r>
          </w:p>
        </w:tc>
        <w:tc>
          <w:tcPr>
            <w:tcW w:w="709" w:type="dxa"/>
            <w:tcBorders>
              <w:top w:val="nil"/>
              <w:left w:val="nil"/>
              <w:bottom w:val="nil"/>
              <w:right w:val="nil"/>
            </w:tcBorders>
            <w:shd w:val="clear" w:color="auto" w:fill="auto"/>
            <w:vAlign w:val="center"/>
            <w:hideMark/>
          </w:tcPr>
          <w:p w14:paraId="67C6D057" w14:textId="7369799B"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5.42</w:t>
            </w:r>
          </w:p>
        </w:tc>
        <w:tc>
          <w:tcPr>
            <w:tcW w:w="992" w:type="dxa"/>
            <w:tcBorders>
              <w:top w:val="nil"/>
              <w:left w:val="nil"/>
              <w:bottom w:val="nil"/>
              <w:right w:val="nil"/>
            </w:tcBorders>
            <w:shd w:val="clear" w:color="auto" w:fill="auto"/>
            <w:vAlign w:val="center"/>
            <w:hideMark/>
          </w:tcPr>
          <w:p w14:paraId="513378C4" w14:textId="4BC70DEA"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0</w:t>
            </w:r>
          </w:p>
        </w:tc>
        <w:tc>
          <w:tcPr>
            <w:tcW w:w="941" w:type="dxa"/>
            <w:tcBorders>
              <w:top w:val="nil"/>
              <w:left w:val="nil"/>
              <w:bottom w:val="nil"/>
              <w:right w:val="nil"/>
            </w:tcBorders>
            <w:shd w:val="clear" w:color="auto" w:fill="auto"/>
            <w:vAlign w:val="center"/>
            <w:hideMark/>
          </w:tcPr>
          <w:p w14:paraId="3EACC4E7" w14:textId="12263825"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20</w:t>
            </w:r>
          </w:p>
        </w:tc>
      </w:tr>
      <w:tr w:rsidR="00267434" w:rsidRPr="00267434" w14:paraId="40251918" w14:textId="77777777" w:rsidTr="00267434">
        <w:trPr>
          <w:trHeight w:val="291"/>
        </w:trPr>
        <w:tc>
          <w:tcPr>
            <w:tcW w:w="993" w:type="dxa"/>
            <w:vMerge w:val="restart"/>
            <w:tcBorders>
              <w:top w:val="nil"/>
              <w:left w:val="nil"/>
              <w:bottom w:val="nil"/>
              <w:right w:val="nil"/>
            </w:tcBorders>
            <w:shd w:val="clear" w:color="auto" w:fill="auto"/>
            <w:vAlign w:val="center"/>
            <w:hideMark/>
          </w:tcPr>
          <w:p w14:paraId="077FCB3A" w14:textId="77777777" w:rsidR="00267434" w:rsidRPr="00267434" w:rsidRDefault="00267434" w:rsidP="00267434">
            <w:pPr>
              <w:pStyle w:val="MethodsText"/>
              <w:rPr>
                <w:rFonts w:ascii="Times New Roman" w:hAnsi="Times New Roman" w:cs="Times New Roman"/>
                <w:szCs w:val="15"/>
                <w:lang w:val="en-GB" w:eastAsia="en-GB"/>
              </w:rPr>
            </w:pPr>
            <w:proofErr w:type="spellStart"/>
            <w:r w:rsidRPr="00267434">
              <w:rPr>
                <w:rFonts w:ascii="Times New Roman" w:hAnsi="Times New Roman" w:cs="Times New Roman"/>
                <w:szCs w:val="15"/>
                <w:lang w:val="en-GB" w:eastAsia="en-GB"/>
              </w:rPr>
              <w:t>Schahmann</w:t>
            </w:r>
            <w:proofErr w:type="spellEnd"/>
            <w:r w:rsidRPr="00267434">
              <w:rPr>
                <w:rFonts w:ascii="Times New Roman" w:hAnsi="Times New Roman" w:cs="Times New Roman"/>
                <w:szCs w:val="15"/>
                <w:lang w:val="en-GB" w:eastAsia="en-GB"/>
              </w:rPr>
              <w:t xml:space="preserve"> </w:t>
            </w:r>
            <w:proofErr w:type="spellStart"/>
            <w:r w:rsidRPr="00267434">
              <w:rPr>
                <w:rFonts w:ascii="Times New Roman" w:hAnsi="Times New Roman" w:cs="Times New Roman"/>
                <w:szCs w:val="15"/>
                <w:lang w:val="en-GB" w:eastAsia="en-GB"/>
              </w:rPr>
              <w:t>Gesamtwert</w:t>
            </w:r>
            <w:proofErr w:type="spellEnd"/>
            <w:r w:rsidRPr="00267434">
              <w:rPr>
                <w:rFonts w:ascii="Times New Roman" w:hAnsi="Times New Roman" w:cs="Times New Roman"/>
                <w:szCs w:val="15"/>
                <w:lang w:val="en-GB" w:eastAsia="en-GB"/>
              </w:rPr>
              <w:t xml:space="preserve"> </w:t>
            </w:r>
            <w:proofErr w:type="spellStart"/>
            <w:r w:rsidRPr="00267434">
              <w:rPr>
                <w:rFonts w:ascii="Times New Roman" w:hAnsi="Times New Roman" w:cs="Times New Roman"/>
                <w:szCs w:val="15"/>
                <w:lang w:val="en-GB" w:eastAsia="en-GB"/>
              </w:rPr>
              <w:t>Aufgaben</w:t>
            </w:r>
            <w:proofErr w:type="spellEnd"/>
          </w:p>
        </w:tc>
        <w:tc>
          <w:tcPr>
            <w:tcW w:w="708" w:type="dxa"/>
            <w:tcBorders>
              <w:top w:val="nil"/>
              <w:left w:val="nil"/>
              <w:bottom w:val="nil"/>
              <w:right w:val="nil"/>
            </w:tcBorders>
            <w:shd w:val="clear" w:color="auto" w:fill="auto"/>
            <w:vAlign w:val="center"/>
            <w:hideMark/>
          </w:tcPr>
          <w:p w14:paraId="4CA427F7"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709" w:type="dxa"/>
            <w:tcBorders>
              <w:top w:val="nil"/>
              <w:left w:val="nil"/>
              <w:bottom w:val="nil"/>
              <w:right w:val="nil"/>
            </w:tcBorders>
            <w:shd w:val="clear" w:color="auto" w:fill="auto"/>
            <w:vAlign w:val="center"/>
            <w:hideMark/>
          </w:tcPr>
          <w:p w14:paraId="509E1BE6" w14:textId="41ADC719"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104.0</w:t>
            </w:r>
            <w:r>
              <w:rPr>
                <w:rFonts w:ascii="Times New Roman" w:hAnsi="Times New Roman" w:cs="Times New Roman"/>
                <w:szCs w:val="15"/>
                <w:lang w:val="en-GB" w:eastAsia="en-GB"/>
              </w:rPr>
              <w:t>0</w:t>
            </w:r>
          </w:p>
        </w:tc>
        <w:tc>
          <w:tcPr>
            <w:tcW w:w="709" w:type="dxa"/>
            <w:tcBorders>
              <w:top w:val="nil"/>
              <w:left w:val="nil"/>
              <w:bottom w:val="nil"/>
              <w:right w:val="nil"/>
            </w:tcBorders>
            <w:shd w:val="clear" w:color="auto" w:fill="auto"/>
            <w:vAlign w:val="center"/>
            <w:hideMark/>
          </w:tcPr>
          <w:p w14:paraId="5CA13958" w14:textId="306B22D9"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11.53</w:t>
            </w:r>
          </w:p>
        </w:tc>
        <w:tc>
          <w:tcPr>
            <w:tcW w:w="992" w:type="dxa"/>
            <w:tcBorders>
              <w:top w:val="nil"/>
              <w:left w:val="nil"/>
              <w:bottom w:val="nil"/>
              <w:right w:val="nil"/>
            </w:tcBorders>
            <w:shd w:val="clear" w:color="auto" w:fill="auto"/>
            <w:vAlign w:val="center"/>
            <w:hideMark/>
          </w:tcPr>
          <w:p w14:paraId="3021C94D" w14:textId="40DCFA5D"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84</w:t>
            </w:r>
          </w:p>
        </w:tc>
        <w:tc>
          <w:tcPr>
            <w:tcW w:w="941" w:type="dxa"/>
            <w:tcBorders>
              <w:top w:val="nil"/>
              <w:left w:val="nil"/>
              <w:bottom w:val="nil"/>
              <w:right w:val="nil"/>
            </w:tcBorders>
            <w:shd w:val="clear" w:color="auto" w:fill="auto"/>
            <w:vAlign w:val="center"/>
            <w:hideMark/>
          </w:tcPr>
          <w:p w14:paraId="1B344AC5" w14:textId="643F13F9"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118</w:t>
            </w:r>
          </w:p>
        </w:tc>
      </w:tr>
      <w:tr w:rsidR="00267434" w:rsidRPr="00267434" w14:paraId="393C3A4F" w14:textId="77777777" w:rsidTr="00267434">
        <w:trPr>
          <w:trHeight w:val="291"/>
        </w:trPr>
        <w:tc>
          <w:tcPr>
            <w:tcW w:w="993" w:type="dxa"/>
            <w:vMerge/>
            <w:tcBorders>
              <w:top w:val="nil"/>
              <w:left w:val="nil"/>
              <w:right w:val="nil"/>
            </w:tcBorders>
            <w:vAlign w:val="center"/>
            <w:hideMark/>
          </w:tcPr>
          <w:p w14:paraId="6A408A07" w14:textId="77777777" w:rsidR="00267434" w:rsidRPr="00267434" w:rsidRDefault="00267434" w:rsidP="00267434">
            <w:pPr>
              <w:pStyle w:val="MethodsText"/>
              <w:rPr>
                <w:rFonts w:ascii="Times New Roman" w:hAnsi="Times New Roman" w:cs="Times New Roman"/>
                <w:szCs w:val="15"/>
                <w:lang w:val="en-GB" w:eastAsia="en-GB"/>
              </w:rPr>
            </w:pPr>
          </w:p>
        </w:tc>
        <w:tc>
          <w:tcPr>
            <w:tcW w:w="708" w:type="dxa"/>
            <w:tcBorders>
              <w:top w:val="nil"/>
              <w:left w:val="nil"/>
              <w:right w:val="nil"/>
            </w:tcBorders>
            <w:shd w:val="clear" w:color="auto" w:fill="auto"/>
            <w:vAlign w:val="center"/>
            <w:hideMark/>
          </w:tcPr>
          <w:p w14:paraId="48FC265A"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709" w:type="dxa"/>
            <w:tcBorders>
              <w:top w:val="nil"/>
              <w:left w:val="nil"/>
              <w:right w:val="nil"/>
            </w:tcBorders>
            <w:shd w:val="clear" w:color="auto" w:fill="auto"/>
            <w:vAlign w:val="center"/>
            <w:hideMark/>
          </w:tcPr>
          <w:p w14:paraId="0C58358C" w14:textId="42BBE81E"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91.67</w:t>
            </w:r>
          </w:p>
        </w:tc>
        <w:tc>
          <w:tcPr>
            <w:tcW w:w="709" w:type="dxa"/>
            <w:tcBorders>
              <w:top w:val="nil"/>
              <w:left w:val="nil"/>
              <w:right w:val="nil"/>
            </w:tcBorders>
            <w:shd w:val="clear" w:color="auto" w:fill="auto"/>
            <w:vAlign w:val="center"/>
            <w:hideMark/>
          </w:tcPr>
          <w:p w14:paraId="2F0AF016" w14:textId="1924BC45"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13.93</w:t>
            </w:r>
          </w:p>
        </w:tc>
        <w:tc>
          <w:tcPr>
            <w:tcW w:w="992" w:type="dxa"/>
            <w:tcBorders>
              <w:top w:val="nil"/>
              <w:left w:val="nil"/>
              <w:right w:val="nil"/>
            </w:tcBorders>
            <w:shd w:val="clear" w:color="auto" w:fill="auto"/>
            <w:vAlign w:val="center"/>
            <w:hideMark/>
          </w:tcPr>
          <w:p w14:paraId="51A9469F" w14:textId="064C54DA"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58</w:t>
            </w:r>
          </w:p>
        </w:tc>
        <w:tc>
          <w:tcPr>
            <w:tcW w:w="941" w:type="dxa"/>
            <w:tcBorders>
              <w:top w:val="nil"/>
              <w:left w:val="nil"/>
              <w:bottom w:val="nil"/>
              <w:right w:val="nil"/>
            </w:tcBorders>
            <w:shd w:val="clear" w:color="auto" w:fill="auto"/>
            <w:vAlign w:val="center"/>
            <w:hideMark/>
          </w:tcPr>
          <w:p w14:paraId="6607184D" w14:textId="65781DEB"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111</w:t>
            </w:r>
          </w:p>
        </w:tc>
      </w:tr>
      <w:tr w:rsidR="00267434" w:rsidRPr="00267434" w14:paraId="2662710B" w14:textId="77777777" w:rsidTr="00267434">
        <w:trPr>
          <w:trHeight w:val="291"/>
        </w:trPr>
        <w:tc>
          <w:tcPr>
            <w:tcW w:w="993" w:type="dxa"/>
            <w:vMerge w:val="restart"/>
            <w:tcBorders>
              <w:top w:val="nil"/>
              <w:left w:val="nil"/>
              <w:bottom w:val="single" w:sz="4" w:space="0" w:color="000000"/>
              <w:right w:val="nil"/>
            </w:tcBorders>
            <w:shd w:val="clear" w:color="auto" w:fill="auto"/>
            <w:vAlign w:val="center"/>
            <w:hideMark/>
          </w:tcPr>
          <w:p w14:paraId="5695B799" w14:textId="77777777" w:rsidR="00267434" w:rsidRPr="00267434" w:rsidRDefault="00267434" w:rsidP="00267434">
            <w:pPr>
              <w:pStyle w:val="MethodsText"/>
              <w:rPr>
                <w:rFonts w:ascii="Times New Roman" w:hAnsi="Times New Roman" w:cs="Times New Roman"/>
                <w:szCs w:val="15"/>
                <w:lang w:val="en-GB" w:eastAsia="en-GB"/>
              </w:rPr>
            </w:pPr>
            <w:proofErr w:type="spellStart"/>
            <w:r w:rsidRPr="00267434">
              <w:rPr>
                <w:rFonts w:ascii="Times New Roman" w:hAnsi="Times New Roman" w:cs="Times New Roman"/>
                <w:szCs w:val="15"/>
                <w:lang w:val="en-GB" w:eastAsia="en-GB"/>
              </w:rPr>
              <w:t>Gesamtscore</w:t>
            </w:r>
            <w:proofErr w:type="spellEnd"/>
            <w:r w:rsidRPr="00267434">
              <w:rPr>
                <w:rFonts w:ascii="Times New Roman" w:hAnsi="Times New Roman" w:cs="Times New Roman"/>
                <w:szCs w:val="15"/>
                <w:lang w:val="en-GB" w:eastAsia="en-GB"/>
              </w:rPr>
              <w:t xml:space="preserve"> Tetras</w:t>
            </w:r>
          </w:p>
        </w:tc>
        <w:tc>
          <w:tcPr>
            <w:tcW w:w="708" w:type="dxa"/>
            <w:tcBorders>
              <w:top w:val="nil"/>
              <w:left w:val="nil"/>
              <w:bottom w:val="nil"/>
              <w:right w:val="nil"/>
            </w:tcBorders>
            <w:shd w:val="clear" w:color="auto" w:fill="auto"/>
            <w:vAlign w:val="center"/>
            <w:hideMark/>
          </w:tcPr>
          <w:p w14:paraId="48B14CB0"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709" w:type="dxa"/>
            <w:tcBorders>
              <w:top w:val="nil"/>
              <w:left w:val="nil"/>
              <w:bottom w:val="nil"/>
              <w:right w:val="nil"/>
            </w:tcBorders>
            <w:shd w:val="clear" w:color="auto" w:fill="auto"/>
            <w:vAlign w:val="center"/>
            <w:hideMark/>
          </w:tcPr>
          <w:p w14:paraId="54D7C930"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709" w:type="dxa"/>
            <w:tcBorders>
              <w:top w:val="nil"/>
              <w:left w:val="nil"/>
              <w:bottom w:val="nil"/>
              <w:right w:val="nil"/>
            </w:tcBorders>
            <w:shd w:val="clear" w:color="auto" w:fill="auto"/>
            <w:vAlign w:val="center"/>
            <w:hideMark/>
          </w:tcPr>
          <w:p w14:paraId="754E1AB0"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992" w:type="dxa"/>
            <w:tcBorders>
              <w:top w:val="nil"/>
              <w:left w:val="nil"/>
              <w:right w:val="nil"/>
            </w:tcBorders>
            <w:shd w:val="clear" w:color="auto" w:fill="auto"/>
            <w:vAlign w:val="center"/>
            <w:hideMark/>
          </w:tcPr>
          <w:p w14:paraId="5062D37D"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941" w:type="dxa"/>
            <w:tcBorders>
              <w:top w:val="nil"/>
              <w:left w:val="nil"/>
              <w:right w:val="nil"/>
            </w:tcBorders>
            <w:shd w:val="clear" w:color="auto" w:fill="auto"/>
            <w:vAlign w:val="center"/>
            <w:hideMark/>
          </w:tcPr>
          <w:p w14:paraId="7A583E7E"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r>
      <w:tr w:rsidR="00267434" w:rsidRPr="00267434" w14:paraId="5F81969C" w14:textId="77777777" w:rsidTr="00267434">
        <w:trPr>
          <w:trHeight w:val="291"/>
        </w:trPr>
        <w:tc>
          <w:tcPr>
            <w:tcW w:w="993" w:type="dxa"/>
            <w:vMerge/>
            <w:tcBorders>
              <w:top w:val="nil"/>
              <w:left w:val="nil"/>
              <w:bottom w:val="single" w:sz="12" w:space="0" w:color="auto"/>
              <w:right w:val="nil"/>
            </w:tcBorders>
            <w:vAlign w:val="center"/>
            <w:hideMark/>
          </w:tcPr>
          <w:p w14:paraId="299783D8" w14:textId="77777777" w:rsidR="00267434" w:rsidRPr="00267434" w:rsidRDefault="00267434" w:rsidP="00267434">
            <w:pPr>
              <w:pStyle w:val="MethodsText"/>
              <w:rPr>
                <w:rFonts w:ascii="Times New Roman" w:hAnsi="Times New Roman" w:cs="Times New Roman"/>
                <w:szCs w:val="15"/>
                <w:lang w:val="en-GB" w:eastAsia="en-GB"/>
              </w:rPr>
            </w:pPr>
          </w:p>
        </w:tc>
        <w:tc>
          <w:tcPr>
            <w:tcW w:w="708" w:type="dxa"/>
            <w:tcBorders>
              <w:top w:val="nil"/>
              <w:left w:val="nil"/>
              <w:bottom w:val="single" w:sz="12" w:space="0" w:color="auto"/>
              <w:right w:val="nil"/>
            </w:tcBorders>
            <w:shd w:val="clear" w:color="auto" w:fill="auto"/>
            <w:vAlign w:val="center"/>
            <w:hideMark/>
          </w:tcPr>
          <w:p w14:paraId="34A9CEEF" w14:textId="77777777"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709" w:type="dxa"/>
            <w:tcBorders>
              <w:top w:val="nil"/>
              <w:left w:val="nil"/>
              <w:bottom w:val="single" w:sz="12" w:space="0" w:color="auto"/>
              <w:right w:val="nil"/>
            </w:tcBorders>
            <w:shd w:val="clear" w:color="auto" w:fill="auto"/>
            <w:vAlign w:val="center"/>
            <w:hideMark/>
          </w:tcPr>
          <w:p w14:paraId="71747C04" w14:textId="121E9A91"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39.6</w:t>
            </w:r>
            <w:r>
              <w:rPr>
                <w:rFonts w:ascii="Times New Roman" w:hAnsi="Times New Roman" w:cs="Times New Roman"/>
                <w:szCs w:val="15"/>
                <w:lang w:val="en-GB" w:eastAsia="en-GB"/>
              </w:rPr>
              <w:t>8</w:t>
            </w:r>
          </w:p>
        </w:tc>
        <w:tc>
          <w:tcPr>
            <w:tcW w:w="709" w:type="dxa"/>
            <w:tcBorders>
              <w:top w:val="nil"/>
              <w:left w:val="nil"/>
              <w:bottom w:val="single" w:sz="12" w:space="0" w:color="auto"/>
              <w:right w:val="nil"/>
            </w:tcBorders>
            <w:shd w:val="clear" w:color="auto" w:fill="auto"/>
            <w:vAlign w:val="center"/>
            <w:hideMark/>
          </w:tcPr>
          <w:p w14:paraId="1CC69373" w14:textId="315769F3"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10.46</w:t>
            </w:r>
          </w:p>
        </w:tc>
        <w:tc>
          <w:tcPr>
            <w:tcW w:w="992" w:type="dxa"/>
            <w:tcBorders>
              <w:top w:val="nil"/>
              <w:left w:val="nil"/>
              <w:bottom w:val="single" w:sz="12" w:space="0" w:color="auto"/>
              <w:right w:val="nil"/>
            </w:tcBorders>
            <w:shd w:val="clear" w:color="auto" w:fill="auto"/>
            <w:vAlign w:val="center"/>
            <w:hideMark/>
          </w:tcPr>
          <w:p w14:paraId="09136F22" w14:textId="2ECCAF0E"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23</w:t>
            </w:r>
          </w:p>
        </w:tc>
        <w:tc>
          <w:tcPr>
            <w:tcW w:w="941" w:type="dxa"/>
            <w:tcBorders>
              <w:top w:val="nil"/>
              <w:left w:val="nil"/>
              <w:bottom w:val="single" w:sz="12" w:space="0" w:color="auto"/>
              <w:right w:val="nil"/>
            </w:tcBorders>
            <w:shd w:val="clear" w:color="auto" w:fill="auto"/>
            <w:vAlign w:val="center"/>
            <w:hideMark/>
          </w:tcPr>
          <w:p w14:paraId="499B2259" w14:textId="1B838760" w:rsidR="00267434" w:rsidRPr="00267434" w:rsidRDefault="00267434" w:rsidP="00267434">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59</w:t>
            </w:r>
          </w:p>
        </w:tc>
      </w:tr>
      <w:tr w:rsidR="00267434" w:rsidRPr="00267434" w14:paraId="6A092F45" w14:textId="77777777" w:rsidTr="00267434">
        <w:trPr>
          <w:trHeight w:val="308"/>
        </w:trPr>
        <w:tc>
          <w:tcPr>
            <w:tcW w:w="5052" w:type="dxa"/>
            <w:gridSpan w:val="6"/>
            <w:tcBorders>
              <w:top w:val="single" w:sz="4" w:space="0" w:color="auto"/>
              <w:left w:val="nil"/>
              <w:bottom w:val="nil"/>
              <w:right w:val="nil"/>
            </w:tcBorders>
            <w:shd w:val="clear" w:color="auto" w:fill="auto"/>
            <w:noWrap/>
            <w:vAlign w:val="bottom"/>
            <w:hideMark/>
          </w:tcPr>
          <w:p w14:paraId="097BB631" w14:textId="77777777" w:rsidR="00267434" w:rsidRPr="00267434" w:rsidRDefault="00267434" w:rsidP="00267434">
            <w:pPr>
              <w:pStyle w:val="MethodsText"/>
              <w:rPr>
                <w:lang w:val="en-GB" w:eastAsia="en-GB"/>
              </w:rPr>
            </w:pPr>
            <w:r w:rsidRPr="00267434">
              <w:rPr>
                <w:lang w:val="en-GB" w:eastAsia="en-GB"/>
              </w:rPr>
              <w:t>Table 1</w:t>
            </w:r>
          </w:p>
        </w:tc>
      </w:tr>
    </w:tbl>
    <w:p w14:paraId="0251B276" w14:textId="77777777" w:rsidR="004E49F5" w:rsidRPr="004E49F5" w:rsidRDefault="004E49F5" w:rsidP="00847704">
      <w:pPr>
        <w:pStyle w:val="MethodsText"/>
        <w:rPr>
          <w:lang w:val="en-GB"/>
        </w:rPr>
      </w:pPr>
    </w:p>
    <w:p w14:paraId="6B8EBA86" w14:textId="415AF367"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5C20D516" w14:textId="4CC23713" w:rsidR="00C97536" w:rsidRDefault="00C97536" w:rsidP="00C97536">
      <w:pPr>
        <w:pStyle w:val="MethodsText"/>
        <w:spacing w:before="80"/>
      </w:pPr>
      <w:r>
        <w:t xml:space="preserve">The experiment consisted of a computer-based task which involved matching a target force. Data collected from participants included a force sensor, pupillometry. For the collection of the force, </w:t>
      </w:r>
      <w:proofErr w:type="gramStart"/>
      <w:r>
        <w:t>a</w:t>
      </w:r>
      <w:proofErr w:type="gramEnd"/>
      <w:r>
        <w:t xml:space="preserve"> Arduino based force sensor was used. The weight cell (Adafruit, </w:t>
      </w:r>
      <w:r w:rsidRPr="00C97536">
        <w:t>ADA4541</w:t>
      </w:r>
      <w:r>
        <w:t xml:space="preserve">) was connected to </w:t>
      </w:r>
      <w:proofErr w:type="spellStart"/>
      <w:proofErr w:type="gramStart"/>
      <w:r>
        <w:t>a</w:t>
      </w:r>
      <w:proofErr w:type="spellEnd"/>
      <w:proofErr w:type="gramEnd"/>
      <w:r>
        <w:t xml:space="preserve"> amplifier (</w:t>
      </w:r>
      <w:proofErr w:type="spellStart"/>
      <w:r w:rsidRPr="00C97536">
        <w:t>SparkFun</w:t>
      </w:r>
      <w:proofErr w:type="spellEnd"/>
      <w:r>
        <w:t>, HX711) and processed</w:t>
      </w:r>
      <w:r w:rsidR="00157FAE">
        <w:t xml:space="preserve"> at 80Hz</w:t>
      </w:r>
      <w:r>
        <w:t xml:space="preserve"> via a </w:t>
      </w:r>
      <w:proofErr w:type="spellStart"/>
      <w:r>
        <w:t>Arduino</w:t>
      </w:r>
      <w:r w:rsidR="009208BA">
        <w:t>Uno</w:t>
      </w:r>
      <w:proofErr w:type="spellEnd"/>
      <w:r w:rsidR="00157FAE">
        <w:t xml:space="preserve">. The Arduino was connected via a serial port to the stimulus presentation computer. The experiment presentation was done via </w:t>
      </w:r>
      <w:proofErr w:type="spellStart"/>
      <w:r w:rsidR="00157FAE">
        <w:t>PsychoPy</w:t>
      </w:r>
      <w:proofErr w:type="spellEnd"/>
      <w:r w:rsidR="00157FAE">
        <w:t xml:space="preserve"> </w:t>
      </w:r>
      <w:r w:rsidR="00157FAE">
        <w:fldChar w:fldCharType="begin"/>
      </w:r>
      <w:r w:rsidR="00157FAE">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fldChar w:fldCharType="separate"/>
      </w:r>
      <w:r w:rsidR="00157FAE" w:rsidRPr="00157FAE">
        <w:rPr>
          <w:sz w:val="16"/>
        </w:rPr>
        <w:t>(Peirce et al., 2019)</w:t>
      </w:r>
      <w:r w:rsidR="00157FAE">
        <w:fldChar w:fldCharType="end"/>
      </w:r>
      <w:r w:rsidR="00157FAE">
        <w:t xml:space="preserve">. Inside the Python script the data of the serial port was used to feedback information to the participant and send force data to LSL for offline analysis. </w:t>
      </w:r>
      <w:r>
        <w:t xml:space="preserve">Data </w:t>
      </w:r>
      <w:r w:rsidR="00157FAE">
        <w:t xml:space="preserve">fed back </w:t>
      </w:r>
      <w:r>
        <w:t xml:space="preserve">to participants included visual and auditory </w:t>
      </w:r>
      <w:r w:rsidR="00157FAE">
        <w:t>information</w:t>
      </w:r>
      <w:r>
        <w:t xml:space="preserve">. </w:t>
      </w:r>
    </w:p>
    <w:p w14:paraId="67E0A6BA" w14:textId="54351E2F"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367CB67B" w14:textId="7473130A" w:rsidR="0067142B" w:rsidRDefault="0067142B" w:rsidP="0067142B">
      <w:pPr>
        <w:pStyle w:val="MethodsText"/>
        <w:rPr>
          <w:rStyle w:val="MethodssubheadingTegn"/>
          <w:rFonts w:ascii="STIX Two Text" w:eastAsiaTheme="minorEastAsia" w:hAnsi="STIX Two Text"/>
          <w:b w:val="0"/>
          <w:bCs w:val="0"/>
          <w:color w:val="000000" w:themeColor="text1"/>
          <w:szCs w:val="20"/>
        </w:rPr>
      </w:pPr>
      <w:r w:rsidRPr="0067142B">
        <w:rPr>
          <w:rStyle w:val="MethodssubheadingTegn"/>
          <w:rFonts w:ascii="STIX Two Text" w:eastAsiaTheme="minorEastAsia" w:hAnsi="STIX Two Text"/>
          <w:b w:val="0"/>
          <w:bCs w:val="0"/>
          <w:color w:val="000000" w:themeColor="text1"/>
          <w:szCs w:val="20"/>
        </w:rPr>
        <w:t xml:space="preserve">Participants conducted a </w:t>
      </w:r>
      <w:r w:rsidR="00C97536" w:rsidRPr="0067142B">
        <w:rPr>
          <w:rStyle w:val="MethodssubheadingTegn"/>
          <w:rFonts w:ascii="STIX Two Text" w:eastAsiaTheme="minorEastAsia" w:hAnsi="STIX Two Text"/>
          <w:b w:val="0"/>
          <w:bCs w:val="0"/>
          <w:color w:val="000000" w:themeColor="text1"/>
          <w:szCs w:val="20"/>
        </w:rPr>
        <w:t>computer-based</w:t>
      </w:r>
      <w:r w:rsidRPr="0067142B">
        <w:rPr>
          <w:rStyle w:val="MethodssubheadingTegn"/>
          <w:rFonts w:ascii="STIX Two Text" w:eastAsiaTheme="minorEastAsia" w:hAnsi="STIX Two Text"/>
          <w:b w:val="0"/>
          <w:bCs w:val="0"/>
          <w:color w:val="000000" w:themeColor="text1"/>
          <w:szCs w:val="20"/>
        </w:rPr>
        <w:t xml:space="preserve"> experiment</w:t>
      </w:r>
      <w:r>
        <w:rPr>
          <w:rStyle w:val="MethodssubheadingTegn"/>
          <w:rFonts w:ascii="STIX Two Text" w:eastAsiaTheme="minorEastAsia" w:hAnsi="STIX Two Text"/>
          <w:b w:val="0"/>
          <w:bCs w:val="0"/>
          <w:color w:val="000000" w:themeColor="text1"/>
          <w:szCs w:val="20"/>
        </w:rPr>
        <w:t xml:space="preserve"> after clinical evaluation. The experiment lasted ~30 minutes and consisted of four blocks. Sitting in front of a screen, the maximal force registered when asking them to press the force </w:t>
      </w:r>
      <w:r w:rsidR="00C97536">
        <w:rPr>
          <w:rStyle w:val="MethodssubheadingTegn"/>
          <w:rFonts w:ascii="STIX Two Text" w:eastAsiaTheme="minorEastAsia" w:hAnsi="STIX Two Text"/>
          <w:b w:val="0"/>
          <w:bCs w:val="0"/>
          <w:color w:val="000000" w:themeColor="text1"/>
          <w:szCs w:val="20"/>
        </w:rPr>
        <w:t xml:space="preserve">transducer with the thumb and index finger three times for 1 second each. The maximum of the respective means was used as individual maximum force (MF). </w:t>
      </w:r>
    </w:p>
    <w:p w14:paraId="7BFC83AD" w14:textId="440B0A66" w:rsidR="00624A21" w:rsidRDefault="00624A21" w:rsidP="0067142B">
      <w:pPr>
        <w:pStyle w:val="MethodsText"/>
        <w:rPr>
          <w:rStyle w:val="MethodssubheadingTegn"/>
          <w:rFonts w:ascii="STIX Two Text" w:eastAsiaTheme="minorEastAsia" w:hAnsi="STIX Two Text"/>
          <w:b w:val="0"/>
          <w:bCs w:val="0"/>
          <w:color w:val="000000" w:themeColor="text1"/>
          <w:szCs w:val="20"/>
        </w:rPr>
      </w:pPr>
    </w:p>
    <w:p w14:paraId="41C25F66" w14:textId="51544337" w:rsidR="00624A21" w:rsidRPr="00A45218" w:rsidRDefault="00A45218" w:rsidP="00A45218">
      <w:pPr>
        <w:pStyle w:val="MethodsTextwithTab"/>
        <w:rPr>
          <w:szCs w:val="15"/>
        </w:rPr>
      </w:pPr>
      <w:r w:rsidRPr="00A45218">
        <w:rPr>
          <w:noProof/>
          <w:szCs w:val="15"/>
        </w:rPr>
        <mc:AlternateContent>
          <mc:Choice Requires="wps">
            <w:drawing>
              <wp:anchor distT="45720" distB="45720" distL="114300" distR="114300" simplePos="0" relativeHeight="251658240" behindDoc="0" locked="0" layoutInCell="1" allowOverlap="1" wp14:anchorId="622C97E3" wp14:editId="3A71FC8B">
                <wp:simplePos x="0" y="0"/>
                <wp:positionH relativeFrom="margin">
                  <wp:align>right</wp:align>
                </wp:positionH>
                <wp:positionV relativeFrom="paragraph">
                  <wp:posOffset>640600</wp:posOffset>
                </wp:positionV>
                <wp:extent cx="6624955" cy="3514725"/>
                <wp:effectExtent l="0" t="0" r="2349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955" cy="3514725"/>
                        </a:xfrm>
                        <a:prstGeom prst="rect">
                          <a:avLst/>
                        </a:prstGeom>
                        <a:solidFill>
                          <a:srgbClr val="FFFFFF"/>
                        </a:solidFill>
                        <a:ln w="9525">
                          <a:solidFill>
                            <a:srgbClr val="000000"/>
                          </a:solidFill>
                          <a:miter lim="800000"/>
                          <a:headEnd/>
                          <a:tailEnd/>
                        </a:ln>
                      </wps:spPr>
                      <wps:txbx>
                        <w:txbxContent>
                          <w:p w14:paraId="53A03625" w14:textId="7C2976C0" w:rsidR="00624A21" w:rsidRDefault="00624A21">
                            <w:r>
                              <w:rPr>
                                <w:noProof/>
                              </w:rPr>
                              <w:drawing>
                                <wp:inline distT="0" distB="0" distL="0" distR="0" wp14:anchorId="62740F99" wp14:editId="1259789B">
                                  <wp:extent cx="6499378" cy="3112748"/>
                                  <wp:effectExtent l="0" t="0" r="0" b="0"/>
                                  <wp:docPr id="53" name="Grafik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580" cy="3123381"/>
                                          </a:xfrm>
                                          <a:prstGeom prst="rect">
                                            <a:avLst/>
                                          </a:prstGeom>
                                          <a:noFill/>
                                        </pic:spPr>
                                      </pic:pic>
                                    </a:graphicData>
                                  </a:graphic>
                                </wp:inline>
                              </w:drawing>
                            </w:r>
                          </w:p>
                          <w:p w14:paraId="300E1AFB" w14:textId="77777777" w:rsidR="00624A21" w:rsidRPr="00A45218" w:rsidRDefault="00624A21" w:rsidP="00624A21">
                            <w:pPr>
                              <w:pStyle w:val="FigureLegendMain"/>
                              <w:rPr>
                                <w:sz w:val="15"/>
                                <w:szCs w:val="15"/>
                              </w:rPr>
                            </w:pPr>
                            <w:r w:rsidRPr="00A45218">
                              <w:rPr>
                                <w:rStyle w:val="FigureLegendTitleTegn"/>
                                <w:sz w:val="15"/>
                                <w:szCs w:val="15"/>
                              </w:rPr>
                              <w:t>Figure 3: Experimental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p>
                          <w:p w14:paraId="5DBD8F32" w14:textId="77777777" w:rsidR="00624A21" w:rsidRDefault="00624A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C97E3" id="_x0000_s1029" type="#_x0000_t202" style="position:absolute;left:0;text-align:left;margin-left:470.45pt;margin-top:50.45pt;width:521.65pt;height:276.7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">
                <v:textbox>
                  <w:txbxContent>
                    <w:p w14:paraId="53A03625" w14:textId="7C2976C0" w:rsidR="00624A21" w:rsidRDefault="00624A21">
                      <w:r>
                        <w:rPr>
                          <w:noProof/>
                        </w:rPr>
                        <w:drawing>
                          <wp:inline distT="0" distB="0" distL="0" distR="0" wp14:anchorId="62740F99" wp14:editId="1259789B">
                            <wp:extent cx="6499378" cy="3112748"/>
                            <wp:effectExtent l="0" t="0" r="0" b="0"/>
                            <wp:docPr id="53" name="Grafik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580" cy="3123381"/>
                                    </a:xfrm>
                                    <a:prstGeom prst="rect">
                                      <a:avLst/>
                                    </a:prstGeom>
                                    <a:noFill/>
                                  </pic:spPr>
                                </pic:pic>
                              </a:graphicData>
                            </a:graphic>
                          </wp:inline>
                        </w:drawing>
                      </w:r>
                    </w:p>
                    <w:p w14:paraId="300E1AFB" w14:textId="77777777" w:rsidR="00624A21" w:rsidRPr="00A45218" w:rsidRDefault="00624A21" w:rsidP="00624A21">
                      <w:pPr>
                        <w:pStyle w:val="FigureLegendMain"/>
                        <w:rPr>
                          <w:sz w:val="15"/>
                          <w:szCs w:val="15"/>
                        </w:rPr>
                      </w:pPr>
                      <w:r w:rsidRPr="00A45218">
                        <w:rPr>
                          <w:rStyle w:val="FigureLegendTitleTegn"/>
                          <w:sz w:val="15"/>
                          <w:szCs w:val="15"/>
                        </w:rPr>
                        <w:t>Figure 3: Experimental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p>
                    <w:p w14:paraId="5DBD8F32" w14:textId="77777777" w:rsidR="00624A21" w:rsidRDefault="00624A21"/>
                  </w:txbxContent>
                </v:textbox>
                <w10:wrap type="square" anchorx="margin"/>
              </v:shape>
            </w:pict>
          </mc:Fallback>
        </mc:AlternateContent>
      </w:r>
      <w:r w:rsidR="00624A21" w:rsidRPr="00A45218">
        <w:rPr>
          <w:szCs w:val="15"/>
        </w:rPr>
        <w:t>The tests take place in a controlled laboratory environment on the computer (distance from the</w:t>
      </w:r>
      <w:r w:rsidRPr="00A45218">
        <w:rPr>
          <w:szCs w:val="15"/>
        </w:rPr>
        <w:t xml:space="preserve"> </w:t>
      </w:r>
      <w:r w:rsidR="00624A21" w:rsidRPr="00A45218">
        <w:rPr>
          <w:szCs w:val="15"/>
        </w:rPr>
        <w:t>to the screen: approx. 60 cm) in the presence of a test administration.</w:t>
      </w:r>
      <w:r w:rsidRPr="00A45218">
        <w:rPr>
          <w:szCs w:val="15"/>
        </w:rPr>
        <w:t xml:space="preserve"> </w:t>
      </w:r>
      <w:r w:rsidR="00624A21" w:rsidRPr="00A45218">
        <w:rPr>
          <w:szCs w:val="15"/>
        </w:rPr>
        <w:t>At the beginning of the experiment, the test subjects are first informed by the experiment administration orally and in writing about the aim and procedure of the experiment, possible</w:t>
      </w:r>
      <w:r w:rsidRPr="00A45218">
        <w:rPr>
          <w:szCs w:val="15"/>
        </w:rPr>
        <w:t xml:space="preserve"> </w:t>
      </w:r>
      <w:r w:rsidR="00624A21" w:rsidRPr="00A45218">
        <w:rPr>
          <w:szCs w:val="15"/>
        </w:rPr>
        <w:t xml:space="preserve">risks, their rights as participants in </w:t>
      </w:r>
      <w:r w:rsidR="00624A21" w:rsidRPr="00A45218">
        <w:rPr>
          <w:szCs w:val="15"/>
        </w:rPr>
        <w:t>the experiment as well as all aspects of data protection</w:t>
      </w:r>
      <w:r w:rsidRPr="00A45218">
        <w:rPr>
          <w:szCs w:val="15"/>
        </w:rPr>
        <w:t xml:space="preserve"> </w:t>
      </w:r>
      <w:r w:rsidR="00624A21" w:rsidRPr="00A45218">
        <w:rPr>
          <w:szCs w:val="15"/>
        </w:rPr>
        <w:t xml:space="preserve">aspects of participation and then asked for their consent to take part in the experiment.to participate in the trial. As all test subjects are patients of the UKSH, their demographic data, such as age and gender, as well as any existing psychological and </w:t>
      </w:r>
      <w:r w:rsidRPr="00A45218">
        <w:rPr>
          <w:szCs w:val="15"/>
        </w:rPr>
        <w:t xml:space="preserve">medical </w:t>
      </w:r>
      <w:r w:rsidR="00624A21" w:rsidRPr="00A45218">
        <w:rPr>
          <w:szCs w:val="15"/>
        </w:rPr>
        <w:t xml:space="preserve">factors and their medical history have been recorded in </w:t>
      </w:r>
      <w:r w:rsidRPr="00A45218">
        <w:rPr>
          <w:szCs w:val="15"/>
        </w:rPr>
        <w:t>advance. Before</w:t>
      </w:r>
      <w:r w:rsidR="00624A21" w:rsidRPr="00A45218">
        <w:rPr>
          <w:szCs w:val="15"/>
        </w:rPr>
        <w:t xml:space="preserve"> the start of the experiment, only two clinical hearing tests are carried </w:t>
      </w:r>
      <w:proofErr w:type="gramStart"/>
      <w:r w:rsidR="00624A21" w:rsidRPr="00A45218">
        <w:rPr>
          <w:szCs w:val="15"/>
        </w:rPr>
        <w:t>out(</w:t>
      </w:r>
      <w:proofErr w:type="gramEnd"/>
      <w:r w:rsidR="00624A21" w:rsidRPr="00A45218">
        <w:rPr>
          <w:szCs w:val="15"/>
        </w:rPr>
        <w:t>Pure Tone Threshold (PTT) test and Masked Threshold (MT) test, 250 Hz - 8 kHz;</w:t>
      </w:r>
      <w:r w:rsidRPr="00A45218">
        <w:rPr>
          <w:szCs w:val="15"/>
        </w:rPr>
        <w:t xml:space="preserve"> M</w:t>
      </w:r>
      <w:r w:rsidR="00624A21" w:rsidRPr="00A45218">
        <w:rPr>
          <w:szCs w:val="15"/>
        </w:rPr>
        <w:t>anufacturer: Mimi Hearing Technologies GmbH, Berlin, Germany) and the severity of depressive symptoms by the Beck Depression Inventory II (Beck, Steer &amp; Brown,1996).</w:t>
      </w:r>
      <w:r w:rsidRPr="00A45218">
        <w:rPr>
          <w:szCs w:val="15"/>
        </w:rPr>
        <w:t xml:space="preserve"> </w:t>
      </w:r>
      <w:r w:rsidR="00624A21" w:rsidRPr="00A45218">
        <w:rPr>
          <w:szCs w:val="15"/>
        </w:rPr>
        <w:t>At the beginning of the experiment, the maximum strength of the subject is first</w:t>
      </w:r>
      <w:r w:rsidRPr="00A45218">
        <w:rPr>
          <w:szCs w:val="15"/>
        </w:rPr>
        <w:t xml:space="preserve"> </w:t>
      </w:r>
      <w:r w:rsidR="00624A21" w:rsidRPr="00A45218">
        <w:rPr>
          <w:szCs w:val="15"/>
        </w:rPr>
        <w:t>by asking the subject to exert as much force as possible on the force sensor in three intervals of 1 s each.</w:t>
      </w:r>
      <w:r w:rsidRPr="00A45218">
        <w:rPr>
          <w:szCs w:val="15"/>
        </w:rPr>
        <w:t xml:space="preserve"> O</w:t>
      </w:r>
      <w:r w:rsidR="00624A21" w:rsidRPr="00A45218">
        <w:rPr>
          <w:szCs w:val="15"/>
        </w:rPr>
        <w:t>n the force sensor held in the right hand between the thumb and forefinger</w:t>
      </w:r>
      <w:r w:rsidRPr="00A45218">
        <w:rPr>
          <w:szCs w:val="15"/>
        </w:rPr>
        <w:t xml:space="preserve"> a</w:t>
      </w:r>
      <w:r w:rsidR="00624A21" w:rsidRPr="00A45218">
        <w:rPr>
          <w:szCs w:val="15"/>
        </w:rPr>
        <w:t>nd index finger. The maximum force is defined as the average value of the</w:t>
      </w:r>
      <w:r w:rsidRPr="00A45218">
        <w:rPr>
          <w:szCs w:val="15"/>
        </w:rPr>
        <w:t xml:space="preserve"> </w:t>
      </w:r>
      <w:r w:rsidR="00624A21" w:rsidRPr="00A45218">
        <w:rPr>
          <w:szCs w:val="15"/>
        </w:rPr>
        <w:t>measured within the three intervals and serves as a reference for the scaling of the force values</w:t>
      </w:r>
      <w:r w:rsidRPr="00A45218">
        <w:rPr>
          <w:szCs w:val="15"/>
        </w:rPr>
        <w:t xml:space="preserve"> </w:t>
      </w:r>
      <w:r w:rsidR="00624A21" w:rsidRPr="00A45218">
        <w:rPr>
          <w:szCs w:val="15"/>
        </w:rPr>
        <w:t xml:space="preserve">the force to be applied in the experiment to move the beam (see </w:t>
      </w:r>
      <w:proofErr w:type="spellStart"/>
      <w:r w:rsidR="00624A21" w:rsidRPr="00A45218">
        <w:rPr>
          <w:szCs w:val="15"/>
        </w:rPr>
        <w:t>SoF</w:t>
      </w:r>
      <w:proofErr w:type="spellEnd"/>
      <w:r w:rsidR="00624A21" w:rsidRPr="00A45218">
        <w:rPr>
          <w:szCs w:val="15"/>
        </w:rPr>
        <w:t xml:space="preserve"> in </w:t>
      </w:r>
      <w:proofErr w:type="spellStart"/>
      <w:r w:rsidR="00624A21" w:rsidRPr="00A45218">
        <w:rPr>
          <w:szCs w:val="15"/>
        </w:rPr>
        <w:t>theIndependent</w:t>
      </w:r>
      <w:proofErr w:type="spellEnd"/>
      <w:r w:rsidR="00624A21" w:rsidRPr="00A45218">
        <w:rPr>
          <w:szCs w:val="15"/>
        </w:rPr>
        <w:t xml:space="preserve"> Variables section).The experiment consists of a training block and three subsequent</w:t>
      </w:r>
      <w:r w:rsidRPr="00A45218">
        <w:rPr>
          <w:szCs w:val="15"/>
        </w:rPr>
        <w:t xml:space="preserve"> </w:t>
      </w:r>
      <w:r w:rsidR="00624A21" w:rsidRPr="00A45218">
        <w:rPr>
          <w:szCs w:val="15"/>
        </w:rPr>
        <w:t>blocks, between which the subject has the opportunity to take a short break (see Figure 4).(see Figure 4).In the training block, the task is first trained in each of the three feedback</w:t>
      </w:r>
      <w:r w:rsidRPr="00A45218">
        <w:rPr>
          <w:szCs w:val="15"/>
        </w:rPr>
        <w:t xml:space="preserve"> </w:t>
      </w:r>
      <w:r w:rsidR="00624A21" w:rsidRPr="00A45218">
        <w:rPr>
          <w:szCs w:val="15"/>
        </w:rPr>
        <w:t>conditions in five trials each, and the subject can repeat the training if necessary.</w:t>
      </w:r>
      <w:r w:rsidRPr="00A45218">
        <w:rPr>
          <w:szCs w:val="15"/>
        </w:rPr>
        <w:t xml:space="preserve"> C</w:t>
      </w:r>
      <w:r w:rsidR="00624A21" w:rsidRPr="00A45218">
        <w:rPr>
          <w:szCs w:val="15"/>
        </w:rPr>
        <w:t>an repeat the training if necessary. The trials from the training and from the</w:t>
      </w:r>
      <w:r w:rsidRPr="00A45218">
        <w:rPr>
          <w:szCs w:val="15"/>
        </w:rPr>
        <w:t xml:space="preserve"> </w:t>
      </w:r>
      <w:r w:rsidR="00624A21" w:rsidRPr="00A45218">
        <w:rPr>
          <w:szCs w:val="15"/>
        </w:rPr>
        <w:t>passive main block 3 are not included in the data analysis and are therefore</w:t>
      </w:r>
      <w:r w:rsidRPr="00A45218">
        <w:rPr>
          <w:szCs w:val="15"/>
        </w:rPr>
        <w:t xml:space="preserve"> </w:t>
      </w:r>
      <w:r w:rsidR="00624A21" w:rsidRPr="00A45218">
        <w:rPr>
          <w:szCs w:val="15"/>
        </w:rPr>
        <w:t>colored in light gray.</w:t>
      </w:r>
      <w:r w:rsidRPr="00A45218">
        <w:rPr>
          <w:szCs w:val="15"/>
        </w:rPr>
        <w:t xml:space="preserve"> </w:t>
      </w:r>
      <w:r w:rsidR="00624A21" w:rsidRPr="00A45218">
        <w:rPr>
          <w:szCs w:val="15"/>
        </w:rPr>
        <w:t xml:space="preserve">The subsequent main blocks, on the other hand, comprise 40 randomized trials each </w:t>
      </w:r>
      <w:proofErr w:type="spellStart"/>
      <w:r w:rsidR="00624A21" w:rsidRPr="00A45218">
        <w:rPr>
          <w:szCs w:val="15"/>
        </w:rPr>
        <w:t>fromt</w:t>
      </w:r>
      <w:proofErr w:type="spellEnd"/>
      <w:r w:rsidRPr="00A45218">
        <w:rPr>
          <w:szCs w:val="15"/>
        </w:rPr>
        <w:t xml:space="preserve"> </w:t>
      </w:r>
      <w:r w:rsidR="00624A21" w:rsidRPr="00A45218">
        <w:rPr>
          <w:szCs w:val="15"/>
        </w:rPr>
        <w:t>he three feedback conditions, whereas only in the first two main blocks the tasks are actively</w:t>
      </w:r>
      <w:r w:rsidRPr="00A45218">
        <w:rPr>
          <w:szCs w:val="15"/>
        </w:rPr>
        <w:t xml:space="preserve"> </w:t>
      </w:r>
      <w:proofErr w:type="gramStart"/>
      <w:r w:rsidR="00624A21" w:rsidRPr="00A45218">
        <w:rPr>
          <w:szCs w:val="15"/>
        </w:rPr>
        <w:t>have</w:t>
      </w:r>
      <w:proofErr w:type="gramEnd"/>
      <w:r w:rsidR="00624A21" w:rsidRPr="00A45218">
        <w:rPr>
          <w:szCs w:val="15"/>
        </w:rPr>
        <w:t xml:space="preserve"> to be actively processed with the help of the force sensor. The subjects are tested </w:t>
      </w:r>
      <w:r w:rsidRPr="00A45218">
        <w:rPr>
          <w:szCs w:val="15"/>
        </w:rPr>
        <w:t>before</w:t>
      </w:r>
      <w:r w:rsidR="00624A21" w:rsidRPr="00A45218">
        <w:rPr>
          <w:szCs w:val="15"/>
        </w:rPr>
        <w:t xml:space="preserve"> each of these two "active" blocks, the subjects are asked to reach a target as quickly as possible using the force sensor in their right hand.</w:t>
      </w:r>
      <w:r w:rsidRPr="00A45218">
        <w:rPr>
          <w:szCs w:val="15"/>
        </w:rPr>
        <w:t xml:space="preserve"> T</w:t>
      </w:r>
      <w:r w:rsidR="00624A21" w:rsidRPr="00A45218">
        <w:rPr>
          <w:szCs w:val="15"/>
        </w:rPr>
        <w:t>he force sensor in their right hand. In the last of the three main blocks, however</w:t>
      </w:r>
      <w:r w:rsidRPr="00A45218">
        <w:rPr>
          <w:szCs w:val="15"/>
        </w:rPr>
        <w:t xml:space="preserve"> </w:t>
      </w:r>
      <w:r w:rsidR="00624A21" w:rsidRPr="00A45218">
        <w:rPr>
          <w:szCs w:val="15"/>
        </w:rPr>
        <w:t>the subject is instructed not to use the force sensor and instead to use only the</w:t>
      </w:r>
      <w:r w:rsidRPr="00A45218">
        <w:rPr>
          <w:szCs w:val="15"/>
        </w:rPr>
        <w:t xml:space="preserve"> passively follow the tasks. Accordingly, the sequence of the blocks is not randomized, the passive condition is always the last to be processed and serves as a baseline for the recording of pupillometry data. The processing time for each of the main blocks is approximately 6.5 minutes. At the beginning of each trial, a written cue is first displayed for 1 s indicating the nature of the task is displayed, either "auditory only" for the </w:t>
      </w:r>
      <w:proofErr w:type="spellStart"/>
      <w:r w:rsidRPr="00A45218">
        <w:rPr>
          <w:szCs w:val="15"/>
        </w:rPr>
        <w:t>unisensory</w:t>
      </w:r>
      <w:proofErr w:type="spellEnd"/>
      <w:r w:rsidRPr="00A45218">
        <w:rPr>
          <w:szCs w:val="15"/>
        </w:rPr>
        <w:t xml:space="preserve">-auditory feedback Condition </w:t>
      </w:r>
      <w:proofErr w:type="spellStart"/>
      <w:r w:rsidRPr="00A45218">
        <w:rPr>
          <w:szCs w:val="15"/>
        </w:rPr>
        <w:t>ao</w:t>
      </w:r>
      <w:proofErr w:type="spellEnd"/>
      <w:r w:rsidRPr="00A45218">
        <w:rPr>
          <w:szCs w:val="15"/>
        </w:rPr>
        <w:t xml:space="preserve">, in which the only cue to the proximity of the bar to the target is a changing "visual only" for the </w:t>
      </w:r>
      <w:proofErr w:type="spellStart"/>
      <w:r w:rsidRPr="00A45218">
        <w:rPr>
          <w:szCs w:val="15"/>
        </w:rPr>
        <w:t>vo</w:t>
      </w:r>
      <w:proofErr w:type="spellEnd"/>
      <w:r w:rsidRPr="00A45218">
        <w:rPr>
          <w:szCs w:val="15"/>
        </w:rPr>
        <w:t xml:space="preserve"> condition, in which the bar and the target are shown on the screen but no  are shown on the screen but no sound is heard, and "auditory &amp; visual" for the multisensory the multisensory feedback condition av (see Figure 5). The cue as well as all stimuli described in the following are presented against a gray background (hex color code: #808080).</w:t>
      </w:r>
      <w:r w:rsidR="00593820">
        <w:rPr>
          <w:szCs w:val="15"/>
        </w:rPr>
        <w:t xml:space="preserve"> </w:t>
      </w:r>
      <w:r w:rsidRPr="00A45218">
        <w:rPr>
          <w:szCs w:val="15"/>
        </w:rPr>
        <w:t xml:space="preserve">In each trial, the cue is first followed by a rest period of variable </w:t>
      </w:r>
      <w:proofErr w:type="gramStart"/>
      <w:r w:rsidRPr="00A45218">
        <w:rPr>
          <w:szCs w:val="15"/>
        </w:rPr>
        <w:t>length(</w:t>
      </w:r>
      <w:proofErr w:type="gramEnd"/>
      <w:r w:rsidRPr="00A45218">
        <w:rPr>
          <w:szCs w:val="15"/>
        </w:rPr>
        <w:t xml:space="preserve">Range: 1 - 1.5 s; see Figure 5), during which a blank, black screen is shown. Subsequently, the subject is shown a fixation cross on a gray background centered in the middle of the screen is presented (hex color code: #000000; see Fig.5), which the subject is asked to fixate with his gaze. The presentation duration of the fixation cross varies between 1.5 and 2.5 s. In the subsequent Force phase, as in the experiment of Archer </w:t>
      </w:r>
      <w:proofErr w:type="gramStart"/>
      <w:r w:rsidRPr="00A45218">
        <w:rPr>
          <w:szCs w:val="15"/>
        </w:rPr>
        <w:t>et al.(</w:t>
      </w:r>
      <w:proofErr w:type="gramEnd"/>
      <w:r w:rsidRPr="00A45218">
        <w:rPr>
          <w:szCs w:val="15"/>
        </w:rPr>
        <w:t xml:space="preserve">2018), the subject's task is to move to a target area as quickly as possible using the force sensor </w:t>
      </w:r>
      <w:r w:rsidRPr="00A45218">
        <w:rPr>
          <w:szCs w:val="15"/>
        </w:rPr>
        <w:lastRenderedPageBreak/>
        <w:t xml:space="preserve">in his or her hand as quickly as possible and to hold the position there until the force phase ends. Phase ends. Unlike in the original study, however, the force phase ends after only 6 sin order to obtain more trials for the same total duration of the experiment. In this way a better signal-to-noise ratio can be obtained for the EEG data analysis. The target area is centered horizontally and vertically on the computer monitor marked by a white bar (height: 27.522° visual angle, width: 0.997° visual angle, Hex color code: #ffffff). If a visual stimulus serves as a cue to the set position (in the feedback-conditions </w:t>
      </w:r>
      <w:proofErr w:type="spellStart"/>
      <w:r w:rsidRPr="00A45218">
        <w:rPr>
          <w:szCs w:val="15"/>
        </w:rPr>
        <w:t>vo</w:t>
      </w:r>
      <w:proofErr w:type="spellEnd"/>
      <w:r w:rsidRPr="00A45218">
        <w:rPr>
          <w:szCs w:val="15"/>
        </w:rPr>
        <w:t xml:space="preserve"> and av; see Figure 5, left and right), the subject is presented with an additional is shown another red bar in addition to the white target area (height: 27.522°visual angle, width: 0.997° visual angle, hex color code: #732626), which the test person can the force sensor to move it horizontally in order to move to the target area. Target. How strongly the bar responds to the pressure applied to the force sensor, is varied from trial to trial (see UV </w:t>
      </w:r>
      <w:proofErr w:type="spellStart"/>
      <w:r w:rsidRPr="00A45218">
        <w:rPr>
          <w:szCs w:val="15"/>
        </w:rPr>
        <w:t>SoF</w:t>
      </w:r>
      <w:proofErr w:type="spellEnd"/>
      <w:r w:rsidRPr="00A45218">
        <w:rPr>
          <w:szCs w:val="15"/>
        </w:rPr>
        <w:t xml:space="preserve"> in the independent variables section</w:t>
      </w:r>
      <w:proofErr w:type="gramStart"/>
      <w:r w:rsidRPr="00A45218">
        <w:rPr>
          <w:szCs w:val="15"/>
        </w:rPr>
        <w:t>).In</w:t>
      </w:r>
      <w:proofErr w:type="gramEnd"/>
      <w:r w:rsidRPr="00A45218">
        <w:rPr>
          <w:szCs w:val="15"/>
        </w:rPr>
        <w:t xml:space="preserve"> trials with auditory cue stimulus (feedback conditions </w:t>
      </w:r>
      <w:proofErr w:type="spellStart"/>
      <w:r w:rsidRPr="00A45218">
        <w:rPr>
          <w:szCs w:val="15"/>
        </w:rPr>
        <w:t>ao</w:t>
      </w:r>
      <w:proofErr w:type="spellEnd"/>
      <w:r w:rsidRPr="00A45218">
        <w:rPr>
          <w:szCs w:val="15"/>
        </w:rPr>
        <w:t xml:space="preserve"> and av, cf. Figure 5 middle), the distance to the target area is signaled by a changing tone signaled (frequency between 440 and 660 Hz). The volume was set before the experiment calibrated to a comfortable volume for the subjects before the experiment.</w:t>
      </w:r>
    </w:p>
    <w:p w14:paraId="174CC80D" w14:textId="4B008D97" w:rsidR="00F8107A" w:rsidRDefault="00847704" w:rsidP="00A45218">
      <w:pPr>
        <w:pStyle w:val="MethodsText"/>
      </w:pPr>
      <w:r w:rsidRPr="00847704">
        <w:rPr>
          <w:noProof/>
          <w:lang w:val="da-DK"/>
        </w:rPr>
        <w:t xml:space="preserve"> </w:t>
      </w:r>
    </w:p>
    <w:p w14:paraId="4FA284B3" w14:textId="77777777" w:rsidR="00F8107A" w:rsidRDefault="00F8107A" w:rsidP="00A64E69">
      <w:pPr>
        <w:pStyle w:val="MainText"/>
      </w:pPr>
    </w:p>
    <w:p w14:paraId="53B1697B" w14:textId="77777777" w:rsidR="006B1A86" w:rsidRPr="006B1A86" w:rsidRDefault="00F8107A" w:rsidP="006B1A86">
      <w:pPr>
        <w:pStyle w:val="EndNoteBibliography"/>
        <w:rPr>
          <w:noProof/>
        </w:rPr>
      </w:pPr>
      <w:r>
        <w:fldChar w:fldCharType="begin"/>
      </w:r>
      <w:r w:rsidRPr="009208BA">
        <w:instrText xml:space="preserve"> ADDIN EN.REFLIST </w:instrText>
      </w:r>
      <w:r>
        <w:fldChar w:fldCharType="separate"/>
      </w:r>
      <w:r w:rsidR="006B1A86" w:rsidRPr="006B1A86">
        <w:rPr>
          <w:noProof/>
        </w:rPr>
        <w:t xml:space="preserve">Archer, D. B., S. A. Coombes, W. T. Chu, J. W. Chung, R. G. Burciu, M. S. Okun, A. Wagle Shukla and D. E. Vaillancourt (2017). "A widespread visually-sensitive functional network relates to symptoms in essential tremor." </w:t>
      </w:r>
      <w:r w:rsidR="006B1A86" w:rsidRPr="006B1A86">
        <w:rPr>
          <w:noProof/>
          <w:u w:val="single"/>
        </w:rPr>
        <w:t>Brain</w:t>
      </w:r>
      <w:r w:rsidR="006B1A86" w:rsidRPr="006B1A86">
        <w:rPr>
          <w:noProof/>
        </w:rPr>
        <w:t>.</w:t>
      </w:r>
    </w:p>
    <w:p w14:paraId="5F863A26" w14:textId="77777777" w:rsidR="006B1A86" w:rsidRPr="006B1A86" w:rsidRDefault="006B1A86" w:rsidP="006B1A86">
      <w:pPr>
        <w:pStyle w:val="EndNoteBibliography"/>
        <w:rPr>
          <w:noProof/>
        </w:rPr>
      </w:pPr>
      <w:r w:rsidRPr="006B1A86">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6B1A86">
        <w:rPr>
          <w:noProof/>
          <w:u w:val="single"/>
        </w:rPr>
        <w:t>Movement Disorders</w:t>
      </w:r>
      <w:r w:rsidRPr="006B1A86">
        <w:rPr>
          <w:noProof/>
        </w:rPr>
        <w:t>.</w:t>
      </w:r>
    </w:p>
    <w:p w14:paraId="10521946" w14:textId="77777777" w:rsidR="006B1A86" w:rsidRPr="006B1A86" w:rsidRDefault="006B1A86" w:rsidP="006B1A86">
      <w:pPr>
        <w:pStyle w:val="EndNoteBibliography"/>
        <w:rPr>
          <w:noProof/>
        </w:rPr>
      </w:pPr>
      <w:r w:rsidRPr="006B1A86">
        <w:rPr>
          <w:noProof/>
        </w:rPr>
        <w:t xml:space="preserve">Dirkx, M. F., H. Zach, A. J. van Nuland, B. R. Bloem, I. Toni and R. C. Helmich (2020). "Cognitive load amplifies Parkinson’s tremor through excitatory network influences onto the thalamus." </w:t>
      </w:r>
      <w:r w:rsidRPr="006B1A86">
        <w:rPr>
          <w:noProof/>
          <w:u w:val="single"/>
        </w:rPr>
        <w:t>Brain</w:t>
      </w:r>
      <w:r w:rsidRPr="006B1A86">
        <w:rPr>
          <w:noProof/>
        </w:rPr>
        <w:t>.</w:t>
      </w:r>
    </w:p>
    <w:p w14:paraId="6F051C1E" w14:textId="77777777" w:rsidR="006B1A86" w:rsidRPr="006B1A86" w:rsidRDefault="006B1A86" w:rsidP="006B1A86">
      <w:pPr>
        <w:pStyle w:val="EndNoteBibliography"/>
        <w:rPr>
          <w:noProof/>
        </w:rPr>
      </w:pPr>
      <w:r w:rsidRPr="006B1A86">
        <w:rPr>
          <w:noProof/>
        </w:rPr>
        <w:t xml:space="preserve">Feys, P., W. Helsen, M. Buekers, T. Ceux, E. Heremans, B. Nuttin, P. Ketelaer and X. Liu (2006). "The effect of changed visual feedback on intention tremor in multiple sclerosis." </w:t>
      </w:r>
      <w:r w:rsidRPr="006B1A86">
        <w:rPr>
          <w:noProof/>
          <w:u w:val="single"/>
        </w:rPr>
        <w:t>Neuroscience letters</w:t>
      </w:r>
      <w:r w:rsidRPr="006B1A86">
        <w:rPr>
          <w:noProof/>
        </w:rPr>
        <w:t xml:space="preserve"> </w:t>
      </w:r>
      <w:r w:rsidRPr="006B1A86">
        <w:rPr>
          <w:b/>
          <w:noProof/>
        </w:rPr>
        <w:t>394</w:t>
      </w:r>
      <w:r w:rsidRPr="006B1A86">
        <w:rPr>
          <w:noProof/>
        </w:rPr>
        <w:t>(1): 17-21.</w:t>
      </w:r>
    </w:p>
    <w:p w14:paraId="697CFF78" w14:textId="77777777" w:rsidR="006B1A86" w:rsidRPr="006B1A86" w:rsidRDefault="006B1A86" w:rsidP="006B1A86">
      <w:pPr>
        <w:pStyle w:val="EndNoteBibliography"/>
        <w:rPr>
          <w:noProof/>
        </w:rPr>
      </w:pPr>
      <w:r w:rsidRPr="006B1A86">
        <w:rPr>
          <w:noProof/>
        </w:rPr>
        <w:t xml:space="preserve">Gironell, A., R. Ribosa-Nogue and J. Pagonabarraga (2012). "Withdrawal of visual feedback in essential tremor." </w:t>
      </w:r>
      <w:r w:rsidRPr="006B1A86">
        <w:rPr>
          <w:noProof/>
          <w:u w:val="single"/>
        </w:rPr>
        <w:t>Parkinsonism Relat Disord</w:t>
      </w:r>
      <w:r w:rsidRPr="006B1A86">
        <w:rPr>
          <w:noProof/>
        </w:rPr>
        <w:t xml:space="preserve"> </w:t>
      </w:r>
      <w:r w:rsidRPr="006B1A86">
        <w:rPr>
          <w:b/>
          <w:noProof/>
        </w:rPr>
        <w:t>18</w:t>
      </w:r>
      <w:r w:rsidRPr="006B1A86">
        <w:rPr>
          <w:noProof/>
        </w:rPr>
        <w:t>(4): 402-403; author reply 404.</w:t>
      </w:r>
    </w:p>
    <w:p w14:paraId="6FA72890" w14:textId="77777777" w:rsidR="006B1A86" w:rsidRPr="006B1A86" w:rsidRDefault="006B1A86" w:rsidP="006B1A86">
      <w:pPr>
        <w:pStyle w:val="EndNoteBibliography"/>
        <w:rPr>
          <w:noProof/>
        </w:rPr>
      </w:pPr>
      <w:r w:rsidRPr="006B1A86">
        <w:rPr>
          <w:noProof/>
        </w:rPr>
        <w:t xml:space="preserve">Helmich, R. C., I. Toni, G. Deuschl and B. R. Bloem (2013). "The pathophysiology of essential tremor and Parkinson's tremor." </w:t>
      </w:r>
      <w:r w:rsidRPr="006B1A86">
        <w:rPr>
          <w:noProof/>
          <w:u w:val="single"/>
        </w:rPr>
        <w:t>Curr Neurol Neurosci Rep</w:t>
      </w:r>
      <w:r w:rsidRPr="006B1A86">
        <w:rPr>
          <w:noProof/>
        </w:rPr>
        <w:t xml:space="preserve"> </w:t>
      </w:r>
      <w:r w:rsidRPr="006B1A86">
        <w:rPr>
          <w:b/>
          <w:noProof/>
        </w:rPr>
        <w:t>13</w:t>
      </w:r>
      <w:r w:rsidRPr="006B1A86">
        <w:rPr>
          <w:noProof/>
        </w:rPr>
        <w:t>(9): 378.</w:t>
      </w:r>
    </w:p>
    <w:p w14:paraId="03C7E1C5" w14:textId="77777777" w:rsidR="006B1A86" w:rsidRPr="006B1A86" w:rsidRDefault="006B1A86" w:rsidP="006B1A86">
      <w:pPr>
        <w:pStyle w:val="EndNoteBibliography"/>
        <w:rPr>
          <w:noProof/>
        </w:rPr>
      </w:pPr>
      <w:r w:rsidRPr="006B1A86">
        <w:rPr>
          <w:noProof/>
        </w:rPr>
        <w:t xml:space="preserve">Keogh, J., S. Morrison and R. Barrett (2004). "Augmented visual feedback increases finger tremor during postural pointing." </w:t>
      </w:r>
      <w:r w:rsidRPr="006B1A86">
        <w:rPr>
          <w:noProof/>
          <w:u w:val="single"/>
        </w:rPr>
        <w:t>Experimental brain research</w:t>
      </w:r>
      <w:r w:rsidRPr="006B1A86">
        <w:rPr>
          <w:noProof/>
        </w:rPr>
        <w:t xml:space="preserve"> </w:t>
      </w:r>
      <w:r w:rsidRPr="006B1A86">
        <w:rPr>
          <w:b/>
          <w:noProof/>
        </w:rPr>
        <w:t>159</w:t>
      </w:r>
      <w:r w:rsidRPr="006B1A86">
        <w:rPr>
          <w:noProof/>
        </w:rPr>
        <w:t>(4): 467-477.</w:t>
      </w:r>
    </w:p>
    <w:p w14:paraId="7549D132" w14:textId="77777777" w:rsidR="006B1A86" w:rsidRPr="006B1A86" w:rsidRDefault="006B1A86" w:rsidP="006B1A86">
      <w:pPr>
        <w:pStyle w:val="EndNoteBibliography"/>
        <w:rPr>
          <w:noProof/>
        </w:rPr>
      </w:pPr>
      <w:r w:rsidRPr="006B1A86">
        <w:rPr>
          <w:noProof/>
        </w:rPr>
        <w:t xml:space="preserve">Pedrosa, D. J., P. Brown, H. Cagnan, V. Visser-Vandewalle, J. Wirths, L. Timmermann and J.-S. Brittain (2018). "A functional micro-electrode mapping of ventral thalamus in essential tremor." </w:t>
      </w:r>
      <w:r w:rsidRPr="006B1A86">
        <w:rPr>
          <w:noProof/>
          <w:u w:val="single"/>
        </w:rPr>
        <w:t>Brain</w:t>
      </w:r>
      <w:r w:rsidRPr="006B1A86">
        <w:rPr>
          <w:noProof/>
        </w:rPr>
        <w:t xml:space="preserve"> </w:t>
      </w:r>
      <w:r w:rsidRPr="006B1A86">
        <w:rPr>
          <w:b/>
          <w:noProof/>
        </w:rPr>
        <w:t>141</w:t>
      </w:r>
      <w:r w:rsidRPr="006B1A86">
        <w:rPr>
          <w:noProof/>
        </w:rPr>
        <w:t>(9): 2644-2654.</w:t>
      </w:r>
    </w:p>
    <w:p w14:paraId="24F0F411" w14:textId="77777777" w:rsidR="006B1A86" w:rsidRPr="006B1A86" w:rsidRDefault="006B1A86" w:rsidP="006B1A86">
      <w:pPr>
        <w:pStyle w:val="EndNoteBibliography"/>
        <w:rPr>
          <w:noProof/>
        </w:rPr>
      </w:pPr>
      <w:r w:rsidRPr="006B1A86">
        <w:rPr>
          <w:noProof/>
        </w:rPr>
        <w:t xml:space="preserve">Popović Maneski, L., N. Jorgovanović, V. Ilić, S. Došen, T. Keller, M. B. Popović and D. B. Popović (2011). "Electrical stimulation for the suppression of pathological tremor." </w:t>
      </w:r>
      <w:r w:rsidRPr="006B1A86">
        <w:rPr>
          <w:noProof/>
          <w:u w:val="single"/>
        </w:rPr>
        <w:t>Medical &amp; biological engineering &amp; computing</w:t>
      </w:r>
      <w:r w:rsidRPr="006B1A86">
        <w:rPr>
          <w:noProof/>
        </w:rPr>
        <w:t xml:space="preserve"> </w:t>
      </w:r>
      <w:r w:rsidRPr="006B1A86">
        <w:rPr>
          <w:b/>
          <w:noProof/>
        </w:rPr>
        <w:t>49</w:t>
      </w:r>
      <w:r w:rsidRPr="006B1A86">
        <w:rPr>
          <w:noProof/>
        </w:rPr>
        <w:t>(10): 1187-1193.</w:t>
      </w:r>
    </w:p>
    <w:p w14:paraId="64D1CB06" w14:textId="77777777" w:rsidR="006B1A86" w:rsidRPr="006B1A86" w:rsidRDefault="006B1A86" w:rsidP="006B1A86">
      <w:pPr>
        <w:pStyle w:val="EndNoteBibliography"/>
        <w:rPr>
          <w:noProof/>
        </w:rPr>
      </w:pPr>
      <w:r w:rsidRPr="006B1A86">
        <w:rPr>
          <w:noProof/>
        </w:rPr>
        <w:t xml:space="preserve">Prochazka, A., J. Elek and M. Javidan (1992). "Attenuation of pathological tremors by functional electrical stimulation I: Method." </w:t>
      </w:r>
      <w:r w:rsidRPr="006B1A86">
        <w:rPr>
          <w:noProof/>
          <w:u w:val="single"/>
        </w:rPr>
        <w:t>Annals of biomedical engineering</w:t>
      </w:r>
      <w:r w:rsidRPr="006B1A86">
        <w:rPr>
          <w:noProof/>
        </w:rPr>
        <w:t xml:space="preserve"> </w:t>
      </w:r>
      <w:r w:rsidRPr="006B1A86">
        <w:rPr>
          <w:b/>
          <w:noProof/>
        </w:rPr>
        <w:t>20</w:t>
      </w:r>
      <w:r w:rsidRPr="006B1A86">
        <w:rPr>
          <w:noProof/>
        </w:rPr>
        <w:t>(2): 205-224.</w:t>
      </w:r>
    </w:p>
    <w:p w14:paraId="7FAFB499" w14:textId="77777777" w:rsidR="006B1A86" w:rsidRPr="006B1A86" w:rsidRDefault="006B1A86" w:rsidP="006B1A86">
      <w:pPr>
        <w:pStyle w:val="EndNoteBibliography"/>
        <w:rPr>
          <w:noProof/>
        </w:rPr>
      </w:pPr>
      <w:r w:rsidRPr="006B1A86">
        <w:rPr>
          <w:noProof/>
        </w:rPr>
        <w:t xml:space="preserve">Reis, C., B. S. Arruda, A. Pogosyan, P. Brown and H. Cagnan (2021). "Essential tremor amplitude modulation by median nerve stimulation." </w:t>
      </w:r>
      <w:r w:rsidRPr="006B1A86">
        <w:rPr>
          <w:noProof/>
          <w:u w:val="single"/>
        </w:rPr>
        <w:t>Sci Rep</w:t>
      </w:r>
      <w:r w:rsidRPr="006B1A86">
        <w:rPr>
          <w:noProof/>
        </w:rPr>
        <w:t xml:space="preserve"> </w:t>
      </w:r>
      <w:r w:rsidRPr="006B1A86">
        <w:rPr>
          <w:b/>
          <w:noProof/>
        </w:rPr>
        <w:t>11</w:t>
      </w:r>
      <w:r w:rsidRPr="006B1A86">
        <w:rPr>
          <w:noProof/>
        </w:rPr>
        <w:t>(1): 17720.</w:t>
      </w:r>
    </w:p>
    <w:p w14:paraId="659F7CEF" w14:textId="77777777" w:rsidR="006B1A86" w:rsidRPr="006B1A86" w:rsidRDefault="006B1A86" w:rsidP="006B1A86">
      <w:pPr>
        <w:pStyle w:val="EndNoteBibliography"/>
        <w:rPr>
          <w:noProof/>
        </w:rPr>
      </w:pPr>
      <w:r w:rsidRPr="006B1A86">
        <w:rPr>
          <w:noProof/>
        </w:rPr>
        <w:t xml:space="preserve">Shukla, A. W. (2022). "Rationale and Evidence for Peripheral Nerve Stimulation for Treating Essential Tremor." </w:t>
      </w:r>
      <w:r w:rsidRPr="006B1A86">
        <w:rPr>
          <w:noProof/>
          <w:u w:val="single"/>
        </w:rPr>
        <w:t>Tremor and Other Hyperkinetic Movements</w:t>
      </w:r>
      <w:r w:rsidRPr="006B1A86">
        <w:rPr>
          <w:noProof/>
        </w:rPr>
        <w:t xml:space="preserve"> </w:t>
      </w:r>
      <w:r w:rsidRPr="006B1A86">
        <w:rPr>
          <w:b/>
          <w:noProof/>
        </w:rPr>
        <w:t>12</w:t>
      </w:r>
      <w:r w:rsidRPr="006B1A86">
        <w:rPr>
          <w:noProof/>
        </w:rPr>
        <w:t>.</w:t>
      </w:r>
    </w:p>
    <w:p w14:paraId="12DD57C5" w14:textId="10CB62F1" w:rsidR="00847704" w:rsidRDefault="00F8107A" w:rsidP="00A64E69">
      <w:pPr>
        <w:pStyle w:val="MainText"/>
      </w:pPr>
      <w:r>
        <w:fldChar w:fldCharType="end"/>
      </w:r>
    </w:p>
    <w:sectPr w:rsidR="00847704"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lius Welzel" w:date="2022-11-17T15:09:00Z" w:initials="JW">
    <w:p w14:paraId="0279E1A8" w14:textId="77777777" w:rsidR="006531CB" w:rsidRDefault="006531CB" w:rsidP="006B4DA2">
      <w:pPr>
        <w:pStyle w:val="CommentText"/>
      </w:pPr>
      <w:r>
        <w:rPr>
          <w:rStyle w:val="CommentReference"/>
        </w:rPr>
        <w:annotationRef/>
      </w:r>
      <w:r>
        <w:t>Mann Whitney U und Geschlecht</w:t>
      </w:r>
    </w:p>
  </w:comment>
  <w:comment w:id="2" w:author="Julius Welzel" w:date="2022-11-17T15:09:00Z" w:initials="JW">
    <w:p w14:paraId="28324684" w14:textId="77777777" w:rsidR="006531CB" w:rsidRDefault="006531CB" w:rsidP="00010656">
      <w:pPr>
        <w:pStyle w:val="CommentText"/>
      </w:pPr>
      <w:r>
        <w:rPr>
          <w:rStyle w:val="CommentReference"/>
        </w:rPr>
        <w:annotationRef/>
      </w:r>
      <w:r>
        <w:t>p in Tabelle, t &amp; p in text</w:t>
      </w:r>
    </w:p>
  </w:comment>
  <w:comment w:id="3" w:author="Julius Welzel" w:date="2022-11-17T15:10:00Z" w:initials="JW">
    <w:p w14:paraId="38C439E2" w14:textId="77777777" w:rsidR="006531CB" w:rsidRDefault="006531CB" w:rsidP="00B0104C">
      <w:pPr>
        <w:pStyle w:val="CommentText"/>
      </w:pPr>
      <w:r>
        <w:rPr>
          <w:rStyle w:val="CommentReference"/>
        </w:rPr>
        <w:annotationRef/>
      </w:r>
      <w:r>
        <w:t>Chi² geschelcht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79E1A8" w15:done="0"/>
  <w15:commentEx w15:paraId="28324684" w15:paraIdParent="0279E1A8" w15:done="0"/>
  <w15:commentEx w15:paraId="38C439E2" w15:paraIdParent="0279E1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0CD0C" w16cex:dateUtc="2022-11-17T14:09:00Z"/>
  <w16cex:commentExtensible w16cex:durableId="2720CD35" w16cex:dateUtc="2022-11-17T14:09:00Z"/>
  <w16cex:commentExtensible w16cex:durableId="2720CD52" w16cex:dateUtc="2022-11-17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79E1A8" w16cid:durableId="2720CD0C"/>
  <w16cid:commentId w16cid:paraId="28324684" w16cid:durableId="2720CD35"/>
  <w16cid:commentId w16cid:paraId="38C439E2" w16cid:durableId="2720C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DDBF4" w14:textId="77777777" w:rsidR="00423EFB" w:rsidRDefault="00423EFB" w:rsidP="004C08D8">
      <w:r>
        <w:separator/>
      </w:r>
    </w:p>
    <w:p w14:paraId="575BD7D6" w14:textId="77777777" w:rsidR="00423EFB" w:rsidRDefault="00423EFB" w:rsidP="004C08D8"/>
  </w:endnote>
  <w:endnote w:type="continuationSeparator" w:id="0">
    <w:p w14:paraId="74809000" w14:textId="77777777" w:rsidR="00423EFB" w:rsidRDefault="00423EFB" w:rsidP="004C08D8">
      <w:r>
        <w:continuationSeparator/>
      </w:r>
    </w:p>
    <w:p w14:paraId="03215441" w14:textId="77777777" w:rsidR="00423EFB" w:rsidRDefault="00423EFB" w:rsidP="004C08D8"/>
  </w:endnote>
  <w:endnote w:type="continuationNotice" w:id="1">
    <w:p w14:paraId="00DC1FAD" w14:textId="77777777" w:rsidR="00423EFB" w:rsidRDefault="00423E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IX Two Text">
    <w:altName w:val="Cambria"/>
    <w:panose1 w:val="00000000000000000000"/>
    <w:charset w:val="00"/>
    <w:family w:val="roman"/>
    <w:notTrueType/>
    <w:pitch w:val="variable"/>
    <w:sig w:usb0="A00002FF" w:usb1="5000205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00000000" w:usb1="40000001" w:usb2="00000008" w:usb3="00000000" w:csb0="000101FF" w:csb1="00000000"/>
  </w:font>
  <w:font w:name="STIX Two Math">
    <w:altName w:val="Cambria"/>
    <w:panose1 w:val="00000000000000000000"/>
    <w:charset w:val="00"/>
    <w:family w:val="roman"/>
    <w:notTrueType/>
    <w:pitch w:val="variable"/>
    <w:sig w:usb0="A00002FF" w:usb1="42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F3BC8" w14:textId="77777777" w:rsidR="00423EFB" w:rsidRDefault="00423EFB" w:rsidP="004C08D8">
      <w:r>
        <w:separator/>
      </w:r>
    </w:p>
    <w:p w14:paraId="14754ADD" w14:textId="77777777" w:rsidR="00423EFB" w:rsidRDefault="00423EFB" w:rsidP="004C08D8"/>
  </w:footnote>
  <w:footnote w:type="continuationSeparator" w:id="0">
    <w:p w14:paraId="286270EC" w14:textId="77777777" w:rsidR="00423EFB" w:rsidRDefault="00423EFB" w:rsidP="004C08D8">
      <w:r>
        <w:continuationSeparator/>
      </w:r>
    </w:p>
    <w:p w14:paraId="6392E493" w14:textId="77777777" w:rsidR="00423EFB" w:rsidRDefault="00423EFB" w:rsidP="004C08D8"/>
  </w:footnote>
  <w:footnote w:type="continuationNotice" w:id="1">
    <w:p w14:paraId="63D05AAA" w14:textId="77777777" w:rsidR="00423EFB" w:rsidRDefault="00423E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8"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1"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2"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1"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3"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5"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8"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0"/>
  </w:num>
  <w:num w:numId="4" w16cid:durableId="1980573842">
    <w:abstractNumId w:val="10"/>
  </w:num>
  <w:num w:numId="5" w16cid:durableId="1739010851">
    <w:abstractNumId w:val="24"/>
  </w:num>
  <w:num w:numId="6" w16cid:durableId="1712875192">
    <w:abstractNumId w:val="22"/>
  </w:num>
  <w:num w:numId="7" w16cid:durableId="1124538319">
    <w:abstractNumId w:val="21"/>
  </w:num>
  <w:num w:numId="8" w16cid:durableId="1166045316">
    <w:abstractNumId w:val="7"/>
  </w:num>
  <w:num w:numId="9" w16cid:durableId="525602344">
    <w:abstractNumId w:val="11"/>
  </w:num>
  <w:num w:numId="10" w16cid:durableId="1794135729">
    <w:abstractNumId w:val="16"/>
  </w:num>
  <w:num w:numId="11" w16cid:durableId="1922717736">
    <w:abstractNumId w:val="4"/>
  </w:num>
  <w:num w:numId="12" w16cid:durableId="459804192">
    <w:abstractNumId w:val="19"/>
  </w:num>
  <w:num w:numId="13" w16cid:durableId="1032151637">
    <w:abstractNumId w:val="28"/>
  </w:num>
  <w:num w:numId="14" w16cid:durableId="315846312">
    <w:abstractNumId w:val="13"/>
  </w:num>
  <w:num w:numId="15" w16cid:durableId="1661806675">
    <w:abstractNumId w:val="12"/>
  </w:num>
  <w:num w:numId="16" w16cid:durableId="1329409208">
    <w:abstractNumId w:val="6"/>
  </w:num>
  <w:num w:numId="17" w16cid:durableId="2138453844">
    <w:abstractNumId w:val="15"/>
  </w:num>
  <w:num w:numId="18" w16cid:durableId="1338456135">
    <w:abstractNumId w:val="9"/>
  </w:num>
  <w:num w:numId="19" w16cid:durableId="1159462915">
    <w:abstractNumId w:val="18"/>
  </w:num>
  <w:num w:numId="20" w16cid:durableId="357437060">
    <w:abstractNumId w:val="26"/>
  </w:num>
  <w:num w:numId="21" w16cid:durableId="169101999">
    <w:abstractNumId w:val="2"/>
  </w:num>
  <w:num w:numId="22" w16cid:durableId="1248004596">
    <w:abstractNumId w:val="1"/>
  </w:num>
  <w:num w:numId="23" w16cid:durableId="548764830">
    <w:abstractNumId w:val="25"/>
  </w:num>
  <w:num w:numId="24" w16cid:durableId="625165750">
    <w:abstractNumId w:val="14"/>
  </w:num>
  <w:num w:numId="25" w16cid:durableId="1583876289">
    <w:abstractNumId w:val="17"/>
  </w:num>
  <w:num w:numId="26" w16cid:durableId="705252101">
    <w:abstractNumId w:val="23"/>
  </w:num>
  <w:num w:numId="27" w16cid:durableId="600338832">
    <w:abstractNumId w:val="27"/>
  </w:num>
  <w:num w:numId="28" w16cid:durableId="1019818417">
    <w:abstractNumId w:val="8"/>
  </w:num>
  <w:num w:numId="29" w16cid:durableId="183206329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Welzel">
    <w15:presenceInfo w15:providerId="Windows Live" w15:userId="41d0fa2d2f24d2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247&lt;/item&gt;&lt;item&gt;1314&lt;/item&gt;&lt;item&gt;1315&lt;/item&gt;&lt;item&gt;1317&lt;/item&gt;&lt;item&gt;1666&lt;/item&gt;&lt;item&gt;1667&lt;/item&gt;&lt;item&gt;1668&lt;/item&gt;&lt;item&gt;1669&lt;/item&gt;&lt;/record-ids&gt;&lt;/item&gt;&lt;/Libraries&gt;"/>
  </w:docVars>
  <w:rsids>
    <w:rsidRoot w:val="00BF7C64"/>
    <w:rsid w:val="00001E82"/>
    <w:rsid w:val="0001097D"/>
    <w:rsid w:val="000123DF"/>
    <w:rsid w:val="000138A9"/>
    <w:rsid w:val="00014D45"/>
    <w:rsid w:val="000157D1"/>
    <w:rsid w:val="0002132C"/>
    <w:rsid w:val="000243C9"/>
    <w:rsid w:val="000364AF"/>
    <w:rsid w:val="00041065"/>
    <w:rsid w:val="00041920"/>
    <w:rsid w:val="0004275E"/>
    <w:rsid w:val="000511AE"/>
    <w:rsid w:val="000617D7"/>
    <w:rsid w:val="00067166"/>
    <w:rsid w:val="00085AD2"/>
    <w:rsid w:val="00093E7F"/>
    <w:rsid w:val="000958EF"/>
    <w:rsid w:val="000A139C"/>
    <w:rsid w:val="000A534D"/>
    <w:rsid w:val="000B1B4D"/>
    <w:rsid w:val="000B61CD"/>
    <w:rsid w:val="000C3034"/>
    <w:rsid w:val="000C65E7"/>
    <w:rsid w:val="000D74F2"/>
    <w:rsid w:val="000E2EB5"/>
    <w:rsid w:val="000E57D7"/>
    <w:rsid w:val="00101F99"/>
    <w:rsid w:val="001041E3"/>
    <w:rsid w:val="001059D3"/>
    <w:rsid w:val="001065B0"/>
    <w:rsid w:val="00116AE1"/>
    <w:rsid w:val="00122A1E"/>
    <w:rsid w:val="00124A28"/>
    <w:rsid w:val="00130995"/>
    <w:rsid w:val="00131265"/>
    <w:rsid w:val="00140B57"/>
    <w:rsid w:val="00140C9A"/>
    <w:rsid w:val="0014754A"/>
    <w:rsid w:val="00157FAE"/>
    <w:rsid w:val="00172436"/>
    <w:rsid w:val="00180850"/>
    <w:rsid w:val="00183194"/>
    <w:rsid w:val="00185AD1"/>
    <w:rsid w:val="00186510"/>
    <w:rsid w:val="001878A5"/>
    <w:rsid w:val="001A2869"/>
    <w:rsid w:val="001B02BF"/>
    <w:rsid w:val="001B3804"/>
    <w:rsid w:val="001B4535"/>
    <w:rsid w:val="001B478E"/>
    <w:rsid w:val="001B6651"/>
    <w:rsid w:val="001D0759"/>
    <w:rsid w:val="001E047B"/>
    <w:rsid w:val="001E2C58"/>
    <w:rsid w:val="001E7770"/>
    <w:rsid w:val="001F0950"/>
    <w:rsid w:val="001F5378"/>
    <w:rsid w:val="001F543C"/>
    <w:rsid w:val="001F7739"/>
    <w:rsid w:val="002045DC"/>
    <w:rsid w:val="002065AC"/>
    <w:rsid w:val="00211D71"/>
    <w:rsid w:val="002247C2"/>
    <w:rsid w:val="002259C4"/>
    <w:rsid w:val="002331A1"/>
    <w:rsid w:val="0023684F"/>
    <w:rsid w:val="0025214B"/>
    <w:rsid w:val="002574E3"/>
    <w:rsid w:val="00267434"/>
    <w:rsid w:val="00270316"/>
    <w:rsid w:val="00270E4C"/>
    <w:rsid w:val="0027284E"/>
    <w:rsid w:val="002736E0"/>
    <w:rsid w:val="00274705"/>
    <w:rsid w:val="0027778A"/>
    <w:rsid w:val="00277A48"/>
    <w:rsid w:val="00280002"/>
    <w:rsid w:val="00293FD3"/>
    <w:rsid w:val="002952CB"/>
    <w:rsid w:val="002A1DD3"/>
    <w:rsid w:val="002B52DE"/>
    <w:rsid w:val="002C2DBE"/>
    <w:rsid w:val="002D08E4"/>
    <w:rsid w:val="002D191C"/>
    <w:rsid w:val="002D2398"/>
    <w:rsid w:val="002E28EA"/>
    <w:rsid w:val="002F16D2"/>
    <w:rsid w:val="002F3E5D"/>
    <w:rsid w:val="002F3F76"/>
    <w:rsid w:val="00305F5F"/>
    <w:rsid w:val="00307722"/>
    <w:rsid w:val="00314906"/>
    <w:rsid w:val="00316CF2"/>
    <w:rsid w:val="0032523E"/>
    <w:rsid w:val="00327E4F"/>
    <w:rsid w:val="00343E84"/>
    <w:rsid w:val="00346B56"/>
    <w:rsid w:val="00350B4B"/>
    <w:rsid w:val="00355531"/>
    <w:rsid w:val="003558FB"/>
    <w:rsid w:val="003619D4"/>
    <w:rsid w:val="0037185C"/>
    <w:rsid w:val="00383A9B"/>
    <w:rsid w:val="00383D47"/>
    <w:rsid w:val="00386659"/>
    <w:rsid w:val="003A3350"/>
    <w:rsid w:val="003A57DC"/>
    <w:rsid w:val="003A5EC8"/>
    <w:rsid w:val="003A74B3"/>
    <w:rsid w:val="003B750A"/>
    <w:rsid w:val="003C581F"/>
    <w:rsid w:val="003D5F8A"/>
    <w:rsid w:val="003E0533"/>
    <w:rsid w:val="003E1391"/>
    <w:rsid w:val="003F70B7"/>
    <w:rsid w:val="00401154"/>
    <w:rsid w:val="00420836"/>
    <w:rsid w:val="00423EFB"/>
    <w:rsid w:val="00425607"/>
    <w:rsid w:val="00433159"/>
    <w:rsid w:val="00434AAF"/>
    <w:rsid w:val="004360DE"/>
    <w:rsid w:val="00441C5E"/>
    <w:rsid w:val="0044269D"/>
    <w:rsid w:val="00451E7D"/>
    <w:rsid w:val="0045639C"/>
    <w:rsid w:val="0045764B"/>
    <w:rsid w:val="00464385"/>
    <w:rsid w:val="00470193"/>
    <w:rsid w:val="00470694"/>
    <w:rsid w:val="004725BB"/>
    <w:rsid w:val="0048497C"/>
    <w:rsid w:val="00493CFE"/>
    <w:rsid w:val="004A7F5A"/>
    <w:rsid w:val="004B07AC"/>
    <w:rsid w:val="004B522C"/>
    <w:rsid w:val="004C08D8"/>
    <w:rsid w:val="004C7D1B"/>
    <w:rsid w:val="004D455F"/>
    <w:rsid w:val="004E2B27"/>
    <w:rsid w:val="004E49F5"/>
    <w:rsid w:val="004F18A8"/>
    <w:rsid w:val="004F1B9D"/>
    <w:rsid w:val="004F339C"/>
    <w:rsid w:val="00504DFB"/>
    <w:rsid w:val="00510292"/>
    <w:rsid w:val="00511136"/>
    <w:rsid w:val="00513932"/>
    <w:rsid w:val="00524BCB"/>
    <w:rsid w:val="005259F1"/>
    <w:rsid w:val="00527A60"/>
    <w:rsid w:val="00530A1C"/>
    <w:rsid w:val="00531D9E"/>
    <w:rsid w:val="0053419D"/>
    <w:rsid w:val="00540BBF"/>
    <w:rsid w:val="00541FA4"/>
    <w:rsid w:val="00543552"/>
    <w:rsid w:val="00546F1F"/>
    <w:rsid w:val="005508A7"/>
    <w:rsid w:val="00553E39"/>
    <w:rsid w:val="005559A3"/>
    <w:rsid w:val="00555C30"/>
    <w:rsid w:val="005577BF"/>
    <w:rsid w:val="005639FE"/>
    <w:rsid w:val="00575070"/>
    <w:rsid w:val="00576EAF"/>
    <w:rsid w:val="00577E42"/>
    <w:rsid w:val="00581CB1"/>
    <w:rsid w:val="00590D52"/>
    <w:rsid w:val="0059156B"/>
    <w:rsid w:val="0059212C"/>
    <w:rsid w:val="00593820"/>
    <w:rsid w:val="005A0526"/>
    <w:rsid w:val="005A2017"/>
    <w:rsid w:val="005A7C0F"/>
    <w:rsid w:val="005B488C"/>
    <w:rsid w:val="005C0E84"/>
    <w:rsid w:val="005C1A12"/>
    <w:rsid w:val="005C571F"/>
    <w:rsid w:val="005D3924"/>
    <w:rsid w:val="005D3B53"/>
    <w:rsid w:val="005E247E"/>
    <w:rsid w:val="005E473D"/>
    <w:rsid w:val="005F0B23"/>
    <w:rsid w:val="005F1ED3"/>
    <w:rsid w:val="005F3688"/>
    <w:rsid w:val="005F4951"/>
    <w:rsid w:val="00606404"/>
    <w:rsid w:val="00624A21"/>
    <w:rsid w:val="00625776"/>
    <w:rsid w:val="00625A4B"/>
    <w:rsid w:val="006276A3"/>
    <w:rsid w:val="0063074F"/>
    <w:rsid w:val="006327AB"/>
    <w:rsid w:val="00632853"/>
    <w:rsid w:val="00633619"/>
    <w:rsid w:val="00634D23"/>
    <w:rsid w:val="006531CB"/>
    <w:rsid w:val="006554E9"/>
    <w:rsid w:val="0067142B"/>
    <w:rsid w:val="0067568A"/>
    <w:rsid w:val="00680749"/>
    <w:rsid w:val="00683D55"/>
    <w:rsid w:val="006A2470"/>
    <w:rsid w:val="006B0284"/>
    <w:rsid w:val="006B1A86"/>
    <w:rsid w:val="006B56BB"/>
    <w:rsid w:val="006B5F1C"/>
    <w:rsid w:val="006C04FF"/>
    <w:rsid w:val="006C687A"/>
    <w:rsid w:val="006D7DD8"/>
    <w:rsid w:val="006E0F62"/>
    <w:rsid w:val="006F1BDD"/>
    <w:rsid w:val="006F38E8"/>
    <w:rsid w:val="006F6D2B"/>
    <w:rsid w:val="00701F2F"/>
    <w:rsid w:val="00713192"/>
    <w:rsid w:val="00715F68"/>
    <w:rsid w:val="007235D8"/>
    <w:rsid w:val="0073349E"/>
    <w:rsid w:val="007541A8"/>
    <w:rsid w:val="00774CFF"/>
    <w:rsid w:val="007767B9"/>
    <w:rsid w:val="00781102"/>
    <w:rsid w:val="00787D12"/>
    <w:rsid w:val="007914E1"/>
    <w:rsid w:val="007918AB"/>
    <w:rsid w:val="00794D6C"/>
    <w:rsid w:val="007A53E9"/>
    <w:rsid w:val="007A549B"/>
    <w:rsid w:val="007A6289"/>
    <w:rsid w:val="007B0FBA"/>
    <w:rsid w:val="007B2A79"/>
    <w:rsid w:val="007B3D74"/>
    <w:rsid w:val="007B47A2"/>
    <w:rsid w:val="007B59C3"/>
    <w:rsid w:val="007C6953"/>
    <w:rsid w:val="007D214C"/>
    <w:rsid w:val="007D2E4E"/>
    <w:rsid w:val="007D72EC"/>
    <w:rsid w:val="007E4B79"/>
    <w:rsid w:val="007E502F"/>
    <w:rsid w:val="00816998"/>
    <w:rsid w:val="008173F7"/>
    <w:rsid w:val="008217FA"/>
    <w:rsid w:val="00836A05"/>
    <w:rsid w:val="008378D8"/>
    <w:rsid w:val="008401CB"/>
    <w:rsid w:val="0084214A"/>
    <w:rsid w:val="00843128"/>
    <w:rsid w:val="008453B4"/>
    <w:rsid w:val="00847704"/>
    <w:rsid w:val="0085084C"/>
    <w:rsid w:val="00851AD4"/>
    <w:rsid w:val="00853560"/>
    <w:rsid w:val="00855AC3"/>
    <w:rsid w:val="00860077"/>
    <w:rsid w:val="00862D91"/>
    <w:rsid w:val="00865A72"/>
    <w:rsid w:val="0087133D"/>
    <w:rsid w:val="00874ECD"/>
    <w:rsid w:val="008873B9"/>
    <w:rsid w:val="00892B5D"/>
    <w:rsid w:val="008936E7"/>
    <w:rsid w:val="008B30A2"/>
    <w:rsid w:val="008B39EA"/>
    <w:rsid w:val="008C3AFB"/>
    <w:rsid w:val="008C5723"/>
    <w:rsid w:val="008E71B3"/>
    <w:rsid w:val="008F00C6"/>
    <w:rsid w:val="008F2D3B"/>
    <w:rsid w:val="008F6AD2"/>
    <w:rsid w:val="00902792"/>
    <w:rsid w:val="0090602B"/>
    <w:rsid w:val="009140F8"/>
    <w:rsid w:val="009154BC"/>
    <w:rsid w:val="009208BA"/>
    <w:rsid w:val="00922A28"/>
    <w:rsid w:val="009306E5"/>
    <w:rsid w:val="00930F50"/>
    <w:rsid w:val="00932712"/>
    <w:rsid w:val="0093599A"/>
    <w:rsid w:val="00937E63"/>
    <w:rsid w:val="00960DC6"/>
    <w:rsid w:val="00966760"/>
    <w:rsid w:val="00984B9B"/>
    <w:rsid w:val="00990A0E"/>
    <w:rsid w:val="00991679"/>
    <w:rsid w:val="009A52C7"/>
    <w:rsid w:val="009B3DC5"/>
    <w:rsid w:val="009B4970"/>
    <w:rsid w:val="009C17E4"/>
    <w:rsid w:val="009D00B8"/>
    <w:rsid w:val="009D0A99"/>
    <w:rsid w:val="009D5D52"/>
    <w:rsid w:val="009D771E"/>
    <w:rsid w:val="009E13ED"/>
    <w:rsid w:val="009E1874"/>
    <w:rsid w:val="009E7206"/>
    <w:rsid w:val="009F12C4"/>
    <w:rsid w:val="00A075AF"/>
    <w:rsid w:val="00A11AD0"/>
    <w:rsid w:val="00A22F9C"/>
    <w:rsid w:val="00A23106"/>
    <w:rsid w:val="00A23266"/>
    <w:rsid w:val="00A27603"/>
    <w:rsid w:val="00A312C9"/>
    <w:rsid w:val="00A345CD"/>
    <w:rsid w:val="00A45218"/>
    <w:rsid w:val="00A5631F"/>
    <w:rsid w:val="00A60539"/>
    <w:rsid w:val="00A6110E"/>
    <w:rsid w:val="00A62EDC"/>
    <w:rsid w:val="00A63C83"/>
    <w:rsid w:val="00A64E69"/>
    <w:rsid w:val="00A67E82"/>
    <w:rsid w:val="00A75ADA"/>
    <w:rsid w:val="00A80329"/>
    <w:rsid w:val="00A80E07"/>
    <w:rsid w:val="00A82862"/>
    <w:rsid w:val="00A82905"/>
    <w:rsid w:val="00A8385B"/>
    <w:rsid w:val="00A8538A"/>
    <w:rsid w:val="00A918EE"/>
    <w:rsid w:val="00A9732B"/>
    <w:rsid w:val="00AA167A"/>
    <w:rsid w:val="00AA39D0"/>
    <w:rsid w:val="00AA76D7"/>
    <w:rsid w:val="00AB5E29"/>
    <w:rsid w:val="00AC6EF1"/>
    <w:rsid w:val="00AE2E9D"/>
    <w:rsid w:val="00AF1002"/>
    <w:rsid w:val="00AF139F"/>
    <w:rsid w:val="00AF2D02"/>
    <w:rsid w:val="00B00C4E"/>
    <w:rsid w:val="00B0158F"/>
    <w:rsid w:val="00B01966"/>
    <w:rsid w:val="00B06620"/>
    <w:rsid w:val="00B0691C"/>
    <w:rsid w:val="00B07AC6"/>
    <w:rsid w:val="00B105A3"/>
    <w:rsid w:val="00B1504F"/>
    <w:rsid w:val="00B154E4"/>
    <w:rsid w:val="00B37116"/>
    <w:rsid w:val="00B400A1"/>
    <w:rsid w:val="00B4753D"/>
    <w:rsid w:val="00B679F0"/>
    <w:rsid w:val="00B75644"/>
    <w:rsid w:val="00B9323E"/>
    <w:rsid w:val="00B95B4B"/>
    <w:rsid w:val="00BA1D69"/>
    <w:rsid w:val="00BA2485"/>
    <w:rsid w:val="00BA6221"/>
    <w:rsid w:val="00BA7EC9"/>
    <w:rsid w:val="00BB45CE"/>
    <w:rsid w:val="00BC2D5E"/>
    <w:rsid w:val="00BC7641"/>
    <w:rsid w:val="00BD66DC"/>
    <w:rsid w:val="00BD695D"/>
    <w:rsid w:val="00BE3219"/>
    <w:rsid w:val="00BE3968"/>
    <w:rsid w:val="00BE46FF"/>
    <w:rsid w:val="00BF24B3"/>
    <w:rsid w:val="00BF2A6A"/>
    <w:rsid w:val="00BF3959"/>
    <w:rsid w:val="00BF7C64"/>
    <w:rsid w:val="00C10011"/>
    <w:rsid w:val="00C10117"/>
    <w:rsid w:val="00C120A5"/>
    <w:rsid w:val="00C20F93"/>
    <w:rsid w:val="00C244F0"/>
    <w:rsid w:val="00C5142F"/>
    <w:rsid w:val="00C51ECC"/>
    <w:rsid w:val="00C64264"/>
    <w:rsid w:val="00C70B42"/>
    <w:rsid w:val="00C918BC"/>
    <w:rsid w:val="00C9674F"/>
    <w:rsid w:val="00C97536"/>
    <w:rsid w:val="00C97E55"/>
    <w:rsid w:val="00CA0179"/>
    <w:rsid w:val="00CA76C5"/>
    <w:rsid w:val="00CA7C0A"/>
    <w:rsid w:val="00CB0EAB"/>
    <w:rsid w:val="00CB7076"/>
    <w:rsid w:val="00CC1C2A"/>
    <w:rsid w:val="00CC1D36"/>
    <w:rsid w:val="00CD7F86"/>
    <w:rsid w:val="00CE72FA"/>
    <w:rsid w:val="00CF12C6"/>
    <w:rsid w:val="00CF2384"/>
    <w:rsid w:val="00D01BF2"/>
    <w:rsid w:val="00D01DC2"/>
    <w:rsid w:val="00D0539F"/>
    <w:rsid w:val="00D27839"/>
    <w:rsid w:val="00D27EB8"/>
    <w:rsid w:val="00D3337B"/>
    <w:rsid w:val="00D41A76"/>
    <w:rsid w:val="00D44BCB"/>
    <w:rsid w:val="00D45B02"/>
    <w:rsid w:val="00D46F6A"/>
    <w:rsid w:val="00D51892"/>
    <w:rsid w:val="00D54C72"/>
    <w:rsid w:val="00D55D6F"/>
    <w:rsid w:val="00D565D6"/>
    <w:rsid w:val="00D65DD7"/>
    <w:rsid w:val="00D65E60"/>
    <w:rsid w:val="00D7113F"/>
    <w:rsid w:val="00D74138"/>
    <w:rsid w:val="00D84CD1"/>
    <w:rsid w:val="00D90494"/>
    <w:rsid w:val="00D94295"/>
    <w:rsid w:val="00D97C81"/>
    <w:rsid w:val="00DA0C08"/>
    <w:rsid w:val="00DA345C"/>
    <w:rsid w:val="00DB7FA7"/>
    <w:rsid w:val="00DC6120"/>
    <w:rsid w:val="00DF5E47"/>
    <w:rsid w:val="00E02EBA"/>
    <w:rsid w:val="00E1528C"/>
    <w:rsid w:val="00E17CC0"/>
    <w:rsid w:val="00E51D30"/>
    <w:rsid w:val="00E54332"/>
    <w:rsid w:val="00E617AA"/>
    <w:rsid w:val="00E63325"/>
    <w:rsid w:val="00E668CF"/>
    <w:rsid w:val="00E77D8C"/>
    <w:rsid w:val="00E8196C"/>
    <w:rsid w:val="00E86775"/>
    <w:rsid w:val="00E87888"/>
    <w:rsid w:val="00E9420A"/>
    <w:rsid w:val="00E96118"/>
    <w:rsid w:val="00EA13BC"/>
    <w:rsid w:val="00EA186D"/>
    <w:rsid w:val="00EA2708"/>
    <w:rsid w:val="00EA2AC5"/>
    <w:rsid w:val="00EA61AC"/>
    <w:rsid w:val="00EB5614"/>
    <w:rsid w:val="00EB7FBB"/>
    <w:rsid w:val="00EC5897"/>
    <w:rsid w:val="00ED4D21"/>
    <w:rsid w:val="00ED5DDD"/>
    <w:rsid w:val="00EE20F8"/>
    <w:rsid w:val="00EE507C"/>
    <w:rsid w:val="00EE6E85"/>
    <w:rsid w:val="00EF0FC3"/>
    <w:rsid w:val="00EF2EF3"/>
    <w:rsid w:val="00EF4316"/>
    <w:rsid w:val="00F13CDF"/>
    <w:rsid w:val="00F1449E"/>
    <w:rsid w:val="00F30D00"/>
    <w:rsid w:val="00F31CBB"/>
    <w:rsid w:val="00F35A60"/>
    <w:rsid w:val="00F43383"/>
    <w:rsid w:val="00F447AB"/>
    <w:rsid w:val="00F45746"/>
    <w:rsid w:val="00F5142A"/>
    <w:rsid w:val="00F517D6"/>
    <w:rsid w:val="00F54A24"/>
    <w:rsid w:val="00F55A1D"/>
    <w:rsid w:val="00F57831"/>
    <w:rsid w:val="00F626B0"/>
    <w:rsid w:val="00F720B6"/>
    <w:rsid w:val="00F72700"/>
    <w:rsid w:val="00F8107A"/>
    <w:rsid w:val="00F81223"/>
    <w:rsid w:val="00F8240C"/>
    <w:rsid w:val="00F84896"/>
    <w:rsid w:val="00F91E7F"/>
    <w:rsid w:val="00F95320"/>
    <w:rsid w:val="00F9737F"/>
    <w:rsid w:val="00F97510"/>
    <w:rsid w:val="00FA5FB4"/>
    <w:rsid w:val="00FB636E"/>
    <w:rsid w:val="00FD0F4E"/>
    <w:rsid w:val="00FE100E"/>
    <w:rsid w:val="00FE6BA4"/>
    <w:rsid w:val="00FF06AC"/>
    <w:rsid w:val="00FF2CE0"/>
    <w:rsid w:val="00FF527D"/>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F321D3C9-C69E-4185-8963-7F72D285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character" w:styleId="CommentReference">
    <w:name w:val="annotation reference"/>
    <w:basedOn w:val="DefaultParagraphFont"/>
    <w:uiPriority w:val="99"/>
    <w:semiHidden/>
    <w:unhideWhenUsed/>
    <w:rsid w:val="006531C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907768986">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4456</Words>
  <Characters>25401</Characters>
  <Application>Microsoft Office Word</Application>
  <DocSecurity>0</DocSecurity>
  <Lines>211</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4</cp:revision>
  <cp:lastPrinted>2019-02-11T20:28:00Z</cp:lastPrinted>
  <dcterms:created xsi:type="dcterms:W3CDTF">2022-11-17T09:47:00Z</dcterms:created>
  <dcterms:modified xsi:type="dcterms:W3CDTF">2022-11-17T14:33:00Z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zotero-version="6.0.16-beta.1+9a3f8dbc9"&gt;&lt;session id="Mqlv2E5Q"/&gt;&lt;style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