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2E894F85" w:rsidR="001A2869" w:rsidRDefault="00D565D6" w:rsidP="008B30A2">
      <w:pPr>
        <w:rPr>
          <w:rFonts w:ascii="Helvetica" w:eastAsiaTheme="majorEastAsia" w:hAnsi="Helvetica" w:cs="FiraGO Medium"/>
          <w:b/>
          <w:bCs/>
          <w:kern w:val="28"/>
          <w:sz w:val="42"/>
          <w:szCs w:val="44"/>
        </w:rPr>
      </w:pPr>
      <w:r w:rsidRPr="00D565D6">
        <w:rPr>
          <w:rFonts w:ascii="Helvetica" w:eastAsiaTheme="majorEastAsia" w:hAnsi="Helvetica" w:cs="FiraGO Medium"/>
          <w:b/>
          <w:bCs/>
          <w:kern w:val="28"/>
          <w:sz w:val="42"/>
          <w:szCs w:val="44"/>
        </w:rPr>
        <w:t>Multisensory integration as</w:t>
      </w:r>
      <w:r w:rsidR="009208BA">
        <w:rPr>
          <w:rFonts w:ascii="Helvetica" w:eastAsiaTheme="majorEastAsia" w:hAnsi="Helvetica" w:cs="FiraGO Medium"/>
          <w:b/>
          <w:bCs/>
          <w:kern w:val="28"/>
          <w:sz w:val="42"/>
          <w:szCs w:val="44"/>
        </w:rPr>
        <w:t xml:space="preserve"> a</w:t>
      </w:r>
      <w:r w:rsidRPr="00D565D6">
        <w:rPr>
          <w:rFonts w:ascii="Helvetica" w:eastAsiaTheme="majorEastAsia" w:hAnsi="Helvetica" w:cs="FiraGO Medium"/>
          <w:b/>
          <w:bCs/>
          <w:kern w:val="28"/>
          <w:sz w:val="42"/>
          <w:szCs w:val="44"/>
        </w:rPr>
        <w:t xml:space="preserve"> modulator</w:t>
      </w:r>
      <w:r w:rsidR="009208BA">
        <w:rPr>
          <w:rFonts w:ascii="Helvetica" w:eastAsiaTheme="majorEastAsia" w:hAnsi="Helvetica" w:cs="FiraGO Medium"/>
          <w:b/>
          <w:bCs/>
          <w:kern w:val="28"/>
          <w:sz w:val="42"/>
          <w:szCs w:val="44"/>
        </w:rPr>
        <w:t xml:space="preserve"> </w:t>
      </w:r>
      <w:r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19B7ABAA" w14:textId="4D364AA5" w:rsidR="00794D6C"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 In a grip force task, tremor amplitude increases during large scale visual feedback compared to a condition with low scale visual feedback. It has not been examined whether visual feedback exclusively modulates action tremor severity or if an increase of other afferent input like auditory sensation has a modulatory effect on tremor amplitude as well. Also, it is unknown whether the sensory feedback itself directly affects the tremor generating network or if the effect is rather indirect: enhanced sensory feedback during targeted driven movements might cause arousal/psychological stress. We hypothesized that (1) amplitude of ET is modulated by variation of auditory feedback in the absence of visual feedback in a force tremor paradigm; (2) increase of tremor amplitude coincides with pupillary dilation as a measure of arousal / psychological stress, independently of the quality of sensory feedback</w:t>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 xml:space="preserve">12 </w:t>
      </w:r>
      <w:r>
        <w:rPr>
          <w:rFonts w:ascii="Helvetica" w:hAnsi="Helvetica" w:cs="FiraGO Medium"/>
          <w:b/>
          <w:noProof/>
          <w:sz w:val="18"/>
          <w:szCs w:val="18"/>
        </w:rPr>
        <w:t xml:space="preserve">matched controlls </w:t>
      </w:r>
      <w:r w:rsidRPr="009C17E4">
        <w:rPr>
          <w:rFonts w:ascii="Helvetica" w:hAnsi="Helvetica" w:cs="FiraGO Medium"/>
          <w:b/>
          <w:noProof/>
          <w:sz w:val="18"/>
          <w:szCs w:val="18"/>
        </w:rPr>
        <w:t xml:space="preserve">conducted a computer-based experiment in which they were asked to match a target force in a force sensor using their thumb and index finger. The quality of the matching the target force was feed back to the participant visually, auditory or a combination of both. For the visual feedback, </w:t>
      </w:r>
      <w:r>
        <w:rPr>
          <w:rFonts w:ascii="Helvetica" w:hAnsi="Helvetica" w:cs="FiraGO Medium"/>
          <w:b/>
          <w:noProof/>
          <w:sz w:val="18"/>
          <w:szCs w:val="18"/>
        </w:rPr>
        <w:t>two</w:t>
      </w:r>
      <w:r w:rsidRPr="009C17E4">
        <w:rPr>
          <w:rFonts w:ascii="Helvetica" w:hAnsi="Helvetica" w:cs="FiraGO Medium"/>
          <w:b/>
          <w:noProof/>
          <w:sz w:val="18"/>
          <w:szCs w:val="18"/>
        </w:rPr>
        <w:t xml:space="preserve"> bars were displayed on a screen, with the distance between these bars decreasing with approximation of the target force. </w:t>
      </w:r>
      <w:r>
        <w:rPr>
          <w:rFonts w:ascii="Helvetica" w:hAnsi="Helvetica" w:cs="FiraGO Medium"/>
          <w:b/>
          <w:noProof/>
          <w:sz w:val="18"/>
          <w:szCs w:val="18"/>
        </w:rPr>
        <w:t>R</w:t>
      </w:r>
      <w:r w:rsidRPr="009C17E4">
        <w:rPr>
          <w:rFonts w:ascii="Helvetica" w:hAnsi="Helvetica" w:cs="FiraGO Medium"/>
          <w:b/>
          <w:noProof/>
          <w:sz w:val="18"/>
          <w:szCs w:val="18"/>
        </w:rPr>
        <w:t xml:space="preserve">esults showed a comparable deviation from the target force (RMSE) during the experiment during all three sensory feedback modalities. Additionally, tremor severity did not differ between sensory feedback modalities. The ANOVA revealed an effect of the scaling factor on the tremor severity (Power 4-12Hz) for the visual- and also for the auditory feedback condition. Pupillometry consistently showed a significantly increased pupil diameter during the large scale visual- and auditory feedback conditions compared to the low scale feedback conditions. Our findings suggest that action tremor in ET is firstly modulated not only by visual feedback but also by auditory feedback in a comparable manner and seems to be modality independent. Secondly arousal / cognitive stress, as measured here by the pupil size, could mediate the increase of tremor amplitude.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is required to better understand the role of these two possible mechanisms underlying 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0A02E75F"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041065">
        <w: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D565D6" w:rsidRPr="00D565D6">
        <w:t xml:space="preserve"> Tremor might occur in complete rest or during specific motor activation conditions, for example while actively maintaining a position against gravity (postural tremor) or during voluntary movements (simple kinetic tremor) and especially target-driven movements (intention tremor). Various etiologies can be underlying </w:t>
      </w:r>
      <w:r w:rsidR="00AF139F" w:rsidRPr="00D565D6">
        <w:t>and, in many cases,</w:t>
      </w:r>
      <w:r w:rsidR="00D565D6" w:rsidRPr="00D565D6">
        <w:t xml:space="preserve"> -including the large group of essential </w:t>
      </w:r>
      <w:proofErr w:type="gramStart"/>
      <w:r w:rsidR="00D565D6" w:rsidRPr="00D565D6">
        <w:t>tremor</w:t>
      </w:r>
      <w:proofErr w:type="gramEnd"/>
      <w:r w:rsidR="00D565D6" w:rsidRPr="00D565D6">
        <w:t xml:space="preserve">- the etiology remains obscure. However, as </w:t>
      </w:r>
      <w:r w:rsidR="00350B4B">
        <w:t xml:space="preserve">a </w:t>
      </w:r>
      <w:r w:rsidR="00D565D6" w:rsidRPr="00D565D6">
        <w:t xml:space="preserve">common pathophysiological substrate of action tremor syndromes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r w:rsidR="00F8107A">
        <w:fldChar w:fldCharType="begin"/>
      </w:r>
      <w:r w:rsidR="00F8107A">
        <w:instrText xml:space="preserve"> ADDIN EN.CITE &lt;EndNote&gt;&lt;Cite&gt;&lt;Author&gt;Helmich&lt;/Author&gt;&lt;Year&gt;2013&lt;/Year&gt;&lt;RecNum&gt;360&lt;/RecNum&gt;&lt;DisplayText&gt;(Helmich, Toni et al. 2013)&lt;/DisplayText&gt;&lt;record&gt;&lt;rec-number&gt;360&lt;/rec-number&gt;&lt;foreign-keys&gt;&lt;key app="EN" db-id="a5xzr5prx09rz4ex9x2vssxl5tf9daezarrw" timestamp="1476562189"&gt;360&lt;/key&gt;&lt;/foreign-keys&gt;&lt;ref-type name="Journal Article"&gt;17&lt;/ref-type&gt;&lt;contributors&gt;&lt;authors&gt;&lt;author&gt;Helmich, R. C.&lt;/author&gt;&lt;author&gt;Toni, I.&lt;/author&gt;&lt;author&gt;Deuschl, G.&lt;/author&gt;&lt;author&gt;Bloem, B. R.&lt;/author&gt;&lt;/authors&gt;&lt;/contributors&gt;&lt;auth-address&gt;Donders Institute for Brain, Cognition and Behaviour, Centre for Cognitive Neuroimaging, Radboud University Nijmegen, Nijmegen, The Netherlands. r.helmich@neuro.umcn.nl&lt;/auth-address&gt;&lt;titles&gt;&lt;title&gt;The pathophysiology of essential tremor and Parkinson&amp;apos;s tremor&lt;/title&gt;&lt;secondary-title&gt;Curr Neurol Neurosci Rep&lt;/secondary-title&gt;&lt;/titles&gt;&lt;periodical&gt;&lt;full-title&gt;Curr Neurol Neurosci Rep&lt;/full-title&gt;&lt;/periodical&gt;&lt;pages&gt;378&lt;/pages&gt;&lt;volume&gt;13&lt;/volume&gt;&lt;number&gt;9&lt;/number&gt;&lt;keywords&gt;&lt;keyword&gt;Animals&lt;/keyword&gt;&lt;keyword&gt;Electric Stimulation Therapy/methods&lt;/keyword&gt;&lt;keyword&gt;Essential Tremor/complications/*physiopathology/therapy&lt;/keyword&gt;&lt;keyword&gt;Humans&lt;/keyword&gt;&lt;keyword&gt;Movement Disorders/physiopathology&lt;/keyword&gt;&lt;keyword&gt;Nerve Net/physiopathology&lt;/keyword&gt;&lt;keyword&gt;Parkinson Disease/complications/*physiopathology/therapy&lt;/keyword&gt;&lt;keyword&gt;gamma-Aminobutyric Acid/metabolism&lt;/keyword&gt;&lt;/keywords&gt;&lt;dates&gt;&lt;year&gt;2013&lt;/year&gt;&lt;pub-dates&gt;&lt;date&gt;Sep&lt;/date&gt;&lt;/pub-dates&gt;&lt;/dates&gt;&lt;isbn&gt;1534-6293 (Electronic)&amp;#xD;1528-4042 (Linking)&lt;/isbn&gt;&lt;accession-num&gt;23893097&lt;/accession-num&gt;&lt;urls&gt;&lt;related-urls&gt;&lt;url&gt;https://www.ncbi.nlm.nih.gov/pubmed/23893097&lt;/url&gt;&lt;url&gt;http://link.springer.com/article/10.1007%2Fs11910-013-0378-8&lt;/url&gt;&lt;/related-urls&gt;&lt;/urls&gt;&lt;electronic-resource-num&gt;10.1007/s11910-013-0378-8&lt;/electronic-resource-num&gt;&lt;/record&gt;&lt;/Cite&gt;&lt;/EndNote&gt;</w:instrText>
      </w:r>
      <w:r w:rsidR="00F8107A">
        <w:fldChar w:fldCharType="separate"/>
      </w:r>
      <w:r w:rsidR="00F8107A">
        <w:rPr>
          <w:noProof/>
        </w:rPr>
        <w:t>(</w:t>
      </w:r>
      <w:proofErr w:type="spellStart"/>
      <w:r w:rsidR="00F8107A">
        <w:rPr>
          <w:noProof/>
        </w:rPr>
        <w:t>Helmich</w:t>
      </w:r>
      <w:proofErr w:type="spellEnd"/>
      <w:r w:rsidR="00F8107A">
        <w:rPr>
          <w:noProof/>
        </w:rPr>
        <w:t>, Toni et al. 2013)</w:t>
      </w:r>
      <w:r w:rsidR="00F8107A">
        <w:fldChar w:fldCharType="end"/>
      </w:r>
    </w:p>
    <w:p w14:paraId="57510B53" w14:textId="7187FD45" w:rsidR="000123DF" w:rsidRDefault="002736E0" w:rsidP="000123DF">
      <w:pPr>
        <w:pStyle w:val="MainTextwithTab"/>
      </w:pPr>
      <w:r>
        <w:t>Despite it</w:t>
      </w:r>
      <w:r w:rsidR="001065B0">
        <w:t xml:space="preserve">s´ central origin, </w:t>
      </w:r>
      <w:r w:rsidR="00AA76D7">
        <w:t xml:space="preserve">Essential tremor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r w:rsidR="00041065">
        <w:t>.</w:t>
      </w:r>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3A5EC8">
        <w:t>Or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w:t>
      </w:r>
      <w:r w:rsidR="003A74B3">
        <w:t>secutively</w:t>
      </w:r>
      <w:r w:rsidR="000123DF" w:rsidRPr="009208BA">
        <w:t xml:space="preserve"> interacts with the central oscil</w:t>
      </w:r>
      <w:r w:rsidR="0067568A">
        <w:t>lations</w:t>
      </w:r>
      <w:r w:rsidR="003A74B3">
        <w:t>.</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p>
    <w:p w14:paraId="14745D57" w14:textId="2D256245" w:rsidR="00383A9B" w:rsidRPr="009208BA" w:rsidRDefault="00FA5FB4" w:rsidP="009208BA">
      <w:pPr>
        <w:pStyle w:val="MainTextwithTab"/>
        <w:ind w:firstLine="0"/>
      </w:pPr>
      <w:r>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integration of somatosensory afferent and efferent signals within certain thalamic areas play a decisive role in the generation of tremor amplitude.</w:t>
      </w:r>
      <w:r w:rsidR="00383A9B" w:rsidRPr="00383A9B">
        <w:rPr>
          <w:lang w:val="en-GB"/>
        </w:rPr>
        <w:fldChar w:fldCharType="begin"/>
      </w:r>
      <w:r>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Pr>
          <w:noProof/>
          <w:lang w:val="en-GB"/>
        </w:rPr>
        <w:t>(Pedrosa, Brown et al. 2018)</w:t>
      </w:r>
      <w:r w:rsidR="00383A9B" w:rsidRPr="00383A9B">
        <w:fldChar w:fldCharType="end"/>
      </w:r>
    </w:p>
    <w:p w14:paraId="3BEC42FA" w14:textId="77FC0489" w:rsidR="00CF2384" w:rsidRPr="00D565D6" w:rsidRDefault="00F720B6" w:rsidP="00CF2384">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like ET and </w:t>
      </w:r>
      <w:r w:rsidR="005A0526">
        <w:t>intention tremor in multiple sclerosis</w:t>
      </w:r>
      <w:r w:rsidR="005E473D">
        <w:t xml:space="preserve"> was shown </w:t>
      </w:r>
      <w:r w:rsidR="00EF4316">
        <w:t>responsive to</w:t>
      </w:r>
      <w:r w:rsidR="005E473D">
        <w:t xml:space="preserve"> </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LiAyMDEyKTwvRGlzcGxheVRleHQ+PHJlY29yZD48cmVjLW51bWJlcj4xMzE0PC9yZWMtbnVtYmVy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</w:fldData>
        </w:fldChar>
      </w:r>
      <w:r w:rsidR="00683D55">
        <w:rPr>
          <w:lang w:val="en-GB"/>
        </w:rPr>
        <w:instrText xml:space="preserve"> ADDIN EN.CITE </w:instrText>
      </w:r>
      <w:r w:rsidR="00683D55">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LiAyMDEyKTwvRGlzcGxheVRleHQ+PHJlY29yZD48cmVjLW51bWJlcj4xMzE0PC9yZWMtbnVtYmVy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</w:fldData>
        </w:fldChar>
      </w:r>
      <w:r w:rsidR="00683D55">
        <w:rPr>
          <w:lang w:val="en-GB"/>
        </w:rPr>
        <w:instrText xml:space="preserve"> ADDIN EN.CITE.DATA </w:instrText>
      </w:r>
      <w:r w:rsidR="00683D55">
        <w:rPr>
          <w:lang w:val="en-GB"/>
        </w:rPr>
      </w:r>
      <w:r w:rsidR="00683D55">
        <w:rPr>
          <w:lang w:val="en-GB"/>
        </w:rPr>
        <w:fldChar w:fldCharType="end"/>
      </w:r>
      <w:r w:rsidR="00DB7FA7" w:rsidRPr="00DB7FA7">
        <w:rPr>
          <w:lang w:val="en-GB"/>
        </w:rPr>
      </w:r>
      <w:r w:rsidR="00DB7FA7" w:rsidRPr="00DB7FA7">
        <w:rPr>
          <w:lang w:val="en-GB"/>
        </w:rPr>
        <w:fldChar w:fldCharType="separate"/>
      </w:r>
      <w:r w:rsidR="00683D55">
        <w:rPr>
          <w:noProof/>
          <w:lang w:val="en-GB"/>
        </w:rPr>
        <w:t>(Keogh, Morrison et al. 2004, Feys, Helsen et al. 2006, Gironell, Ribosa-Nogue et al. 2012)</w:t>
      </w:r>
      <w:r w:rsidR="00DB7FA7" w:rsidRPr="00DB7FA7">
        <w:fldChar w:fldCharType="end"/>
      </w:r>
      <w:r w:rsidR="00D565D6" w:rsidRPr="00D565D6">
        <w:t xml:space="preserve"> A recent functional MRI study found -apart from the well-known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pathway- a widespread visually sensitive network including key regions in the visual cortex and parietal lobule associated with severity of essential tremor during a static grip force task.</w:t>
      </w:r>
      <w:r w:rsidR="0073349E">
        <w:fldChar w:fldCharType="begin"/>
      </w:r>
      <w:r w:rsidR="0073349E">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73349E">
        <w:fldChar w:fldCharType="separate"/>
      </w:r>
      <w:r w:rsidR="0073349E">
        <w:rPr>
          <w:noProof/>
        </w:rPr>
        <w:t>(Archer, Coombes et al. 2017)</w:t>
      </w:r>
      <w:r w:rsidR="0073349E">
        <w:fldChar w:fldCharType="end"/>
      </w:r>
      <w:r w:rsidR="00D565D6" w:rsidRPr="00D565D6">
        <w:t xml:space="preserve"> However, it has not been examined </w:t>
      </w:r>
      <w:r w:rsidR="00EA2AC5">
        <w:t xml:space="preserve">yet </w:t>
      </w:r>
      <w:r w:rsidR="00D565D6" w:rsidRPr="00D565D6">
        <w:t xml:space="preserve">whether visual feedback exclusively modulates action tremor severity or if an increase of other afferent input like auditory sensation has a modulatory effect on tremor amplitude as well. </w:t>
      </w:r>
      <w:r w:rsidR="000E57D7">
        <w:t xml:space="preserve"> </w:t>
      </w:r>
      <w:r w:rsidR="00D565D6" w:rsidRPr="00D565D6">
        <w:t xml:space="preserve">It is unknown whether the sensory signal itself directly affects the tremor generating network or if the effect is rather indirect: enhanced sensory feedback </w:t>
      </w:r>
      <w:r w:rsidR="00D565D6" w:rsidRPr="00D565D6">
        <w:lastRenderedPageBreak/>
        <w:t>during targeted driven movements might cause arousal/psychological stress.</w:t>
      </w:r>
      <w:r w:rsidR="00CF2384">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increases tremor amplitude.</w:t>
      </w:r>
      <w:r w:rsidR="00CF2384">
        <w:t xml:space="preserve"> </w:t>
      </w:r>
      <w:r w:rsidR="00CF2384" w:rsidRPr="00D565D6">
        <w:t>This can be tested when manipulating the scale of the feedback in any sensory condition.</w:t>
      </w:r>
    </w:p>
    <w:p w14:paraId="5A3727DC" w14:textId="781DAC6B" w:rsidR="009154BC" w:rsidRDefault="00D565D6" w:rsidP="002C2DBE">
      <w:pPr>
        <w:pStyle w:val="MainTextwithTab"/>
      </w:pPr>
      <w:r w:rsidRPr="00D565D6">
        <w:t xml:space="preserve"> Recently, a modulatory role of psychological stress (or rather arousal?), as measured by a coincident pupillary dilation, onto the rest tremor network of Parkinson´s disease was shown.</w:t>
      </w:r>
      <w:r w:rsidR="006B1A86">
        <w:fldChar w:fldCharType="begin"/>
      </w:r>
      <w:r w:rsidR="006B1A86">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006B1A86">
        <w:fldChar w:fldCharType="separate"/>
      </w:r>
      <w:r w:rsidR="006B1A86">
        <w:rPr>
          <w:noProof/>
        </w:rPr>
        <w:t>(</w:t>
      </w:r>
      <w:proofErr w:type="spellStart"/>
      <w:r w:rsidR="006B1A86">
        <w:rPr>
          <w:noProof/>
        </w:rPr>
        <w:t>Dirkx</w:t>
      </w:r>
      <w:proofErr w:type="spellEnd"/>
      <w:r w:rsidR="006B1A86">
        <w:rPr>
          <w:noProof/>
        </w:rPr>
        <w:t>, Zach et al. 2020)</w:t>
      </w:r>
      <w:r w:rsidR="006B1A86">
        <w:fldChar w:fldCharType="end"/>
      </w:r>
      <w:r w:rsidRPr="00D565D6">
        <w:t xml:space="preserve"> This effect is most likely exerted by direct bottom-up noradrenergic influences onto the thalamus and indirectly by top-down cognitive influences onto the </w:t>
      </w:r>
      <w:proofErr w:type="spellStart"/>
      <w:r w:rsidRPr="00D565D6">
        <w:t>cerebello</w:t>
      </w:r>
      <w:proofErr w:type="spellEnd"/>
      <w:r w:rsidRPr="00D565D6">
        <w:t>-</w:t>
      </w:r>
      <w:proofErr w:type="spellStart"/>
      <w:r w:rsidRPr="00D565D6">
        <w:t>thalamo</w:t>
      </w:r>
      <w:proofErr w:type="spellEnd"/>
      <w:r w:rsidRPr="00D565D6">
        <w:t xml:space="preserve">-cortical circuit. Since the thalamus is a key node not only </w:t>
      </w:r>
      <w:r w:rsidR="00AA167A">
        <w:t xml:space="preserve">within </w:t>
      </w:r>
      <w:r w:rsidR="008936E7">
        <w:t xml:space="preserve">the </w:t>
      </w:r>
      <w:r w:rsidR="00EB5614">
        <w:t>PD</w:t>
      </w:r>
      <w:r w:rsidRPr="00D565D6">
        <w:t xml:space="preserve"> resting tremor </w:t>
      </w:r>
      <w:r w:rsidR="008936E7">
        <w:t xml:space="preserve">network </w:t>
      </w:r>
      <w:r w:rsidRPr="00D565D6">
        <w:t>but also action tremor network</w:t>
      </w:r>
      <w:r w:rsidR="00AA167A">
        <w:t>s</w:t>
      </w:r>
      <w:r w:rsidRPr="00D565D6">
        <w:t xml:space="preserve"> as well, an amplification of action tremor by ascending arousal systems (</w:t>
      </w:r>
      <w:proofErr w:type="gramStart"/>
      <w:r w:rsidRPr="00D565D6">
        <w:t>i.e.</w:t>
      </w:r>
      <w:proofErr w:type="gramEnd"/>
      <w:r w:rsidRPr="00D565D6">
        <w:t xml:space="preserve"> noradrenergic systems) seems likely. </w:t>
      </w:r>
    </w:p>
    <w:p w14:paraId="15A9B6F8" w14:textId="1D789060" w:rsidR="00D565D6" w:rsidRDefault="00D565D6" w:rsidP="002C2DBE">
      <w:pPr>
        <w:pStyle w:val="MainTextwithTab"/>
      </w:pPr>
      <w:r w:rsidRPr="00D565D6">
        <w:t xml:space="preserve">Also, a potential role of multisensory integration in tremor amplitude modulation has not been examined yet. Simultaneously incoming sensory feedback could lead to an amplification of the tremor modulating effect compared to </w:t>
      </w:r>
      <w:proofErr w:type="spellStart"/>
      <w:r w:rsidRPr="00D565D6">
        <w:t>monosensory</w:t>
      </w:r>
      <w:proofErr w:type="spellEnd"/>
      <w:r w:rsidRPr="00D565D6">
        <w:t xml:space="preserve"> condition. To test </w:t>
      </w:r>
      <w:proofErr w:type="gramStart"/>
      <w:r w:rsidRPr="00D565D6">
        <w:t>this</w:t>
      </w:r>
      <w:proofErr w:type="gramEnd"/>
      <w:r w:rsidRPr="00D565D6">
        <w:t xml:space="preserve"> we plan to examine the modulation </w:t>
      </w:r>
      <w:proofErr w:type="spellStart"/>
      <w:r w:rsidRPr="00D565D6">
        <w:t>tremoroulus</w:t>
      </w:r>
      <w:proofErr w:type="spellEnd"/>
      <w:r w:rsidRPr="00D565D6">
        <w:t xml:space="preserve"> activity by visual and auditory feedback, as standalone and in combination.</w:t>
      </w:r>
    </w:p>
    <w:p w14:paraId="708C06C5" w14:textId="6B92C865" w:rsidR="00AF139F" w:rsidRPr="00D565D6" w:rsidRDefault="00AF139F" w:rsidP="002C2DBE">
      <w:pPr>
        <w:pStyle w:val="MainTextwithTab"/>
      </w:pPr>
    </w:p>
    <w:p w14:paraId="2ADD09CF" w14:textId="55DAAB41" w:rsidR="00D565D6" w:rsidRPr="00D565D6" w:rsidRDefault="00D565D6" w:rsidP="002C2DBE">
      <w:pPr>
        <w:pStyle w:val="MainTextwithTab"/>
      </w:pPr>
      <w:r w:rsidRPr="00D565D6">
        <w:t>Therefore, our study aims at testing the following hypotheses:</w:t>
      </w:r>
    </w:p>
    <w:p w14:paraId="07F7C6DF" w14:textId="7F3043A9" w:rsidR="008C3AFB" w:rsidRDefault="00000000" w:rsidP="002C2DBE">
      <w:pPr>
        <w:pStyle w:val="MainTextwithTab"/>
      </w:pPr>
      <w:r>
        <w:rPr>
          <w:noProof/>
        </w:rPr>
        <w:pict w14:anchorId="07DB3295">
          <v:shapetype id="_x0000_t202" coordsize="21600,21600" o:spt="202" path="m,l,21600r21600,l21600,xe">
            <v:stroke joinstyle="miter"/>
            <v:path gradientshapeok="t" o:connecttype="rect"/>
          </v:shapetype>
          <v:shape id="_x0000_s2053" type="#_x0000_t202" style="position:absolute;left:0;text-align:left;margin-left:269pt;margin-top:18.3pt;width:251.7pt;height:192.95pt;z-index:251658242;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">
            <v:textbox style="mso-next-textbox:#_x0000_s2053">
              <w:txbxContent>
                <w:p w14:paraId="528D1640" w14:textId="3B718EDD" w:rsidR="00314906" w:rsidRDefault="00314906">
                  <w:r>
                    <w:rPr>
                      <w:noProof/>
                    </w:rPr>
                    <w:drawing>
                      <wp:inline distT="0" distB="0" distL="0" distR="0" wp14:anchorId="1A4FF4A0" wp14:editId="00A05133">
                        <wp:extent cx="3065069" cy="2066842"/>
                        <wp:effectExtent l="0" t="0" r="2540"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3"/>
                                <a:stretch>
                                  <a:fillRect/>
                                </a:stretch>
                              </pic:blipFill>
                              <pic:spPr>
                                <a:xfrm>
                                  <a:off x="0" y="0"/>
                                  <a:ext cx="3079915" cy="2076853"/>
                                </a:xfrm>
                                <a:prstGeom prst="rect">
                                  <a:avLst/>
                                </a:prstGeom>
                              </pic:spPr>
                            </pic:pic>
                          </a:graphicData>
                        </a:graphic>
                      </wp:inline>
                    </w:drawing>
                  </w:r>
                </w:p>
                <w:p w14:paraId="6B53DA76" w14:textId="1B652FD2" w:rsidR="00314906" w:rsidRPr="002C2DBE" w:rsidRDefault="00314906" w:rsidP="00E20FC6">
                  <w:pPr>
                    <w:pStyle w:val="FigureLegendMain"/>
                    <w:keepNext/>
                  </w:pPr>
                  <w:r w:rsidRPr="00E20FC6">
                    <w:rPr>
                      <w:rStyle w:val="FigureLegendTitleTegn"/>
                    </w:rPr>
                    <w:t xml:space="preserve">Figure </w:t>
                  </w:r>
                  <w:r w:rsidR="00E20FC6" w:rsidRPr="00E20FC6">
                    <w:rPr>
                      <w:rStyle w:val="FigureLegendTitleTegn"/>
                    </w:rPr>
                    <w:fldChar w:fldCharType="begin"/>
                  </w:r>
                  <w:r w:rsidR="00E20FC6" w:rsidRPr="00E20FC6">
                    <w:rPr>
                      <w:rStyle w:val="FigureLegendTitleTegn"/>
                    </w:rPr>
                    <w:instrText xml:space="preserve"> SEQ Figure \* ARABIC </w:instrText>
                  </w:r>
                  <w:r w:rsidR="00E20FC6" w:rsidRPr="00E20FC6">
                    <w:rPr>
                      <w:rStyle w:val="FigureLegendTitleTegn"/>
                    </w:rPr>
                    <w:fldChar w:fldCharType="separate"/>
                  </w:r>
                  <w:r w:rsidR="00E20FC6">
                    <w:rPr>
                      <w:rStyle w:val="FigureLegendTitleTegn"/>
                      <w:noProof/>
                    </w:rPr>
                    <w:t>1</w:t>
                  </w:r>
                  <w:r w:rsidR="00E20FC6" w:rsidRPr="00E20FC6">
                    <w:rPr>
                      <w:rStyle w:val="FigureLegendTitleTegn"/>
                    </w:rPr>
                    <w:fldChar w:fldCharType="end"/>
                  </w:r>
                  <w:r w:rsidRPr="00B4753D">
                    <w:rPr>
                      <w:rStyle w:val="FigureLegendTitleTegn"/>
                    </w:rPr>
                    <w:t xml:space="preserve">: </w:t>
                  </w:r>
                  <w:r>
                    <w:rPr>
                      <w:rStyle w:val="FigureLegendTitleTegn"/>
                    </w:rPr>
                    <w:t xml:space="preserve">Single trial pupil size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1094B36C" w14:textId="77777777" w:rsidR="00314906" w:rsidRDefault="00314906"/>
              </w:txbxContent>
            </v:textbox>
            <w10:wrap type="square" anchorx="margin"/>
          </v:shape>
        </w:pict>
      </w:r>
      <w:r w:rsidR="00D565D6" w:rsidRPr="00D565D6">
        <w:t xml:space="preserve">1: </w:t>
      </w:r>
      <w:r w:rsidR="008C3AFB">
        <w:t>Feedback s</w:t>
      </w:r>
      <w:r w:rsidR="00D565D6" w:rsidRPr="00D565D6">
        <w:t>cal</w:t>
      </w:r>
      <w:r w:rsidR="008C3AFB">
        <w:t>ing</w:t>
      </w:r>
      <w:r w:rsidR="00D565D6" w:rsidRPr="00D565D6">
        <w:t xml:space="preserve"> influences tremor </w:t>
      </w:r>
      <w:r w:rsidR="008C3AFB">
        <w:t>severity in different sensory feedback conditions in ET patients, not HC.</w:t>
      </w:r>
    </w:p>
    <w:p w14:paraId="7CCE0923" w14:textId="49112CC9" w:rsidR="00D565D6" w:rsidRPr="00D565D6" w:rsidRDefault="008C3AFB" w:rsidP="002C2DBE">
      <w:pPr>
        <w:pStyle w:val="MainTextwithTab"/>
      </w:pPr>
      <w:r>
        <w:t>2: Increased p</w:t>
      </w:r>
      <w:r w:rsidR="00D565D6" w:rsidRPr="00D565D6">
        <w:t xml:space="preserve">upil </w:t>
      </w:r>
      <w:r w:rsidRPr="00D565D6">
        <w:t>dilation</w:t>
      </w:r>
      <w:r w:rsidR="00D565D6" w:rsidRPr="00D565D6">
        <w:t xml:space="preserve"> </w:t>
      </w:r>
      <w:r>
        <w:t>during the task is expected during more prominent feedback</w:t>
      </w:r>
    </w:p>
    <w:p w14:paraId="5E9826DF" w14:textId="491FDD5B" w:rsidR="00D565D6" w:rsidRDefault="008C3AFB" w:rsidP="002C2DBE">
      <w:pPr>
        <w:pStyle w:val="MainTextwithTab"/>
      </w:pPr>
      <w:r>
        <w:t xml:space="preserve">3: The higher gain with increased scaling in tremor force is reflected in pupil </w:t>
      </w:r>
      <w:proofErr w:type="spellStart"/>
      <w:r>
        <w:t>dialation</w:t>
      </w:r>
      <w:proofErr w:type="spellEnd"/>
      <w:r>
        <w:t>.</w:t>
      </w:r>
    </w:p>
    <w:p w14:paraId="667BC9DE" w14:textId="35FC3360" w:rsidR="002C2DBE" w:rsidRDefault="002C2DBE" w:rsidP="002C2DBE">
      <w:pPr>
        <w:pStyle w:val="MainTextwithTab"/>
      </w:pPr>
    </w:p>
    <w:p w14:paraId="274BA8AB" w14:textId="73922198" w:rsidR="002C2DBE" w:rsidRDefault="002C2DBE" w:rsidP="002C2DBE">
      <w:pPr>
        <w:pStyle w:val="Heading4"/>
      </w:pPr>
      <w:r>
        <w:t>Vocabulary</w:t>
      </w:r>
    </w:p>
    <w:p w14:paraId="481FBB34" w14:textId="2E86DEA0" w:rsidR="002C2DBE" w:rsidRDefault="002C2DBE" w:rsidP="002C2DBE">
      <w:pPr>
        <w:pStyle w:val="MainText"/>
      </w:pPr>
      <w:r w:rsidRPr="002C2DBE">
        <w:rPr>
          <w:b/>
          <w:bCs/>
        </w:rPr>
        <w:t>Feedback condition</w:t>
      </w:r>
      <w:r w:rsidRPr="002C2DBE">
        <w:rPr>
          <w:i/>
          <w:iCs/>
        </w:rPr>
        <w:t xml:space="preserve"> </w:t>
      </w:r>
      <w:r>
        <w:t>-&gt; high vs. low gain</w:t>
      </w:r>
    </w:p>
    <w:p w14:paraId="07176CC8" w14:textId="56640F62" w:rsidR="002C2DBE" w:rsidRDefault="002C2DBE" w:rsidP="002C2DBE">
      <w:pPr>
        <w:pStyle w:val="MainText"/>
      </w:pPr>
      <w:r w:rsidRPr="002C2DBE">
        <w:rPr>
          <w:b/>
          <w:bCs/>
        </w:rPr>
        <w:t>Feedback type</w:t>
      </w:r>
      <w:r>
        <w:t xml:space="preserve"> -&gt; visual only (</w:t>
      </w:r>
      <w:proofErr w:type="spellStart"/>
      <w:r>
        <w:t>vo</w:t>
      </w:r>
      <w:proofErr w:type="spellEnd"/>
      <w:r>
        <w:t>), auditive-visual (av) and auditive-only (</w:t>
      </w:r>
      <w:proofErr w:type="spellStart"/>
      <w:r>
        <w:t>ao</w:t>
      </w:r>
      <w:proofErr w:type="spellEnd"/>
      <w:r>
        <w:t>)</w:t>
      </w:r>
    </w:p>
    <w:p w14:paraId="57AEF7DE" w14:textId="6E791F46" w:rsidR="002C2DBE" w:rsidRPr="002C2DBE" w:rsidRDefault="002C2DBE" w:rsidP="002C2DBE">
      <w:pPr>
        <w:pStyle w:val="MainText"/>
      </w:pPr>
      <w:r w:rsidRPr="002C2DBE">
        <w:rPr>
          <w:b/>
          <w:bCs/>
        </w:rPr>
        <w:t>Groups</w:t>
      </w:r>
      <w:r>
        <w:t xml:space="preserve"> -&gt; essential tremor patients (ET) and healthy controls (HC)</w:t>
      </w:r>
    </w:p>
    <w:p w14:paraId="51B1BC64" w14:textId="77777777" w:rsidR="002C2DBE" w:rsidRDefault="002C2DBE" w:rsidP="002C2DBE">
      <w:pPr>
        <w:pStyle w:val="MainTextwithTab"/>
      </w:pPr>
    </w:p>
    <w:p w14:paraId="4F6E5625" w14:textId="77777777" w:rsidR="002C2DBE" w:rsidRDefault="002C2DBE" w:rsidP="00D565D6">
      <w:pPr>
        <w:pStyle w:val="MainText"/>
      </w:pPr>
    </w:p>
    <w:p w14:paraId="0825F38F" w14:textId="49D3666C" w:rsidR="009208BA" w:rsidRDefault="001F543C" w:rsidP="009208BA">
      <w:pPr>
        <w:pStyle w:val="Heading1"/>
      </w:pPr>
      <w:r w:rsidRPr="00892B5D">
        <w:t>Results</w:t>
      </w:r>
    </w:p>
    <w:p w14:paraId="4E0D1B7E" w14:textId="1A54D903" w:rsidR="00711CDC" w:rsidRDefault="00711CDC" w:rsidP="00711CDC">
      <w:pPr>
        <w:pStyle w:val="Heading2"/>
      </w:pPr>
      <w:r>
        <w:t>Clinical data</w:t>
      </w:r>
    </w:p>
    <w:p w14:paraId="4415FCC4" w14:textId="354C6ECB" w:rsidR="00711CDC" w:rsidRDefault="00000000" w:rsidP="00711CDC">
      <w:r>
        <w:rPr>
          <w:noProof/>
        </w:rPr>
        <w:pict w14:anchorId="63C6F835">
          <v:shape id="_x0000_s2056" type="#_x0000_t202" style="position:absolute;left:0;text-align:left;margin-left:156.3pt;margin-top:8.2pt;width:343.5pt;height:169.6pt;z-index:25166131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" stroked="f">
            <v:textbox>
              <w:txbxContent>
                <w:p w14:paraId="3B0D8876" w14:textId="77777777" w:rsidR="00931240" w:rsidRDefault="00931240" w:rsidP="00931240">
                  <w:r>
                    <w:rPr>
                      <w:noProof/>
                    </w:rPr>
                    <w:drawing>
                      <wp:inline distT="0" distB="0" distL="0" distR="0" wp14:anchorId="16E2D09D" wp14:editId="1669CD5C">
                        <wp:extent cx="4572000" cy="152940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b="49756"/>
                                <a:stretch/>
                              </pic:blipFill>
                              <pic:spPr bwMode="auto">
                                <a:xfrm>
                                  <a:off x="0" y="0"/>
                                  <a:ext cx="4592051" cy="1536107"/>
                                </a:xfrm>
                                <a:prstGeom prst="rect">
                                  <a:avLst/>
                                </a:prstGeom>
                                <a:noFill/>
                                <a:ln>
                                  <a:noFill/>
                                </a:ln>
                                <a:extLst>
                                  <a:ext uri="{53640926-AAD7-44D8-BBD7-CCE9431645EC}">
                                    <a14:shadowObscured xmlns:a14="http://schemas.microsoft.com/office/drawing/2010/main"/>
                                  </a:ext>
                                </a:extLst>
                              </pic:spPr>
                            </pic:pic>
                          </a:graphicData>
                        </a:graphic>
                      </wp:inline>
                    </w:drawing>
                  </w:r>
                </w:p>
                <w:p w14:paraId="1138E279" w14:textId="77777777" w:rsidR="00931240" w:rsidRDefault="00931240" w:rsidP="00931240">
                  <w:pPr>
                    <w:pStyle w:val="Caption"/>
                    <w:spacing w:after="0"/>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Pr>
                      <w:rStyle w:val="FigureLegendTitleTegn"/>
                    </w:rPr>
                    <w:t>Pupil times series data of a single participant</w:t>
                  </w:r>
                  <w:r w:rsidRPr="00B4753D">
                    <w:rPr>
                      <w:rStyle w:val="FigureLegendTitleTegn"/>
                    </w:rPr>
                    <w:t>. (A)</w:t>
                  </w:r>
                  <w:r w:rsidRPr="00781102">
                    <w:t xml:space="preserve"> </w:t>
                  </w:r>
                  <w:r>
                    <w:t>Raw times series separate for all trials</w:t>
                  </w:r>
                  <w:r w:rsidRPr="00B4753D">
                    <w:t xml:space="preserve">. </w:t>
                  </w:r>
                </w:p>
                <w:p w14:paraId="4E54F9FF" w14:textId="77777777" w:rsidR="00931240" w:rsidRPr="00781102" w:rsidRDefault="00931240" w:rsidP="00931240">
                  <w:pPr>
                    <w:pStyle w:val="FigureLegendMain"/>
                  </w:pPr>
                  <w:r w:rsidRPr="00B4753D">
                    <w:rPr>
                      <w:rStyle w:val="FigureLegendTitleTegn"/>
                    </w:rPr>
                    <w:t>(B</w:t>
                  </w:r>
                  <w:r>
                    <w:rPr>
                      <w:rStyle w:val="FigureLegendTitleTegn"/>
                    </w:rPr>
                    <w:t xml:space="preserve"> &amp; C</w:t>
                  </w:r>
                  <w:r w:rsidRPr="00B4753D">
                    <w:rPr>
                      <w:rStyle w:val="FigureLegendTitleTegn"/>
                    </w:rPr>
                    <w:t>)</w:t>
                  </w:r>
                  <w:r w:rsidRPr="00B4753D">
                    <w:t xml:space="preserve"> </w:t>
                  </w:r>
                  <w:r>
                    <w:t>Distributions for baseline and trial part of epoch.</w:t>
                  </w:r>
                </w:p>
                <w:p w14:paraId="2D0794C3" w14:textId="77777777" w:rsidR="00931240" w:rsidRDefault="00931240" w:rsidP="00931240"/>
              </w:txbxContent>
            </v:textbox>
            <w10:wrap type="square"/>
          </v:shape>
        </w:pict>
      </w:r>
      <w:r w:rsidR="00711CDC">
        <w:t xml:space="preserve">We found a significant correlation between the TETRAS Score and the </w:t>
      </w:r>
      <w:proofErr w:type="spellStart"/>
      <w:r w:rsidR="00711CDC">
        <w:t>Schmahmann</w:t>
      </w:r>
      <w:proofErr w:type="spellEnd"/>
      <w:r w:rsidR="00711CDC">
        <w:t xml:space="preserve"> scale (r = -.21, p = 0.005), this correlation however dropped to r = -.1 (p = 0.197) when including age as a partial factor in the analysis. </w:t>
      </w:r>
    </w:p>
    <w:tbl>
      <w:tblPr>
        <w:tblpPr w:leftFromText="180" w:rightFromText="180" w:vertAnchor="text" w:horzAnchor="margin" w:tblpXSpec="right" w:tblpY="1548"/>
        <w:tblW w:w="5095" w:type="dxa"/>
        <w:tblLook w:val="04A0" w:firstRow="1" w:lastRow="0" w:firstColumn="1" w:lastColumn="0" w:noHBand="0" w:noVBand="1"/>
      </w:tblPr>
      <w:tblGrid>
        <w:gridCol w:w="1326"/>
        <w:gridCol w:w="726"/>
        <w:gridCol w:w="854"/>
        <w:gridCol w:w="1033"/>
        <w:gridCol w:w="1156"/>
      </w:tblGrid>
      <w:tr w:rsidR="00371DEA" w:rsidRPr="00267434" w14:paraId="42857951" w14:textId="77777777" w:rsidTr="00371DEA">
        <w:trPr>
          <w:trHeight w:val="238"/>
        </w:trPr>
        <w:tc>
          <w:tcPr>
            <w:tcW w:w="1326" w:type="dxa"/>
            <w:tcBorders>
              <w:top w:val="single" w:sz="6" w:space="0" w:color="auto"/>
              <w:left w:val="nil"/>
              <w:bottom w:val="single" w:sz="6" w:space="0" w:color="auto"/>
              <w:right w:val="nil"/>
            </w:tcBorders>
            <w:shd w:val="clear" w:color="auto" w:fill="auto"/>
            <w:vAlign w:val="center"/>
            <w:hideMark/>
          </w:tcPr>
          <w:p w14:paraId="1C7C2B9B" w14:textId="77777777" w:rsidR="00371DEA" w:rsidRPr="00267434" w:rsidRDefault="00371DEA" w:rsidP="00371DEA">
            <w:pPr>
              <w:pStyle w:val="MethodsText"/>
              <w:rPr>
                <w:lang w:val="en-GB" w:eastAsia="en-GB"/>
              </w:rPr>
            </w:pPr>
            <w:r w:rsidRPr="00267434">
              <w:rPr>
                <w:lang w:val="en-GB" w:eastAsia="en-GB"/>
              </w:rPr>
              <w:t> </w:t>
            </w:r>
          </w:p>
        </w:tc>
        <w:tc>
          <w:tcPr>
            <w:tcW w:w="726" w:type="dxa"/>
            <w:tcBorders>
              <w:top w:val="single" w:sz="6" w:space="0" w:color="auto"/>
              <w:left w:val="nil"/>
              <w:bottom w:val="single" w:sz="6" w:space="0" w:color="auto"/>
              <w:right w:val="nil"/>
            </w:tcBorders>
            <w:shd w:val="clear" w:color="auto" w:fill="auto"/>
            <w:vAlign w:val="center"/>
            <w:hideMark/>
          </w:tcPr>
          <w:p w14:paraId="62A197B9" w14:textId="77777777" w:rsidR="00371DEA" w:rsidRPr="00574C41" w:rsidRDefault="00371DEA" w:rsidP="00371DEA">
            <w:pPr>
              <w:pStyle w:val="MethodsText"/>
              <w:rPr>
                <w:rFonts w:ascii="Times New Roman" w:hAnsi="Times New Roman" w:cs="Times New Roman"/>
                <w:szCs w:val="15"/>
                <w:lang w:val="en-GB" w:eastAsia="en-GB"/>
              </w:rPr>
            </w:pPr>
            <w:r w:rsidRPr="00574C41">
              <w:rPr>
                <w:rFonts w:ascii="Times New Roman" w:hAnsi="Times New Roman" w:cs="Times New Roman"/>
                <w:szCs w:val="15"/>
                <w:lang w:val="en-GB" w:eastAsia="en-GB"/>
              </w:rPr>
              <w:t>Group</w:t>
            </w:r>
          </w:p>
        </w:tc>
        <w:tc>
          <w:tcPr>
            <w:tcW w:w="854" w:type="dxa"/>
            <w:tcBorders>
              <w:top w:val="single" w:sz="6" w:space="0" w:color="auto"/>
              <w:left w:val="nil"/>
              <w:bottom w:val="single" w:sz="6" w:space="0" w:color="auto"/>
              <w:right w:val="nil"/>
            </w:tcBorders>
            <w:shd w:val="clear" w:color="auto" w:fill="auto"/>
            <w:vAlign w:val="center"/>
            <w:hideMark/>
          </w:tcPr>
          <w:p w14:paraId="6C4679CF" w14:textId="77777777" w:rsidR="00371DEA" w:rsidRPr="00574C41" w:rsidRDefault="00371DEA" w:rsidP="00371DEA">
            <w:pPr>
              <w:pStyle w:val="MethodsText"/>
              <w:rPr>
                <w:rFonts w:ascii="Times New Roman" w:hAnsi="Times New Roman" w:cs="Times New Roman"/>
                <w:szCs w:val="15"/>
                <w:lang w:val="en-GB" w:eastAsia="en-GB"/>
              </w:rPr>
            </w:pPr>
            <w:r w:rsidRPr="00574C41">
              <w:rPr>
                <w:rFonts w:ascii="Times New Roman" w:hAnsi="Times New Roman" w:cs="Times New Roman"/>
                <w:szCs w:val="15"/>
                <w:lang w:val="en-GB" w:eastAsia="en-GB"/>
              </w:rPr>
              <w:t>Median</w:t>
            </w:r>
          </w:p>
        </w:tc>
        <w:tc>
          <w:tcPr>
            <w:tcW w:w="1033" w:type="dxa"/>
            <w:tcBorders>
              <w:top w:val="single" w:sz="6" w:space="0" w:color="auto"/>
              <w:left w:val="nil"/>
              <w:bottom w:val="single" w:sz="6" w:space="0" w:color="auto"/>
              <w:right w:val="nil"/>
            </w:tcBorders>
            <w:shd w:val="clear" w:color="auto" w:fill="auto"/>
            <w:vAlign w:val="center"/>
            <w:hideMark/>
          </w:tcPr>
          <w:p w14:paraId="66BBDFBA" w14:textId="77777777" w:rsidR="00371DEA"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[25</w:t>
            </w:r>
            <w:r w:rsidRPr="000A3583">
              <w:rPr>
                <w:rFonts w:ascii="Times New Roman" w:hAnsi="Times New Roman" w:cs="Times New Roman"/>
                <w:szCs w:val="15"/>
                <w:vertAlign w:val="superscript"/>
                <w:lang w:val="en-GB" w:eastAsia="en-GB"/>
              </w:rPr>
              <w:t>th</w:t>
            </w:r>
            <w:r>
              <w:rPr>
                <w:rFonts w:ascii="Times New Roman" w:hAnsi="Times New Roman" w:cs="Times New Roman"/>
                <w:szCs w:val="15"/>
                <w:lang w:val="en-GB" w:eastAsia="en-GB"/>
              </w:rPr>
              <w:t>/75</w:t>
            </w:r>
            <w:r w:rsidRPr="000A3583">
              <w:rPr>
                <w:rFonts w:ascii="Times New Roman" w:hAnsi="Times New Roman" w:cs="Times New Roman"/>
                <w:szCs w:val="15"/>
                <w:vertAlign w:val="superscript"/>
                <w:lang w:val="en-GB" w:eastAsia="en-GB"/>
              </w:rPr>
              <w:t>th</w:t>
            </w:r>
            <w:r>
              <w:rPr>
                <w:rFonts w:ascii="Times New Roman" w:hAnsi="Times New Roman" w:cs="Times New Roman"/>
                <w:szCs w:val="15"/>
                <w:lang w:val="en-GB" w:eastAsia="en-GB"/>
              </w:rPr>
              <w:t>]</w:t>
            </w:r>
          </w:p>
          <w:p w14:paraId="5082C134"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percentile</w:t>
            </w:r>
          </w:p>
        </w:tc>
        <w:tc>
          <w:tcPr>
            <w:tcW w:w="1156" w:type="dxa"/>
            <w:tcBorders>
              <w:top w:val="single" w:sz="6" w:space="0" w:color="auto"/>
              <w:left w:val="nil"/>
              <w:bottom w:val="single" w:sz="6" w:space="0" w:color="auto"/>
              <w:right w:val="nil"/>
            </w:tcBorders>
            <w:shd w:val="clear" w:color="auto" w:fill="auto"/>
            <w:vAlign w:val="center"/>
            <w:hideMark/>
          </w:tcPr>
          <w:p w14:paraId="433AD18A"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p-value*</w:t>
            </w:r>
          </w:p>
        </w:tc>
      </w:tr>
      <w:tr w:rsidR="00371DEA" w:rsidRPr="00267434" w14:paraId="2DF64D86" w14:textId="77777777" w:rsidTr="00371DEA">
        <w:trPr>
          <w:trHeight w:val="238"/>
        </w:trPr>
        <w:tc>
          <w:tcPr>
            <w:tcW w:w="1326" w:type="dxa"/>
            <w:vMerge w:val="restart"/>
            <w:tcBorders>
              <w:top w:val="single" w:sz="6" w:space="0" w:color="auto"/>
              <w:left w:val="nil"/>
              <w:bottom w:val="single" w:sz="2" w:space="0" w:color="auto"/>
              <w:right w:val="nil"/>
            </w:tcBorders>
            <w:shd w:val="clear" w:color="auto" w:fill="auto"/>
            <w:vAlign w:val="center"/>
            <w:hideMark/>
          </w:tcPr>
          <w:p w14:paraId="158BFEA2" w14:textId="77777777" w:rsidR="00371DEA" w:rsidRPr="00267434" w:rsidRDefault="00371DEA" w:rsidP="00371DEA">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Age [years]</w:t>
            </w:r>
          </w:p>
        </w:tc>
        <w:tc>
          <w:tcPr>
            <w:tcW w:w="726" w:type="dxa"/>
            <w:tcBorders>
              <w:top w:val="single" w:sz="6" w:space="0" w:color="auto"/>
              <w:left w:val="nil"/>
              <w:right w:val="nil"/>
            </w:tcBorders>
            <w:shd w:val="clear" w:color="auto" w:fill="auto"/>
            <w:vAlign w:val="center"/>
            <w:hideMark/>
          </w:tcPr>
          <w:p w14:paraId="36B43709"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6" w:space="0" w:color="auto"/>
              <w:left w:val="nil"/>
              <w:right w:val="nil"/>
            </w:tcBorders>
            <w:shd w:val="clear" w:color="auto" w:fill="auto"/>
            <w:vAlign w:val="center"/>
            <w:hideMark/>
          </w:tcPr>
          <w:p w14:paraId="3AB03839"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63.00</w:t>
            </w:r>
          </w:p>
        </w:tc>
        <w:tc>
          <w:tcPr>
            <w:tcW w:w="1033" w:type="dxa"/>
            <w:tcBorders>
              <w:top w:val="single" w:sz="6" w:space="0" w:color="auto"/>
              <w:left w:val="nil"/>
              <w:right w:val="nil"/>
            </w:tcBorders>
            <w:shd w:val="clear" w:color="auto" w:fill="auto"/>
            <w:vAlign w:val="center"/>
            <w:hideMark/>
          </w:tcPr>
          <w:p w14:paraId="1569C863"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[46.0/66.0]</w:t>
            </w:r>
          </w:p>
        </w:tc>
        <w:tc>
          <w:tcPr>
            <w:tcW w:w="1156" w:type="dxa"/>
            <w:vMerge w:val="restart"/>
            <w:tcBorders>
              <w:top w:val="single" w:sz="6" w:space="0" w:color="auto"/>
              <w:left w:val="nil"/>
              <w:right w:val="nil"/>
            </w:tcBorders>
            <w:shd w:val="clear" w:color="auto" w:fill="auto"/>
            <w:vAlign w:val="center"/>
            <w:hideMark/>
          </w:tcPr>
          <w:p w14:paraId="1639441A"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0.147</w:t>
            </w:r>
          </w:p>
        </w:tc>
      </w:tr>
      <w:tr w:rsidR="00371DEA" w:rsidRPr="00267434" w14:paraId="26A24C88" w14:textId="77777777" w:rsidTr="00371DEA">
        <w:trPr>
          <w:trHeight w:val="238"/>
        </w:trPr>
        <w:tc>
          <w:tcPr>
            <w:tcW w:w="1326" w:type="dxa"/>
            <w:vMerge/>
            <w:tcBorders>
              <w:top w:val="single" w:sz="4" w:space="0" w:color="auto"/>
              <w:left w:val="nil"/>
              <w:bottom w:val="single" w:sz="2" w:space="0" w:color="auto"/>
              <w:right w:val="nil"/>
            </w:tcBorders>
            <w:vAlign w:val="center"/>
            <w:hideMark/>
          </w:tcPr>
          <w:p w14:paraId="5D08CA5F" w14:textId="77777777" w:rsidR="00371DEA" w:rsidRPr="00267434" w:rsidRDefault="00371DEA" w:rsidP="00371DEA">
            <w:pPr>
              <w:pStyle w:val="MethodsText"/>
              <w:jc w:val="left"/>
              <w:rPr>
                <w:rFonts w:ascii="Times New Roman" w:hAnsi="Times New Roman" w:cs="Times New Roman"/>
                <w:szCs w:val="15"/>
                <w:lang w:val="en-GB" w:eastAsia="en-GB"/>
              </w:rPr>
            </w:pPr>
          </w:p>
        </w:tc>
        <w:tc>
          <w:tcPr>
            <w:tcW w:w="726" w:type="dxa"/>
            <w:tcBorders>
              <w:top w:val="nil"/>
              <w:left w:val="nil"/>
              <w:bottom w:val="single" w:sz="2" w:space="0" w:color="auto"/>
              <w:right w:val="nil"/>
            </w:tcBorders>
            <w:shd w:val="clear" w:color="auto" w:fill="auto"/>
            <w:vAlign w:val="center"/>
            <w:hideMark/>
          </w:tcPr>
          <w:p w14:paraId="35487D4C"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2" w:space="0" w:color="auto"/>
              <w:right w:val="nil"/>
            </w:tcBorders>
            <w:shd w:val="clear" w:color="auto" w:fill="auto"/>
            <w:vAlign w:val="center"/>
            <w:hideMark/>
          </w:tcPr>
          <w:p w14:paraId="38FB9DD5"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65.50</w:t>
            </w:r>
          </w:p>
        </w:tc>
        <w:tc>
          <w:tcPr>
            <w:tcW w:w="1033" w:type="dxa"/>
            <w:tcBorders>
              <w:top w:val="nil"/>
              <w:left w:val="nil"/>
              <w:bottom w:val="single" w:sz="2" w:space="0" w:color="auto"/>
              <w:right w:val="nil"/>
            </w:tcBorders>
            <w:shd w:val="clear" w:color="auto" w:fill="auto"/>
            <w:vAlign w:val="center"/>
            <w:hideMark/>
          </w:tcPr>
          <w:p w14:paraId="27E2CA53"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[61.0/74.0]</w:t>
            </w:r>
          </w:p>
        </w:tc>
        <w:tc>
          <w:tcPr>
            <w:tcW w:w="1156" w:type="dxa"/>
            <w:vMerge/>
            <w:tcBorders>
              <w:left w:val="nil"/>
              <w:bottom w:val="single" w:sz="2" w:space="0" w:color="auto"/>
              <w:right w:val="nil"/>
            </w:tcBorders>
            <w:shd w:val="clear" w:color="auto" w:fill="auto"/>
            <w:vAlign w:val="center"/>
            <w:hideMark/>
          </w:tcPr>
          <w:p w14:paraId="427892BE" w14:textId="77777777" w:rsidR="00371DEA" w:rsidRPr="00267434" w:rsidRDefault="00371DEA" w:rsidP="00371DEA">
            <w:pPr>
              <w:pStyle w:val="MethodsText"/>
              <w:rPr>
                <w:rFonts w:ascii="Times New Roman" w:hAnsi="Times New Roman" w:cs="Times New Roman"/>
                <w:szCs w:val="15"/>
                <w:lang w:val="en-GB" w:eastAsia="en-GB"/>
              </w:rPr>
            </w:pPr>
          </w:p>
        </w:tc>
      </w:tr>
      <w:tr w:rsidR="00371DEA" w:rsidRPr="00267434" w14:paraId="68470827" w14:textId="77777777" w:rsidTr="00371DEA">
        <w:trPr>
          <w:trHeight w:val="238"/>
        </w:trPr>
        <w:tc>
          <w:tcPr>
            <w:tcW w:w="1326" w:type="dxa"/>
            <w:vMerge w:val="restart"/>
            <w:tcBorders>
              <w:top w:val="nil"/>
              <w:left w:val="nil"/>
              <w:bottom w:val="single" w:sz="2" w:space="0" w:color="auto"/>
              <w:right w:val="nil"/>
            </w:tcBorders>
            <w:shd w:val="clear" w:color="auto" w:fill="auto"/>
            <w:vAlign w:val="center"/>
            <w:hideMark/>
          </w:tcPr>
          <w:p w14:paraId="3B5EB827" w14:textId="77777777" w:rsidR="00371DEA" w:rsidRPr="00267434" w:rsidRDefault="00371DEA" w:rsidP="00371DEA">
            <w:pPr>
              <w:pStyle w:val="MethodsText"/>
              <w:jc w:val="left"/>
              <w:rPr>
                <w:rFonts w:ascii="Times New Roman" w:hAnsi="Times New Roman" w:cs="Times New Roman"/>
                <w:szCs w:val="15"/>
                <w:lang w:val="en-GB" w:eastAsia="en-GB"/>
              </w:rPr>
            </w:pPr>
            <w:r w:rsidRPr="00267434">
              <w:rPr>
                <w:rFonts w:ascii="Times New Roman" w:hAnsi="Times New Roman" w:cs="Times New Roman"/>
                <w:szCs w:val="15"/>
                <w:lang w:val="en-GB" w:eastAsia="en-GB"/>
              </w:rPr>
              <w:t>BDI</w:t>
            </w:r>
            <w:r>
              <w:rPr>
                <w:rFonts w:ascii="Times New Roman" w:hAnsi="Times New Roman" w:cs="Times New Roman"/>
                <w:szCs w:val="15"/>
                <w:lang w:val="en-GB" w:eastAsia="en-GB"/>
              </w:rPr>
              <w:t xml:space="preserve"> </w:t>
            </w:r>
            <w:r w:rsidRPr="00267434">
              <w:rPr>
                <w:rFonts w:ascii="Times New Roman" w:hAnsi="Times New Roman" w:cs="Times New Roman"/>
                <w:szCs w:val="15"/>
                <w:lang w:val="en-GB" w:eastAsia="en-GB"/>
              </w:rPr>
              <w:t>Score</w:t>
            </w:r>
            <w:r>
              <w:rPr>
                <w:rFonts w:ascii="Times New Roman" w:hAnsi="Times New Roman" w:cs="Times New Roman"/>
                <w:szCs w:val="15"/>
                <w:lang w:val="en-GB" w:eastAsia="en-GB"/>
              </w:rPr>
              <w:t xml:space="preserve"> [n]</w:t>
            </w:r>
          </w:p>
        </w:tc>
        <w:tc>
          <w:tcPr>
            <w:tcW w:w="726" w:type="dxa"/>
            <w:tcBorders>
              <w:top w:val="single" w:sz="2" w:space="0" w:color="auto"/>
              <w:left w:val="nil"/>
              <w:right w:val="nil"/>
            </w:tcBorders>
            <w:shd w:val="clear" w:color="auto" w:fill="auto"/>
            <w:vAlign w:val="center"/>
            <w:hideMark/>
          </w:tcPr>
          <w:p w14:paraId="3BCB733B"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2" w:space="0" w:color="auto"/>
              <w:left w:val="nil"/>
              <w:right w:val="nil"/>
            </w:tcBorders>
            <w:shd w:val="clear" w:color="auto" w:fill="auto"/>
            <w:vAlign w:val="center"/>
            <w:hideMark/>
          </w:tcPr>
          <w:p w14:paraId="071067B8"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0.50</w:t>
            </w:r>
          </w:p>
        </w:tc>
        <w:tc>
          <w:tcPr>
            <w:tcW w:w="1033" w:type="dxa"/>
            <w:tcBorders>
              <w:top w:val="single" w:sz="2" w:space="0" w:color="auto"/>
              <w:left w:val="nil"/>
              <w:right w:val="nil"/>
            </w:tcBorders>
            <w:shd w:val="clear" w:color="auto" w:fill="auto"/>
            <w:vAlign w:val="center"/>
            <w:hideMark/>
          </w:tcPr>
          <w:p w14:paraId="1B67A3AF"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[0.0/1.8]</w:t>
            </w:r>
          </w:p>
        </w:tc>
        <w:tc>
          <w:tcPr>
            <w:tcW w:w="1156" w:type="dxa"/>
            <w:vMerge w:val="restart"/>
            <w:tcBorders>
              <w:top w:val="single" w:sz="2" w:space="0" w:color="auto"/>
              <w:left w:val="nil"/>
              <w:right w:val="nil"/>
            </w:tcBorders>
            <w:shd w:val="clear" w:color="auto" w:fill="auto"/>
            <w:vAlign w:val="center"/>
            <w:hideMark/>
          </w:tcPr>
          <w:p w14:paraId="71FF3FFF"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0.003</w:t>
            </w:r>
          </w:p>
        </w:tc>
      </w:tr>
      <w:tr w:rsidR="00371DEA" w:rsidRPr="00267434" w14:paraId="31BB5CB3" w14:textId="77777777" w:rsidTr="00371DEA">
        <w:trPr>
          <w:trHeight w:val="238"/>
        </w:trPr>
        <w:tc>
          <w:tcPr>
            <w:tcW w:w="1326" w:type="dxa"/>
            <w:vMerge/>
            <w:tcBorders>
              <w:top w:val="nil"/>
              <w:left w:val="nil"/>
              <w:bottom w:val="single" w:sz="2" w:space="0" w:color="auto"/>
              <w:right w:val="nil"/>
            </w:tcBorders>
            <w:vAlign w:val="center"/>
            <w:hideMark/>
          </w:tcPr>
          <w:p w14:paraId="0810BD60" w14:textId="77777777" w:rsidR="00371DEA" w:rsidRPr="00267434" w:rsidRDefault="00371DEA" w:rsidP="00371DEA">
            <w:pPr>
              <w:pStyle w:val="MethodsText"/>
              <w:jc w:val="left"/>
              <w:rPr>
                <w:rFonts w:ascii="Times New Roman" w:hAnsi="Times New Roman" w:cs="Times New Roman"/>
                <w:szCs w:val="15"/>
                <w:lang w:val="en-GB" w:eastAsia="en-GB"/>
              </w:rPr>
            </w:pPr>
          </w:p>
        </w:tc>
        <w:tc>
          <w:tcPr>
            <w:tcW w:w="726" w:type="dxa"/>
            <w:tcBorders>
              <w:top w:val="nil"/>
              <w:left w:val="nil"/>
              <w:bottom w:val="single" w:sz="2" w:space="0" w:color="auto"/>
              <w:right w:val="nil"/>
            </w:tcBorders>
            <w:shd w:val="clear" w:color="auto" w:fill="auto"/>
            <w:vAlign w:val="center"/>
            <w:hideMark/>
          </w:tcPr>
          <w:p w14:paraId="053DD35C"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2" w:space="0" w:color="auto"/>
              <w:right w:val="nil"/>
            </w:tcBorders>
            <w:shd w:val="clear" w:color="auto" w:fill="auto"/>
            <w:vAlign w:val="center"/>
            <w:hideMark/>
          </w:tcPr>
          <w:p w14:paraId="2FE22ED7"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8.</w:t>
            </w:r>
            <w:r>
              <w:rPr>
                <w:rFonts w:ascii="Times New Roman" w:hAnsi="Times New Roman" w:cs="Times New Roman"/>
                <w:szCs w:val="15"/>
                <w:lang w:val="en-GB" w:eastAsia="en-GB"/>
              </w:rPr>
              <w:t>00</w:t>
            </w:r>
          </w:p>
        </w:tc>
        <w:tc>
          <w:tcPr>
            <w:tcW w:w="1033" w:type="dxa"/>
            <w:tcBorders>
              <w:top w:val="nil"/>
              <w:left w:val="nil"/>
              <w:bottom w:val="single" w:sz="2" w:space="0" w:color="auto"/>
              <w:right w:val="nil"/>
            </w:tcBorders>
            <w:shd w:val="clear" w:color="auto" w:fill="auto"/>
            <w:vAlign w:val="center"/>
            <w:hideMark/>
          </w:tcPr>
          <w:p w14:paraId="132BAD59"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[5.0/11.0]</w:t>
            </w:r>
          </w:p>
        </w:tc>
        <w:tc>
          <w:tcPr>
            <w:tcW w:w="1156" w:type="dxa"/>
            <w:vMerge/>
            <w:tcBorders>
              <w:left w:val="nil"/>
              <w:bottom w:val="single" w:sz="2" w:space="0" w:color="auto"/>
              <w:right w:val="nil"/>
            </w:tcBorders>
            <w:shd w:val="clear" w:color="auto" w:fill="auto"/>
            <w:vAlign w:val="center"/>
            <w:hideMark/>
          </w:tcPr>
          <w:p w14:paraId="0DA5EE80" w14:textId="77777777" w:rsidR="00371DEA" w:rsidRPr="00267434" w:rsidRDefault="00371DEA" w:rsidP="00371DEA">
            <w:pPr>
              <w:pStyle w:val="MethodsText"/>
              <w:rPr>
                <w:rFonts w:ascii="Times New Roman" w:hAnsi="Times New Roman" w:cs="Times New Roman"/>
                <w:szCs w:val="15"/>
                <w:lang w:val="en-GB" w:eastAsia="en-GB"/>
              </w:rPr>
            </w:pPr>
          </w:p>
        </w:tc>
      </w:tr>
      <w:tr w:rsidR="00371DEA" w:rsidRPr="00267434" w14:paraId="75970963" w14:textId="77777777" w:rsidTr="00371DEA">
        <w:trPr>
          <w:trHeight w:val="238"/>
        </w:trPr>
        <w:tc>
          <w:tcPr>
            <w:tcW w:w="1326" w:type="dxa"/>
            <w:vMerge w:val="restart"/>
            <w:tcBorders>
              <w:top w:val="nil"/>
              <w:left w:val="nil"/>
              <w:bottom w:val="single" w:sz="2" w:space="0" w:color="auto"/>
              <w:right w:val="nil"/>
            </w:tcBorders>
            <w:shd w:val="clear" w:color="auto" w:fill="auto"/>
            <w:vAlign w:val="center"/>
            <w:hideMark/>
          </w:tcPr>
          <w:p w14:paraId="7BDFFB57" w14:textId="77777777" w:rsidR="00371DEA" w:rsidRPr="00267434" w:rsidRDefault="00371DEA" w:rsidP="00371DEA">
            <w:pPr>
              <w:pStyle w:val="MethodsText"/>
              <w:jc w:val="left"/>
              <w:rPr>
                <w:rFonts w:ascii="Times New Roman" w:hAnsi="Times New Roman" w:cs="Times New Roman"/>
                <w:szCs w:val="15"/>
                <w:lang w:val="en-GB" w:eastAsia="en-GB"/>
              </w:rPr>
            </w:pPr>
            <w:proofErr w:type="spellStart"/>
            <w:r w:rsidRPr="00267434">
              <w:rPr>
                <w:rFonts w:ascii="Times New Roman" w:hAnsi="Times New Roman" w:cs="Times New Roman"/>
                <w:szCs w:val="15"/>
                <w:lang w:val="en-GB" w:eastAsia="en-GB"/>
              </w:rPr>
              <w:t>Sch</w:t>
            </w:r>
            <w:r>
              <w:rPr>
                <w:rFonts w:ascii="Times New Roman" w:hAnsi="Times New Roman" w:cs="Times New Roman"/>
                <w:szCs w:val="15"/>
                <w:lang w:val="en-GB" w:eastAsia="en-GB"/>
              </w:rPr>
              <w:t>mah</w:t>
            </w:r>
            <w:r w:rsidRPr="00267434">
              <w:rPr>
                <w:rFonts w:ascii="Times New Roman" w:hAnsi="Times New Roman" w:cs="Times New Roman"/>
                <w:szCs w:val="15"/>
                <w:lang w:val="en-GB" w:eastAsia="en-GB"/>
              </w:rPr>
              <w:t>mann</w:t>
            </w:r>
            <w:proofErr w:type="spellEnd"/>
            <w:r w:rsidRPr="00267434">
              <w:rPr>
                <w:rFonts w:ascii="Times New Roman" w:hAnsi="Times New Roman" w:cs="Times New Roman"/>
                <w:szCs w:val="15"/>
                <w:lang w:val="en-GB" w:eastAsia="en-GB"/>
              </w:rPr>
              <w:t xml:space="preserve"> </w:t>
            </w:r>
            <w:r>
              <w:rPr>
                <w:rFonts w:ascii="Times New Roman" w:hAnsi="Times New Roman" w:cs="Times New Roman"/>
                <w:szCs w:val="15"/>
                <w:lang w:val="en-GB" w:eastAsia="en-GB"/>
              </w:rPr>
              <w:t>Score [n]</w:t>
            </w:r>
          </w:p>
        </w:tc>
        <w:tc>
          <w:tcPr>
            <w:tcW w:w="726" w:type="dxa"/>
            <w:tcBorders>
              <w:top w:val="single" w:sz="2" w:space="0" w:color="auto"/>
              <w:left w:val="nil"/>
              <w:right w:val="nil"/>
            </w:tcBorders>
            <w:shd w:val="clear" w:color="auto" w:fill="auto"/>
            <w:vAlign w:val="center"/>
            <w:hideMark/>
          </w:tcPr>
          <w:p w14:paraId="5ABA4146"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2" w:space="0" w:color="auto"/>
              <w:left w:val="nil"/>
              <w:right w:val="nil"/>
            </w:tcBorders>
            <w:shd w:val="clear" w:color="auto" w:fill="auto"/>
            <w:vAlign w:val="center"/>
            <w:hideMark/>
          </w:tcPr>
          <w:p w14:paraId="36670042"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10</w:t>
            </w:r>
            <w:r>
              <w:rPr>
                <w:rFonts w:ascii="Times New Roman" w:hAnsi="Times New Roman" w:cs="Times New Roman"/>
                <w:szCs w:val="15"/>
                <w:lang w:val="en-GB" w:eastAsia="en-GB"/>
              </w:rPr>
              <w:t>7</w:t>
            </w:r>
            <w:r w:rsidRPr="00267434">
              <w:rPr>
                <w:rFonts w:ascii="Times New Roman" w:hAnsi="Times New Roman" w:cs="Times New Roman"/>
                <w:szCs w:val="15"/>
                <w:lang w:val="en-GB" w:eastAsia="en-GB"/>
              </w:rPr>
              <w:t>.0</w:t>
            </w:r>
            <w:r>
              <w:rPr>
                <w:rFonts w:ascii="Times New Roman" w:hAnsi="Times New Roman" w:cs="Times New Roman"/>
                <w:szCs w:val="15"/>
                <w:lang w:val="en-GB" w:eastAsia="en-GB"/>
              </w:rPr>
              <w:t>0</w:t>
            </w:r>
          </w:p>
        </w:tc>
        <w:tc>
          <w:tcPr>
            <w:tcW w:w="1033" w:type="dxa"/>
            <w:tcBorders>
              <w:top w:val="single" w:sz="2" w:space="0" w:color="auto"/>
              <w:left w:val="nil"/>
              <w:right w:val="nil"/>
            </w:tcBorders>
            <w:shd w:val="clear" w:color="auto" w:fill="auto"/>
            <w:vAlign w:val="center"/>
            <w:hideMark/>
          </w:tcPr>
          <w:p w14:paraId="2881B80C"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[102.0/111.0]</w:t>
            </w:r>
          </w:p>
        </w:tc>
        <w:tc>
          <w:tcPr>
            <w:tcW w:w="1156" w:type="dxa"/>
            <w:vMerge w:val="restart"/>
            <w:tcBorders>
              <w:top w:val="single" w:sz="2" w:space="0" w:color="auto"/>
              <w:left w:val="nil"/>
              <w:right w:val="nil"/>
            </w:tcBorders>
            <w:shd w:val="clear" w:color="auto" w:fill="auto"/>
            <w:vAlign w:val="center"/>
            <w:hideMark/>
          </w:tcPr>
          <w:p w14:paraId="137E768F"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0.046</w:t>
            </w:r>
          </w:p>
        </w:tc>
      </w:tr>
      <w:tr w:rsidR="00371DEA" w:rsidRPr="00267434" w14:paraId="5F2715AC" w14:textId="77777777" w:rsidTr="00371DEA">
        <w:trPr>
          <w:trHeight w:val="238"/>
        </w:trPr>
        <w:tc>
          <w:tcPr>
            <w:tcW w:w="1326" w:type="dxa"/>
            <w:vMerge/>
            <w:tcBorders>
              <w:top w:val="nil"/>
              <w:left w:val="nil"/>
              <w:bottom w:val="single" w:sz="2" w:space="0" w:color="auto"/>
              <w:right w:val="nil"/>
            </w:tcBorders>
            <w:vAlign w:val="center"/>
            <w:hideMark/>
          </w:tcPr>
          <w:p w14:paraId="3E501912" w14:textId="77777777" w:rsidR="00371DEA" w:rsidRPr="00267434" w:rsidRDefault="00371DEA" w:rsidP="00371DEA">
            <w:pPr>
              <w:pStyle w:val="MethodsText"/>
              <w:jc w:val="left"/>
              <w:rPr>
                <w:rFonts w:ascii="Times New Roman" w:hAnsi="Times New Roman" w:cs="Times New Roman"/>
                <w:szCs w:val="15"/>
                <w:lang w:val="en-GB" w:eastAsia="en-GB"/>
              </w:rPr>
            </w:pPr>
          </w:p>
        </w:tc>
        <w:tc>
          <w:tcPr>
            <w:tcW w:w="726" w:type="dxa"/>
            <w:tcBorders>
              <w:top w:val="nil"/>
              <w:left w:val="nil"/>
              <w:bottom w:val="single" w:sz="2" w:space="0" w:color="auto"/>
              <w:right w:val="nil"/>
            </w:tcBorders>
            <w:shd w:val="clear" w:color="auto" w:fill="auto"/>
            <w:vAlign w:val="center"/>
            <w:hideMark/>
          </w:tcPr>
          <w:p w14:paraId="21DE95FE"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2" w:space="0" w:color="auto"/>
              <w:right w:val="nil"/>
            </w:tcBorders>
            <w:shd w:val="clear" w:color="auto" w:fill="auto"/>
            <w:vAlign w:val="center"/>
            <w:hideMark/>
          </w:tcPr>
          <w:p w14:paraId="732CEB91"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9</w:t>
            </w:r>
            <w:r>
              <w:rPr>
                <w:rFonts w:ascii="Times New Roman" w:hAnsi="Times New Roman" w:cs="Times New Roman"/>
                <w:szCs w:val="15"/>
                <w:lang w:val="en-GB" w:eastAsia="en-GB"/>
              </w:rPr>
              <w:t>3.00</w:t>
            </w:r>
          </w:p>
        </w:tc>
        <w:tc>
          <w:tcPr>
            <w:tcW w:w="1033" w:type="dxa"/>
            <w:tcBorders>
              <w:top w:val="nil"/>
              <w:left w:val="nil"/>
              <w:bottom w:val="single" w:sz="2" w:space="0" w:color="auto"/>
              <w:right w:val="nil"/>
            </w:tcBorders>
            <w:shd w:val="clear" w:color="auto" w:fill="auto"/>
            <w:vAlign w:val="center"/>
            <w:hideMark/>
          </w:tcPr>
          <w:p w14:paraId="1D55FFA8"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[86.0/101.0]</w:t>
            </w:r>
          </w:p>
        </w:tc>
        <w:tc>
          <w:tcPr>
            <w:tcW w:w="1156" w:type="dxa"/>
            <w:vMerge/>
            <w:tcBorders>
              <w:left w:val="nil"/>
              <w:bottom w:val="single" w:sz="2" w:space="0" w:color="auto"/>
              <w:right w:val="nil"/>
            </w:tcBorders>
            <w:shd w:val="clear" w:color="auto" w:fill="auto"/>
            <w:vAlign w:val="center"/>
            <w:hideMark/>
          </w:tcPr>
          <w:p w14:paraId="073D8BC1" w14:textId="77777777" w:rsidR="00371DEA" w:rsidRPr="00267434" w:rsidRDefault="00371DEA" w:rsidP="00371DEA">
            <w:pPr>
              <w:pStyle w:val="MethodsText"/>
              <w:rPr>
                <w:rFonts w:ascii="Times New Roman" w:hAnsi="Times New Roman" w:cs="Times New Roman"/>
                <w:szCs w:val="15"/>
                <w:lang w:val="en-GB" w:eastAsia="en-GB"/>
              </w:rPr>
            </w:pPr>
          </w:p>
        </w:tc>
      </w:tr>
      <w:tr w:rsidR="00371DEA" w:rsidRPr="00267434" w14:paraId="615AE5E2" w14:textId="77777777" w:rsidTr="00371DEA">
        <w:trPr>
          <w:trHeight w:val="238"/>
        </w:trPr>
        <w:tc>
          <w:tcPr>
            <w:tcW w:w="1326" w:type="dxa"/>
            <w:vMerge w:val="restart"/>
            <w:tcBorders>
              <w:top w:val="single" w:sz="2" w:space="0" w:color="auto"/>
              <w:left w:val="nil"/>
              <w:bottom w:val="single" w:sz="4" w:space="0" w:color="000000"/>
              <w:right w:val="nil"/>
            </w:tcBorders>
            <w:shd w:val="clear" w:color="auto" w:fill="auto"/>
            <w:vAlign w:val="center"/>
            <w:hideMark/>
          </w:tcPr>
          <w:p w14:paraId="797747EA" w14:textId="77777777" w:rsidR="00371DEA" w:rsidRDefault="00371DEA" w:rsidP="00371DEA">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Tetras Score</w:t>
            </w:r>
          </w:p>
          <w:p w14:paraId="700ED371" w14:textId="77777777" w:rsidR="00371DEA" w:rsidRPr="00267434" w:rsidRDefault="00371DEA" w:rsidP="00371DEA">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[n]</w:t>
            </w:r>
          </w:p>
        </w:tc>
        <w:tc>
          <w:tcPr>
            <w:tcW w:w="726" w:type="dxa"/>
            <w:tcBorders>
              <w:top w:val="single" w:sz="2" w:space="0" w:color="auto"/>
              <w:left w:val="nil"/>
              <w:bottom w:val="nil"/>
              <w:right w:val="nil"/>
            </w:tcBorders>
            <w:shd w:val="clear" w:color="auto" w:fill="auto"/>
            <w:vAlign w:val="center"/>
            <w:hideMark/>
          </w:tcPr>
          <w:p w14:paraId="03D28493"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2" w:space="0" w:color="auto"/>
              <w:left w:val="nil"/>
              <w:bottom w:val="nil"/>
              <w:right w:val="nil"/>
            </w:tcBorders>
            <w:shd w:val="clear" w:color="auto" w:fill="auto"/>
            <w:vAlign w:val="center"/>
            <w:hideMark/>
          </w:tcPr>
          <w:p w14:paraId="3E34ABE2"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p>
        </w:tc>
        <w:tc>
          <w:tcPr>
            <w:tcW w:w="1033" w:type="dxa"/>
            <w:tcBorders>
              <w:top w:val="single" w:sz="2" w:space="0" w:color="auto"/>
              <w:left w:val="nil"/>
              <w:bottom w:val="nil"/>
              <w:right w:val="nil"/>
            </w:tcBorders>
            <w:shd w:val="clear" w:color="auto" w:fill="auto"/>
            <w:vAlign w:val="center"/>
            <w:hideMark/>
          </w:tcPr>
          <w:p w14:paraId="05B2C496"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p>
        </w:tc>
        <w:tc>
          <w:tcPr>
            <w:tcW w:w="1156" w:type="dxa"/>
            <w:vMerge w:val="restart"/>
            <w:tcBorders>
              <w:top w:val="single" w:sz="2" w:space="0" w:color="auto"/>
              <w:left w:val="nil"/>
              <w:right w:val="nil"/>
            </w:tcBorders>
            <w:shd w:val="clear" w:color="auto" w:fill="auto"/>
            <w:vAlign w:val="center"/>
            <w:hideMark/>
          </w:tcPr>
          <w:p w14:paraId="362C6CE9"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r>
              <w:rPr>
                <w:rFonts w:ascii="Times New Roman" w:hAnsi="Times New Roman" w:cs="Times New Roman"/>
                <w:szCs w:val="15"/>
                <w:lang w:val="en-GB" w:eastAsia="en-GB"/>
              </w:rPr>
              <w:t xml:space="preserve"> </w:t>
            </w:r>
          </w:p>
        </w:tc>
      </w:tr>
      <w:tr w:rsidR="00371DEA" w:rsidRPr="00267434" w14:paraId="075EBDC0" w14:textId="77777777" w:rsidTr="00371DEA">
        <w:trPr>
          <w:trHeight w:val="238"/>
        </w:trPr>
        <w:tc>
          <w:tcPr>
            <w:tcW w:w="1326" w:type="dxa"/>
            <w:vMerge/>
            <w:tcBorders>
              <w:top w:val="nil"/>
              <w:left w:val="nil"/>
              <w:bottom w:val="single" w:sz="12" w:space="0" w:color="auto"/>
              <w:right w:val="nil"/>
            </w:tcBorders>
            <w:vAlign w:val="center"/>
            <w:hideMark/>
          </w:tcPr>
          <w:p w14:paraId="7731F4A0" w14:textId="77777777" w:rsidR="00371DEA" w:rsidRPr="00267434" w:rsidRDefault="00371DEA" w:rsidP="00371DEA">
            <w:pPr>
              <w:pStyle w:val="MethodsText"/>
              <w:rPr>
                <w:rFonts w:ascii="Times New Roman" w:hAnsi="Times New Roman" w:cs="Times New Roman"/>
                <w:szCs w:val="15"/>
                <w:lang w:val="en-GB" w:eastAsia="en-GB"/>
              </w:rPr>
            </w:pPr>
          </w:p>
        </w:tc>
        <w:tc>
          <w:tcPr>
            <w:tcW w:w="726" w:type="dxa"/>
            <w:tcBorders>
              <w:top w:val="nil"/>
              <w:left w:val="nil"/>
              <w:bottom w:val="single" w:sz="12" w:space="0" w:color="auto"/>
              <w:right w:val="nil"/>
            </w:tcBorders>
            <w:shd w:val="clear" w:color="auto" w:fill="auto"/>
            <w:vAlign w:val="center"/>
            <w:hideMark/>
          </w:tcPr>
          <w:p w14:paraId="5282A30C" w14:textId="77777777" w:rsidR="00371DEA" w:rsidRPr="00267434" w:rsidRDefault="00371DEA" w:rsidP="00371DEA">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12" w:space="0" w:color="auto"/>
              <w:right w:val="nil"/>
            </w:tcBorders>
            <w:shd w:val="clear" w:color="auto" w:fill="auto"/>
            <w:vAlign w:val="center"/>
            <w:hideMark/>
          </w:tcPr>
          <w:p w14:paraId="78B5E630"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41.00</w:t>
            </w:r>
          </w:p>
        </w:tc>
        <w:tc>
          <w:tcPr>
            <w:tcW w:w="1033" w:type="dxa"/>
            <w:tcBorders>
              <w:top w:val="nil"/>
              <w:left w:val="nil"/>
              <w:bottom w:val="single" w:sz="12" w:space="0" w:color="auto"/>
              <w:right w:val="nil"/>
            </w:tcBorders>
            <w:shd w:val="clear" w:color="auto" w:fill="auto"/>
            <w:vAlign w:val="center"/>
            <w:hideMark/>
          </w:tcPr>
          <w:p w14:paraId="754CAFAD" w14:textId="77777777" w:rsidR="00371DEA" w:rsidRPr="00267434" w:rsidRDefault="00371DEA" w:rsidP="00371DEA">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[31.6/47.4]</w:t>
            </w:r>
          </w:p>
        </w:tc>
        <w:tc>
          <w:tcPr>
            <w:tcW w:w="1156" w:type="dxa"/>
            <w:vMerge/>
            <w:tcBorders>
              <w:left w:val="nil"/>
              <w:bottom w:val="single" w:sz="12" w:space="0" w:color="auto"/>
              <w:right w:val="nil"/>
            </w:tcBorders>
            <w:shd w:val="clear" w:color="auto" w:fill="auto"/>
            <w:vAlign w:val="center"/>
            <w:hideMark/>
          </w:tcPr>
          <w:p w14:paraId="19FC83F3" w14:textId="77777777" w:rsidR="00371DEA" w:rsidRPr="00267434" w:rsidRDefault="00371DEA" w:rsidP="00371DEA">
            <w:pPr>
              <w:pStyle w:val="MethodsText"/>
              <w:rPr>
                <w:rFonts w:ascii="Times New Roman" w:hAnsi="Times New Roman" w:cs="Times New Roman"/>
                <w:szCs w:val="15"/>
                <w:lang w:val="en-GB" w:eastAsia="en-GB"/>
              </w:rPr>
            </w:pPr>
          </w:p>
        </w:tc>
      </w:tr>
      <w:tr w:rsidR="00371DEA" w:rsidRPr="00267434" w14:paraId="5CA3984A" w14:textId="77777777" w:rsidTr="00371DEA">
        <w:trPr>
          <w:trHeight w:val="238"/>
        </w:trPr>
        <w:tc>
          <w:tcPr>
            <w:tcW w:w="5095" w:type="dxa"/>
            <w:gridSpan w:val="5"/>
            <w:tcBorders>
              <w:top w:val="single" w:sz="12" w:space="0" w:color="auto"/>
              <w:left w:val="nil"/>
              <w:right w:val="nil"/>
            </w:tcBorders>
            <w:vAlign w:val="center"/>
          </w:tcPr>
          <w:p w14:paraId="58A21244" w14:textId="77777777" w:rsidR="00371DEA" w:rsidRPr="003D6B2A" w:rsidRDefault="00371DEA" w:rsidP="00371DEA">
            <w:pPr>
              <w:pStyle w:val="MethodsText"/>
              <w:rPr>
                <w:lang w:val="en-GB"/>
              </w:rPr>
            </w:pPr>
            <w:bookmarkStart w:id="1" w:name="_Ref119585075"/>
            <w:r>
              <w:t xml:space="preserve">Table </w:t>
            </w:r>
            <w:bookmarkEnd w:id="1"/>
            <w:r>
              <w:t>1</w:t>
            </w:r>
            <w:r>
              <w:rPr>
                <w:lang w:val="en-GB" w:eastAsia="en-GB"/>
              </w:rPr>
              <w:t xml:space="preserve">: c = control group, p = ET group, SD = standard deviation, - = not available, * = Mann-Whitney-U test. </w:t>
            </w:r>
          </w:p>
        </w:tc>
      </w:tr>
    </w:tbl>
    <w:p w14:paraId="77545EB8" w14:textId="29010DD8" w:rsidR="007D41F6" w:rsidRDefault="00367F4F" w:rsidP="00711CDC">
      <w:pPr>
        <w:rPr>
          <w:lang w:val="en-GB"/>
        </w:rPr>
      </w:pPr>
      <w:r w:rsidRPr="00367F4F">
        <w:rPr>
          <w:lang w:val="en-GB"/>
        </w:rPr>
        <w:t>For the TETRAS score patients showed a significant correlation with age</w:t>
      </w:r>
      <w:r>
        <w:rPr>
          <w:lang w:val="en-GB"/>
        </w:rPr>
        <w:t xml:space="preserve"> (r = 0.566, p = 0.035)</w:t>
      </w:r>
      <w:r w:rsidRPr="00367F4F">
        <w:rPr>
          <w:lang w:val="en-GB"/>
        </w:rPr>
        <w:t>, not however with the BDI-II score</w:t>
      </w:r>
      <w:r>
        <w:rPr>
          <w:lang w:val="en-GB"/>
        </w:rPr>
        <w:t xml:space="preserve"> (r = -0.145, p = 0.637)</w:t>
      </w:r>
      <w:r w:rsidRPr="00367F4F">
        <w:rPr>
          <w:lang w:val="en-GB"/>
        </w:rPr>
        <w:t xml:space="preserve">. In the </w:t>
      </w:r>
      <w:proofErr w:type="spellStart"/>
      <w:r w:rsidR="007D41F6" w:rsidRPr="00367F4F">
        <w:rPr>
          <w:lang w:val="en-GB"/>
        </w:rPr>
        <w:t>Schahmann</w:t>
      </w:r>
      <w:proofErr w:type="spellEnd"/>
      <w:r w:rsidR="007D41F6" w:rsidRPr="00367F4F">
        <w:rPr>
          <w:lang w:val="en-GB"/>
        </w:rPr>
        <w:t xml:space="preserve"> </w:t>
      </w:r>
      <w:r w:rsidRPr="00367F4F">
        <w:rPr>
          <w:lang w:val="en-GB"/>
        </w:rPr>
        <w:t xml:space="preserve">scale </w:t>
      </w:r>
      <w:r w:rsidR="007D41F6" w:rsidRPr="00367F4F">
        <w:rPr>
          <w:lang w:val="en-GB"/>
        </w:rPr>
        <w:t>pat</w:t>
      </w:r>
      <w:r w:rsidRPr="00367F4F">
        <w:rPr>
          <w:lang w:val="en-GB"/>
        </w:rPr>
        <w:t xml:space="preserve">ients scored significantly fewer point than the healthy </w:t>
      </w:r>
      <w:proofErr w:type="gramStart"/>
      <w:r w:rsidRPr="00367F4F">
        <w:rPr>
          <w:lang w:val="en-GB"/>
        </w:rPr>
        <w:t>controls</w:t>
      </w:r>
      <w:r>
        <w:rPr>
          <w:lang w:val="en-GB"/>
        </w:rPr>
        <w:t>(</w:t>
      </w:r>
      <w:proofErr w:type="gramEnd"/>
      <w:r>
        <w:rPr>
          <w:lang w:val="en-GB"/>
        </w:rPr>
        <w:t>t = 2.226, p = 0.037), even though there was no significant age difference between the groups.</w:t>
      </w:r>
    </w:p>
    <w:p w14:paraId="287CDA15" w14:textId="77777777" w:rsidR="00371DEA" w:rsidRPr="00371DEA" w:rsidRDefault="00371DEA" w:rsidP="00711CDC"/>
    <w:p w14:paraId="437BE926" w14:textId="77777777" w:rsidR="009208BA" w:rsidRPr="007D41F6" w:rsidRDefault="009208BA" w:rsidP="009208BA">
      <w:pPr>
        <w:rPr>
          <w:lang w:val="en-GB"/>
        </w:rPr>
      </w:pPr>
    </w:p>
    <w:p w14:paraId="2CB78893" w14:textId="656DD533" w:rsidR="00BF3959" w:rsidRDefault="00D565D6" w:rsidP="00BF3959">
      <w:pPr>
        <w:pStyle w:val="Heading2"/>
      </w:pPr>
      <w:r>
        <w:t>Tremor force</w:t>
      </w:r>
    </w:p>
    <w:p w14:paraId="1EDA22EB" w14:textId="317E431B" w:rsidR="005B488C" w:rsidRDefault="00124A28" w:rsidP="00124A28">
      <w:pPr>
        <w:pStyle w:val="MainText"/>
        <w:rPr>
          <w:noProof/>
        </w:rPr>
      </w:pPr>
      <w:r>
        <w:rPr>
          <w:noProof/>
        </w:rPr>
        <w:t>Mean Force (MF), Rout-mean-squred-error (RMSE) and Force Power 0-3 Hz did not differ between conditions or groups.</w:t>
      </w:r>
    </w:p>
    <w:p w14:paraId="62A20C98" w14:textId="77777777" w:rsidR="00711CDC" w:rsidRDefault="00124A28" w:rsidP="002C2DBE">
      <w:pPr>
        <w:pStyle w:val="MainTextwithTab"/>
        <w:rPr>
          <w:noProof/>
        </w:rPr>
      </w:pPr>
      <w:r>
        <w:rPr>
          <w:noProof/>
        </w:rPr>
        <w:t xml:space="preserve">For the </w:t>
      </w:r>
      <w:r w:rsidR="00ED4D21">
        <w:rPr>
          <w:noProof/>
        </w:rPr>
        <w:t xml:space="preserve">differences in the tremor relevant frequency spectrum, we found a statistical significant difference between </w:t>
      </w:r>
      <w:r w:rsidR="002C2DBE">
        <w:rPr>
          <w:noProof/>
        </w:rPr>
        <w:t>each group in each of the feedback types, visual only (t[53]=39.00, p=0.018), auditiv-visual (t[53]=24.00, p=0.041) and auditiv only (t[53]=42.00, p=0.013)</w:t>
      </w:r>
      <w:r w:rsidR="005B488C">
        <w:rPr>
          <w:noProof/>
        </w:rPr>
        <w:t>.</w:t>
      </w:r>
      <w:r w:rsidR="002C2DBE" w:rsidRPr="002C2DBE">
        <w:rPr>
          <w:noProof/>
        </w:rPr>
        <w:t xml:space="preserve"> </w:t>
      </w:r>
    </w:p>
    <w:p w14:paraId="3022ED15" w14:textId="5A40AA26" w:rsidR="00085AD2" w:rsidRDefault="00711CDC" w:rsidP="002C2DBE">
      <w:pPr>
        <w:pStyle w:val="MainTextwithTab"/>
        <w:rPr>
          <w:noProof/>
        </w:rPr>
      </w:pPr>
      <w:r>
        <w:rPr>
          <w:noProof/>
        </w:rPr>
        <w:lastRenderedPageBreak/>
        <w:t xml:space="preserve">These stayed significant when including clinical scores such as </w:t>
      </w:r>
      <w:r w:rsidRPr="00367F4F">
        <w:rPr>
          <w:noProof/>
        </w:rPr>
        <w:t>TETRAS</w:t>
      </w:r>
      <w:r>
        <w:rPr>
          <w:noProof/>
        </w:rPr>
        <w:t xml:space="preserve"> in the analysis</w:t>
      </w:r>
      <w:r w:rsidR="00000000">
        <w:pict w14:anchorId="4BE0217B">
          <v:shape id="Text Box 2" o:spid="_x0000_s2057" type="#_x0000_t202" style="width:251.1pt;height:184.65pt;visibility:visible;mso-wrap-style:square;mso-left-percent:-10001;mso-top-percent:-10001;mso-position-horizontal:absolute;mso-position-horizontal-relative:char;mso-position-vertical:absolute;mso-position-vertical-relative:line;mso-left-percent:-10001;mso-top-percent:-10001;v-text-anchor:top" strokecolor="black [3213]" strokeweight="1pt">
            <v:textbox>
              <w:txbxContent>
                <w:p w14:paraId="569D6DFD" w14:textId="77777777" w:rsidR="002C2DBE" w:rsidRDefault="002C2DBE" w:rsidP="002C2DBE">
                  <w:r>
                    <w:rPr>
                      <w:noProof/>
                    </w:rPr>
                    <w:drawing>
                      <wp:inline distT="0" distB="0" distL="0" distR="0" wp14:anchorId="242F4E56" wp14:editId="45DCFEED">
                        <wp:extent cx="2992120" cy="2005965"/>
                        <wp:effectExtent l="0" t="0" r="0" b="0"/>
                        <wp:docPr id="16" name="Grafik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Chart&#10;&#10;Description automatically generated with medium confidence"/>
                                <pic:cNvPicPr>
                                  <a:picLocks noChangeAspect="1"/>
                                </pic:cNvPicPr>
                              </pic:nvPicPr>
                              <pic:blipFill>
                                <a:blip r:embed="rId15"/>
                                <a:stretch>
                                  <a:fillRect/>
                                </a:stretch>
                              </pic:blipFill>
                              <pic:spPr>
                                <a:xfrm>
                                  <a:off x="0" y="0"/>
                                  <a:ext cx="2992120" cy="2005965"/>
                                </a:xfrm>
                                <a:prstGeom prst="rect">
                                  <a:avLst/>
                                </a:prstGeom>
                              </pic:spPr>
                            </pic:pic>
                          </a:graphicData>
                        </a:graphic>
                      </wp:inline>
                    </w:drawing>
                  </w:r>
                </w:p>
                <w:p w14:paraId="70915840" w14:textId="4726937F" w:rsidR="002C2DBE" w:rsidRDefault="002C2DBE" w:rsidP="00E20FC6">
                  <w:pPr>
                    <w:pStyle w:val="FigureLegendMain"/>
                    <w:keepNext/>
                  </w:pPr>
                  <w:r w:rsidRPr="00B4753D">
                    <w:rPr>
                      <w:rStyle w:val="FigureLegendTitleTegn"/>
                    </w:rPr>
                    <w:t xml:space="preserve">Figure </w:t>
                  </w:r>
                  <w:r w:rsidR="00E20FC6" w:rsidRPr="00E20FC6">
                    <w:rPr>
                      <w:rStyle w:val="FigureLegendTitleTegn"/>
                    </w:rPr>
                    <w:fldChar w:fldCharType="begin"/>
                  </w:r>
                  <w:r w:rsidR="00E20FC6" w:rsidRPr="00E20FC6">
                    <w:rPr>
                      <w:rStyle w:val="FigureLegendTitleTegn"/>
                    </w:rPr>
                    <w:instrText xml:space="preserve"> SEQ Figure \* ARABIC </w:instrText>
                  </w:r>
                  <w:r w:rsidR="00E20FC6" w:rsidRPr="00E20FC6">
                    <w:rPr>
                      <w:rStyle w:val="FigureLegendTitleTegn"/>
                    </w:rPr>
                    <w:fldChar w:fldCharType="separate"/>
                  </w:r>
                  <w:r w:rsidR="00E20FC6">
                    <w:rPr>
                      <w:rStyle w:val="FigureLegendTitleTegn"/>
                      <w:noProof/>
                    </w:rPr>
                    <w:t>2</w:t>
                  </w:r>
                  <w:r w:rsidR="00E20FC6" w:rsidRPr="00E20FC6">
                    <w:rPr>
                      <w:rStyle w:val="FigureLegendTitleTegn"/>
                    </w:rPr>
                    <w:fldChar w:fldCharType="end"/>
                  </w:r>
                  <w:r w:rsidRPr="00B4753D">
                    <w:rPr>
                      <w:rStyle w:val="FigureLegendTitleTegn"/>
                    </w:rPr>
                    <w:t xml:space="preserve">: </w:t>
                  </w:r>
                  <w:r>
                    <w:rPr>
                      <w:rStyle w:val="FigureLegendTitleTegn"/>
                    </w:rPr>
                    <w:t xml:space="preserve">Single trial power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2DF549E0" w14:textId="77777777" w:rsidR="00931240" w:rsidRPr="002C2DBE" w:rsidRDefault="00931240" w:rsidP="00E20FC6">
                  <w:pPr>
                    <w:pStyle w:val="FigureLegendMain"/>
                    <w:keepNext/>
                  </w:pPr>
                </w:p>
                <w:p w14:paraId="12F38B2F" w14:textId="77777777" w:rsidR="002C2DBE" w:rsidRDefault="002C2DBE" w:rsidP="002C2DBE"/>
              </w:txbxContent>
            </v:textbox>
            <w10:anchorlock/>
          </v:shape>
        </w:pict>
      </w:r>
    </w:p>
    <w:p w14:paraId="62FCEFB6" w14:textId="1C84F7AE" w:rsidR="002C2DBE" w:rsidRDefault="002C2DBE" w:rsidP="002C2DBE">
      <w:pPr>
        <w:pStyle w:val="MainTextwithTab"/>
        <w:rPr>
          <w:noProof/>
        </w:rPr>
      </w:pPr>
    </w:p>
    <w:p w14:paraId="341E8A87" w14:textId="604F4197" w:rsidR="002C2DBE" w:rsidRDefault="002C2DBE" w:rsidP="002C2DBE">
      <w:pPr>
        <w:pStyle w:val="Heading2"/>
        <w:rPr>
          <w:noProof/>
        </w:rPr>
      </w:pPr>
      <w:r>
        <w:rPr>
          <w:noProof/>
        </w:rPr>
        <w:t>Pupil Size</w:t>
      </w:r>
    </w:p>
    <w:p w14:paraId="448DCCE3" w14:textId="1E00B760" w:rsidR="002C2DBE" w:rsidRDefault="002C2DBE" w:rsidP="002C2DBE">
      <w:pPr>
        <w:pStyle w:val="MainTextwithTab"/>
        <w:rPr>
          <w:noProof/>
        </w:rPr>
      </w:pPr>
      <w:r>
        <w:t xml:space="preserve">Pupil dilation also revealed significant differences between </w:t>
      </w:r>
      <w:r>
        <w:rPr>
          <w:noProof/>
        </w:rPr>
        <w:t>each feedback conditions in some of the feedback types, visual only (t[53]=</w:t>
      </w:r>
      <w:r w:rsidR="000138A9">
        <w:rPr>
          <w:noProof/>
        </w:rPr>
        <w:t>2</w:t>
      </w:r>
      <w:r>
        <w:rPr>
          <w:noProof/>
        </w:rPr>
        <w:t>.00, p=0.</w:t>
      </w:r>
      <w:r w:rsidR="000138A9">
        <w:rPr>
          <w:noProof/>
        </w:rPr>
        <w:t>187</w:t>
      </w:r>
      <w:r>
        <w:rPr>
          <w:noProof/>
        </w:rPr>
        <w:t>), auditiv-visual (t[53]=</w:t>
      </w:r>
      <w:r w:rsidR="000138A9">
        <w:rPr>
          <w:noProof/>
        </w:rPr>
        <w:t>2.33</w:t>
      </w:r>
      <w:r>
        <w:rPr>
          <w:noProof/>
        </w:rPr>
        <w:t>, p=0.0</w:t>
      </w:r>
      <w:r w:rsidR="000138A9">
        <w:rPr>
          <w:noProof/>
        </w:rPr>
        <w:t>22</w:t>
      </w:r>
      <w:r>
        <w:rPr>
          <w:noProof/>
        </w:rPr>
        <w:t>) and auditiv only (t[53]=</w:t>
      </w:r>
      <w:r w:rsidR="000138A9">
        <w:rPr>
          <w:noProof/>
        </w:rPr>
        <w:t>1.33</w:t>
      </w:r>
      <w:r>
        <w:rPr>
          <w:noProof/>
        </w:rPr>
        <w:t>, p=0.0</w:t>
      </w:r>
      <w:r w:rsidR="000138A9">
        <w:rPr>
          <w:noProof/>
        </w:rPr>
        <w:t>47</w:t>
      </w:r>
      <w:r>
        <w:rPr>
          <w:noProof/>
        </w:rPr>
        <w:t>)</w:t>
      </w:r>
      <w:r w:rsidR="00A23106">
        <w:rPr>
          <w:noProof/>
        </w:rPr>
        <w:t xml:space="preserve">. </w:t>
      </w:r>
    </w:p>
    <w:p w14:paraId="1C879985" w14:textId="0854DA0B" w:rsidR="00931240" w:rsidRDefault="00931240" w:rsidP="002C2DBE">
      <w:pPr>
        <w:pStyle w:val="MainTextwithTab"/>
        <w:rPr>
          <w:noProof/>
        </w:rPr>
      </w:pPr>
    </w:p>
    <w:p w14:paraId="2A3AC595" w14:textId="3F16C1AF" w:rsidR="001F543C" w:rsidRPr="00892B5D" w:rsidRDefault="001F543C" w:rsidP="00711CDC">
      <w:pPr>
        <w:pStyle w:val="Heading1"/>
      </w:pPr>
      <w:r w:rsidRPr="00892B5D">
        <w:t>Discussion</w:t>
      </w:r>
    </w:p>
    <w:p w14:paraId="001907BE" w14:textId="17E096AA" w:rsidR="00CC1D36" w:rsidRPr="00711CDC" w:rsidRDefault="00D84CD1"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MainTextTegn"/>
        </w:rPr>
        <w:t xml:space="preserve">In summary, we found that Essential tremor amplitude 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 xml:space="preserve">scaling, independently of the type of </w:t>
      </w:r>
      <w:r w:rsidR="00862D91" w:rsidRPr="00711CDC">
        <w:rPr>
          <w:rStyle w:val="MainTextTegn"/>
        </w:rPr>
        <w:t>sensation</w:t>
      </w:r>
      <w:r w:rsidR="00F447AB" w:rsidRPr="00711CDC">
        <w:rPr>
          <w:rStyle w:val="MainTextTegn"/>
        </w:rPr>
        <w:t>.</w:t>
      </w:r>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 of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Combined auditory and </w:t>
      </w:r>
      <w:r w:rsidR="0027778A" w:rsidRPr="00711CDC">
        <w:rPr>
          <w:rStyle w:val="Heading2Char"/>
          <w:rFonts w:ascii="STIX Two Text" w:eastAsiaTheme="minorEastAsia" w:hAnsi="STIX Two Text"/>
          <w:b w:val="0"/>
          <w:bCs w:val="0"/>
          <w:iCs w:val="0"/>
          <w:color w:val="000000" w:themeColor="text1"/>
          <w:sz w:val="20"/>
          <w:szCs w:val="20"/>
        </w:rPr>
        <w:t>visual feedback evoke</w:t>
      </w:r>
      <w:r w:rsidR="0053419D" w:rsidRPr="00711CDC">
        <w:rPr>
          <w:rStyle w:val="Heading2Char"/>
          <w:rFonts w:ascii="STIX Two Text" w:eastAsiaTheme="minorEastAsia" w:hAnsi="STIX Two Text"/>
          <w:b w:val="0"/>
          <w:bCs w:val="0"/>
          <w:iCs w:val="0"/>
          <w:color w:val="000000" w:themeColor="text1"/>
          <w:sz w:val="20"/>
          <w:szCs w:val="20"/>
        </w:rPr>
        <w:t>d</w:t>
      </w:r>
      <w:r w:rsidR="0027778A" w:rsidRPr="00711CDC">
        <w:rPr>
          <w:rStyle w:val="Heading2Char"/>
          <w:rFonts w:ascii="STIX Two Text" w:eastAsiaTheme="minorEastAsia" w:hAnsi="STIX Two Text"/>
          <w:b w:val="0"/>
          <w:bCs w:val="0"/>
          <w:iCs w:val="0"/>
          <w:color w:val="000000" w:themeColor="text1"/>
          <w:sz w:val="20"/>
          <w:szCs w:val="20"/>
        </w:rPr>
        <w:t xml:space="preserve"> the largest </w:t>
      </w:r>
      <w:r w:rsidR="00E02EBA" w:rsidRPr="00711CDC">
        <w:rPr>
          <w:rStyle w:val="Heading2Char"/>
          <w:rFonts w:ascii="STIX Two Text" w:eastAsiaTheme="minorEastAsia" w:hAnsi="STIX Two Text"/>
          <w:b w:val="0"/>
          <w:bCs w:val="0"/>
          <w:iCs w:val="0"/>
          <w:color w:val="000000" w:themeColor="text1"/>
          <w:sz w:val="20"/>
          <w:szCs w:val="20"/>
        </w:rPr>
        <w:t>increase in tremor amplitude and pupil diameter</w:t>
      </w:r>
      <w:r w:rsidR="00F81223" w:rsidRPr="00711CDC">
        <w:rPr>
          <w:rStyle w:val="Heading2Char"/>
          <w:rFonts w:ascii="STIX Two Text" w:eastAsiaTheme="minorEastAsia" w:hAnsi="STIX Two Text"/>
          <w:b w:val="0"/>
          <w:bCs w:val="0"/>
          <w:iCs w:val="0"/>
          <w:color w:val="000000" w:themeColor="text1"/>
          <w:sz w:val="20"/>
          <w:szCs w:val="20"/>
        </w:rPr>
        <w:t xml:space="preserve"> in patients, although the differences </w:t>
      </w:r>
      <w:r w:rsidR="00CC1D36" w:rsidRPr="00711CDC">
        <w:rPr>
          <w:rStyle w:val="Heading2Char"/>
          <w:rFonts w:ascii="STIX Two Text" w:eastAsiaTheme="minorEastAsia" w:hAnsi="STIX Two Text"/>
          <w:b w:val="0"/>
          <w:bCs w:val="0"/>
          <w:iCs w:val="0"/>
          <w:color w:val="000000" w:themeColor="text1"/>
          <w:sz w:val="20"/>
          <w:szCs w:val="20"/>
        </w:rPr>
        <w:t>in the tremor amplitude were not significant</w:t>
      </w:r>
      <w:r w:rsidR="00E02EBA" w:rsidRPr="00711CDC">
        <w:rPr>
          <w:rStyle w:val="Heading2Char"/>
          <w:rFonts w:ascii="STIX Two Text" w:eastAsiaTheme="minorEastAsia" w:hAnsi="STIX Two Text"/>
          <w:b w:val="0"/>
          <w:bCs w:val="0"/>
          <w:iCs w:val="0"/>
          <w:color w:val="000000" w:themeColor="text1"/>
          <w:sz w:val="20"/>
          <w:szCs w:val="20"/>
        </w:rPr>
        <w:t>.</w:t>
      </w:r>
    </w:p>
    <w:p w14:paraId="2043AEF1" w14:textId="49C6FEF1" w:rsidR="00E02EBA" w:rsidRPr="00711CDC" w:rsidRDefault="00CC1D36"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To our best knowledge, this is the first study to show that auditory feedback modulates </w:t>
      </w:r>
      <w:r w:rsidR="00577E42" w:rsidRPr="00711CDC">
        <w:rPr>
          <w:rStyle w:val="Heading2Char"/>
          <w:rFonts w:ascii="STIX Two Text" w:eastAsiaTheme="minorEastAsia" w:hAnsi="STIX Two Text"/>
          <w:b w:val="0"/>
          <w:bCs w:val="0"/>
          <w:iCs w:val="0"/>
          <w:color w:val="000000" w:themeColor="text1"/>
          <w:sz w:val="20"/>
          <w:szCs w:val="20"/>
        </w:rPr>
        <w:t xml:space="preserve">the amplitude of target tremor in ET, comparable to visual feedback. It is long </w:t>
      </w:r>
      <w:proofErr w:type="gramStart"/>
      <w:r w:rsidR="00577E42" w:rsidRPr="00711CDC">
        <w:rPr>
          <w:rStyle w:val="Heading2Char"/>
          <w:rFonts w:ascii="STIX Two Text" w:eastAsiaTheme="minorEastAsia" w:hAnsi="STIX Two Text"/>
          <w:b w:val="0"/>
          <w:bCs w:val="0"/>
          <w:iCs w:val="0"/>
          <w:color w:val="000000" w:themeColor="text1"/>
          <w:sz w:val="20"/>
          <w:szCs w:val="20"/>
        </w:rPr>
        <w:t>known,</w:t>
      </w:r>
      <w:proofErr w:type="gramEnd"/>
      <w:r w:rsidR="00577E42" w:rsidRPr="00711CDC">
        <w:rPr>
          <w:rStyle w:val="Heading2Char"/>
          <w:rFonts w:ascii="STIX Two Text" w:eastAsiaTheme="minorEastAsia" w:hAnsi="STIX Two Text"/>
          <w:b w:val="0"/>
          <w:bCs w:val="0"/>
          <w:iCs w:val="0"/>
          <w:color w:val="000000" w:themeColor="text1"/>
          <w:sz w:val="20"/>
          <w:szCs w:val="20"/>
        </w:rPr>
        <w:t xml:space="preserve"> that visual feedback</w:t>
      </w:r>
      <w:r w:rsidR="0027778A" w:rsidRPr="00711CDC">
        <w:rPr>
          <w:rStyle w:val="Heading2Char"/>
          <w:rFonts w:ascii="STIX Two Text" w:eastAsiaTheme="minorEastAsia" w:hAnsi="STIX Two Text"/>
          <w:b w:val="0"/>
          <w:bCs w:val="0"/>
          <w:iCs w:val="0"/>
          <w:color w:val="000000" w:themeColor="text1"/>
          <w:sz w:val="20"/>
          <w:szCs w:val="20"/>
        </w:rPr>
        <w:t xml:space="preserve"> </w:t>
      </w:r>
      <w:r w:rsidR="00211D71" w:rsidRPr="00711CDC">
        <w:rPr>
          <w:rStyle w:val="Heading2Char"/>
          <w:rFonts w:ascii="STIX Two Text" w:eastAsiaTheme="minorEastAsia" w:hAnsi="STIX Two Text"/>
          <w:b w:val="0"/>
          <w:bCs w:val="0"/>
          <w:iCs w:val="0"/>
          <w:color w:val="000000" w:themeColor="text1"/>
          <w:sz w:val="20"/>
          <w:szCs w:val="20"/>
        </w:rPr>
        <w:t xml:space="preserve">modulates action tremor in </w:t>
      </w:r>
      <w:r w:rsidR="00860077" w:rsidRPr="00711CDC">
        <w:rPr>
          <w:rStyle w:val="Heading2Char"/>
          <w:rFonts w:ascii="STIX Two Text" w:eastAsiaTheme="minorEastAsia" w:hAnsi="STIX Two Text"/>
          <w:b w:val="0"/>
          <w:bCs w:val="0"/>
          <w:iCs w:val="0"/>
          <w:color w:val="000000" w:themeColor="text1"/>
          <w:sz w:val="20"/>
          <w:szCs w:val="20"/>
        </w:rPr>
        <w:t xml:space="preserve">different disease conditions like multiple sclerosis and ET. </w:t>
      </w:r>
    </w:p>
    <w:p w14:paraId="0621597D" w14:textId="1EEC2C43" w:rsidR="005B488C" w:rsidRPr="00020F5C" w:rsidRDefault="00E668CF" w:rsidP="00020F5C">
      <w:pPr>
        <w:rPr>
          <w:rFonts w:ascii="Helvetica" w:eastAsiaTheme="majorEastAsia" w:hAnsi="Helvetica"/>
          <w:b/>
          <w:bCs/>
          <w:iCs/>
          <w:color w:val="C00000"/>
          <w:sz w:val="18"/>
          <w:szCs w:val="28"/>
        </w:rPr>
      </w:pPr>
      <w:r>
        <w:rPr>
          <w:rStyle w:val="Heading2Char"/>
          <w:b w:val="0"/>
          <w:bCs w:val="0"/>
        </w:rPr>
        <w:t xml:space="preserve"> </w:t>
      </w:r>
    </w:p>
    <w:p w14:paraId="19669854" w14:textId="77777777" w:rsidR="001F543C" w:rsidRPr="00892B5D" w:rsidRDefault="001F543C" w:rsidP="00020F5C">
      <w:pPr>
        <w:pStyle w:val="Heading1"/>
      </w:pPr>
      <w:r w:rsidRPr="00892B5D">
        <w:t>Conclusion</w:t>
      </w:r>
    </w:p>
    <w:p w14:paraId="7EAC18DA" w14:textId="5043269B" w:rsidR="00931240" w:rsidRDefault="00931240">
      <w:pPr>
        <w:jc w:val="left"/>
        <w:rPr>
          <w:rFonts w:ascii="Helvetica" w:eastAsiaTheme="majorEastAsia" w:hAnsi="Helvetica" w:cs="FiraGO"/>
          <w:b/>
          <w:bCs/>
          <w:color w:val="C00000"/>
          <w:kern w:val="32"/>
          <w:sz w:val="22"/>
        </w:rPr>
      </w:pPr>
      <w:r>
        <w:br w:type="page"/>
      </w:r>
    </w:p>
    <w:p w14:paraId="3B2CDF60" w14:textId="77777777" w:rsidR="009208BA" w:rsidRDefault="009208BA" w:rsidP="002A1DD3">
      <w:pPr>
        <w:pStyle w:val="Heading1"/>
      </w:pPr>
    </w:p>
    <w:p w14:paraId="7DB70777" w14:textId="641116FF" w:rsidR="00892B5D" w:rsidRDefault="00892B5D" w:rsidP="002A1DD3">
      <w:pPr>
        <w:pStyle w:val="Heading1"/>
      </w:pPr>
      <w:r w:rsidRPr="00B07AC6">
        <w:t>References</w:t>
      </w:r>
    </w:p>
    <w:p w14:paraId="4C71D05C" w14:textId="77777777" w:rsidR="002C4C0E" w:rsidRPr="002C4C0E" w:rsidRDefault="003C581F" w:rsidP="002C4C0E">
      <w:pPr>
        <w:pStyle w:val="Bibliography"/>
        <w:rPr>
          <w:rFonts w:cs="Times New Roman"/>
          <w:szCs w:val="24"/>
        </w:rPr>
      </w:pPr>
      <w:r>
        <w:fldChar w:fldCharType="begin"/>
      </w:r>
      <w:r w:rsidR="002C4C0E">
        <w:rPr>
          <w:lang w:val="en-GB"/>
        </w:rPr>
        <w:instrText xml:space="preserve"> ADDIN ZOTERO_BIBL {"uncited":[],"omitted":[],"custom":[]} CSL_BIBLIOGRAPHY </w:instrText>
      </w:r>
      <w:r>
        <w:fldChar w:fldCharType="separate"/>
      </w:r>
      <w:r w:rsidR="002C4C0E" w:rsidRPr="002C4C0E">
        <w:rPr>
          <w:rFonts w:cs="Times New Roman"/>
          <w:szCs w:val="24"/>
        </w:rPr>
        <w:t xml:space="preserve">Boulay, C. (2020). </w:t>
      </w:r>
      <w:proofErr w:type="spellStart"/>
      <w:r w:rsidR="002C4C0E" w:rsidRPr="002C4C0E">
        <w:rPr>
          <w:rFonts w:cs="Times New Roman"/>
          <w:i/>
          <w:iCs/>
          <w:szCs w:val="24"/>
        </w:rPr>
        <w:t>LabRecorder</w:t>
      </w:r>
      <w:proofErr w:type="spellEnd"/>
      <w:r w:rsidR="002C4C0E" w:rsidRPr="002C4C0E">
        <w:rPr>
          <w:rFonts w:cs="Times New Roman"/>
          <w:szCs w:val="24"/>
        </w:rPr>
        <w:t xml:space="preserve"> (1.14).</w:t>
      </w:r>
    </w:p>
    <w:p w14:paraId="45532FD0" w14:textId="77777777" w:rsidR="002C4C0E" w:rsidRPr="002C4C0E" w:rsidRDefault="002C4C0E" w:rsidP="002C4C0E">
      <w:pPr>
        <w:pStyle w:val="Bibliography"/>
        <w:rPr>
          <w:rFonts w:cs="Times New Roman"/>
          <w:szCs w:val="24"/>
        </w:rPr>
      </w:pPr>
      <w:proofErr w:type="spellStart"/>
      <w:r w:rsidRPr="002C4C0E">
        <w:rPr>
          <w:rFonts w:cs="Times New Roman"/>
          <w:szCs w:val="24"/>
        </w:rPr>
        <w:t>Kothe</w:t>
      </w:r>
      <w:proofErr w:type="spellEnd"/>
      <w:r w:rsidRPr="002C4C0E">
        <w:rPr>
          <w:rFonts w:cs="Times New Roman"/>
          <w:szCs w:val="24"/>
        </w:rPr>
        <w:t xml:space="preserve">, C., Boulay, C., </w:t>
      </w:r>
      <w:proofErr w:type="spellStart"/>
      <w:r w:rsidRPr="002C4C0E">
        <w:rPr>
          <w:rFonts w:cs="Times New Roman"/>
          <w:szCs w:val="24"/>
        </w:rPr>
        <w:t>Delmore</w:t>
      </w:r>
      <w:proofErr w:type="spellEnd"/>
      <w:r w:rsidRPr="002C4C0E">
        <w:rPr>
          <w:rFonts w:cs="Times New Roman"/>
          <w:szCs w:val="24"/>
        </w:rPr>
        <w:t xml:space="preserve">, A., &amp; Stenner, T. (2020). </w:t>
      </w:r>
      <w:proofErr w:type="spellStart"/>
      <w:r w:rsidRPr="002C4C0E">
        <w:rPr>
          <w:rFonts w:cs="Times New Roman"/>
          <w:i/>
          <w:iCs/>
          <w:szCs w:val="24"/>
        </w:rPr>
        <w:t>LabStreamingLayer</w:t>
      </w:r>
      <w:proofErr w:type="spellEnd"/>
      <w:r w:rsidRPr="002C4C0E">
        <w:rPr>
          <w:rFonts w:cs="Times New Roman"/>
          <w:szCs w:val="24"/>
        </w:rPr>
        <w:t xml:space="preserve"> (1.15.0).</w:t>
      </w:r>
    </w:p>
    <w:p w14:paraId="235E28F6" w14:textId="77777777" w:rsidR="002C4C0E" w:rsidRPr="002C4C0E" w:rsidRDefault="002C4C0E" w:rsidP="002C4C0E">
      <w:pPr>
        <w:pStyle w:val="Bibliography"/>
        <w:rPr>
          <w:rFonts w:cs="Times New Roman"/>
          <w:szCs w:val="24"/>
        </w:rPr>
      </w:pPr>
      <w:r w:rsidRPr="002C4C0E">
        <w:rPr>
          <w:rFonts w:cs="Times New Roman"/>
          <w:szCs w:val="24"/>
        </w:rPr>
        <w:t xml:space="preserve">Peirce, J., Gray, J. R., Simpson, S., MacAskill, M., </w:t>
      </w:r>
      <w:proofErr w:type="spellStart"/>
      <w:r w:rsidRPr="002C4C0E">
        <w:rPr>
          <w:rFonts w:cs="Times New Roman"/>
          <w:szCs w:val="24"/>
        </w:rPr>
        <w:t>Höchenberger</w:t>
      </w:r>
      <w:proofErr w:type="spellEnd"/>
      <w:r w:rsidRPr="002C4C0E">
        <w:rPr>
          <w:rFonts w:cs="Times New Roman"/>
          <w:szCs w:val="24"/>
        </w:rPr>
        <w:t xml:space="preserve">, R., Sogo, H., </w:t>
      </w:r>
      <w:proofErr w:type="spellStart"/>
      <w:r w:rsidRPr="002C4C0E">
        <w:rPr>
          <w:rFonts w:cs="Times New Roman"/>
          <w:szCs w:val="24"/>
        </w:rPr>
        <w:t>Kastman</w:t>
      </w:r>
      <w:proofErr w:type="spellEnd"/>
      <w:r w:rsidRPr="002C4C0E">
        <w:rPr>
          <w:rFonts w:cs="Times New Roman"/>
          <w:szCs w:val="24"/>
        </w:rPr>
        <w:t xml:space="preserve">, E., &amp; </w:t>
      </w:r>
      <w:proofErr w:type="spellStart"/>
      <w:r w:rsidRPr="002C4C0E">
        <w:rPr>
          <w:rFonts w:cs="Times New Roman"/>
          <w:szCs w:val="24"/>
        </w:rPr>
        <w:t>Lindeløv</w:t>
      </w:r>
      <w:proofErr w:type="spellEnd"/>
      <w:r w:rsidRPr="002C4C0E">
        <w:rPr>
          <w:rFonts w:cs="Times New Roman"/>
          <w:szCs w:val="24"/>
        </w:rPr>
        <w:t xml:space="preserve">, J. K. (2019). PsychoPy2: Experiments in behavior made easy. </w:t>
      </w:r>
      <w:r w:rsidRPr="002C4C0E">
        <w:rPr>
          <w:rFonts w:cs="Times New Roman"/>
          <w:i/>
          <w:iCs/>
          <w:szCs w:val="24"/>
        </w:rPr>
        <w:t>Behavior Research Methods</w:t>
      </w:r>
      <w:r w:rsidRPr="002C4C0E">
        <w:rPr>
          <w:rFonts w:cs="Times New Roman"/>
          <w:szCs w:val="24"/>
        </w:rPr>
        <w:t xml:space="preserve">, </w:t>
      </w:r>
      <w:r w:rsidRPr="002C4C0E">
        <w:rPr>
          <w:rFonts w:cs="Times New Roman"/>
          <w:i/>
          <w:iCs/>
          <w:szCs w:val="24"/>
        </w:rPr>
        <w:t>51</w:t>
      </w:r>
      <w:r w:rsidRPr="002C4C0E">
        <w:rPr>
          <w:rFonts w:cs="Times New Roman"/>
          <w:szCs w:val="24"/>
        </w:rPr>
        <w:t>(1), 195–203. https://doi.org/10.3758/s13428-018-01193-y</w:t>
      </w:r>
    </w:p>
    <w:p w14:paraId="6E563C82" w14:textId="77777777" w:rsidR="002C4C0E" w:rsidRPr="002C4C0E" w:rsidRDefault="002C4C0E" w:rsidP="002C4C0E">
      <w:pPr>
        <w:pStyle w:val="Bibliography"/>
        <w:rPr>
          <w:rFonts w:cs="Times New Roman"/>
          <w:szCs w:val="24"/>
        </w:rPr>
      </w:pPr>
      <w:r w:rsidRPr="002C4C0E">
        <w:rPr>
          <w:rFonts w:cs="Times New Roman"/>
          <w:szCs w:val="24"/>
        </w:rPr>
        <w:t xml:space="preserve">Pupil Labs. (2021). </w:t>
      </w:r>
      <w:r w:rsidRPr="002C4C0E">
        <w:rPr>
          <w:rFonts w:cs="Times New Roman"/>
          <w:i/>
          <w:iCs/>
          <w:szCs w:val="24"/>
        </w:rPr>
        <w:t>Pupil LSL Relay</w:t>
      </w:r>
      <w:r w:rsidRPr="002C4C0E">
        <w:rPr>
          <w:rFonts w:cs="Times New Roman"/>
          <w:szCs w:val="24"/>
        </w:rPr>
        <w:t xml:space="preserve"> (2.0). </w:t>
      </w:r>
      <w:proofErr w:type="spellStart"/>
      <w:r w:rsidRPr="002C4C0E">
        <w:rPr>
          <w:rFonts w:cs="Times New Roman"/>
          <w:szCs w:val="24"/>
        </w:rPr>
        <w:t>PupilLabs</w:t>
      </w:r>
      <w:proofErr w:type="spellEnd"/>
      <w:r w:rsidRPr="002C4C0E">
        <w:rPr>
          <w:rFonts w:cs="Times New Roman"/>
          <w:szCs w:val="24"/>
        </w:rPr>
        <w:t>.</w:t>
      </w:r>
    </w:p>
    <w:p w14:paraId="26963A47" w14:textId="53DA6A92" w:rsidR="00BC7641" w:rsidRPr="00BC7641" w:rsidRDefault="003C581F" w:rsidP="00020F5C">
      <w:pPr>
        <w:pStyle w:val="Bibliography"/>
      </w:pPr>
      <w:r>
        <w:fldChar w:fldCharType="end"/>
      </w:r>
    </w:p>
    <w:p w14:paraId="4EAFDC65" w14:textId="6C468CDB" w:rsidR="00892B5D" w:rsidRPr="00D44BCB" w:rsidRDefault="00892B5D" w:rsidP="00B01966">
      <w:pPr>
        <w:pStyle w:val="Heading1"/>
        <w:ind w:left="340" w:hanging="340"/>
        <w:jc w:val="left"/>
      </w:pPr>
      <w:r w:rsidRPr="00D44BCB">
        <w:t>Acknowledgements</w:t>
      </w:r>
    </w:p>
    <w:p w14:paraId="5BBABF79" w14:textId="730AC106" w:rsidR="00892B5D" w:rsidRPr="00892B5D" w:rsidRDefault="00892B5D" w:rsidP="002A1DD3">
      <w:pPr>
        <w:pStyle w:val="Heading1"/>
      </w:pPr>
      <w:r w:rsidRPr="00892B5D">
        <w:t>Author contributions</w:t>
      </w:r>
    </w:p>
    <w:p w14:paraId="4B5EF5D4" w14:textId="12C3063D" w:rsidR="00B4753D" w:rsidRPr="00847704" w:rsidRDefault="00B4753D" w:rsidP="00847704">
      <w:pPr>
        <w:pStyle w:val="MethodsText"/>
      </w:pPr>
      <w:r w:rsidRPr="00847704">
        <w:t xml:space="preserve">Lorem ipsum dolor sit </w:t>
      </w:r>
      <w:proofErr w:type="spellStart"/>
      <w:r w:rsidRPr="00847704">
        <w:t>amet</w:t>
      </w:r>
      <w:proofErr w:type="spellEnd"/>
      <w:r w:rsidRPr="00847704">
        <w:t xml:space="preserve">, </w:t>
      </w:r>
      <w:proofErr w:type="spellStart"/>
      <w:r w:rsidRPr="00847704">
        <w:t>consectetuer</w:t>
      </w:r>
      <w:proofErr w:type="spellEnd"/>
      <w:r w:rsidRPr="00847704">
        <w:t xml:space="preserve"> </w:t>
      </w:r>
      <w:proofErr w:type="spellStart"/>
      <w:r w:rsidRPr="00847704">
        <w:t>adipiscing</w:t>
      </w:r>
      <w:proofErr w:type="spellEnd"/>
      <w:r w:rsidRPr="00847704">
        <w:t xml:space="preserve"> </w:t>
      </w:r>
      <w:proofErr w:type="spellStart"/>
      <w:r w:rsidRPr="00847704">
        <w:t>elit</w:t>
      </w:r>
      <w:proofErr w:type="spellEnd"/>
      <w:r w:rsidRPr="00847704">
        <w:t xml:space="preserve">. Maecenas </w:t>
      </w:r>
      <w:proofErr w:type="spellStart"/>
      <w:r w:rsidRPr="00847704">
        <w:t>porttitor</w:t>
      </w:r>
      <w:proofErr w:type="spellEnd"/>
      <w:r w:rsidRPr="00847704">
        <w:t xml:space="preserve"> </w:t>
      </w:r>
      <w:proofErr w:type="spellStart"/>
      <w:r w:rsidRPr="00847704">
        <w:t>congue</w:t>
      </w:r>
      <w:proofErr w:type="spellEnd"/>
      <w:r w:rsidRPr="00847704">
        <w:t xml:space="preserve"> </w:t>
      </w:r>
      <w:proofErr w:type="spellStart"/>
      <w:r w:rsidRPr="00847704">
        <w:t>massa</w:t>
      </w:r>
      <w:proofErr w:type="spellEnd"/>
      <w:r w:rsidRPr="00847704">
        <w:t xml:space="preserve">. </w:t>
      </w:r>
      <w:proofErr w:type="spellStart"/>
      <w:r w:rsidRPr="00847704">
        <w:t>Fusce</w:t>
      </w:r>
      <w:proofErr w:type="spellEnd"/>
      <w:r w:rsidRPr="00847704">
        <w:t xml:space="preserve"> </w:t>
      </w:r>
      <w:proofErr w:type="spellStart"/>
      <w:r w:rsidRPr="00847704">
        <w:t>posuere</w:t>
      </w:r>
      <w:proofErr w:type="spellEnd"/>
      <w:r w:rsidRPr="00847704">
        <w:t xml:space="preserve">, magna sed pulvinar </w:t>
      </w:r>
      <w:proofErr w:type="spellStart"/>
      <w:r w:rsidRPr="00847704">
        <w:t>ultricies</w:t>
      </w:r>
      <w:proofErr w:type="spellEnd"/>
      <w:r w:rsidRPr="00847704">
        <w:t xml:space="preserve">, </w:t>
      </w:r>
      <w:proofErr w:type="spellStart"/>
      <w:r w:rsidRPr="00847704">
        <w:t>purus</w:t>
      </w:r>
      <w:proofErr w:type="spellEnd"/>
      <w:r w:rsidRPr="00847704">
        <w:t xml:space="preserve"> </w:t>
      </w:r>
      <w:proofErr w:type="spellStart"/>
      <w:r w:rsidRPr="00847704">
        <w:t>lectus</w:t>
      </w:r>
      <w:proofErr w:type="spellEnd"/>
      <w:r w:rsidRPr="00847704">
        <w:t xml:space="preserve"> </w:t>
      </w:r>
      <w:proofErr w:type="spellStart"/>
      <w:r w:rsidRPr="00847704">
        <w:t>malesuada</w:t>
      </w:r>
      <w:proofErr w:type="spellEnd"/>
      <w:r w:rsidRPr="00847704">
        <w:t xml:space="preserve"> libero, sit </w:t>
      </w:r>
      <w:proofErr w:type="spellStart"/>
      <w:r w:rsidRPr="00847704">
        <w:t>amet</w:t>
      </w:r>
      <w:proofErr w:type="spellEnd"/>
      <w:r w:rsidRPr="00847704">
        <w:t xml:space="preserve"> </w:t>
      </w:r>
      <w:proofErr w:type="spellStart"/>
      <w:r w:rsidRPr="00847704">
        <w:t>commodo</w:t>
      </w:r>
      <w:proofErr w:type="spellEnd"/>
      <w:r w:rsidRPr="00847704">
        <w:t xml:space="preserve"> magna eros </w:t>
      </w:r>
      <w:proofErr w:type="spellStart"/>
      <w:r w:rsidRPr="00847704">
        <w:t>quis</w:t>
      </w:r>
      <w:proofErr w:type="spellEnd"/>
      <w:r w:rsidRPr="00847704">
        <w:t xml:space="preserve"> </w:t>
      </w:r>
      <w:proofErr w:type="spellStart"/>
      <w:r w:rsidRPr="00847704">
        <w:t>urna</w:t>
      </w:r>
      <w:proofErr w:type="spellEnd"/>
      <w:r w:rsidRPr="00847704">
        <w:t xml:space="preserve">. Nunc </w:t>
      </w:r>
      <w:proofErr w:type="spellStart"/>
      <w:r w:rsidRPr="00847704">
        <w:t>viverra</w:t>
      </w:r>
      <w:proofErr w:type="spellEnd"/>
      <w:r w:rsidRPr="00847704">
        <w:t xml:space="preserve"> </w:t>
      </w:r>
      <w:proofErr w:type="spellStart"/>
      <w:r w:rsidRPr="00847704">
        <w:t>imperdiet</w:t>
      </w:r>
      <w:proofErr w:type="spellEnd"/>
      <w:r w:rsidRPr="00847704">
        <w:t xml:space="preserve"> </w:t>
      </w:r>
      <w:proofErr w:type="spellStart"/>
      <w:r w:rsidRPr="00847704">
        <w:t>enim</w:t>
      </w:r>
      <w:proofErr w:type="spellEnd"/>
      <w:r w:rsidRPr="00847704">
        <w:t xml:space="preserve">. </w:t>
      </w:r>
      <w:proofErr w:type="spellStart"/>
      <w:r w:rsidRPr="00847704">
        <w:t>Fusce</w:t>
      </w:r>
      <w:proofErr w:type="spellEnd"/>
      <w:r w:rsidRPr="00847704">
        <w:t xml:space="preserve"> est.</w:t>
      </w:r>
    </w:p>
    <w:p w14:paraId="6933C910" w14:textId="431439E1" w:rsidR="00892B5D" w:rsidRPr="00892B5D" w:rsidRDefault="00892B5D" w:rsidP="002A1DD3">
      <w:pPr>
        <w:pStyle w:val="Heading1"/>
      </w:pPr>
      <w:r w:rsidRPr="00892B5D">
        <w:t>Competing interest statement</w:t>
      </w:r>
    </w:p>
    <w:p w14:paraId="24F7E67E" w14:textId="555231DC" w:rsidR="00A45218" w:rsidRDefault="00A45218">
      <w:pPr>
        <w:jc w:val="left"/>
        <w:rPr>
          <w:sz w:val="15"/>
        </w:rPr>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77777777" w:rsidR="000A3583"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informed consent before participation and received financial compensation after completion of the study. The data come from a cohort of </w:t>
      </w:r>
      <w:r w:rsidR="0067142B">
        <w:t xml:space="preserve">14 with essential tremor </w:t>
      </w:r>
      <w:r>
        <w:t xml:space="preserve">patients </w:t>
      </w:r>
      <w:r w:rsidR="0067142B">
        <w:t xml:space="preserve">and 12 healthy control subjects. </w:t>
      </w:r>
      <w:r w:rsidR="00325F17">
        <w:t xml:space="preserve">All patients were diagnosed with Essential </w:t>
      </w:r>
      <w:r w:rsidR="0067142B">
        <w:t xml:space="preserve">Tremor </w:t>
      </w:r>
      <w:r w:rsidR="00325F17">
        <w:t>by a specialist for neurology, healthy controls had no history of neurological or psychological disorders.</w:t>
      </w:r>
      <w:r>
        <w:t xml:space="preserve"> </w:t>
      </w:r>
      <w:r w:rsidR="0067142B">
        <w:t xml:space="preserve"> </w:t>
      </w:r>
      <w:r w:rsidRPr="00142E6D">
        <w:t xml:space="preserve">All participants were </w:t>
      </w:r>
      <w:r w:rsidR="000A3583" w:rsidRPr="00142E6D">
        <w:t>right-handed</w:t>
      </w:r>
      <w:r w:rsidR="000A3583">
        <w:t xml:space="preserve"> and</w:t>
      </w:r>
      <w:r>
        <w:t xml:space="preserve"> had no restrictions in vision or hearing. </w:t>
      </w:r>
    </w:p>
    <w:p w14:paraId="2BB15559" w14:textId="568DBC76" w:rsidR="001F543C" w:rsidRDefault="000A3583" w:rsidP="00847704">
      <w:pPr>
        <w:pStyle w:val="MethodsText"/>
      </w:pPr>
      <w:r>
        <w:t xml:space="preserve">Patients were asked to pause tremor related </w:t>
      </w:r>
      <w:proofErr w:type="gramStart"/>
      <w:r>
        <w:t>medication,</w:t>
      </w:r>
      <w:proofErr w:type="gramEnd"/>
      <w:r>
        <w:t xml:space="preserve"> all participants were instructed to reduce caffeine and nicotine as much as possible prior to the experiment. </w:t>
      </w:r>
      <w:r w:rsidR="0067142B">
        <w:t xml:space="preserve">Covariates between groups were compares using </w:t>
      </w:r>
      <w:r w:rsidR="00325F17">
        <w:t>Mann-Whitney-U tests</w:t>
      </w:r>
      <w:r w:rsidR="0067142B">
        <w:t>.</w:t>
      </w:r>
      <w:r w:rsidR="00325F17">
        <w:t xml:space="preserve"> While there was no significant difference in age (</w:t>
      </w:r>
      <w:r w:rsidR="00325F17" w:rsidRPr="00325F17">
        <w:t>t = 86.50, p = 0.147</w:t>
      </w:r>
      <w:r w:rsidR="00325F17">
        <w:t xml:space="preserve">), the Becks-Depression-Inventory </w:t>
      </w:r>
      <w:r w:rsidR="004B3CE1">
        <w:t xml:space="preserve">(BDI-II, </w:t>
      </w:r>
      <w:r w:rsidR="00761931" w:rsidRPr="00761931">
        <w:t>t = 113.50, p = 0.003</w:t>
      </w:r>
      <w:r w:rsidR="00761931">
        <w:t xml:space="preserve">) and </w:t>
      </w:r>
      <w:proofErr w:type="spellStart"/>
      <w:r w:rsidR="00761931">
        <w:t>Schmahmann</w:t>
      </w:r>
      <w:proofErr w:type="spellEnd"/>
      <w:r w:rsidR="00761931">
        <w:t>-Scale (</w:t>
      </w:r>
      <w:r w:rsidR="00761931" w:rsidRPr="00761931">
        <w:t>t = 33.50, p = 0.046</w:t>
      </w:r>
      <w:r w:rsidR="00761931">
        <w:t>) revealed a statistically significant difference between the patient</w:t>
      </w:r>
      <w:r w:rsidR="004B3CE1">
        <w:t>s</w:t>
      </w:r>
      <w:r w:rsidR="00761931">
        <w:t xml:space="preserve"> and control group. More information can be found in </w:t>
      </w:r>
      <w:r w:rsidR="00761931">
        <w:fldChar w:fldCharType="begin"/>
      </w:r>
      <w:r w:rsidR="00761931">
        <w:instrText xml:space="preserve"> REF _Ref119585075 \h </w:instrText>
      </w:r>
      <w:r w:rsidR="00761931">
        <w:fldChar w:fldCharType="separate"/>
      </w:r>
      <w:r w:rsidR="00761931">
        <w:t xml:space="preserve">Table </w:t>
      </w:r>
      <w:r w:rsidR="00761931">
        <w:rPr>
          <w:noProof/>
        </w:rPr>
        <w:t>1</w:t>
      </w:r>
      <w:r w:rsidR="00761931">
        <w:fldChar w:fldCharType="end"/>
      </w:r>
      <w:r w:rsidR="00761931">
        <w:t xml:space="preserve">. </w:t>
      </w:r>
    </w:p>
    <w:p w14:paraId="49262984" w14:textId="7F96B26D" w:rsidR="004E49F5" w:rsidRDefault="004E49F5" w:rsidP="00847704">
      <w:pPr>
        <w:pStyle w:val="MethodsText"/>
      </w:pPr>
    </w:p>
    <w:p w14:paraId="6B8EBA86" w14:textId="728BAA87"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5C20D516" w14:textId="43E11FE2" w:rsidR="00C97536" w:rsidRPr="00E20FC6" w:rsidRDefault="00C97536" w:rsidP="00E20FC6">
      <w:pPr>
        <w:pStyle w:val="MethodsText"/>
      </w:pPr>
      <w:r w:rsidRPr="00E20FC6">
        <w:t>The experiment consisted of a computer-based task which involved matching a target force. Data collected from participants included a force sensor</w:t>
      </w:r>
      <w:r w:rsidR="00371DEA">
        <w:t xml:space="preserve"> (GSS)</w:t>
      </w:r>
      <w:r w:rsidR="00142E6D">
        <w:t xml:space="preserve"> and </w:t>
      </w:r>
      <w:r w:rsidRPr="00E20FC6">
        <w:t xml:space="preserve">pupillometry. For the collection of the force, </w:t>
      </w:r>
      <w:proofErr w:type="gramStart"/>
      <w:r w:rsidRPr="00E20FC6">
        <w:t>a</w:t>
      </w:r>
      <w:proofErr w:type="gramEnd"/>
      <w:r w:rsidRPr="00E20FC6">
        <w:t xml:space="preserve"> Arduino based force sensor was used. The weight cell (Adafruit, ADA4541) was connected to </w:t>
      </w:r>
      <w:r w:rsidR="00371DEA" w:rsidRPr="00E20FC6">
        <w:t>an</w:t>
      </w:r>
      <w:r w:rsidRPr="00E20FC6">
        <w:t xml:space="preserve"> amplifier (</w:t>
      </w:r>
      <w:proofErr w:type="spellStart"/>
      <w:r w:rsidRPr="00E20FC6">
        <w:t>SparkFun</w:t>
      </w:r>
      <w:proofErr w:type="spellEnd"/>
      <w:r w:rsidRPr="00E20FC6">
        <w:t xml:space="preserve">, HX711) and </w:t>
      </w:r>
      <w:r w:rsidR="00142E6D">
        <w:t xml:space="preserve">digitized </w:t>
      </w:r>
      <w:r w:rsidR="00157FAE" w:rsidRPr="00E20FC6">
        <w:t>at 80Hz</w:t>
      </w:r>
      <w:r w:rsidRPr="00E20FC6">
        <w:t xml:space="preserve"> via a </w:t>
      </w:r>
      <w:proofErr w:type="spellStart"/>
      <w:r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was used to feedback information to the participant </w:t>
      </w:r>
      <w:r w:rsidR="00142E6D">
        <w:t>in real time (delay &lt;</w:t>
      </w:r>
      <w:r w:rsidR="00574C41">
        <w:t xml:space="preserve"> 10</w:t>
      </w:r>
      <w:r w:rsidR="00142E6D">
        <w:t xml:space="preserve">ms) </w:t>
      </w:r>
      <w:r w:rsidR="00157FAE" w:rsidRPr="00E20FC6">
        <w:t>and 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Pr="00E20FC6">
        <w:t xml:space="preserve">Data </w:t>
      </w:r>
      <w:r w:rsidR="00157FAE" w:rsidRPr="00E20FC6">
        <w:t xml:space="preserve">fed back </w:t>
      </w:r>
      <w:r w:rsidRPr="00E20FC6">
        <w:t xml:space="preserve">to participants </w:t>
      </w:r>
      <w:r w:rsidR="00897030">
        <w:t>was of</w:t>
      </w:r>
      <w:r w:rsidRPr="00E20FC6">
        <w:t xml:space="preserve"> visual and auditory </w:t>
      </w:r>
      <w:r w:rsidR="00897030">
        <w:t>nature</w:t>
      </w:r>
      <w:r w:rsidRPr="00E20FC6">
        <w:t xml:space="preserve">. </w:t>
      </w:r>
      <w:r w:rsidR="00AE2985">
        <w:t xml:space="preserve">Pupil data was recorded using a </w:t>
      </w:r>
      <w:r w:rsidR="00AE2985" w:rsidRPr="00AE2985">
        <w:t>Pupil Core (Pupil Labs, Berlin, Germany)</w:t>
      </w:r>
      <w:r w:rsidR="00AE2985">
        <w:t xml:space="preserve"> module with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GSS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p>
    <w:p w14:paraId="67E0A6BA" w14:textId="3CEE91C7"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1C25F66" w14:textId="790E65AC" w:rsidR="00624A21" w:rsidRDefault="007240D2" w:rsidP="00574C41">
      <w:pPr>
        <w:pStyle w:val="MethodsText"/>
        <w:rPr>
          <w:szCs w:val="15"/>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he experiment lasted ~</w:t>
      </w:r>
      <w:r w:rsidR="00574C41">
        <w:rPr>
          <w:rStyle w:val="MethodssubheadingTegn"/>
          <w:rFonts w:ascii="STIX Two Text" w:eastAsiaTheme="minorEastAsia" w:hAnsi="STIX Two Text"/>
          <w:b w:val="0"/>
          <w:bCs w:val="0"/>
          <w:color w:val="000000" w:themeColor="text1"/>
          <w:szCs w:val="20"/>
        </w:rPr>
        <w:t>20</w:t>
      </w:r>
      <w:r w:rsidR="0067142B">
        <w:rPr>
          <w:rStyle w:val="MethodssubheadingTegn"/>
          <w:rFonts w:ascii="STIX Two Text" w:eastAsiaTheme="minorEastAsia" w:hAnsi="STIX Two Text"/>
          <w:b w:val="0"/>
          <w:bCs w:val="0"/>
          <w:color w:val="000000" w:themeColor="text1"/>
          <w:szCs w:val="20"/>
        </w:rPr>
        <w:t xml:space="preserve"> minutes and </w:t>
      </w:r>
      <w:r>
        <w:rPr>
          <w:szCs w:val="15"/>
        </w:rPr>
        <w:t xml:space="preserve">took </w:t>
      </w:r>
      <w:r w:rsidR="00624A21" w:rsidRPr="00A45218">
        <w:rPr>
          <w:szCs w:val="15"/>
        </w:rPr>
        <w:t>place in a controlled laboratory environment on the computer (distance from the</w:t>
      </w:r>
      <w:r w:rsidR="00A45218" w:rsidRPr="00A45218">
        <w:rPr>
          <w:szCs w:val="15"/>
        </w:rPr>
        <w:t xml:space="preserve"> </w:t>
      </w:r>
      <w:r w:rsidR="00624A21" w:rsidRPr="00A45218">
        <w:rPr>
          <w:szCs w:val="15"/>
        </w:rPr>
        <w:t xml:space="preserve">to the screen: approx. </w:t>
      </w:r>
      <w:r>
        <w:rPr>
          <w:szCs w:val="15"/>
        </w:rPr>
        <w:t>9</w:t>
      </w:r>
      <w:r w:rsidR="00624A21" w:rsidRPr="00A45218">
        <w:rPr>
          <w:szCs w:val="15"/>
        </w:rPr>
        <w:t>0 cm) in the presence of a test administration.</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Pr>
          <w:szCs w:val="15"/>
        </w:rPr>
        <w:t xml:space="preserve"> </w:t>
      </w:r>
      <w:r w:rsidR="00AE2985">
        <w:rPr>
          <w:szCs w:val="15"/>
        </w:rPr>
        <w:t xml:space="preserve">In the experimental blocks feedback was </w:t>
      </w:r>
      <w:proofErr w:type="spellStart"/>
      <w:r w:rsidR="00AE2985">
        <w:rPr>
          <w:szCs w:val="15"/>
        </w:rPr>
        <w:t>give</w:t>
      </w:r>
      <w:proofErr w:type="spellEnd"/>
      <w:r w:rsidR="00AE2985">
        <w:rPr>
          <w:szCs w:val="15"/>
        </w:rPr>
        <w:t xml:space="preserve"> in the following order: 1. Visual only (</w:t>
      </w:r>
      <w:proofErr w:type="spellStart"/>
      <w:r w:rsidR="00AE2985">
        <w:rPr>
          <w:szCs w:val="15"/>
        </w:rPr>
        <w:t>vo</w:t>
      </w:r>
      <w:proofErr w:type="spellEnd"/>
      <w:r w:rsidR="00AE2985">
        <w:rPr>
          <w:szCs w:val="15"/>
        </w:rPr>
        <w:t>), 2. visual-auditive (</w:t>
      </w:r>
      <w:proofErr w:type="spellStart"/>
      <w:r w:rsidR="00AE2985">
        <w:rPr>
          <w:szCs w:val="15"/>
        </w:rPr>
        <w:t>va</w:t>
      </w:r>
      <w:proofErr w:type="spellEnd"/>
      <w:r w:rsidR="00AE2985">
        <w:rPr>
          <w:szCs w:val="15"/>
        </w:rPr>
        <w:t>) and 3. auditive only (</w:t>
      </w:r>
      <w:proofErr w:type="spellStart"/>
      <w:r w:rsidR="00AE2985">
        <w:rPr>
          <w:szCs w:val="15"/>
        </w:rPr>
        <w:t>ao</w:t>
      </w:r>
      <w:proofErr w:type="spellEnd"/>
      <w:r w:rsidR="00AE2985">
        <w:rPr>
          <w:szCs w:val="15"/>
        </w:rPr>
        <w:t xml:space="preserve">). </w:t>
      </w:r>
      <w:r w:rsidR="00371DEA">
        <w:rPr>
          <w:szCs w:val="15"/>
        </w:rPr>
        <w:t xml:space="preserve">Prior to training the </w:t>
      </w:r>
      <w:r w:rsidR="00371DEA">
        <w:rPr>
          <w:rStyle w:val="MethodssubheadingTegn"/>
          <w:rFonts w:ascii="STIX Two Text" w:eastAsiaTheme="minorEastAsia" w:hAnsi="STIX Two Text"/>
          <w:b w:val="0"/>
          <w:bCs w:val="0"/>
          <w:color w:val="000000" w:themeColor="text1"/>
          <w:szCs w:val="20"/>
        </w:rPr>
        <w:t>individual maximum force (MF)</w:t>
      </w:r>
      <w:r w:rsidR="00371DEA">
        <w:rPr>
          <w:rStyle w:val="MethodssubheadingTegn"/>
          <w:rFonts w:ascii="STIX Two Text" w:eastAsiaTheme="minorEastAsia" w:hAnsi="STIX Two Text"/>
          <w:b w:val="0"/>
          <w:bCs w:val="0"/>
          <w:color w:val="000000" w:themeColor="text1"/>
          <w:szCs w:val="20"/>
        </w:rPr>
        <w:t xml:space="preserve"> was determined. Participants were asked to apply maximum pressure </w:t>
      </w:r>
      <w:r w:rsidR="00371DEA">
        <w:rPr>
          <w:rStyle w:val="MethodssubheadingTegn"/>
          <w:rFonts w:ascii="STIX Two Text" w:eastAsiaTheme="minorEastAsia" w:hAnsi="STIX Two Text"/>
          <w:b w:val="0"/>
          <w:bCs w:val="0"/>
          <w:color w:val="000000" w:themeColor="text1"/>
          <w:szCs w:val="20"/>
        </w:rPr>
        <w:t>with the thumb and index finger three times for 1 second. The maximum of the respective average</w:t>
      </w:r>
      <w:r w:rsidR="006949B0">
        <w:rPr>
          <w:rStyle w:val="MethodssubheadingTegn"/>
          <w:rFonts w:ascii="STIX Two Text" w:eastAsiaTheme="minorEastAsia" w:hAnsi="STIX Two Text"/>
          <w:b w:val="0"/>
          <w:bCs w:val="0"/>
          <w:color w:val="000000" w:themeColor="text1"/>
          <w:szCs w:val="20"/>
        </w:rPr>
        <w:t>s</w:t>
      </w:r>
      <w:r w:rsidR="00371DEA">
        <w:rPr>
          <w:rStyle w:val="MethodssubheadingTegn"/>
          <w:rFonts w:ascii="STIX Two Text" w:eastAsiaTheme="minorEastAsia" w:hAnsi="STIX Two Text"/>
          <w:b w:val="0"/>
          <w:bCs w:val="0"/>
          <w:color w:val="000000" w:themeColor="text1"/>
          <w:szCs w:val="20"/>
        </w:rPr>
        <w:t xml:space="preserve"> of </w:t>
      </w:r>
      <w:r w:rsidR="00371DEA">
        <w:rPr>
          <w:rStyle w:val="MethodssubheadingTegn"/>
          <w:rFonts w:ascii="STIX Two Text" w:eastAsiaTheme="minorEastAsia" w:hAnsi="STIX Two Text"/>
          <w:b w:val="0"/>
          <w:bCs w:val="0"/>
          <w:color w:val="000000" w:themeColor="text1"/>
          <w:szCs w:val="20"/>
        </w:rPr>
        <w:t xml:space="preserve">samples </w:t>
      </w:r>
      <w:r w:rsidR="00371DEA">
        <w:rPr>
          <w:rStyle w:val="MethodssubheadingTegn"/>
          <w:rFonts w:ascii="STIX Two Text" w:eastAsiaTheme="minorEastAsia" w:hAnsi="STIX Two Text"/>
          <w:b w:val="0"/>
          <w:bCs w:val="0"/>
          <w:color w:val="000000" w:themeColor="text1"/>
          <w:szCs w:val="20"/>
        </w:rPr>
        <w:t xml:space="preserve">was used as </w:t>
      </w:r>
      <w:r w:rsidR="00371DEA">
        <w:rPr>
          <w:rStyle w:val="MethodssubheadingTegn"/>
          <w:rFonts w:ascii="STIX Two Text" w:eastAsiaTheme="minorEastAsia" w:hAnsi="STIX Two Text"/>
          <w:b w:val="0"/>
          <w:bCs w:val="0"/>
          <w:color w:val="000000" w:themeColor="text1"/>
          <w:szCs w:val="20"/>
        </w:rPr>
        <w:t>MF</w:t>
      </w:r>
      <w:r w:rsidR="00371DEA">
        <w:rPr>
          <w:rStyle w:val="MethodssubheadingTegn"/>
          <w:rFonts w:ascii="STIX Two Text" w:eastAsiaTheme="minorEastAsia" w:hAnsi="STIX Two Text"/>
          <w:b w:val="0"/>
          <w:bCs w:val="0"/>
          <w:color w:val="000000" w:themeColor="text1"/>
          <w:szCs w:val="20"/>
        </w:rPr>
        <w:t xml:space="preserve">. </w:t>
      </w:r>
      <w:r w:rsidR="00371DEA">
        <w:rPr>
          <w:rStyle w:val="MethodssubheadingTegn"/>
          <w:rFonts w:ascii="STIX Two Text" w:eastAsiaTheme="minorEastAsia" w:hAnsi="STIX Two Text"/>
          <w:b w:val="0"/>
          <w:bCs w:val="0"/>
          <w:color w:val="000000" w:themeColor="text1"/>
          <w:szCs w:val="20"/>
        </w:rPr>
        <w:t xml:space="preserve">The target force to match for the rest of the experiment was 15% of the MF. </w:t>
      </w:r>
      <w:r w:rsidR="00624A21" w:rsidRPr="00A45218">
        <w:rPr>
          <w:szCs w:val="15"/>
        </w:rPr>
        <w:t xml:space="preserve">In the training block, the task </w:t>
      </w:r>
      <w:r w:rsidR="00AE2985">
        <w:rPr>
          <w:szCs w:val="15"/>
        </w:rPr>
        <w:t>was</w:t>
      </w:r>
      <w:r w:rsidR="00624A21" w:rsidRPr="00A45218">
        <w:rPr>
          <w:szCs w:val="15"/>
        </w:rPr>
        <w:t xml:space="preserve"> first trained in each of the three feedback</w:t>
      </w:r>
      <w:r w:rsidR="00A45218" w:rsidRPr="00A45218">
        <w:rPr>
          <w:szCs w:val="15"/>
        </w:rPr>
        <w:t xml:space="preserve"> </w:t>
      </w:r>
      <w:r w:rsidR="00624A21" w:rsidRPr="00A45218">
        <w:rPr>
          <w:szCs w:val="15"/>
        </w:rPr>
        <w:t>conditions and subject</w:t>
      </w:r>
      <w:r w:rsidR="00AE2985">
        <w:rPr>
          <w:szCs w:val="15"/>
        </w:rPr>
        <w:t>s</w:t>
      </w:r>
      <w:r w:rsidR="00624A21" w:rsidRPr="00A45218">
        <w:rPr>
          <w:szCs w:val="15"/>
        </w:rPr>
        <w:t xml:space="preserve"> </w:t>
      </w:r>
      <w:r w:rsidR="00AE2985">
        <w:rPr>
          <w:szCs w:val="15"/>
        </w:rPr>
        <w:t xml:space="preserve">were allowed to </w:t>
      </w:r>
      <w:r w:rsidR="00624A21" w:rsidRPr="00A45218">
        <w:rPr>
          <w:szCs w:val="15"/>
        </w:rPr>
        <w:t>repeat the training if necessary.</w:t>
      </w:r>
      <w:r w:rsidR="00A45218" w:rsidRPr="00A45218">
        <w:rPr>
          <w:szCs w:val="15"/>
        </w:rPr>
        <w:t xml:space="preserve"> </w:t>
      </w:r>
      <w:r>
        <w:rPr>
          <w:szCs w:val="15"/>
        </w:rPr>
        <w:t>T</w:t>
      </w:r>
      <w:r w:rsidR="00624A21" w:rsidRPr="00A45218">
        <w:rPr>
          <w:szCs w:val="15"/>
        </w:rPr>
        <w:t xml:space="preserve">rials from the training </w:t>
      </w:r>
      <w:r w:rsidR="00AE2985">
        <w:rPr>
          <w:szCs w:val="15"/>
        </w:rPr>
        <w:t>were</w:t>
      </w:r>
      <w:r w:rsidR="00624A21" w:rsidRPr="00A45218">
        <w:rPr>
          <w:szCs w:val="15"/>
        </w:rPr>
        <w:t xml:space="preserve"> not included in the data </w:t>
      </w:r>
      <w:r w:rsidR="00AE2985" w:rsidRPr="00A45218">
        <w:rPr>
          <w:szCs w:val="15"/>
        </w:rPr>
        <w:t>analysis</w:t>
      </w:r>
      <w:r w:rsidR="00624A21" w:rsidRPr="00A45218">
        <w:rPr>
          <w:szCs w:val="15"/>
        </w:rPr>
        <w:t>.</w:t>
      </w:r>
      <w:r w:rsidR="00A45218" w:rsidRPr="00A45218">
        <w:rPr>
          <w:szCs w:val="15"/>
        </w:rPr>
        <w:t xml:space="preserve"> </w:t>
      </w:r>
      <w:r w:rsidR="00624A21" w:rsidRPr="00A45218">
        <w:rPr>
          <w:szCs w:val="15"/>
        </w:rPr>
        <w:t xml:space="preserve">The subsequent main blocks, comprise </w:t>
      </w:r>
      <w:r w:rsidR="00AE2985">
        <w:rPr>
          <w:szCs w:val="15"/>
        </w:rPr>
        <w:t>four</w:t>
      </w:r>
      <w:r w:rsidR="00624A21" w:rsidRPr="00A45218">
        <w:rPr>
          <w:szCs w:val="15"/>
        </w:rPr>
        <w:t xml:space="preserve"> randomized trials each from</w:t>
      </w:r>
      <w:r w:rsidR="00AE2985">
        <w:rPr>
          <w:szCs w:val="15"/>
        </w:rPr>
        <w:t xml:space="preserve"> </w:t>
      </w:r>
      <w:r w:rsidR="00624A21" w:rsidRPr="00A45218">
        <w:rPr>
          <w:szCs w:val="15"/>
        </w:rPr>
        <w:t xml:space="preserve">the three feedback conditions. The subjects </w:t>
      </w:r>
      <w:r w:rsidR="00371DEA">
        <w:rPr>
          <w:szCs w:val="15"/>
        </w:rPr>
        <w:t>were</w:t>
      </w:r>
      <w:r w:rsidR="00624A21" w:rsidRPr="00A45218">
        <w:rPr>
          <w:szCs w:val="15"/>
        </w:rPr>
        <w:t xml:space="preserve"> asked to reach a target as quickly as possible using the force sensor in their right hand.</w:t>
      </w:r>
      <w:r w:rsidR="00A45218" w:rsidRPr="00A45218">
        <w:rPr>
          <w:szCs w:val="15"/>
        </w:rPr>
        <w:t xml:space="preserve"> T</w:t>
      </w:r>
      <w:r w:rsidR="00624A21" w:rsidRPr="00A45218">
        <w:rPr>
          <w:szCs w:val="15"/>
        </w:rPr>
        <w:t>he force sensor in their right hand. In the last of the three main blocks, however</w:t>
      </w:r>
      <w:r w:rsidR="00A45218" w:rsidRPr="00A45218">
        <w:rPr>
          <w:szCs w:val="15"/>
        </w:rPr>
        <w:t xml:space="preserve"> </w:t>
      </w:r>
      <w:r w:rsidR="00624A21" w:rsidRPr="00A45218">
        <w:rPr>
          <w:szCs w:val="15"/>
        </w:rPr>
        <w:t>the subject is instructed not to use the force sensor and instead to use only the</w:t>
      </w:r>
      <w:r w:rsidR="00A45218" w:rsidRPr="00A45218">
        <w:rPr>
          <w:szCs w:val="15"/>
        </w:rPr>
        <w:t xml:space="preserve"> passively follow the tasks. Accordingly, the sequence of the blocks is not randomized, the passive condition is always the last to be processed and </w:t>
      </w:r>
      <w:r w:rsidR="00A45218" w:rsidRPr="00A45218">
        <w:rPr>
          <w:szCs w:val="15"/>
        </w:rPr>
        <w:t xml:space="preserve">serves as a baseline for the recording of pupillometry data. The processing time for each of the main blocks is approximately 6.5 minutes. At the beginning of each trial, a written cue is first displayed for 1 s indicating the nature of the task is displayed, either "auditory only" for the </w:t>
      </w:r>
      <w:proofErr w:type="spellStart"/>
      <w:r w:rsidR="00A45218" w:rsidRPr="00A45218">
        <w:rPr>
          <w:szCs w:val="15"/>
        </w:rPr>
        <w:t>unisensory</w:t>
      </w:r>
      <w:proofErr w:type="spellEnd"/>
      <w:r w:rsidR="00A45218" w:rsidRPr="00A45218">
        <w:rPr>
          <w:szCs w:val="15"/>
        </w:rPr>
        <w:t xml:space="preserve">-auditory feedback Condition </w:t>
      </w:r>
      <w:proofErr w:type="spellStart"/>
      <w:r w:rsidR="00A45218" w:rsidRPr="00A45218">
        <w:rPr>
          <w:szCs w:val="15"/>
        </w:rPr>
        <w:t>ao</w:t>
      </w:r>
      <w:proofErr w:type="spellEnd"/>
      <w:r w:rsidR="00A45218" w:rsidRPr="00A45218">
        <w:rPr>
          <w:szCs w:val="15"/>
        </w:rPr>
        <w:t xml:space="preserve">, in which the only cue to the proximity of the bar to the target is a changing "visual only" for the </w:t>
      </w:r>
      <w:proofErr w:type="spellStart"/>
      <w:r w:rsidR="00A45218" w:rsidRPr="00A45218">
        <w:rPr>
          <w:szCs w:val="15"/>
        </w:rPr>
        <w:t>vo</w:t>
      </w:r>
      <w:proofErr w:type="spellEnd"/>
      <w:r w:rsidR="00A45218" w:rsidRPr="00A45218">
        <w:rPr>
          <w:szCs w:val="15"/>
        </w:rPr>
        <w:t xml:space="preserve"> condition, in which the bar and the target are shown on the screen but no  are shown on the screen but no sound is heard, and "auditory &amp; visual" for the multisensory the multisensory feedback condition av (</w:t>
      </w:r>
      <w:r w:rsidR="00A45218" w:rsidRPr="008942C1">
        <w:rPr>
          <w:rStyle w:val="MethodsTextTegn"/>
        </w:rPr>
        <w:t xml:space="preserve">see </w:t>
      </w:r>
      <w:r w:rsidR="008942C1" w:rsidRPr="008942C1">
        <w:rPr>
          <w:rStyle w:val="MethodsTextTegn"/>
        </w:rPr>
        <w:fldChar w:fldCharType="begin"/>
      </w:r>
      <w:r w:rsidR="008942C1" w:rsidRPr="008942C1">
        <w:rPr>
          <w:rStyle w:val="MethodsTextTegn"/>
        </w:rPr>
        <w:instrText xml:space="preserve"> REF _Ref120090947 \h </w:instrText>
      </w:r>
      <w:r w:rsidR="008942C1">
        <w:rPr>
          <w:rStyle w:val="MethodsTextTegn"/>
        </w:rPr>
        <w:instrText xml:space="preserve"> \* MERGEFORMAT </w:instrText>
      </w:r>
      <w:r w:rsidR="008942C1" w:rsidRPr="008942C1">
        <w:rPr>
          <w:rStyle w:val="MethodsTextTegn"/>
        </w:rPr>
      </w:r>
      <w:r w:rsidR="008942C1" w:rsidRPr="008942C1">
        <w:rPr>
          <w:rStyle w:val="MethodsTextTegn"/>
        </w:rPr>
        <w:fldChar w:fldCharType="separate"/>
      </w:r>
      <w:r w:rsidR="008942C1" w:rsidRPr="008942C1">
        <w:rPr>
          <w:rStyle w:val="MethodsTextTegn"/>
        </w:rPr>
        <w:t>Figure 4</w:t>
      </w:r>
      <w:r w:rsidR="008942C1" w:rsidRPr="008942C1">
        <w:rPr>
          <w:rStyle w:val="MethodsTextTegn"/>
        </w:rPr>
        <w:fldChar w:fldCharType="end"/>
      </w:r>
      <w:r w:rsidR="008942C1">
        <w:rPr>
          <w:szCs w:val="15"/>
        </w:rPr>
        <w:t xml:space="preserve">). </w:t>
      </w:r>
      <w:r w:rsidR="00A45218" w:rsidRPr="00A45218">
        <w:rPr>
          <w:szCs w:val="15"/>
        </w:rPr>
        <w:t>The cue as well as all stimuli described in the following are presented against a gray background (hex color code: #808080).</w:t>
      </w:r>
      <w:r w:rsidR="00593820">
        <w:rPr>
          <w:szCs w:val="15"/>
        </w:rPr>
        <w:t xml:space="preserve"> </w:t>
      </w:r>
      <w:r w:rsidR="00A45218" w:rsidRPr="00A45218">
        <w:rPr>
          <w:szCs w:val="15"/>
        </w:rPr>
        <w:t xml:space="preserve">In each trial, the cue is first followed by a rest period of variable </w:t>
      </w:r>
      <w:proofErr w:type="gramStart"/>
      <w:r w:rsidR="00A45218" w:rsidRPr="00A45218">
        <w:rPr>
          <w:szCs w:val="15"/>
        </w:rPr>
        <w:t>length(</w:t>
      </w:r>
      <w:proofErr w:type="gramEnd"/>
      <w:r w:rsidR="00A45218" w:rsidRPr="00A45218">
        <w:rPr>
          <w:szCs w:val="15"/>
        </w:rPr>
        <w:t>Range: 1 - 1.5 s; see Figure 5), during which a blank, black screen is shown. Subsequently, the subject is shown a fixation cross on a gray background centered in the middle of the screen is presented (hex color code: #000000; see Fig.5), which the subject is asked to fixate with his gaze. The presentation duration of the fixation cross varies between 1.5 and 2.5 s. In the subsequent Force phase, as in the experiment of Archer et al.</w:t>
      </w:r>
      <w:r w:rsidR="00371DEA">
        <w:rPr>
          <w:szCs w:val="15"/>
        </w:rPr>
        <w:t xml:space="preserve"> </w:t>
      </w:r>
      <w:r w:rsidR="00A45218" w:rsidRPr="00A45218">
        <w:rPr>
          <w:szCs w:val="15"/>
        </w:rPr>
        <w:t xml:space="preserve">(2018), the subject's task is to move to a target area as quickly as possible using the force sensor in his or her hand as quickly as possible and to hold the position there until the force phase ends. Phase ends. Unlike in the original study, however, the force phase ends after only 6 sin order to obtain more trials for the same total duration of the experiment. In this way a better signal-to-noise ratio can be obtained for the EEG data analysis. The target area is centered horizontally and vertically on the computer monitor marked by a white bar (height: 27.522° visual angle, width: 0.997° visual angle, Hex color code: #ffffff). If a visual stimulus serves as a cue to the set position (in the feedback-conditions </w:t>
      </w:r>
      <w:proofErr w:type="spellStart"/>
      <w:r w:rsidR="00A45218" w:rsidRPr="00A45218">
        <w:rPr>
          <w:szCs w:val="15"/>
        </w:rPr>
        <w:t>vo</w:t>
      </w:r>
      <w:proofErr w:type="spellEnd"/>
      <w:r w:rsidR="00A45218" w:rsidRPr="00A45218">
        <w:rPr>
          <w:szCs w:val="15"/>
        </w:rPr>
        <w:t xml:space="preserve"> and av; see Figure 5, left and right), the subject is presented with an additional is shown another red bar in addition to the white target area (height: 27.522°visual angle, width: 0.997° visual angle, hex color code: #732626), which the test person can the force sensor to move it horizontally in order to move to the target area. Target. How strongly the bar responds to the pressure applied to the force sensor, is varied from trial to trial (see UV </w:t>
      </w:r>
      <w:proofErr w:type="spellStart"/>
      <w:r w:rsidR="00A45218" w:rsidRPr="00A45218">
        <w:rPr>
          <w:szCs w:val="15"/>
        </w:rPr>
        <w:t>SoF</w:t>
      </w:r>
      <w:proofErr w:type="spellEnd"/>
      <w:r w:rsidR="00A45218" w:rsidRPr="00A45218">
        <w:rPr>
          <w:szCs w:val="15"/>
        </w:rPr>
        <w:t xml:space="preserve"> in the independent variables section).</w:t>
      </w:r>
      <w:r w:rsidR="00A03252">
        <w:rPr>
          <w:szCs w:val="15"/>
        </w:rPr>
        <w:t xml:space="preserve"> </w:t>
      </w:r>
      <w:r w:rsidR="00A45218" w:rsidRPr="00A45218">
        <w:rPr>
          <w:szCs w:val="15"/>
        </w:rPr>
        <w:t xml:space="preserve">In trials with auditory cue stimulus (feedback conditions </w:t>
      </w:r>
      <w:proofErr w:type="spellStart"/>
      <w:r w:rsidR="00A45218" w:rsidRPr="00A45218">
        <w:rPr>
          <w:szCs w:val="15"/>
        </w:rPr>
        <w:t>ao</w:t>
      </w:r>
      <w:proofErr w:type="spellEnd"/>
      <w:r w:rsidR="00A45218" w:rsidRPr="00A45218">
        <w:rPr>
          <w:szCs w:val="15"/>
        </w:rPr>
        <w:t xml:space="preserve"> and av, cf. Figure 5 middle), the distance to the target area is signaled by a changing tone signaled (frequency between 440 and 660 Hz). The volume was set before the experiment calibrated to a comfortable volume for the subjects before the experiment.</w:t>
      </w:r>
    </w:p>
    <w:p w14:paraId="4C3B186E" w14:textId="77777777" w:rsidR="00906A4B" w:rsidRDefault="00906A4B" w:rsidP="00A45218">
      <w:pPr>
        <w:pStyle w:val="MethodsTextwithTab"/>
        <w:rPr>
          <w:szCs w:val="15"/>
        </w:rPr>
      </w:pPr>
    </w:p>
    <w:p w14:paraId="788BF48C" w14:textId="0FDC5100" w:rsidR="00A03252" w:rsidRDefault="00906A4B" w:rsidP="00906A4B">
      <w:pPr>
        <w:pStyle w:val="Methodssubheading"/>
      </w:pPr>
      <w:r>
        <w:t>Data processing</w:t>
      </w:r>
    </w:p>
    <w:p w14:paraId="34C8698A" w14:textId="08252181" w:rsidR="00906A4B" w:rsidRDefault="00906A4B" w:rsidP="00906A4B">
      <w:pPr>
        <w:pStyle w:val="MethodsText"/>
      </w:pPr>
      <w:r>
        <w:t>Preprocessing for force and pupil.</w:t>
      </w:r>
    </w:p>
    <w:p w14:paraId="174CC80D" w14:textId="7B127576" w:rsidR="00F8107A" w:rsidRDefault="00AA1887" w:rsidP="00A45218">
      <w:pPr>
        <w:pStyle w:val="MethodsText"/>
        <w:rPr>
          <w:noProof/>
          <w:lang w:val="da-DK"/>
        </w:rPr>
      </w:pPr>
      <w:r w:rsidRPr="00AA1887">
        <w:t xml:space="preserve">Four force data measures at each </w:t>
      </w:r>
      <w:r>
        <w:t>feedback</w:t>
      </w:r>
      <w:r w:rsidRPr="00AA1887">
        <w:t xml:space="preserve"> condition were calculated using </w:t>
      </w:r>
      <w:r>
        <w:t>Python</w:t>
      </w:r>
      <w:r w:rsidRPr="00AA1887">
        <w:t xml:space="preserve">: mean force (%MVC), unfiltered force error (RMSE), RMSE low-pass filtered into the 0–3 Hz </w:t>
      </w:r>
      <w:proofErr w:type="gramStart"/>
      <w:r w:rsidRPr="00AA1887">
        <w:t>range, and</w:t>
      </w:r>
      <w:proofErr w:type="gramEnd"/>
      <w:r w:rsidRPr="00AA1887">
        <w:t xml:space="preserve"> sum of power of force between 4–12 Hz. We chose to evaluate force tremor between the 4–12 Hz range since this range is where a majority of the tremor is contained. The middle 25speriodofeachtrialwasanalysedtoensurethatsubjectshad reached a constant level of force. The low and high visual feedback measures (mean force, RMSE unfiltered, RMSE 0–3 Hz, sum of power in 4–12 Hz) were subtracted to obtain a high-low difference measure (mean </w:t>
      </w:r>
      <w:proofErr w:type="spellStart"/>
      <w:r w:rsidRPr="00AA1887">
        <w:t>ForceH</w:t>
      </w:r>
      <w:proofErr w:type="spellEnd"/>
      <w:r w:rsidRPr="00AA1887">
        <w:t xml:space="preserve">-L, Force Unfiltered </w:t>
      </w:r>
      <w:proofErr w:type="spellStart"/>
      <w:r w:rsidRPr="00AA1887">
        <w:t>ErrorH-</w:t>
      </w:r>
      <w:proofErr w:type="gramStart"/>
      <w:r w:rsidRPr="00AA1887">
        <w:t>L,Force</w:t>
      </w:r>
      <w:proofErr w:type="spellEnd"/>
      <w:proofErr w:type="gramEnd"/>
      <w:r w:rsidRPr="00AA1887">
        <w:t xml:space="preserve"> 0-3 Hz </w:t>
      </w:r>
      <w:proofErr w:type="spellStart"/>
      <w:r w:rsidRPr="00AA1887">
        <w:t>ErrorH</w:t>
      </w:r>
      <w:proofErr w:type="spellEnd"/>
      <w:r w:rsidRPr="00AA1887">
        <w:t xml:space="preserve">-L, and Force </w:t>
      </w:r>
      <w:proofErr w:type="spellStart"/>
      <w:r w:rsidRPr="00AA1887">
        <w:t>TremorH</w:t>
      </w:r>
      <w:proofErr w:type="spellEnd"/>
      <w:r w:rsidRPr="00AA1887">
        <w:t xml:space="preserve">-L). Each measure was tested for homogeneity by conducting a </w:t>
      </w:r>
      <w:proofErr w:type="spellStart"/>
      <w:r w:rsidRPr="00AA1887">
        <w:t>Levene’s</w:t>
      </w:r>
      <w:proofErr w:type="spellEnd"/>
      <w:r w:rsidRPr="00AA1887">
        <w:t xml:space="preserve"> </w:t>
      </w:r>
      <w:proofErr w:type="gramStart"/>
      <w:r w:rsidRPr="00AA1887">
        <w:t>test, and</w:t>
      </w:r>
      <w:proofErr w:type="gramEnd"/>
      <w:r w:rsidRPr="00AA1887">
        <w:t xml:space="preserve"> was followed by either an independent samples t-test or a Mann-Whitney U-test (significance at P 5 0.05).</w:t>
      </w:r>
      <w:r w:rsidR="00847704" w:rsidRPr="00847704">
        <w:rPr>
          <w:noProof/>
          <w:lang w:val="da-DK"/>
        </w:rPr>
        <w:t xml:space="preserve"> </w:t>
      </w:r>
    </w:p>
    <w:p w14:paraId="0E312548" w14:textId="0E7006E9" w:rsidR="00371DEA" w:rsidRDefault="00371DEA" w:rsidP="00A45218">
      <w:pPr>
        <w:pStyle w:val="MethodsText"/>
        <w:rPr>
          <w:noProof/>
          <w:lang w:val="da-DK"/>
        </w:rPr>
      </w:pPr>
    </w:p>
    <w:p w14:paraId="7AC5E49E" w14:textId="19E41C22" w:rsidR="00371DEA" w:rsidRDefault="00371DEA" w:rsidP="00371DEA">
      <w:pPr>
        <w:pStyle w:val="Methodssubheading"/>
        <w:rPr>
          <w:noProof/>
          <w:lang w:val="da-DK"/>
        </w:rPr>
      </w:pPr>
      <w:r>
        <w:rPr>
          <w:noProof/>
          <w:lang w:val="da-DK"/>
        </w:rPr>
        <w:t>Statistics</w:t>
      </w:r>
    </w:p>
    <w:p w14:paraId="5F17F162" w14:textId="7CF5FBCE" w:rsidR="00371DEA" w:rsidRDefault="00371DEA" w:rsidP="00A45218">
      <w:pPr>
        <w:pStyle w:val="MethodsText"/>
      </w:pPr>
      <w:r>
        <w:rPr>
          <w:noProof/>
          <w:lang w:val="da-DK"/>
        </w:rPr>
        <w:t>Descriptive and Tremor and Pupil</w:t>
      </w:r>
    </w:p>
    <w:p w14:paraId="3AE3510E" w14:textId="1467EE60" w:rsidR="00A03252" w:rsidRPr="00A03252" w:rsidRDefault="00371DEA" w:rsidP="00371DEA">
      <w:pPr>
        <w:pStyle w:val="Methodssubheading"/>
      </w:pPr>
      <w:r>
        <w:rPr>
          <w:rFonts w:ascii="STIX Two Text" w:eastAsiaTheme="minorEastAsia" w:hAnsi="STIX Two Text"/>
          <w:b w:val="0"/>
          <w:bCs w:val="0"/>
          <w:noProof/>
          <w:color w:val="000000" w:themeColor="text1"/>
          <w:szCs w:val="20"/>
        </w:rPr>
        <w:lastRenderedPageBreak/>
        <w:pict w14:anchorId="58487156">
          <v:shape id="_x0000_s2050" type="#_x0000_t202" style="position:absolute;left:0;text-align:left;margin-left:.35pt;margin-top:306.95pt;width:521.65pt;height:294.95pt;z-index:251660290;visibility:visible;mso-width-percent:0;mso-wrap-distance-left:9pt;mso-wrap-distance-top:3.6pt;mso-wrap-distance-right:9pt;mso-wrap-distance-bottom:3.6pt;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">
            <v:textbox style="layout-flow:vertical;mso-next-textbox:#_x0000_s2050">
              <w:txbxContent>
                <w:p w14:paraId="4E93BE66" w14:textId="77777777" w:rsidR="00020F5C" w:rsidRDefault="00020F5C" w:rsidP="00020F5C">
                  <w:r>
                    <w:rPr>
                      <w:noProof/>
                    </w:rPr>
                    <w:drawing>
                      <wp:inline distT="0" distB="0" distL="0" distR="0" wp14:anchorId="6A352713" wp14:editId="333AFD78">
                        <wp:extent cx="6499378" cy="3112748"/>
                        <wp:effectExtent l="0" t="0" r="0" b="0"/>
                        <wp:docPr id="7" name="Grafik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1580" cy="3123381"/>
                                </a:xfrm>
                                <a:prstGeom prst="rect">
                                  <a:avLst/>
                                </a:prstGeom>
                                <a:noFill/>
                              </pic:spPr>
                            </pic:pic>
                          </a:graphicData>
                        </a:graphic>
                      </wp:inline>
                    </w:drawing>
                  </w:r>
                </w:p>
                <w:p w14:paraId="14FC2274" w14:textId="77777777" w:rsidR="00020F5C" w:rsidRPr="00A45218" w:rsidRDefault="00020F5C" w:rsidP="00020F5C">
                  <w:pPr>
                    <w:pStyle w:val="FigureLegendMain"/>
                    <w:keepNext/>
                    <w:rPr>
                      <w:sz w:val="15"/>
                      <w:szCs w:val="15"/>
                    </w:rPr>
                  </w:pPr>
                  <w:bookmarkStart w:id="2" w:name="_Ref120090947"/>
                  <w:bookmarkStart w:id="3"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2"/>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3"/>
                </w:p>
                <w:p w14:paraId="27C275FD" w14:textId="77777777" w:rsidR="00020F5C" w:rsidRDefault="00020F5C" w:rsidP="00020F5C"/>
              </w:txbxContent>
            </v:textbox>
            <w10:wrap type="square" anchorx="margin"/>
          </v:shape>
        </w:pict>
      </w:r>
    </w:p>
    <w:sectPr w:rsidR="00A03252" w:rsidRPr="00A03252" w:rsidSect="003C581F">
      <w:type w:val="continuous"/>
      <w:pgSz w:w="11900" w:h="16840" w:code="9"/>
      <w:pgMar w:top="1134" w:right="737" w:bottom="1304" w:left="737" w:header="720" w:footer="720" w:gutter="0"/>
      <w:cols w:num="2" w:space="33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F33F0" w14:textId="77777777" w:rsidR="005D69D1" w:rsidRDefault="005D69D1" w:rsidP="004C08D8">
      <w:r>
        <w:separator/>
      </w:r>
    </w:p>
    <w:p w14:paraId="0C58400E" w14:textId="77777777" w:rsidR="005D69D1" w:rsidRDefault="005D69D1" w:rsidP="004C08D8"/>
  </w:endnote>
  <w:endnote w:type="continuationSeparator" w:id="0">
    <w:p w14:paraId="3863785C" w14:textId="77777777" w:rsidR="005D69D1" w:rsidRDefault="005D69D1" w:rsidP="004C08D8">
      <w:r>
        <w:continuationSeparator/>
      </w:r>
    </w:p>
    <w:p w14:paraId="5B0D2ADA" w14:textId="77777777" w:rsidR="005D69D1" w:rsidRDefault="005D69D1" w:rsidP="004C08D8"/>
  </w:endnote>
  <w:endnote w:type="continuationNotice" w:id="1">
    <w:p w14:paraId="47B8F56D" w14:textId="77777777" w:rsidR="005D69D1" w:rsidRDefault="005D69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TIX Two Text">
    <w:altName w:val="Cambria"/>
    <w:panose1 w:val="00000000000000000000"/>
    <w:charset w:val="00"/>
    <w:family w:val="roman"/>
    <w:notTrueType/>
    <w:pitch w:val="variable"/>
    <w:sig w:usb0="A00002FF" w:usb1="5000205F"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00000000" w:usb1="40000001" w:usb2="00000008" w:usb3="00000000" w:csb0="000101FF" w:csb1="00000000"/>
  </w:font>
  <w:font w:name="STIX Two Math">
    <w:altName w:val="Cambria"/>
    <w:panose1 w:val="00000000000000000000"/>
    <w:charset w:val="00"/>
    <w:family w:val="roman"/>
    <w:notTrueType/>
    <w:pitch w:val="variable"/>
    <w:sig w:usb0="A00002FF" w:usb1="42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PageNumber"/>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51071" w14:textId="77777777" w:rsidR="005D69D1" w:rsidRDefault="005D69D1" w:rsidP="004C08D8">
      <w:r>
        <w:separator/>
      </w:r>
    </w:p>
    <w:p w14:paraId="76E48F39" w14:textId="77777777" w:rsidR="005D69D1" w:rsidRDefault="005D69D1" w:rsidP="004C08D8"/>
  </w:footnote>
  <w:footnote w:type="continuationSeparator" w:id="0">
    <w:p w14:paraId="68D19011" w14:textId="77777777" w:rsidR="005D69D1" w:rsidRDefault="005D69D1" w:rsidP="004C08D8">
      <w:r>
        <w:continuationSeparator/>
      </w:r>
    </w:p>
    <w:p w14:paraId="4A90CDC4" w14:textId="77777777" w:rsidR="005D69D1" w:rsidRDefault="005D69D1" w:rsidP="004C08D8"/>
  </w:footnote>
  <w:footnote w:type="continuationNotice" w:id="1">
    <w:p w14:paraId="2601895B" w14:textId="77777777" w:rsidR="005D69D1" w:rsidRDefault="005D69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8"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1"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2"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1"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3"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5"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8"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0"/>
  </w:num>
  <w:num w:numId="4" w16cid:durableId="1980573842">
    <w:abstractNumId w:val="10"/>
  </w:num>
  <w:num w:numId="5" w16cid:durableId="1739010851">
    <w:abstractNumId w:val="24"/>
  </w:num>
  <w:num w:numId="6" w16cid:durableId="1712875192">
    <w:abstractNumId w:val="22"/>
  </w:num>
  <w:num w:numId="7" w16cid:durableId="1124538319">
    <w:abstractNumId w:val="21"/>
  </w:num>
  <w:num w:numId="8" w16cid:durableId="1166045316">
    <w:abstractNumId w:val="7"/>
  </w:num>
  <w:num w:numId="9" w16cid:durableId="525602344">
    <w:abstractNumId w:val="11"/>
  </w:num>
  <w:num w:numId="10" w16cid:durableId="1794135729">
    <w:abstractNumId w:val="16"/>
  </w:num>
  <w:num w:numId="11" w16cid:durableId="1922717736">
    <w:abstractNumId w:val="4"/>
  </w:num>
  <w:num w:numId="12" w16cid:durableId="459804192">
    <w:abstractNumId w:val="19"/>
  </w:num>
  <w:num w:numId="13" w16cid:durableId="1032151637">
    <w:abstractNumId w:val="28"/>
  </w:num>
  <w:num w:numId="14" w16cid:durableId="315846312">
    <w:abstractNumId w:val="13"/>
  </w:num>
  <w:num w:numId="15" w16cid:durableId="1661806675">
    <w:abstractNumId w:val="12"/>
  </w:num>
  <w:num w:numId="16" w16cid:durableId="1329409208">
    <w:abstractNumId w:val="6"/>
  </w:num>
  <w:num w:numId="17" w16cid:durableId="2138453844">
    <w:abstractNumId w:val="15"/>
  </w:num>
  <w:num w:numId="18" w16cid:durableId="1338456135">
    <w:abstractNumId w:val="9"/>
  </w:num>
  <w:num w:numId="19" w16cid:durableId="1159462915">
    <w:abstractNumId w:val="18"/>
  </w:num>
  <w:num w:numId="20" w16cid:durableId="357437060">
    <w:abstractNumId w:val="26"/>
  </w:num>
  <w:num w:numId="21" w16cid:durableId="169101999">
    <w:abstractNumId w:val="2"/>
  </w:num>
  <w:num w:numId="22" w16cid:durableId="1248004596">
    <w:abstractNumId w:val="1"/>
  </w:num>
  <w:num w:numId="23" w16cid:durableId="548764830">
    <w:abstractNumId w:val="25"/>
  </w:num>
  <w:num w:numId="24" w16cid:durableId="625165750">
    <w:abstractNumId w:val="14"/>
  </w:num>
  <w:num w:numId="25" w16cid:durableId="1583876289">
    <w:abstractNumId w:val="17"/>
  </w:num>
  <w:num w:numId="26" w16cid:durableId="705252101">
    <w:abstractNumId w:val="23"/>
  </w:num>
  <w:num w:numId="27" w16cid:durableId="600338832">
    <w:abstractNumId w:val="27"/>
  </w:num>
  <w:num w:numId="28" w16cid:durableId="1019818417">
    <w:abstractNumId w:val="8"/>
  </w:num>
  <w:num w:numId="29" w16cid:durableId="18320632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autoHyphenation/>
  <w:hyphenationZone w:val="425"/>
  <w:characterSpacingControl w:val="doNotCompress"/>
  <w:hdrShapeDefaults>
    <o:shapedefaults v:ext="edit" spidmax="2058"/>
  </w:hdrShapeDefaults>
  <w:footnotePr>
    <w:footnote w:id="-1"/>
    <w:footnote w:id="0"/>
    <w:footnote w:id="1"/>
  </w:footnotePr>
  <w:endnotePr>
    <w:endnote w:id="-1"/>
    <w:endnote w:id="0"/>
    <w:endnote w:id="1"/>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247&lt;/item&gt;&lt;item&gt;1314&lt;/item&gt;&lt;item&gt;1315&lt;/item&gt;&lt;item&gt;1317&lt;/item&gt;&lt;item&gt;1666&lt;/item&gt;&lt;item&gt;1667&lt;/item&gt;&lt;item&gt;1668&lt;/item&gt;&lt;item&gt;1669&lt;/item&gt;&lt;/record-ids&gt;&lt;/item&gt;&lt;/Libraries&gt;"/>
  </w:docVars>
  <w:rsids>
    <w:rsidRoot w:val="00BF7C64"/>
    <w:rsid w:val="00001E82"/>
    <w:rsid w:val="0001097D"/>
    <w:rsid w:val="000123DF"/>
    <w:rsid w:val="000138A9"/>
    <w:rsid w:val="00014D45"/>
    <w:rsid w:val="000157D1"/>
    <w:rsid w:val="00020F5C"/>
    <w:rsid w:val="0002132C"/>
    <w:rsid w:val="000243C9"/>
    <w:rsid w:val="000364AF"/>
    <w:rsid w:val="00041065"/>
    <w:rsid w:val="00041920"/>
    <w:rsid w:val="0004275E"/>
    <w:rsid w:val="000511AE"/>
    <w:rsid w:val="000617D7"/>
    <w:rsid w:val="00067166"/>
    <w:rsid w:val="00085AD2"/>
    <w:rsid w:val="00093E7F"/>
    <w:rsid w:val="000958EF"/>
    <w:rsid w:val="000A139C"/>
    <w:rsid w:val="000A3583"/>
    <w:rsid w:val="000A534D"/>
    <w:rsid w:val="000B1B4D"/>
    <w:rsid w:val="000B61CD"/>
    <w:rsid w:val="000C3034"/>
    <w:rsid w:val="000C65E7"/>
    <w:rsid w:val="000D74F2"/>
    <w:rsid w:val="000E2EB5"/>
    <w:rsid w:val="000E57D7"/>
    <w:rsid w:val="00101F99"/>
    <w:rsid w:val="001041E3"/>
    <w:rsid w:val="001059D3"/>
    <w:rsid w:val="001065B0"/>
    <w:rsid w:val="00116AE1"/>
    <w:rsid w:val="00122A1E"/>
    <w:rsid w:val="00124A28"/>
    <w:rsid w:val="00130995"/>
    <w:rsid w:val="00131265"/>
    <w:rsid w:val="00140B57"/>
    <w:rsid w:val="00140C9A"/>
    <w:rsid w:val="00142E6D"/>
    <w:rsid w:val="0014754A"/>
    <w:rsid w:val="00157FAE"/>
    <w:rsid w:val="00172436"/>
    <w:rsid w:val="00180850"/>
    <w:rsid w:val="00183194"/>
    <w:rsid w:val="00185AD1"/>
    <w:rsid w:val="00186510"/>
    <w:rsid w:val="001878A5"/>
    <w:rsid w:val="001A2869"/>
    <w:rsid w:val="001B02BF"/>
    <w:rsid w:val="001B3804"/>
    <w:rsid w:val="001B4535"/>
    <w:rsid w:val="001B478E"/>
    <w:rsid w:val="001B6651"/>
    <w:rsid w:val="001D0759"/>
    <w:rsid w:val="001E047B"/>
    <w:rsid w:val="001E2C58"/>
    <w:rsid w:val="001E7770"/>
    <w:rsid w:val="001F0950"/>
    <w:rsid w:val="001F5378"/>
    <w:rsid w:val="001F543C"/>
    <w:rsid w:val="001F7739"/>
    <w:rsid w:val="002045DC"/>
    <w:rsid w:val="002065AC"/>
    <w:rsid w:val="00211D71"/>
    <w:rsid w:val="002247C2"/>
    <w:rsid w:val="002259C4"/>
    <w:rsid w:val="002331A1"/>
    <w:rsid w:val="0023684F"/>
    <w:rsid w:val="0025214B"/>
    <w:rsid w:val="002574E3"/>
    <w:rsid w:val="00267434"/>
    <w:rsid w:val="00270316"/>
    <w:rsid w:val="00270E4C"/>
    <w:rsid w:val="0027284E"/>
    <w:rsid w:val="002736E0"/>
    <w:rsid w:val="00274705"/>
    <w:rsid w:val="0027778A"/>
    <w:rsid w:val="00277A48"/>
    <w:rsid w:val="00280002"/>
    <w:rsid w:val="00293FD3"/>
    <w:rsid w:val="002952CB"/>
    <w:rsid w:val="002A1DD3"/>
    <w:rsid w:val="002B52DE"/>
    <w:rsid w:val="002C2DBE"/>
    <w:rsid w:val="002C4C0E"/>
    <w:rsid w:val="002D08E4"/>
    <w:rsid w:val="002D191C"/>
    <w:rsid w:val="002D2398"/>
    <w:rsid w:val="002E28EA"/>
    <w:rsid w:val="002F16D2"/>
    <w:rsid w:val="002F3E5D"/>
    <w:rsid w:val="002F3F76"/>
    <w:rsid w:val="00305F5F"/>
    <w:rsid w:val="00307722"/>
    <w:rsid w:val="00314906"/>
    <w:rsid w:val="00316CF2"/>
    <w:rsid w:val="00325F17"/>
    <w:rsid w:val="00327E4F"/>
    <w:rsid w:val="00343E84"/>
    <w:rsid w:val="00346B56"/>
    <w:rsid w:val="00350B4B"/>
    <w:rsid w:val="00355531"/>
    <w:rsid w:val="003558FB"/>
    <w:rsid w:val="003619D4"/>
    <w:rsid w:val="00367F4F"/>
    <w:rsid w:val="0037185C"/>
    <w:rsid w:val="00371DEA"/>
    <w:rsid w:val="00383A9B"/>
    <w:rsid w:val="00383D47"/>
    <w:rsid w:val="00386659"/>
    <w:rsid w:val="003A3350"/>
    <w:rsid w:val="003A57DC"/>
    <w:rsid w:val="003A5EC8"/>
    <w:rsid w:val="003A74B3"/>
    <w:rsid w:val="003B37E5"/>
    <w:rsid w:val="003B750A"/>
    <w:rsid w:val="003C581F"/>
    <w:rsid w:val="003D5F8A"/>
    <w:rsid w:val="003D6B2A"/>
    <w:rsid w:val="003E0533"/>
    <w:rsid w:val="003E1391"/>
    <w:rsid w:val="003F70B7"/>
    <w:rsid w:val="00401154"/>
    <w:rsid w:val="00420836"/>
    <w:rsid w:val="00425607"/>
    <w:rsid w:val="00433159"/>
    <w:rsid w:val="00434AAF"/>
    <w:rsid w:val="004360DE"/>
    <w:rsid w:val="00441C5E"/>
    <w:rsid w:val="0044269D"/>
    <w:rsid w:val="00451E7D"/>
    <w:rsid w:val="0045639C"/>
    <w:rsid w:val="0045764B"/>
    <w:rsid w:val="00464385"/>
    <w:rsid w:val="00470193"/>
    <w:rsid w:val="00470694"/>
    <w:rsid w:val="004725BB"/>
    <w:rsid w:val="0048497C"/>
    <w:rsid w:val="00493CFE"/>
    <w:rsid w:val="004A54BB"/>
    <w:rsid w:val="004A7F5A"/>
    <w:rsid w:val="004B07AC"/>
    <w:rsid w:val="004B3CE1"/>
    <w:rsid w:val="004B522C"/>
    <w:rsid w:val="004C08D8"/>
    <w:rsid w:val="004C7D1B"/>
    <w:rsid w:val="004D455F"/>
    <w:rsid w:val="004E2B27"/>
    <w:rsid w:val="004E49F5"/>
    <w:rsid w:val="004F18A8"/>
    <w:rsid w:val="004F1B9D"/>
    <w:rsid w:val="004F339C"/>
    <w:rsid w:val="00504DFB"/>
    <w:rsid w:val="00510292"/>
    <w:rsid w:val="00511136"/>
    <w:rsid w:val="00513932"/>
    <w:rsid w:val="00524BCB"/>
    <w:rsid w:val="005259F1"/>
    <w:rsid w:val="00527A60"/>
    <w:rsid w:val="00530A1C"/>
    <w:rsid w:val="00531D9E"/>
    <w:rsid w:val="0053419D"/>
    <w:rsid w:val="00540BBF"/>
    <w:rsid w:val="00541FA4"/>
    <w:rsid w:val="00543552"/>
    <w:rsid w:val="00546F1F"/>
    <w:rsid w:val="005508A7"/>
    <w:rsid w:val="00553E39"/>
    <w:rsid w:val="005559A3"/>
    <w:rsid w:val="00555C30"/>
    <w:rsid w:val="005577BF"/>
    <w:rsid w:val="005639FE"/>
    <w:rsid w:val="00574C41"/>
    <w:rsid w:val="00575070"/>
    <w:rsid w:val="00576EAF"/>
    <w:rsid w:val="00577E42"/>
    <w:rsid w:val="0058171B"/>
    <w:rsid w:val="00581CB1"/>
    <w:rsid w:val="00590D52"/>
    <w:rsid w:val="0059156B"/>
    <w:rsid w:val="0059212C"/>
    <w:rsid w:val="00593820"/>
    <w:rsid w:val="005A0526"/>
    <w:rsid w:val="005A2017"/>
    <w:rsid w:val="005A7C0F"/>
    <w:rsid w:val="005B488C"/>
    <w:rsid w:val="005C0E84"/>
    <w:rsid w:val="005C1A12"/>
    <w:rsid w:val="005C571F"/>
    <w:rsid w:val="005D3924"/>
    <w:rsid w:val="005D3B53"/>
    <w:rsid w:val="005D69D1"/>
    <w:rsid w:val="005E247E"/>
    <w:rsid w:val="005E473D"/>
    <w:rsid w:val="005F0B23"/>
    <w:rsid w:val="005F1ED3"/>
    <w:rsid w:val="005F3688"/>
    <w:rsid w:val="005F4951"/>
    <w:rsid w:val="00606404"/>
    <w:rsid w:val="00624A21"/>
    <w:rsid w:val="00625776"/>
    <w:rsid w:val="00625A4B"/>
    <w:rsid w:val="006276A3"/>
    <w:rsid w:val="0063074F"/>
    <w:rsid w:val="006327AB"/>
    <w:rsid w:val="00632853"/>
    <w:rsid w:val="00633619"/>
    <w:rsid w:val="00634D23"/>
    <w:rsid w:val="006554E9"/>
    <w:rsid w:val="0067142B"/>
    <w:rsid w:val="0067568A"/>
    <w:rsid w:val="0067689A"/>
    <w:rsid w:val="00680749"/>
    <w:rsid w:val="00683D55"/>
    <w:rsid w:val="006949B0"/>
    <w:rsid w:val="006A2470"/>
    <w:rsid w:val="006B0284"/>
    <w:rsid w:val="006B1A86"/>
    <w:rsid w:val="006B56BB"/>
    <w:rsid w:val="006B5F1C"/>
    <w:rsid w:val="006C04FF"/>
    <w:rsid w:val="006C687A"/>
    <w:rsid w:val="006D7DD8"/>
    <w:rsid w:val="006E0F62"/>
    <w:rsid w:val="006E3EC5"/>
    <w:rsid w:val="006F1BDD"/>
    <w:rsid w:val="006F38E8"/>
    <w:rsid w:val="006F6D2B"/>
    <w:rsid w:val="00701F2F"/>
    <w:rsid w:val="00711CDC"/>
    <w:rsid w:val="00713192"/>
    <w:rsid w:val="00715F68"/>
    <w:rsid w:val="007235D8"/>
    <w:rsid w:val="007240D2"/>
    <w:rsid w:val="0073349E"/>
    <w:rsid w:val="007541A8"/>
    <w:rsid w:val="00761931"/>
    <w:rsid w:val="00774CFF"/>
    <w:rsid w:val="00776345"/>
    <w:rsid w:val="007767B9"/>
    <w:rsid w:val="00781102"/>
    <w:rsid w:val="007914E1"/>
    <w:rsid w:val="007918AB"/>
    <w:rsid w:val="00791C39"/>
    <w:rsid w:val="00794D6C"/>
    <w:rsid w:val="007A53E9"/>
    <w:rsid w:val="007A549B"/>
    <w:rsid w:val="007A6289"/>
    <w:rsid w:val="007B0FBA"/>
    <w:rsid w:val="007B2A79"/>
    <w:rsid w:val="007B3D74"/>
    <w:rsid w:val="007B47A2"/>
    <w:rsid w:val="007B59C3"/>
    <w:rsid w:val="007C6953"/>
    <w:rsid w:val="007D214C"/>
    <w:rsid w:val="007D2E4E"/>
    <w:rsid w:val="007D41F6"/>
    <w:rsid w:val="007D72EC"/>
    <w:rsid w:val="007E4B79"/>
    <w:rsid w:val="007E502F"/>
    <w:rsid w:val="00816998"/>
    <w:rsid w:val="008173F7"/>
    <w:rsid w:val="008217FA"/>
    <w:rsid w:val="00836A05"/>
    <w:rsid w:val="008378D8"/>
    <w:rsid w:val="008401CB"/>
    <w:rsid w:val="0084214A"/>
    <w:rsid w:val="00843128"/>
    <w:rsid w:val="008453B4"/>
    <w:rsid w:val="00847704"/>
    <w:rsid w:val="0085084C"/>
    <w:rsid w:val="00851AD4"/>
    <w:rsid w:val="00853560"/>
    <w:rsid w:val="00855AC3"/>
    <w:rsid w:val="00860077"/>
    <w:rsid w:val="00862D91"/>
    <w:rsid w:val="00865A72"/>
    <w:rsid w:val="0087133D"/>
    <w:rsid w:val="00874ECD"/>
    <w:rsid w:val="008873B9"/>
    <w:rsid w:val="00892B5D"/>
    <w:rsid w:val="008936E7"/>
    <w:rsid w:val="008942C1"/>
    <w:rsid w:val="00897030"/>
    <w:rsid w:val="008B30A2"/>
    <w:rsid w:val="008B39EA"/>
    <w:rsid w:val="008B7F30"/>
    <w:rsid w:val="008C3AFB"/>
    <w:rsid w:val="008C5723"/>
    <w:rsid w:val="008E0E25"/>
    <w:rsid w:val="008E71B3"/>
    <w:rsid w:val="008F00C6"/>
    <w:rsid w:val="008F2D3B"/>
    <w:rsid w:val="008F6AD2"/>
    <w:rsid w:val="00902792"/>
    <w:rsid w:val="0090602B"/>
    <w:rsid w:val="00906A4B"/>
    <w:rsid w:val="009140F8"/>
    <w:rsid w:val="009154BC"/>
    <w:rsid w:val="009208BA"/>
    <w:rsid w:val="00922A28"/>
    <w:rsid w:val="009306E5"/>
    <w:rsid w:val="00930F50"/>
    <w:rsid w:val="00931240"/>
    <w:rsid w:val="00932712"/>
    <w:rsid w:val="0093599A"/>
    <w:rsid w:val="00937E63"/>
    <w:rsid w:val="00960DC6"/>
    <w:rsid w:val="00966760"/>
    <w:rsid w:val="00984B9B"/>
    <w:rsid w:val="00990A0E"/>
    <w:rsid w:val="00991679"/>
    <w:rsid w:val="009A52C7"/>
    <w:rsid w:val="009B3DC5"/>
    <w:rsid w:val="009B4970"/>
    <w:rsid w:val="009C17E4"/>
    <w:rsid w:val="009D00B8"/>
    <w:rsid w:val="009D0A99"/>
    <w:rsid w:val="009D5D52"/>
    <w:rsid w:val="009D771E"/>
    <w:rsid w:val="009E13ED"/>
    <w:rsid w:val="009E1874"/>
    <w:rsid w:val="009E7206"/>
    <w:rsid w:val="009F12C4"/>
    <w:rsid w:val="00A03252"/>
    <w:rsid w:val="00A075AF"/>
    <w:rsid w:val="00A11AD0"/>
    <w:rsid w:val="00A22F9C"/>
    <w:rsid w:val="00A23106"/>
    <w:rsid w:val="00A23266"/>
    <w:rsid w:val="00A27603"/>
    <w:rsid w:val="00A312C9"/>
    <w:rsid w:val="00A345CD"/>
    <w:rsid w:val="00A35771"/>
    <w:rsid w:val="00A45218"/>
    <w:rsid w:val="00A5631F"/>
    <w:rsid w:val="00A60539"/>
    <w:rsid w:val="00A6110E"/>
    <w:rsid w:val="00A62EDC"/>
    <w:rsid w:val="00A63C83"/>
    <w:rsid w:val="00A64E69"/>
    <w:rsid w:val="00A67E82"/>
    <w:rsid w:val="00A75ADA"/>
    <w:rsid w:val="00A80329"/>
    <w:rsid w:val="00A80E07"/>
    <w:rsid w:val="00A82862"/>
    <w:rsid w:val="00A82905"/>
    <w:rsid w:val="00A8385B"/>
    <w:rsid w:val="00A8538A"/>
    <w:rsid w:val="00A918EE"/>
    <w:rsid w:val="00A9732B"/>
    <w:rsid w:val="00AA167A"/>
    <w:rsid w:val="00AA1887"/>
    <w:rsid w:val="00AA39D0"/>
    <w:rsid w:val="00AA76D7"/>
    <w:rsid w:val="00AB5E29"/>
    <w:rsid w:val="00AC6EF1"/>
    <w:rsid w:val="00AE2985"/>
    <w:rsid w:val="00AE2E93"/>
    <w:rsid w:val="00AE2E9D"/>
    <w:rsid w:val="00AE3FB7"/>
    <w:rsid w:val="00AF1002"/>
    <w:rsid w:val="00AF139F"/>
    <w:rsid w:val="00AF2D02"/>
    <w:rsid w:val="00B00C4E"/>
    <w:rsid w:val="00B0158F"/>
    <w:rsid w:val="00B01966"/>
    <w:rsid w:val="00B06620"/>
    <w:rsid w:val="00B0691C"/>
    <w:rsid w:val="00B07AC6"/>
    <w:rsid w:val="00B105A3"/>
    <w:rsid w:val="00B1504F"/>
    <w:rsid w:val="00B154E4"/>
    <w:rsid w:val="00B37116"/>
    <w:rsid w:val="00B400A1"/>
    <w:rsid w:val="00B4288C"/>
    <w:rsid w:val="00B4753D"/>
    <w:rsid w:val="00B679F0"/>
    <w:rsid w:val="00B75644"/>
    <w:rsid w:val="00B9323E"/>
    <w:rsid w:val="00B95B4B"/>
    <w:rsid w:val="00BA1D69"/>
    <w:rsid w:val="00BA2485"/>
    <w:rsid w:val="00BA6221"/>
    <w:rsid w:val="00BA7EC9"/>
    <w:rsid w:val="00BB45CE"/>
    <w:rsid w:val="00BC2D5E"/>
    <w:rsid w:val="00BC7641"/>
    <w:rsid w:val="00BD66DC"/>
    <w:rsid w:val="00BD695D"/>
    <w:rsid w:val="00BE3219"/>
    <w:rsid w:val="00BE3968"/>
    <w:rsid w:val="00BE46FF"/>
    <w:rsid w:val="00BF24B3"/>
    <w:rsid w:val="00BF2A6A"/>
    <w:rsid w:val="00BF3959"/>
    <w:rsid w:val="00BF7C64"/>
    <w:rsid w:val="00C10011"/>
    <w:rsid w:val="00C10117"/>
    <w:rsid w:val="00C120A5"/>
    <w:rsid w:val="00C20F93"/>
    <w:rsid w:val="00C244F0"/>
    <w:rsid w:val="00C5142F"/>
    <w:rsid w:val="00C51ECC"/>
    <w:rsid w:val="00C608AC"/>
    <w:rsid w:val="00C64264"/>
    <w:rsid w:val="00C70B42"/>
    <w:rsid w:val="00C918BC"/>
    <w:rsid w:val="00C9674F"/>
    <w:rsid w:val="00C97536"/>
    <w:rsid w:val="00C97E55"/>
    <w:rsid w:val="00CA0179"/>
    <w:rsid w:val="00CA76C5"/>
    <w:rsid w:val="00CA7C0A"/>
    <w:rsid w:val="00CB0EAB"/>
    <w:rsid w:val="00CB7076"/>
    <w:rsid w:val="00CC1C2A"/>
    <w:rsid w:val="00CC1D36"/>
    <w:rsid w:val="00CD7F86"/>
    <w:rsid w:val="00CE6872"/>
    <w:rsid w:val="00CE72FA"/>
    <w:rsid w:val="00CF12C6"/>
    <w:rsid w:val="00CF2384"/>
    <w:rsid w:val="00D01BF2"/>
    <w:rsid w:val="00D01DC2"/>
    <w:rsid w:val="00D0539F"/>
    <w:rsid w:val="00D27839"/>
    <w:rsid w:val="00D27EB8"/>
    <w:rsid w:val="00D3337B"/>
    <w:rsid w:val="00D41A76"/>
    <w:rsid w:val="00D44BCB"/>
    <w:rsid w:val="00D45B02"/>
    <w:rsid w:val="00D46F6A"/>
    <w:rsid w:val="00D51892"/>
    <w:rsid w:val="00D54C72"/>
    <w:rsid w:val="00D55D6F"/>
    <w:rsid w:val="00D565D6"/>
    <w:rsid w:val="00D65DD7"/>
    <w:rsid w:val="00D65E60"/>
    <w:rsid w:val="00D7113F"/>
    <w:rsid w:val="00D74138"/>
    <w:rsid w:val="00D84CD1"/>
    <w:rsid w:val="00D90494"/>
    <w:rsid w:val="00D94295"/>
    <w:rsid w:val="00D97C81"/>
    <w:rsid w:val="00DA0C08"/>
    <w:rsid w:val="00DA345C"/>
    <w:rsid w:val="00DB7FA7"/>
    <w:rsid w:val="00DC6120"/>
    <w:rsid w:val="00DF5E47"/>
    <w:rsid w:val="00E02EBA"/>
    <w:rsid w:val="00E1528C"/>
    <w:rsid w:val="00E17CC0"/>
    <w:rsid w:val="00E20FC6"/>
    <w:rsid w:val="00E51D30"/>
    <w:rsid w:val="00E54332"/>
    <w:rsid w:val="00E617AA"/>
    <w:rsid w:val="00E63325"/>
    <w:rsid w:val="00E668CF"/>
    <w:rsid w:val="00E77D8C"/>
    <w:rsid w:val="00E8196C"/>
    <w:rsid w:val="00E86775"/>
    <w:rsid w:val="00E87888"/>
    <w:rsid w:val="00E9420A"/>
    <w:rsid w:val="00E96118"/>
    <w:rsid w:val="00EA13BC"/>
    <w:rsid w:val="00EA186D"/>
    <w:rsid w:val="00EA2708"/>
    <w:rsid w:val="00EA2AC5"/>
    <w:rsid w:val="00EA61AC"/>
    <w:rsid w:val="00EB5614"/>
    <w:rsid w:val="00EB7FBB"/>
    <w:rsid w:val="00EC5897"/>
    <w:rsid w:val="00EC5996"/>
    <w:rsid w:val="00ED4D21"/>
    <w:rsid w:val="00ED5DDD"/>
    <w:rsid w:val="00EE20F8"/>
    <w:rsid w:val="00EE507C"/>
    <w:rsid w:val="00EE6E85"/>
    <w:rsid w:val="00EF0FC3"/>
    <w:rsid w:val="00EF2EF3"/>
    <w:rsid w:val="00EF4316"/>
    <w:rsid w:val="00F13CDF"/>
    <w:rsid w:val="00F1449E"/>
    <w:rsid w:val="00F30D00"/>
    <w:rsid w:val="00F31CBB"/>
    <w:rsid w:val="00F35A60"/>
    <w:rsid w:val="00F43383"/>
    <w:rsid w:val="00F447AB"/>
    <w:rsid w:val="00F45746"/>
    <w:rsid w:val="00F5142A"/>
    <w:rsid w:val="00F517D6"/>
    <w:rsid w:val="00F54A24"/>
    <w:rsid w:val="00F55A1D"/>
    <w:rsid w:val="00F57831"/>
    <w:rsid w:val="00F626B0"/>
    <w:rsid w:val="00F720B6"/>
    <w:rsid w:val="00F72700"/>
    <w:rsid w:val="00F8107A"/>
    <w:rsid w:val="00F81223"/>
    <w:rsid w:val="00F8240C"/>
    <w:rsid w:val="00F84896"/>
    <w:rsid w:val="00F91E7F"/>
    <w:rsid w:val="00F95320"/>
    <w:rsid w:val="00F9737F"/>
    <w:rsid w:val="00F97510"/>
    <w:rsid w:val="00FA5FB4"/>
    <w:rsid w:val="00FB636E"/>
    <w:rsid w:val="00FD0F4E"/>
    <w:rsid w:val="00FE100E"/>
    <w:rsid w:val="00FE6BA4"/>
    <w:rsid w:val="00FF06AC"/>
    <w:rsid w:val="00FF2CE0"/>
    <w:rsid w:val="00FF527D"/>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8"/>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4592</Words>
  <Characters>26179</Characters>
  <Application>Microsoft Office Word</Application>
  <DocSecurity>0</DocSecurity>
  <Lines>218</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8</cp:revision>
  <cp:lastPrinted>2019-02-11T20:28:00Z</cp:lastPrinted>
  <dcterms:created xsi:type="dcterms:W3CDTF">2022-11-17T09:47:00Z</dcterms:created>
  <dcterms:modified xsi:type="dcterms:W3CDTF">2022-11-25T14:35:00Z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zotero-version="6.0.19-beta.4+2db90511f"&gt;&lt;session id="QQKwpVqO"/&gt;&lt;style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