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D0DB" w14:textId="5A070D60" w:rsidR="00220598" w:rsidRDefault="00220598">
      <w:pPr>
        <w:rPr>
          <w:rFonts w:ascii="宋体" w:eastAsia="宋体" w:hAnsi="宋体" w:hint="eastAsia"/>
          <w:sz w:val="24"/>
        </w:rPr>
      </w:pPr>
      <w:r w:rsidRPr="00220598">
        <w:rPr>
          <w:rFonts w:ascii="宋体" w:eastAsia="宋体" w:hAnsi="宋体" w:hint="eastAsia"/>
          <w:sz w:val="24"/>
        </w:rPr>
        <w:t>2.</w:t>
      </w:r>
      <w:r>
        <w:rPr>
          <w:rFonts w:ascii="宋体" w:eastAsia="宋体" w:hAnsi="宋体" w:hint="eastAsia"/>
          <w:sz w:val="24"/>
        </w:rPr>
        <w:t>参考课本ch5表5-3，给不同的体系结构风格设计打分</w:t>
      </w:r>
    </w:p>
    <w:p w14:paraId="16453D16" w14:textId="27BCD8DB" w:rsidR="00220598" w:rsidRPr="00220598" w:rsidRDefault="00220598" w:rsidP="00220598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共进行微服务、事件驱动、MVC及分层架构4中体系结构风格设计的打分，打分结果如下表。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175"/>
        <w:gridCol w:w="1383"/>
        <w:gridCol w:w="1383"/>
        <w:gridCol w:w="1383"/>
      </w:tblGrid>
      <w:tr w:rsidR="006132B7" w:rsidRPr="00E34C73" w14:paraId="5D63ED78" w14:textId="77777777" w:rsidTr="00E34C73">
        <w:trPr>
          <w:trHeight w:val="699"/>
        </w:trPr>
        <w:tc>
          <w:tcPr>
            <w:tcW w:w="1696" w:type="dxa"/>
            <w:tcBorders>
              <w:tl2br w:val="single" w:sz="4" w:space="0" w:color="auto"/>
            </w:tcBorders>
          </w:tcPr>
          <w:p w14:paraId="0633D6D0" w14:textId="5CD8D6BB" w:rsidR="00E34C73" w:rsidRPr="00E34C73" w:rsidRDefault="00E34C73">
            <w:pPr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 xml:space="preserve">        风格</w:t>
            </w:r>
          </w:p>
          <w:p w14:paraId="3EA80012" w14:textId="004EDA51" w:rsidR="006132B7" w:rsidRPr="00E34C73" w:rsidRDefault="00E34C73" w:rsidP="00E34C73">
            <w:pPr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属性</w:t>
            </w:r>
          </w:p>
        </w:tc>
        <w:tc>
          <w:tcPr>
            <w:tcW w:w="1276" w:type="dxa"/>
            <w:vAlign w:val="center"/>
          </w:tcPr>
          <w:p w14:paraId="4E17955E" w14:textId="6832202C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优先级</w:t>
            </w:r>
          </w:p>
        </w:tc>
        <w:tc>
          <w:tcPr>
            <w:tcW w:w="1175" w:type="dxa"/>
            <w:vAlign w:val="center"/>
          </w:tcPr>
          <w:p w14:paraId="79CA2763" w14:textId="66093650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微服务</w:t>
            </w:r>
          </w:p>
        </w:tc>
        <w:tc>
          <w:tcPr>
            <w:tcW w:w="1383" w:type="dxa"/>
            <w:vAlign w:val="center"/>
          </w:tcPr>
          <w:p w14:paraId="5B5604EA" w14:textId="0A757E59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事件驱动</w:t>
            </w:r>
          </w:p>
        </w:tc>
        <w:tc>
          <w:tcPr>
            <w:tcW w:w="1383" w:type="dxa"/>
            <w:vAlign w:val="center"/>
          </w:tcPr>
          <w:p w14:paraId="0E0759E8" w14:textId="1BC175AA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MVC</w:t>
            </w:r>
          </w:p>
        </w:tc>
        <w:tc>
          <w:tcPr>
            <w:tcW w:w="1383" w:type="dxa"/>
            <w:vAlign w:val="center"/>
          </w:tcPr>
          <w:p w14:paraId="4B10C50A" w14:textId="67CBB0C7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分层架构</w:t>
            </w:r>
          </w:p>
        </w:tc>
      </w:tr>
      <w:tr w:rsidR="006132B7" w:rsidRPr="00E34C73" w14:paraId="30768500" w14:textId="77777777" w:rsidTr="006132B7">
        <w:tc>
          <w:tcPr>
            <w:tcW w:w="1696" w:type="dxa"/>
          </w:tcPr>
          <w:p w14:paraId="5D99F074" w14:textId="0C49C113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模块化程度</w:t>
            </w:r>
          </w:p>
        </w:tc>
        <w:tc>
          <w:tcPr>
            <w:tcW w:w="1276" w:type="dxa"/>
          </w:tcPr>
          <w:p w14:paraId="75AA8680" w14:textId="06BF3307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1175" w:type="dxa"/>
          </w:tcPr>
          <w:p w14:paraId="29F6E013" w14:textId="3A1E80F2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1383" w:type="dxa"/>
          </w:tcPr>
          <w:p w14:paraId="7EFF113D" w14:textId="3A127FED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1383" w:type="dxa"/>
          </w:tcPr>
          <w:p w14:paraId="1A455749" w14:textId="7DE8EBCA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1383" w:type="dxa"/>
          </w:tcPr>
          <w:p w14:paraId="71324463" w14:textId="2DD5E2D6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5</w:t>
            </w:r>
          </w:p>
        </w:tc>
      </w:tr>
      <w:tr w:rsidR="006132B7" w:rsidRPr="00E34C73" w14:paraId="1BBCC38E" w14:textId="77777777" w:rsidTr="006132B7">
        <w:tc>
          <w:tcPr>
            <w:tcW w:w="1696" w:type="dxa"/>
          </w:tcPr>
          <w:p w14:paraId="4DD90E5E" w14:textId="0480B645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可拓展性</w:t>
            </w:r>
          </w:p>
        </w:tc>
        <w:tc>
          <w:tcPr>
            <w:tcW w:w="1276" w:type="dxa"/>
          </w:tcPr>
          <w:p w14:paraId="1B08FCEC" w14:textId="6331C0D2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1175" w:type="dxa"/>
          </w:tcPr>
          <w:p w14:paraId="42DBBC3B" w14:textId="3065AB7B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1383" w:type="dxa"/>
          </w:tcPr>
          <w:p w14:paraId="02D0FCC1" w14:textId="276110D3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1383" w:type="dxa"/>
          </w:tcPr>
          <w:p w14:paraId="267D1902" w14:textId="6BAAAE79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1383" w:type="dxa"/>
          </w:tcPr>
          <w:p w14:paraId="2835319B" w14:textId="016BFD7E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3</w:t>
            </w:r>
          </w:p>
        </w:tc>
      </w:tr>
      <w:tr w:rsidR="006132B7" w:rsidRPr="00E34C73" w14:paraId="41B98EE6" w14:textId="77777777" w:rsidTr="006132B7">
        <w:tc>
          <w:tcPr>
            <w:tcW w:w="1696" w:type="dxa"/>
          </w:tcPr>
          <w:p w14:paraId="33A6D390" w14:textId="58DD29AA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部署复杂度</w:t>
            </w:r>
          </w:p>
        </w:tc>
        <w:tc>
          <w:tcPr>
            <w:tcW w:w="1276" w:type="dxa"/>
          </w:tcPr>
          <w:p w14:paraId="220EFEE6" w14:textId="7342F51C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1175" w:type="dxa"/>
          </w:tcPr>
          <w:p w14:paraId="34559140" w14:textId="69FEA699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51B219F8" w14:textId="136B5182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1383" w:type="dxa"/>
          </w:tcPr>
          <w:p w14:paraId="389B1124" w14:textId="0DF44F2C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1383" w:type="dxa"/>
          </w:tcPr>
          <w:p w14:paraId="2FED67F2" w14:textId="26E884C5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4</w:t>
            </w:r>
          </w:p>
        </w:tc>
      </w:tr>
      <w:tr w:rsidR="006132B7" w:rsidRPr="00E34C73" w14:paraId="53E157EE" w14:textId="77777777" w:rsidTr="006132B7">
        <w:tc>
          <w:tcPr>
            <w:tcW w:w="1696" w:type="dxa"/>
          </w:tcPr>
          <w:p w14:paraId="06ABDB2F" w14:textId="37944C3B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实时处理能力</w:t>
            </w:r>
          </w:p>
        </w:tc>
        <w:tc>
          <w:tcPr>
            <w:tcW w:w="1276" w:type="dxa"/>
          </w:tcPr>
          <w:p w14:paraId="0A045472" w14:textId="36CF607C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1175" w:type="dxa"/>
          </w:tcPr>
          <w:p w14:paraId="63285FFF" w14:textId="389271B2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1383" w:type="dxa"/>
          </w:tcPr>
          <w:p w14:paraId="1EF79786" w14:textId="251B214F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1383" w:type="dxa"/>
          </w:tcPr>
          <w:p w14:paraId="1B7CBA03" w14:textId="708DFE28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1383" w:type="dxa"/>
          </w:tcPr>
          <w:p w14:paraId="1AF8BFC3" w14:textId="4CB53509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2</w:t>
            </w:r>
          </w:p>
        </w:tc>
      </w:tr>
      <w:tr w:rsidR="006132B7" w:rsidRPr="00E34C73" w14:paraId="1C705C36" w14:textId="77777777" w:rsidTr="006132B7">
        <w:tc>
          <w:tcPr>
            <w:tcW w:w="1696" w:type="dxa"/>
          </w:tcPr>
          <w:p w14:paraId="06F7393B" w14:textId="4F3D355F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安全控制</w:t>
            </w:r>
          </w:p>
        </w:tc>
        <w:tc>
          <w:tcPr>
            <w:tcW w:w="1276" w:type="dxa"/>
          </w:tcPr>
          <w:p w14:paraId="555B31E6" w14:textId="101A7CC8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1175" w:type="dxa"/>
          </w:tcPr>
          <w:p w14:paraId="26961781" w14:textId="2EC48228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1383" w:type="dxa"/>
          </w:tcPr>
          <w:p w14:paraId="67106642" w14:textId="60295AC2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1383" w:type="dxa"/>
          </w:tcPr>
          <w:p w14:paraId="7B2FED3B" w14:textId="125C470F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1383" w:type="dxa"/>
          </w:tcPr>
          <w:p w14:paraId="78ACE8EA" w14:textId="5EC078C1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3</w:t>
            </w:r>
          </w:p>
        </w:tc>
      </w:tr>
      <w:tr w:rsidR="006132B7" w:rsidRPr="00E34C73" w14:paraId="25657170" w14:textId="77777777" w:rsidTr="006132B7">
        <w:tc>
          <w:tcPr>
            <w:tcW w:w="1696" w:type="dxa"/>
          </w:tcPr>
          <w:p w14:paraId="04DF0FC5" w14:textId="7A35515A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开发成本</w:t>
            </w:r>
          </w:p>
        </w:tc>
        <w:tc>
          <w:tcPr>
            <w:tcW w:w="1276" w:type="dxa"/>
          </w:tcPr>
          <w:p w14:paraId="7C6C98DB" w14:textId="44101859" w:rsidR="006132B7" w:rsidRPr="00E34C73" w:rsidRDefault="006132B7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1175" w:type="dxa"/>
          </w:tcPr>
          <w:p w14:paraId="6D3114C6" w14:textId="049B76F8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0EF6DCA7" w14:textId="64B7A7E2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1383" w:type="dxa"/>
          </w:tcPr>
          <w:p w14:paraId="2F7BBBB9" w14:textId="791ECE1B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1383" w:type="dxa"/>
          </w:tcPr>
          <w:p w14:paraId="38DD85DE" w14:textId="18E55FD4" w:rsidR="006132B7" w:rsidRPr="00E34C73" w:rsidRDefault="003672E1" w:rsidP="00E34C7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E34C73">
              <w:rPr>
                <w:rFonts w:ascii="宋体" w:eastAsia="宋体" w:hAnsi="宋体" w:hint="eastAsia"/>
                <w:sz w:val="24"/>
              </w:rPr>
              <w:t>4</w:t>
            </w:r>
          </w:p>
        </w:tc>
      </w:tr>
    </w:tbl>
    <w:p w14:paraId="060711EF" w14:textId="0E820F26" w:rsidR="00220598" w:rsidRDefault="00220598" w:rsidP="00220598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根据打分结果结合各属性优先级进行评分计算：</w:t>
      </w:r>
    </w:p>
    <w:p w14:paraId="0FFE1467" w14:textId="43FB2A97" w:rsidR="009B060F" w:rsidRPr="00E34C73" w:rsidRDefault="0022059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C36A73" w:rsidRPr="00E34C73">
        <w:rPr>
          <w:rFonts w:ascii="宋体" w:eastAsia="宋体" w:hAnsi="宋体" w:hint="eastAsia"/>
          <w:sz w:val="24"/>
        </w:rPr>
        <w:t>微服务风格设计评分：</w:t>
      </w:r>
      <w:r w:rsidR="00E34C73" w:rsidRPr="00E34C73">
        <w:rPr>
          <w:rFonts w:ascii="宋体" w:eastAsia="宋体" w:hAnsi="宋体" w:hint="eastAsia"/>
          <w:sz w:val="24"/>
        </w:rPr>
        <w:t>4*3+4*3+3*1+4*2+5*2+1*1=46</w:t>
      </w:r>
    </w:p>
    <w:p w14:paraId="11F5018C" w14:textId="5EC19151" w:rsidR="00C36A73" w:rsidRPr="00E34C73" w:rsidRDefault="0022059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C36A73" w:rsidRPr="00E34C73">
        <w:rPr>
          <w:rFonts w:ascii="宋体" w:eastAsia="宋体" w:hAnsi="宋体" w:hint="eastAsia"/>
          <w:sz w:val="24"/>
        </w:rPr>
        <w:t>事件驱动风格设计评分：</w:t>
      </w:r>
      <w:r w:rsidR="00E34C73" w:rsidRPr="00E34C73">
        <w:rPr>
          <w:rFonts w:ascii="宋体" w:eastAsia="宋体" w:hAnsi="宋体" w:hint="eastAsia"/>
          <w:sz w:val="24"/>
        </w:rPr>
        <w:t>3*3+3*3+2*3+4*4+3*5+2*1=57</w:t>
      </w:r>
    </w:p>
    <w:p w14:paraId="4520FCFF" w14:textId="2A4A1021" w:rsidR="00C36A73" w:rsidRPr="00E34C73" w:rsidRDefault="0022059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C36A73" w:rsidRPr="00E34C73">
        <w:rPr>
          <w:rFonts w:ascii="宋体" w:eastAsia="宋体" w:hAnsi="宋体" w:hint="eastAsia"/>
          <w:sz w:val="24"/>
        </w:rPr>
        <w:t>MVC风格设计评分：</w:t>
      </w:r>
      <w:r w:rsidR="00E34C73" w:rsidRPr="00E34C73">
        <w:rPr>
          <w:rFonts w:ascii="宋体" w:eastAsia="宋体" w:hAnsi="宋体" w:hint="eastAsia"/>
          <w:sz w:val="24"/>
        </w:rPr>
        <w:t>4*3+4*2+3*3+2*4+4*5+3*1=64</w:t>
      </w:r>
    </w:p>
    <w:p w14:paraId="7B7EC7FD" w14:textId="646040D8" w:rsidR="00C36A73" w:rsidRPr="00E34C73" w:rsidRDefault="0022059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r w:rsidR="00C36A73" w:rsidRPr="00E34C73">
        <w:rPr>
          <w:rFonts w:ascii="宋体" w:eastAsia="宋体" w:hAnsi="宋体" w:hint="eastAsia"/>
          <w:sz w:val="24"/>
        </w:rPr>
        <w:t>分层架构风格设计评分：</w:t>
      </w:r>
      <w:r w:rsidR="00E34C73" w:rsidRPr="00E34C73">
        <w:rPr>
          <w:rFonts w:ascii="宋体" w:eastAsia="宋体" w:hAnsi="宋体" w:hint="eastAsia"/>
          <w:sz w:val="24"/>
        </w:rPr>
        <w:t>5*3+3*3+4*3+2*4+3*5+4*1=63</w:t>
      </w:r>
    </w:p>
    <w:p w14:paraId="7B18AD70" w14:textId="716F839F" w:rsidR="00E34C73" w:rsidRPr="00220598" w:rsidRDefault="00220598" w:rsidP="00220598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经过评分可以得到，MVC体系结构和分层架构风格设计与在线人才招聘系统的适配度较高。</w:t>
      </w:r>
    </w:p>
    <w:p w14:paraId="4A4E4AA0" w14:textId="49E48C0E" w:rsidR="008438E7" w:rsidRPr="008438E7" w:rsidRDefault="008438E7" w:rsidP="008438E7">
      <w:pPr>
        <w:rPr>
          <w:rFonts w:ascii="宋体" w:eastAsia="宋体" w:hAnsi="宋体" w:hint="eastAsia"/>
          <w:b/>
          <w:bCs/>
          <w:sz w:val="24"/>
        </w:rPr>
      </w:pPr>
      <w:r w:rsidRPr="008438E7">
        <w:rPr>
          <w:rFonts w:ascii="宋体" w:eastAsia="宋体" w:hAnsi="宋体" w:hint="eastAsia"/>
          <w:b/>
          <w:bCs/>
          <w:sz w:val="24"/>
        </w:rPr>
        <w:t>微服务架构</w:t>
      </w:r>
    </w:p>
    <w:p w14:paraId="535C6CE2" w14:textId="799E55CB" w:rsidR="008438E7" w:rsidRPr="008438E7" w:rsidRDefault="008438E7" w:rsidP="008438E7">
      <w:pPr>
        <w:ind w:firstLineChars="200" w:firstLine="480"/>
        <w:rPr>
          <w:rFonts w:ascii="宋体" w:eastAsia="宋体" w:hAnsi="宋体" w:hint="eastAsia"/>
          <w:sz w:val="24"/>
        </w:rPr>
      </w:pPr>
      <w:r w:rsidRPr="008438E7">
        <w:rPr>
          <w:rFonts w:ascii="宋体" w:eastAsia="宋体" w:hAnsi="宋体" w:hint="eastAsia"/>
          <w:sz w:val="24"/>
        </w:rPr>
        <w:t>微服务架构在模块化和可拓展性方面得分较高，在部署复杂度、开发成本和安全控制方面得分较低。微服务架构可将系统划分为多个独立的服务（如用户服务、招聘服务、留言服务等），每个服务专注于单一功能，模块化程度高，适合当前系统的多角色需求（个人用户、企业用户、管理员）；水平扩展性强，可根据负载单独扩展某个服务（如高并发的“职位查询”服务），据库也可按服务拆分（如用户库、职位库），避免单点瓶颈。但是部署复杂度和开发成本较高，需容器化（Docker）和编排工具（Kubernetes）管理多个服务，依赖服务发现、API网关（如Spring Cloud Gateway）和分布式配置，初期成本高，需熟悉分布式系统（如服务熔断、链路追踪）。适合长期迭代和团队协作，调试和测试更复杂，不适合于我们的项目；</w:t>
      </w:r>
    </w:p>
    <w:p w14:paraId="1BCA0CD2" w14:textId="5D9CD1A5" w:rsidR="008438E7" w:rsidRPr="008438E7" w:rsidRDefault="008438E7" w:rsidP="008438E7">
      <w:pPr>
        <w:rPr>
          <w:rFonts w:ascii="宋体" w:eastAsia="宋体" w:hAnsi="宋体" w:hint="eastAsia"/>
          <w:b/>
          <w:bCs/>
          <w:sz w:val="24"/>
        </w:rPr>
      </w:pPr>
      <w:r w:rsidRPr="008438E7">
        <w:rPr>
          <w:rFonts w:ascii="宋体" w:eastAsia="宋体" w:hAnsi="宋体" w:hint="eastAsia"/>
          <w:b/>
          <w:bCs/>
          <w:sz w:val="24"/>
        </w:rPr>
        <w:t>事件驱动架构</w:t>
      </w:r>
    </w:p>
    <w:p w14:paraId="61A56418" w14:textId="44EDD852" w:rsidR="00E34C73" w:rsidRDefault="008438E7" w:rsidP="001C4FDB">
      <w:pPr>
        <w:ind w:firstLineChars="200" w:firstLine="480"/>
        <w:rPr>
          <w:rFonts w:ascii="宋体" w:eastAsia="宋体" w:hAnsi="宋体" w:hint="eastAsia"/>
          <w:sz w:val="24"/>
        </w:rPr>
      </w:pPr>
      <w:r w:rsidRPr="008438E7">
        <w:rPr>
          <w:rFonts w:ascii="宋体" w:eastAsia="宋体" w:hAnsi="宋体" w:hint="eastAsia"/>
          <w:sz w:val="24"/>
        </w:rPr>
        <w:t>事件驱动架构在实时处理能力方面得分较高，主要是本项目对于实时性要求不太高，而事件驱动架构可通过流处理（如Kafka Streams）实现近实时分析；在模块化、可拓展性、部署复杂度、安全控制以及开发成本方面都得分一般；事件驱动架构通过事件（如“职位发布”“简历投递”）解耦模块，理论上</w:t>
      </w:r>
      <w:r w:rsidRPr="008438E7">
        <w:rPr>
          <w:rFonts w:ascii="宋体" w:eastAsia="宋体" w:hAnsi="宋体" w:hint="eastAsia"/>
          <w:sz w:val="24"/>
        </w:rPr>
        <w:lastRenderedPageBreak/>
        <w:t>可以实现较好的模块化，但模块化程度取决于事件的定义和边界划分；需额外学习消息中间件（如Kafka）、事件建模（如DDD事件风暴），调试困难（需工具追踪事件流）。若事件设计不当，可能导致“事件地狱”（Event Hell）。</w:t>
      </w:r>
    </w:p>
    <w:p w14:paraId="6C2E7605" w14:textId="1B99ECA8" w:rsidR="00E34C73" w:rsidRDefault="00E34C73">
      <w:pPr>
        <w:rPr>
          <w:rFonts w:ascii="宋体" w:eastAsia="宋体" w:hAnsi="宋体" w:hint="eastAsia"/>
          <w:b/>
          <w:bCs/>
          <w:sz w:val="24"/>
        </w:rPr>
      </w:pPr>
      <w:r w:rsidRPr="00E34C73">
        <w:rPr>
          <w:rFonts w:ascii="宋体" w:eastAsia="宋体" w:hAnsi="宋体" w:hint="eastAsia"/>
          <w:b/>
          <w:bCs/>
          <w:sz w:val="24"/>
        </w:rPr>
        <w:t>MVC风格</w:t>
      </w:r>
    </w:p>
    <w:p w14:paraId="27DBDC75" w14:textId="77777777" w:rsidR="00E34C73" w:rsidRPr="00E34C73" w:rsidRDefault="00E34C73" w:rsidP="00E34C73">
      <w:pPr>
        <w:ind w:firstLineChars="200" w:firstLine="480"/>
        <w:rPr>
          <w:rFonts w:ascii="宋体" w:eastAsia="宋体" w:hAnsi="宋体" w:hint="eastAsia"/>
          <w:sz w:val="24"/>
        </w:rPr>
      </w:pPr>
      <w:r w:rsidRPr="00E34C73">
        <w:rPr>
          <w:rFonts w:ascii="宋体" w:eastAsia="宋体" w:hAnsi="宋体" w:hint="eastAsia"/>
          <w:sz w:val="24"/>
        </w:rPr>
        <w:t>MVC（Model-View-Controller） 是一种经典的软件架构风格，将应用程序分为三个核心组件：</w:t>
      </w:r>
    </w:p>
    <w:p w14:paraId="38A53EAF" w14:textId="77777777" w:rsidR="00E34C73" w:rsidRPr="00E34C73" w:rsidRDefault="00E34C73" w:rsidP="00E34C73">
      <w:pPr>
        <w:rPr>
          <w:rFonts w:ascii="宋体" w:eastAsia="宋体" w:hAnsi="宋体" w:hint="eastAsia"/>
          <w:sz w:val="24"/>
        </w:rPr>
      </w:pPr>
      <w:r w:rsidRPr="00E34C73">
        <w:rPr>
          <w:rFonts w:ascii="宋体" w:eastAsia="宋体" w:hAnsi="宋体" w:hint="eastAsia"/>
          <w:sz w:val="24"/>
        </w:rPr>
        <w:t xml:space="preserve">1. </w:t>
      </w:r>
      <w:r w:rsidRPr="00E34C73">
        <w:rPr>
          <w:rFonts w:ascii="宋体" w:eastAsia="宋体" w:hAnsi="宋体" w:hint="eastAsia"/>
          <w:sz w:val="24"/>
          <w:u w:val="single"/>
        </w:rPr>
        <w:t>Model（模型）</w:t>
      </w:r>
      <w:r w:rsidRPr="00E34C73">
        <w:rPr>
          <w:rFonts w:ascii="宋体" w:eastAsia="宋体" w:hAnsi="宋体" w:hint="eastAsia"/>
          <w:sz w:val="24"/>
        </w:rPr>
        <w:t>：处理数据和业务逻辑，负责数据的存储、检索和更新。</w:t>
      </w:r>
    </w:p>
    <w:p w14:paraId="366292AC" w14:textId="77777777" w:rsidR="00E34C73" w:rsidRPr="00E34C73" w:rsidRDefault="00E34C73" w:rsidP="00E34C73">
      <w:pPr>
        <w:rPr>
          <w:rFonts w:ascii="宋体" w:eastAsia="宋体" w:hAnsi="宋体" w:hint="eastAsia"/>
          <w:sz w:val="24"/>
        </w:rPr>
      </w:pPr>
      <w:r w:rsidRPr="00E34C73">
        <w:rPr>
          <w:rFonts w:ascii="宋体" w:eastAsia="宋体" w:hAnsi="宋体" w:hint="eastAsia"/>
          <w:sz w:val="24"/>
        </w:rPr>
        <w:t xml:space="preserve">2. </w:t>
      </w:r>
      <w:r w:rsidRPr="00E34C73">
        <w:rPr>
          <w:rFonts w:ascii="宋体" w:eastAsia="宋体" w:hAnsi="宋体" w:hint="eastAsia"/>
          <w:sz w:val="24"/>
          <w:u w:val="single"/>
        </w:rPr>
        <w:t>View（视图）</w:t>
      </w:r>
      <w:r w:rsidRPr="00E34C73">
        <w:rPr>
          <w:rFonts w:ascii="宋体" w:eastAsia="宋体" w:hAnsi="宋体" w:hint="eastAsia"/>
          <w:sz w:val="24"/>
        </w:rPr>
        <w:t>：负责用户界面展示，从模型获取数据并呈现给用户（如网页、移动端界面）。</w:t>
      </w:r>
    </w:p>
    <w:p w14:paraId="7EA194D1" w14:textId="77777777" w:rsidR="00E34C73" w:rsidRPr="00E34C73" w:rsidRDefault="00E34C73" w:rsidP="00E34C73">
      <w:pPr>
        <w:rPr>
          <w:rFonts w:ascii="宋体" w:eastAsia="宋体" w:hAnsi="宋体" w:hint="eastAsia"/>
          <w:sz w:val="24"/>
        </w:rPr>
      </w:pPr>
      <w:r w:rsidRPr="00E34C73">
        <w:rPr>
          <w:rFonts w:ascii="宋体" w:eastAsia="宋体" w:hAnsi="宋体" w:hint="eastAsia"/>
          <w:sz w:val="24"/>
        </w:rPr>
        <w:t xml:space="preserve">3. </w:t>
      </w:r>
      <w:r w:rsidRPr="00E34C73">
        <w:rPr>
          <w:rFonts w:ascii="宋体" w:eastAsia="宋体" w:hAnsi="宋体" w:hint="eastAsia"/>
          <w:sz w:val="24"/>
          <w:u w:val="single"/>
        </w:rPr>
        <w:t>Controller（控制器）</w:t>
      </w:r>
      <w:r w:rsidRPr="00E34C73">
        <w:rPr>
          <w:rFonts w:ascii="宋体" w:eastAsia="宋体" w:hAnsi="宋体" w:hint="eastAsia"/>
          <w:sz w:val="24"/>
        </w:rPr>
        <w:t>：接收用户输入（如HTTP请求），调用模型处理数据，并选择视图返回响应。</w:t>
      </w:r>
    </w:p>
    <w:p w14:paraId="49ACB873" w14:textId="56ADB678" w:rsidR="00E34C73" w:rsidRDefault="00E34C73" w:rsidP="00E34C73">
      <w:pPr>
        <w:ind w:firstLineChars="200" w:firstLine="480"/>
        <w:rPr>
          <w:rFonts w:ascii="宋体" w:eastAsia="宋体" w:hAnsi="宋体" w:hint="eastAsia"/>
          <w:sz w:val="24"/>
        </w:rPr>
      </w:pPr>
      <w:r w:rsidRPr="00E34C73">
        <w:rPr>
          <w:rFonts w:ascii="宋体" w:eastAsia="宋体" w:hAnsi="宋体" w:hint="eastAsia"/>
          <w:sz w:val="24"/>
        </w:rPr>
        <w:t>MVC的核心思想是分离关注点，通过分层设计提高代码的可维护性和可扩展性。</w:t>
      </w:r>
      <w:r>
        <w:rPr>
          <w:rFonts w:ascii="宋体" w:eastAsia="宋体" w:hAnsi="宋体" w:hint="eastAsia"/>
          <w:sz w:val="24"/>
        </w:rPr>
        <w:t>MVC因其模块化程度高、可拓展性强、安全控制强等特性，适合需求明确、模块清晰的招聘系统（进行基础的职位发布及简历管理）。</w:t>
      </w:r>
    </w:p>
    <w:p w14:paraId="1F9707AC" w14:textId="77777777" w:rsidR="00E34C73" w:rsidRDefault="00E34C73" w:rsidP="00E34C73">
      <w:pPr>
        <w:rPr>
          <w:rFonts w:ascii="宋体" w:eastAsia="宋体" w:hAnsi="宋体" w:hint="eastAsia"/>
          <w:sz w:val="24"/>
        </w:rPr>
      </w:pPr>
    </w:p>
    <w:p w14:paraId="37D800E6" w14:textId="74A74328" w:rsidR="00E34C73" w:rsidRPr="00E34C73" w:rsidRDefault="00E34C73" w:rsidP="00E34C73">
      <w:pPr>
        <w:rPr>
          <w:rFonts w:ascii="宋体" w:eastAsia="宋体" w:hAnsi="宋体" w:hint="eastAsia"/>
          <w:b/>
          <w:bCs/>
          <w:sz w:val="24"/>
        </w:rPr>
      </w:pPr>
      <w:r w:rsidRPr="00E34C73">
        <w:rPr>
          <w:rFonts w:ascii="宋体" w:eastAsia="宋体" w:hAnsi="宋体" w:hint="eastAsia"/>
          <w:b/>
          <w:bCs/>
          <w:sz w:val="24"/>
        </w:rPr>
        <w:t>分层架构风格</w:t>
      </w:r>
    </w:p>
    <w:p w14:paraId="01EC7B00" w14:textId="77777777" w:rsidR="00E34C73" w:rsidRPr="00E34C73" w:rsidRDefault="00E34C73" w:rsidP="00E34C73">
      <w:pPr>
        <w:ind w:firstLineChars="200" w:firstLine="480"/>
        <w:rPr>
          <w:rFonts w:ascii="宋体" w:eastAsia="宋体" w:hAnsi="宋体" w:hint="eastAsia"/>
          <w:sz w:val="24"/>
        </w:rPr>
      </w:pPr>
      <w:r w:rsidRPr="00E34C73">
        <w:rPr>
          <w:rFonts w:ascii="宋体" w:eastAsia="宋体" w:hAnsi="宋体" w:hint="eastAsia"/>
          <w:sz w:val="24"/>
        </w:rPr>
        <w:t>分层架构（Layered Architecture）是一种将系统划分为多个水平层的设计风格，每层具有特定职责，且仅能调用相邻下层提供的服务。典型的分层架构包括：</w:t>
      </w:r>
    </w:p>
    <w:p w14:paraId="68376C24" w14:textId="32F7E05E" w:rsidR="00E34C73" w:rsidRPr="00E34C73" w:rsidRDefault="00E34C73" w:rsidP="00E34C7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E34C73">
        <w:rPr>
          <w:rFonts w:ascii="宋体" w:eastAsia="宋体" w:hAnsi="宋体" w:hint="eastAsia"/>
          <w:sz w:val="24"/>
          <w:u w:val="single"/>
        </w:rPr>
        <w:t>表现层（Presentation Layer）</w:t>
      </w:r>
      <w:r w:rsidRPr="00E34C73">
        <w:rPr>
          <w:rFonts w:ascii="宋体" w:eastAsia="宋体" w:hAnsi="宋体" w:hint="eastAsia"/>
          <w:sz w:val="24"/>
        </w:rPr>
        <w:t>：处理用户交互和界面展示。</w:t>
      </w:r>
    </w:p>
    <w:p w14:paraId="313C8350" w14:textId="49EE42F7" w:rsidR="00E34C73" w:rsidRPr="00E34C73" w:rsidRDefault="00E34C73" w:rsidP="00E34C7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E34C73">
        <w:rPr>
          <w:rFonts w:ascii="宋体" w:eastAsia="宋体" w:hAnsi="宋体" w:hint="eastAsia"/>
          <w:sz w:val="24"/>
          <w:u w:val="single"/>
        </w:rPr>
        <w:t>业务逻辑层（Business Layer）</w:t>
      </w:r>
      <w:r w:rsidRPr="00E34C73">
        <w:rPr>
          <w:rFonts w:ascii="宋体" w:eastAsia="宋体" w:hAnsi="宋体" w:hint="eastAsia"/>
          <w:sz w:val="24"/>
        </w:rPr>
        <w:t>：实现核心业务规则和流程。</w:t>
      </w:r>
    </w:p>
    <w:p w14:paraId="7986638F" w14:textId="086014F5" w:rsidR="00E34C73" w:rsidRPr="00E34C73" w:rsidRDefault="00E34C73" w:rsidP="00E34C7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Pr="00E34C73">
        <w:rPr>
          <w:rFonts w:ascii="宋体" w:eastAsia="宋体" w:hAnsi="宋体" w:hint="eastAsia"/>
          <w:sz w:val="24"/>
          <w:u w:val="single"/>
        </w:rPr>
        <w:t>数据访问层（Data Access Layer）</w:t>
      </w:r>
      <w:r w:rsidRPr="00E34C73">
        <w:rPr>
          <w:rFonts w:ascii="宋体" w:eastAsia="宋体" w:hAnsi="宋体" w:hint="eastAsia"/>
          <w:sz w:val="24"/>
        </w:rPr>
        <w:t>：负责数据持久化和数据库交互。</w:t>
      </w:r>
    </w:p>
    <w:p w14:paraId="516E978F" w14:textId="3B8F8407" w:rsidR="00E34C73" w:rsidRPr="00E34C73" w:rsidRDefault="00E34C73" w:rsidP="00E34C73">
      <w:pPr>
        <w:ind w:firstLineChars="200" w:firstLine="480"/>
        <w:rPr>
          <w:rFonts w:ascii="宋体" w:eastAsia="宋体" w:hAnsi="宋体" w:hint="eastAsia"/>
          <w:sz w:val="24"/>
        </w:rPr>
      </w:pPr>
      <w:r w:rsidRPr="00E34C73">
        <w:rPr>
          <w:rFonts w:ascii="宋体" w:eastAsia="宋体" w:hAnsi="宋体" w:hint="eastAsia"/>
          <w:sz w:val="24"/>
        </w:rPr>
        <w:t>层间通过明确定义的接口通信，遵循“单向依赖”原则（上层依赖下层，不可反向依赖）。</w:t>
      </w:r>
      <w:r>
        <w:rPr>
          <w:rFonts w:ascii="宋体" w:eastAsia="宋体" w:hAnsi="宋体" w:hint="eastAsia"/>
          <w:sz w:val="24"/>
        </w:rPr>
        <w:t>分层架构风格因其与在线人才招聘系统在模块化程度、部署复杂度、开发程度等方面的适配性，适合业务逻辑明确、需要高模块化和团队协作的中小型在线人才招聘系统。</w:t>
      </w:r>
    </w:p>
    <w:sectPr w:rsidR="00E34C73" w:rsidRPr="00E34C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0F"/>
    <w:rsid w:val="001C4FDB"/>
    <w:rsid w:val="00220598"/>
    <w:rsid w:val="003672E1"/>
    <w:rsid w:val="006132B7"/>
    <w:rsid w:val="008438E7"/>
    <w:rsid w:val="008851F3"/>
    <w:rsid w:val="009B060F"/>
    <w:rsid w:val="00C36A73"/>
    <w:rsid w:val="00E34C73"/>
    <w:rsid w:val="00E7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D9CB8"/>
  <w15:chartTrackingRefBased/>
  <w15:docId w15:val="{12165721-1328-4422-8A14-C0898980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06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6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6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6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6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6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6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6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06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0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0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06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06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06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06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06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06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06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6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06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06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06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06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0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06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060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13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793</Words>
  <Characters>873</Characters>
  <Application>Microsoft Office Word</Application>
  <DocSecurity>0</DocSecurity>
  <Lines>28</Lines>
  <Paragraphs>5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锦源 邱</dc:creator>
  <cp:keywords/>
  <dc:description/>
  <cp:lastModifiedBy>锦源 邱</cp:lastModifiedBy>
  <cp:revision>8</cp:revision>
  <dcterms:created xsi:type="dcterms:W3CDTF">2025-05-29T12:37:00Z</dcterms:created>
  <dcterms:modified xsi:type="dcterms:W3CDTF">2025-05-29T13:45:00Z</dcterms:modified>
</cp:coreProperties>
</file>