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C996C" w14:textId="21A6B9CD" w:rsidR="00CC71F7" w:rsidRDefault="00CC71F7" w:rsidP="00CC71F7">
      <w:pPr>
        <w:pStyle w:val="Heading1"/>
        <w:jc w:val="center"/>
        <w:rPr>
          <w:lang w:val="pl-PL"/>
        </w:rPr>
      </w:pPr>
      <w:r>
        <w:rPr>
          <w:lang w:val="pl-PL"/>
        </w:rPr>
        <w:t>Julia smerdel</w:t>
      </w:r>
      <w:r>
        <w:rPr>
          <w:lang w:val="pl-PL"/>
        </w:rPr>
        <w:br/>
        <w:t>PUM, Lab2</w:t>
      </w:r>
    </w:p>
    <w:p w14:paraId="34114E0C" w14:textId="52D67C8F" w:rsidR="00CC71F7" w:rsidRDefault="00CC71F7" w:rsidP="00CC71F7">
      <w:pPr>
        <w:pStyle w:val="Heading2"/>
        <w:jc w:val="center"/>
      </w:pPr>
      <w:r w:rsidRPr="004E4ED1">
        <w:t>Bone marrow mononuclear cells with AML</w:t>
      </w:r>
    </w:p>
    <w:p w14:paraId="690FEB1E" w14:textId="69E71ACD" w:rsidR="00A620AF" w:rsidRPr="00A620AF" w:rsidRDefault="00A620AF" w:rsidP="00A620AF">
      <w:pPr>
        <w:pStyle w:val="Heading3"/>
      </w:pPr>
      <w:r>
        <w:t>Opis</w:t>
      </w:r>
    </w:p>
    <w:p w14:paraId="45ADC5A4" w14:textId="7EE6F602" w:rsidR="00CC71F7" w:rsidRDefault="00CC71F7" w:rsidP="00CC71F7">
      <w:pPr>
        <w:rPr>
          <w:sz w:val="22"/>
          <w:szCs w:val="22"/>
          <w:lang w:val="pl-PL"/>
        </w:rPr>
      </w:pPr>
      <w:r w:rsidRPr="00CC71F7">
        <w:rPr>
          <w:sz w:val="22"/>
          <w:szCs w:val="22"/>
          <w:lang w:val="pl-PL"/>
        </w:rPr>
        <w:t>Zbiór danych przedstawia profile ekspresji genów w komórkach jednojądrzastych szpiku kostnego od pacjenta z ostrą białaczką szpikową oraz od dwóch zdrowych dawców, którzy pełnią rolę grupy kontrolnej. Dane zawierają próbki 1000 komórek i 1000 genów charakteryzujących się największą zmiennością</w:t>
      </w:r>
      <w:r>
        <w:rPr>
          <w:sz w:val="22"/>
          <w:szCs w:val="22"/>
          <w:lang w:val="pl-PL"/>
        </w:rPr>
        <w:t>.</w:t>
      </w:r>
    </w:p>
    <w:p w14:paraId="1839CA1C" w14:textId="61FC13E5" w:rsidR="00CC71F7" w:rsidRDefault="00CC71F7" w:rsidP="00A620AF">
      <w:pPr>
        <w:pStyle w:val="Heading3"/>
        <w:rPr>
          <w:rStyle w:val="SubtleEmphasis"/>
        </w:rPr>
      </w:pPr>
      <w:r>
        <w:rPr>
          <w:rStyle w:val="SubtleEmphasis"/>
        </w:rPr>
        <w:t>Cel</w:t>
      </w:r>
    </w:p>
    <w:p w14:paraId="34C908F2" w14:textId="1C5B7BDE" w:rsidR="00A620AF" w:rsidRDefault="00A620AF" w:rsidP="00A620AF">
      <w:r>
        <w:t>Czy występowanie genu informuje o chorobie.</w:t>
      </w:r>
    </w:p>
    <w:p w14:paraId="62A70C3B" w14:textId="77777777" w:rsidR="00A620AF" w:rsidRDefault="00A620AF" w:rsidP="00A620AF"/>
    <w:p w14:paraId="6B2B5B18" w14:textId="089C7FF4" w:rsidR="00A620AF" w:rsidRDefault="00C01D76" w:rsidP="00C01D76">
      <w:pPr>
        <w:pStyle w:val="Heading3"/>
      </w:pPr>
      <w:r>
        <w:t>Schemat</w:t>
      </w:r>
    </w:p>
    <w:p w14:paraId="5ABD0F8B" w14:textId="16F71DC6" w:rsidR="00C01D76" w:rsidRDefault="006948CE" w:rsidP="00C01D76">
      <w:r w:rsidRPr="006948CE">
        <w:drawing>
          <wp:inline distT="0" distB="0" distL="0" distR="0" wp14:anchorId="213DF30C" wp14:editId="5A985A00">
            <wp:extent cx="5731510" cy="4493260"/>
            <wp:effectExtent l="0" t="0" r="0" b="2540"/>
            <wp:docPr id="958669387" name="Picture 1" descr="A diagram of information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669387" name="Picture 1" descr="A diagram of information on a black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DB1E9" w14:textId="77777777" w:rsidR="00C01D76" w:rsidRDefault="00C01D76" w:rsidP="00C01D76"/>
    <w:p w14:paraId="24F22EBB" w14:textId="6CDBBC96" w:rsidR="00C01D76" w:rsidRDefault="00C01D76" w:rsidP="00C01D76">
      <w:pPr>
        <w:pStyle w:val="Heading3"/>
      </w:pPr>
      <w:r>
        <w:lastRenderedPageBreak/>
        <w:t>Najważniejsz widżety:</w:t>
      </w:r>
    </w:p>
    <w:p w14:paraId="28FA8CF5" w14:textId="49084A3E" w:rsidR="00C01D76" w:rsidRPr="00C01D76" w:rsidRDefault="00C01D76" w:rsidP="00C01D76">
      <w:pPr>
        <w:rPr>
          <w:sz w:val="22"/>
          <w:szCs w:val="22"/>
        </w:rPr>
      </w:pPr>
      <w:r w:rsidRPr="00C01D76">
        <w:rPr>
          <w:sz w:val="22"/>
          <w:szCs w:val="22"/>
        </w:rPr>
        <w:t xml:space="preserve">- </w:t>
      </w:r>
      <w:r w:rsidRPr="00C01D76">
        <w:rPr>
          <w:b/>
          <w:bCs/>
          <w:sz w:val="22"/>
          <w:szCs w:val="22"/>
        </w:rPr>
        <w:t>Rozkłady (Distributions):</w:t>
      </w:r>
      <w:r w:rsidRPr="00C01D76">
        <w:rPr>
          <w:sz w:val="22"/>
          <w:szCs w:val="22"/>
        </w:rPr>
        <w:t xml:space="preserve"> Tworzy wykresy, które pomagają wizualizować rozkład danych dla wybranych zmiennych. Użytkownicy mogą tworzyć histogramy, wykresy gęstości i wykresy pudełkowe, dzięki czemu mogą lepiej zrozumieć charakterystykę danych oraz wykryć anomalie.</w:t>
      </w:r>
    </w:p>
    <w:p w14:paraId="7123F1D4" w14:textId="5E150FF4" w:rsidR="00C01D76" w:rsidRPr="00C01D76" w:rsidRDefault="00C01D76" w:rsidP="00C01D76">
      <w:pPr>
        <w:rPr>
          <w:sz w:val="22"/>
          <w:szCs w:val="22"/>
        </w:rPr>
      </w:pPr>
      <w:r w:rsidRPr="00C01D76">
        <w:rPr>
          <w:sz w:val="22"/>
          <w:szCs w:val="22"/>
        </w:rPr>
        <w:t xml:space="preserve">- </w:t>
      </w:r>
      <w:r w:rsidRPr="00C01D76">
        <w:rPr>
          <w:b/>
          <w:bCs/>
          <w:sz w:val="22"/>
          <w:szCs w:val="22"/>
        </w:rPr>
        <w:t>Obliczanie Odległości (Distances):</w:t>
      </w:r>
      <w:r w:rsidRPr="00C01D76">
        <w:rPr>
          <w:sz w:val="22"/>
          <w:szCs w:val="22"/>
        </w:rPr>
        <w:t xml:space="preserve"> Służy do określania odległości pomiędzy poszczególnymi punktami danych, co jest kluczowe dla analizy podobieństwa między obiektami. Pozwala na wyróżnienie naturalnie występujących grup lub klastrów na podstawie ich relacji przestrzennych.</w:t>
      </w:r>
    </w:p>
    <w:p w14:paraId="4B1852F9" w14:textId="6911DEE7" w:rsidR="00C01D76" w:rsidRPr="00C01D76" w:rsidRDefault="00C01D76" w:rsidP="00C01D76">
      <w:pPr>
        <w:rPr>
          <w:sz w:val="22"/>
          <w:szCs w:val="22"/>
        </w:rPr>
      </w:pPr>
      <w:r w:rsidRPr="00C01D76">
        <w:rPr>
          <w:sz w:val="22"/>
          <w:szCs w:val="22"/>
        </w:rPr>
        <w:t xml:space="preserve">- </w:t>
      </w:r>
      <w:r w:rsidRPr="00C01D76">
        <w:rPr>
          <w:b/>
          <w:bCs/>
          <w:sz w:val="22"/>
          <w:szCs w:val="22"/>
        </w:rPr>
        <w:t>Mapa Odległości (Distance Map):</w:t>
      </w:r>
      <w:r w:rsidRPr="00C01D76">
        <w:rPr>
          <w:sz w:val="22"/>
          <w:szCs w:val="22"/>
        </w:rPr>
        <w:t xml:space="preserve"> Ta funkcja generuje graficzną reprezentację odległości między punktami, ułatwiając zrozumienie struktury zbioru danych i pomagając w identyfikacji obszarów z podobnymi atrybutami.</w:t>
      </w:r>
    </w:p>
    <w:p w14:paraId="7F33EEAC" w14:textId="28BDDD3A" w:rsidR="00C01D76" w:rsidRPr="00C01D76" w:rsidRDefault="00C01D76" w:rsidP="00C01D76">
      <w:pPr>
        <w:rPr>
          <w:sz w:val="22"/>
          <w:szCs w:val="22"/>
        </w:rPr>
      </w:pPr>
      <w:r w:rsidRPr="00C01D76">
        <w:rPr>
          <w:sz w:val="22"/>
          <w:szCs w:val="22"/>
        </w:rPr>
        <w:t xml:space="preserve">- </w:t>
      </w:r>
      <w:r w:rsidRPr="00C01D76">
        <w:rPr>
          <w:b/>
          <w:bCs/>
          <w:sz w:val="22"/>
          <w:szCs w:val="22"/>
        </w:rPr>
        <w:t>Macierz Odległości (Distance Matrix):</w:t>
      </w:r>
      <w:r w:rsidRPr="00C01D76">
        <w:rPr>
          <w:sz w:val="22"/>
          <w:szCs w:val="22"/>
        </w:rPr>
        <w:t xml:space="preserve"> Tworzy tabelę przedstawiającą odległości między wszystkimi punktami w zbiorze danych, co umożliwia dogłębną analizę ich wzajemnych powiązań i pomaga w identyfikacji klastrów lub wzorców podobieństwa.</w:t>
      </w:r>
    </w:p>
    <w:p w14:paraId="67999ADA" w14:textId="77777777" w:rsidR="00C01D76" w:rsidRDefault="00C01D76" w:rsidP="00C01D76">
      <w:pPr>
        <w:rPr>
          <w:sz w:val="22"/>
          <w:szCs w:val="22"/>
        </w:rPr>
      </w:pPr>
      <w:r w:rsidRPr="00C01D76">
        <w:rPr>
          <w:sz w:val="22"/>
          <w:szCs w:val="22"/>
        </w:rPr>
        <w:t xml:space="preserve">- </w:t>
      </w:r>
      <w:r w:rsidRPr="00C01D76">
        <w:rPr>
          <w:b/>
          <w:bCs/>
          <w:sz w:val="22"/>
          <w:szCs w:val="22"/>
        </w:rPr>
        <w:t>T-SNE</w:t>
      </w:r>
      <w:r w:rsidRPr="00C01D76">
        <w:rPr>
          <w:sz w:val="22"/>
          <w:szCs w:val="22"/>
        </w:rPr>
        <w:t>: Jest to technika redukcji wymiarowości, która pozwala na efektywną wizualizację skomplikowanych zbiorów danych w przestrzeni o niższej wymiarowości, przy jednoczesnym zachowaniu ich kluczowych właściwości strukturalnych.</w:t>
      </w:r>
    </w:p>
    <w:p w14:paraId="49B3B3EC" w14:textId="5A5E1D5F" w:rsidR="00C01D76" w:rsidRDefault="00C01D76" w:rsidP="00C01D76">
      <w:pPr>
        <w:rPr>
          <w:sz w:val="22"/>
          <w:szCs w:val="22"/>
        </w:rPr>
      </w:pPr>
      <w:r w:rsidRPr="00C01D76">
        <w:rPr>
          <w:sz w:val="22"/>
          <w:szCs w:val="22"/>
        </w:rPr>
        <w:t xml:space="preserve">- </w:t>
      </w:r>
      <w:r w:rsidRPr="00C01D76">
        <w:rPr>
          <w:b/>
          <w:bCs/>
          <w:sz w:val="22"/>
          <w:szCs w:val="22"/>
        </w:rPr>
        <w:t>kNN (k najbliższych sąsiadów):</w:t>
      </w:r>
      <w:r w:rsidRPr="00C01D76">
        <w:rPr>
          <w:sz w:val="22"/>
          <w:szCs w:val="22"/>
        </w:rPr>
        <w:t xml:space="preserve"> Wprowadza algorytm k najbliższych sąsiadów do klasyfikacji lub regresji. kNN wykorzystuje wzorce podobieństwa między danymi do prognozowania lub klasyfikacji, co sprawia, że jest to cenione narzędzie w analizie danych.</w:t>
      </w:r>
    </w:p>
    <w:p w14:paraId="52B9FA8F" w14:textId="359717F2" w:rsidR="006948CE" w:rsidRPr="006948CE" w:rsidRDefault="006948CE" w:rsidP="006948CE">
      <w:pPr>
        <w:rPr>
          <w:sz w:val="22"/>
          <w:szCs w:val="22"/>
        </w:rPr>
      </w:pPr>
      <w:r w:rsidRPr="006948CE">
        <w:rPr>
          <w:sz w:val="22"/>
          <w:szCs w:val="22"/>
        </w:rPr>
        <w:t xml:space="preserve">- </w:t>
      </w:r>
      <w:r w:rsidRPr="006948CE">
        <w:rPr>
          <w:b/>
          <w:bCs/>
          <w:sz w:val="22"/>
          <w:szCs w:val="22"/>
        </w:rPr>
        <w:t>Analiza Składowych Głównych (PCA):</w:t>
      </w:r>
      <w:r w:rsidRPr="006948CE">
        <w:rPr>
          <w:sz w:val="22"/>
          <w:szCs w:val="22"/>
        </w:rPr>
        <w:t xml:space="preserve"> Metoda ta stosuje technikę zmniejszania wymiarów danych, znana jako analiza składowych głównych. Pozwala ona na transformację danych do przestrzeni o zredukowanej liczbie wymiarów, co jest przydatne zarówno dla łatwiejszej wizualizacji, jak i usunięcia mniej istotnych cech, co z kolei może przyczynić się do zwiększenia efektywności algorytmów uczenia maszynowego.</w:t>
      </w:r>
    </w:p>
    <w:p w14:paraId="704F3861" w14:textId="50F365CA" w:rsidR="006948CE" w:rsidRDefault="006948CE" w:rsidP="006948CE">
      <w:pPr>
        <w:rPr>
          <w:sz w:val="22"/>
          <w:szCs w:val="22"/>
        </w:rPr>
      </w:pPr>
      <w:r w:rsidRPr="006948CE">
        <w:rPr>
          <w:sz w:val="22"/>
          <w:szCs w:val="22"/>
        </w:rPr>
        <w:t xml:space="preserve">- </w:t>
      </w:r>
      <w:r w:rsidRPr="006948CE">
        <w:rPr>
          <w:b/>
          <w:bCs/>
          <w:sz w:val="22"/>
          <w:szCs w:val="22"/>
        </w:rPr>
        <w:t>Ranking (Rank):</w:t>
      </w:r>
      <w:r w:rsidRPr="006948CE">
        <w:rPr>
          <w:sz w:val="22"/>
          <w:szCs w:val="22"/>
        </w:rPr>
        <w:t xml:space="preserve"> Ten widget przydziela danej pozycji w zbiorze danych określoną pozycję rangową opartą o wybrane atrybuty. Jest to użyteczne dla uporządkowania danych zgodnie z wybranymi kryteriami i wyróżnienia tych, które są najistotniejsze lub mają największe znaczenie w analizie.</w:t>
      </w:r>
    </w:p>
    <w:p w14:paraId="1B3DD056" w14:textId="77777777" w:rsidR="006948CE" w:rsidRDefault="006948CE" w:rsidP="006948CE">
      <w:pPr>
        <w:rPr>
          <w:sz w:val="22"/>
          <w:szCs w:val="22"/>
        </w:rPr>
      </w:pPr>
    </w:p>
    <w:p w14:paraId="4E2F65BE" w14:textId="77777777" w:rsidR="00BC6D78" w:rsidRDefault="00BC6D78" w:rsidP="006948CE">
      <w:pPr>
        <w:rPr>
          <w:sz w:val="22"/>
          <w:szCs w:val="22"/>
        </w:rPr>
      </w:pPr>
    </w:p>
    <w:p w14:paraId="5518DE7E" w14:textId="77777777" w:rsidR="00BC6D78" w:rsidRDefault="00BC6D78" w:rsidP="006948CE">
      <w:pPr>
        <w:rPr>
          <w:sz w:val="22"/>
          <w:szCs w:val="22"/>
        </w:rPr>
      </w:pPr>
    </w:p>
    <w:p w14:paraId="7CF2F202" w14:textId="77777777" w:rsidR="00BC6D78" w:rsidRDefault="00BC6D78" w:rsidP="006948CE">
      <w:pPr>
        <w:rPr>
          <w:sz w:val="22"/>
          <w:szCs w:val="22"/>
        </w:rPr>
      </w:pPr>
    </w:p>
    <w:p w14:paraId="6FAB43B4" w14:textId="77777777" w:rsidR="00BC6D78" w:rsidRDefault="00BC6D78" w:rsidP="006948CE">
      <w:pPr>
        <w:rPr>
          <w:sz w:val="22"/>
          <w:szCs w:val="22"/>
        </w:rPr>
      </w:pPr>
    </w:p>
    <w:p w14:paraId="7F8E2B6B" w14:textId="77777777" w:rsidR="00BC6D78" w:rsidRDefault="00BC6D78" w:rsidP="006948CE">
      <w:pPr>
        <w:rPr>
          <w:sz w:val="22"/>
          <w:szCs w:val="22"/>
        </w:rPr>
      </w:pPr>
    </w:p>
    <w:p w14:paraId="79C1251E" w14:textId="0EDB36F2" w:rsidR="006948CE" w:rsidRDefault="006948CE" w:rsidP="006948CE">
      <w:pPr>
        <w:pStyle w:val="Heading3"/>
      </w:pPr>
      <w:r>
        <w:lastRenderedPageBreak/>
        <w:t>Wyniki</w:t>
      </w:r>
    </w:p>
    <w:p w14:paraId="2E2BA9EB" w14:textId="4427C978" w:rsidR="00BC6D78" w:rsidRPr="00BC6D78" w:rsidRDefault="006948CE" w:rsidP="00BC6D78">
      <w:pPr>
        <w:pStyle w:val="Heading5"/>
      </w:pPr>
      <w:r>
        <w:t>knn</w:t>
      </w:r>
    </w:p>
    <w:p w14:paraId="3F730D54" w14:textId="77777777" w:rsidR="00BC6D78" w:rsidRDefault="006948CE" w:rsidP="006948CE">
      <w:pPr>
        <w:rPr>
          <w:sz w:val="22"/>
          <w:szCs w:val="22"/>
        </w:rPr>
      </w:pPr>
      <w:r w:rsidRPr="006948CE">
        <w:rPr>
          <w:sz w:val="22"/>
          <w:szCs w:val="22"/>
        </w:rPr>
        <w:t xml:space="preserve">Dla 10 sąsiadów </w:t>
      </w:r>
      <w:r>
        <w:rPr>
          <w:sz w:val="22"/>
          <w:szCs w:val="22"/>
        </w:rPr>
        <w:t>i</w:t>
      </w:r>
      <w:r w:rsidRPr="006948CE">
        <w:rPr>
          <w:sz w:val="22"/>
          <w:szCs w:val="22"/>
        </w:rPr>
        <w:t xml:space="preserve"> metryki euklidesowej</w:t>
      </w:r>
      <w:r w:rsidR="00BC6D78">
        <w:rPr>
          <w:sz w:val="22"/>
          <w:szCs w:val="22"/>
        </w:rPr>
        <w:t xml:space="preserve"> confusion matrix wygląda następująco:</w:t>
      </w:r>
    </w:p>
    <w:p w14:paraId="7B9D0CCC" w14:textId="4E3E49D5" w:rsidR="006948CE" w:rsidRDefault="00BC6D78" w:rsidP="006948CE">
      <w:pPr>
        <w:rPr>
          <w:sz w:val="22"/>
          <w:szCs w:val="22"/>
        </w:rPr>
      </w:pPr>
      <w:r w:rsidRPr="00BC6D78">
        <w:rPr>
          <w:sz w:val="22"/>
          <w:szCs w:val="22"/>
        </w:rPr>
        <w:drawing>
          <wp:inline distT="0" distB="0" distL="0" distR="0" wp14:anchorId="46A3553B" wp14:editId="3BB36BC5">
            <wp:extent cx="3191632" cy="1527349"/>
            <wp:effectExtent l="0" t="0" r="0" b="0"/>
            <wp:docPr id="814111479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111479" name="Picture 1" descr="A screen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295" cy="15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br/>
      </w:r>
    </w:p>
    <w:p w14:paraId="01A42AE8" w14:textId="1CA86008" w:rsidR="00BC6D78" w:rsidRDefault="00BC6D78" w:rsidP="00BC6D78">
      <w:pPr>
        <w:pStyle w:val="Heading5"/>
      </w:pPr>
      <w:r>
        <w:t>Pca</w:t>
      </w:r>
    </w:p>
    <w:p w14:paraId="701A1B5B" w14:textId="66B2D328" w:rsidR="00BC6D78" w:rsidRDefault="00BC6D78" w:rsidP="00BC6D78">
      <w:r w:rsidRPr="00BC6D78">
        <w:drawing>
          <wp:inline distT="0" distB="0" distL="0" distR="0" wp14:anchorId="755B995E" wp14:editId="04B680FF">
            <wp:extent cx="3166063" cy="2813538"/>
            <wp:effectExtent l="0" t="0" r="0" b="0"/>
            <wp:docPr id="1418798208" name="Picture 1" descr="A graph with a line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798208" name="Picture 1" descr="A graph with a line and numb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6843" cy="285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AE86D" w14:textId="75608482" w:rsidR="00BC6D78" w:rsidRPr="00BC6D78" w:rsidRDefault="00BC6D78" w:rsidP="00BC6D78">
      <w:pPr>
        <w:rPr>
          <w:sz w:val="22"/>
          <w:szCs w:val="22"/>
        </w:rPr>
      </w:pPr>
      <w:r w:rsidRPr="00BC6D78">
        <w:rPr>
          <w:sz w:val="22"/>
          <w:szCs w:val="22"/>
        </w:rPr>
        <w:t>Trzeba również dodać sieć neuronową</w:t>
      </w:r>
      <w:r w:rsidR="00067253">
        <w:rPr>
          <w:sz w:val="22"/>
          <w:szCs w:val="22"/>
        </w:rPr>
        <w:t>, np 100 neuronów w warstwie 1 i 100 w drugiej.</w:t>
      </w:r>
    </w:p>
    <w:p w14:paraId="26882D55" w14:textId="48CE823C" w:rsidR="00BC6D78" w:rsidRDefault="00BC6D78" w:rsidP="00BC6D78">
      <w:r w:rsidRPr="00BC6D78">
        <w:drawing>
          <wp:inline distT="0" distB="0" distL="0" distR="0" wp14:anchorId="02E76D2D" wp14:editId="7E8DEEE5">
            <wp:extent cx="3186313" cy="1567543"/>
            <wp:effectExtent l="0" t="0" r="1905" b="0"/>
            <wp:docPr id="2025093098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093098" name="Picture 1" descr="A screenshot of a cell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2490" cy="157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BF57D" w14:textId="77777777" w:rsidR="00BC6D78" w:rsidRDefault="00BC6D78" w:rsidP="00BC6D78"/>
    <w:p w14:paraId="3A15432C" w14:textId="266C03C9" w:rsidR="00BC6D78" w:rsidRDefault="00BC6D78" w:rsidP="00BC6D78">
      <w:pPr>
        <w:pStyle w:val="Heading5"/>
      </w:pPr>
      <w:r>
        <w:lastRenderedPageBreak/>
        <w:t>Rank</w:t>
      </w:r>
    </w:p>
    <w:p w14:paraId="136FFC10" w14:textId="2020869E" w:rsidR="00067253" w:rsidRPr="00067253" w:rsidRDefault="00067253" w:rsidP="00067253">
      <w:pPr>
        <w:rPr>
          <w:sz w:val="22"/>
          <w:szCs w:val="22"/>
        </w:rPr>
      </w:pPr>
      <w:r w:rsidRPr="00BC6D78">
        <w:rPr>
          <w:sz w:val="22"/>
          <w:szCs w:val="22"/>
        </w:rPr>
        <w:t>Trzeba również dodać sieć neuronową</w:t>
      </w:r>
      <w:r>
        <w:rPr>
          <w:sz w:val="22"/>
          <w:szCs w:val="22"/>
        </w:rPr>
        <w:t>, np 100 neuronów w warstwie 1 i 100 w drugiej.</w:t>
      </w:r>
    </w:p>
    <w:p w14:paraId="7D3563E8" w14:textId="7A94143F" w:rsidR="00BC6D78" w:rsidRDefault="00067253" w:rsidP="00BC6D78">
      <w:r w:rsidRPr="00067253">
        <w:drawing>
          <wp:inline distT="0" distB="0" distL="0" distR="0" wp14:anchorId="1DD9BB03" wp14:editId="4864D5EE">
            <wp:extent cx="3205424" cy="1613765"/>
            <wp:effectExtent l="0" t="0" r="0" b="0"/>
            <wp:docPr id="1932256347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256347" name="Picture 1" descr="A screenshot of a graph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3612" cy="162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B844E" w14:textId="77777777" w:rsidR="00067253" w:rsidRDefault="00067253" w:rsidP="00BC6D78"/>
    <w:p w14:paraId="18EDA192" w14:textId="715F81D8" w:rsidR="00067253" w:rsidRDefault="00067253" w:rsidP="00067253">
      <w:pPr>
        <w:pStyle w:val="Heading5"/>
      </w:pPr>
      <w:r>
        <w:t>Stochastic gradient descent</w:t>
      </w:r>
    </w:p>
    <w:p w14:paraId="398BECF6" w14:textId="0D363CB5" w:rsidR="00067253" w:rsidRDefault="00067253" w:rsidP="00BC6D78">
      <w:r w:rsidRPr="00067253">
        <w:drawing>
          <wp:inline distT="0" distB="0" distL="0" distR="0" wp14:anchorId="74C3A31F" wp14:editId="2C89FF2A">
            <wp:extent cx="4973934" cy="3749462"/>
            <wp:effectExtent l="0" t="0" r="5080" b="0"/>
            <wp:docPr id="42179577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795772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3446" cy="3832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31BEC" w14:textId="293BE5D2" w:rsidR="00067253" w:rsidRDefault="00067253" w:rsidP="00BC6D78">
      <w:r w:rsidRPr="00067253">
        <w:drawing>
          <wp:inline distT="0" distB="0" distL="0" distR="0" wp14:anchorId="79EC6EAB" wp14:editId="4236A31F">
            <wp:extent cx="3305908" cy="1676910"/>
            <wp:effectExtent l="0" t="0" r="0" b="0"/>
            <wp:docPr id="1256537398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537398" name="Picture 1" descr="A screenshot of a graph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2209" cy="169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57F12" w14:textId="405DF0E0" w:rsidR="00067253" w:rsidRDefault="00067253" w:rsidP="00067253">
      <w:pPr>
        <w:pStyle w:val="Heading3"/>
      </w:pPr>
      <w:r>
        <w:lastRenderedPageBreak/>
        <w:t>wnioski</w:t>
      </w:r>
    </w:p>
    <w:p w14:paraId="510212F5" w14:textId="26BA6B80" w:rsidR="00067253" w:rsidRDefault="00067253" w:rsidP="00067253">
      <w:pPr>
        <w:pStyle w:val="ListParagraph"/>
        <w:numPr>
          <w:ilvl w:val="0"/>
          <w:numId w:val="1"/>
        </w:numPr>
      </w:pPr>
      <w:r>
        <w:t>Najlepsze wyniki dało rank</w:t>
      </w:r>
    </w:p>
    <w:p w14:paraId="137AFB1A" w14:textId="77777777" w:rsidR="00067253" w:rsidRPr="00067253" w:rsidRDefault="00067253" w:rsidP="00342FFF">
      <w:pPr>
        <w:pStyle w:val="ListParagraph"/>
      </w:pPr>
    </w:p>
    <w:sectPr w:rsidR="00067253" w:rsidRPr="00067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65D34"/>
    <w:multiLevelType w:val="hybridMultilevel"/>
    <w:tmpl w:val="C36C7F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9933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1F7"/>
    <w:rsid w:val="00067253"/>
    <w:rsid w:val="00342FFF"/>
    <w:rsid w:val="006948CE"/>
    <w:rsid w:val="00A620AF"/>
    <w:rsid w:val="00AE7A68"/>
    <w:rsid w:val="00BC6D78"/>
    <w:rsid w:val="00C01D76"/>
    <w:rsid w:val="00CC71F7"/>
    <w:rsid w:val="00FD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FB1A49"/>
  <w15:chartTrackingRefBased/>
  <w15:docId w15:val="{DA785B9B-08C3-784B-BD4E-B4FEA23A1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L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1F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71F7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71F7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71F7"/>
    <w:pPr>
      <w:pBdr>
        <w:top w:val="single" w:sz="6" w:space="2" w:color="156082" w:themeColor="accent1"/>
        <w:left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71F7"/>
    <w:pPr>
      <w:pBdr>
        <w:top w:val="dotted" w:sz="6" w:space="2" w:color="156082" w:themeColor="accent1"/>
        <w:left w:val="dotted" w:sz="6" w:space="2" w:color="156082" w:themeColor="accent1"/>
      </w:pBdr>
      <w:spacing w:before="300" w:after="0"/>
      <w:outlineLvl w:val="3"/>
    </w:pPr>
    <w:rPr>
      <w:caps/>
      <w:color w:val="0F476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C71F7"/>
    <w:pPr>
      <w:pBdr>
        <w:bottom w:val="single" w:sz="6" w:space="1" w:color="156082" w:themeColor="accent1"/>
      </w:pBdr>
      <w:spacing w:before="300" w:after="0"/>
      <w:outlineLvl w:val="4"/>
    </w:pPr>
    <w:rPr>
      <w:caps/>
      <w:color w:val="0F476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1F7"/>
    <w:pPr>
      <w:pBdr>
        <w:bottom w:val="dotted" w:sz="6" w:space="1" w:color="156082" w:themeColor="accent1"/>
      </w:pBdr>
      <w:spacing w:before="300" w:after="0"/>
      <w:outlineLvl w:val="5"/>
    </w:pPr>
    <w:rPr>
      <w:caps/>
      <w:color w:val="0F476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1F7"/>
    <w:pPr>
      <w:spacing w:before="300" w:after="0"/>
      <w:outlineLvl w:val="6"/>
    </w:pPr>
    <w:rPr>
      <w:caps/>
      <w:color w:val="0F476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1F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1F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1F7"/>
    <w:rPr>
      <w:b/>
      <w:bCs/>
      <w:caps/>
      <w:color w:val="FFFFFF" w:themeColor="background1"/>
      <w:spacing w:val="15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CC71F7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CC71F7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CC71F7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CC71F7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1F7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1F7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1F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1F7"/>
    <w:rPr>
      <w:i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C71F7"/>
    <w:pPr>
      <w:spacing w:before="720"/>
    </w:pPr>
    <w:rPr>
      <w:caps/>
      <w:color w:val="156082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71F7"/>
    <w:rPr>
      <w:caps/>
      <w:color w:val="156082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71F7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C71F7"/>
    <w:rPr>
      <w:caps/>
      <w:color w:val="595959" w:themeColor="text1" w:themeTint="A6"/>
      <w:spacing w:val="10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CC71F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C71F7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CC71F7"/>
    <w:pPr>
      <w:ind w:left="720"/>
      <w:contextualSpacing/>
    </w:pPr>
  </w:style>
  <w:style w:type="character" w:styleId="IntenseEmphasis">
    <w:name w:val="Intense Emphasis"/>
    <w:uiPriority w:val="21"/>
    <w:qFormat/>
    <w:rsid w:val="00CC71F7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71F7"/>
    <w:pPr>
      <w:pBdr>
        <w:top w:val="single" w:sz="4" w:space="10" w:color="156082" w:themeColor="accent1"/>
        <w:left w:val="single" w:sz="4" w:space="10" w:color="156082" w:themeColor="accent1"/>
      </w:pBdr>
      <w:spacing w:after="0"/>
      <w:ind w:left="1296" w:right="1152"/>
      <w:jc w:val="both"/>
    </w:pPr>
    <w:rPr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71F7"/>
    <w:rPr>
      <w:i/>
      <w:iCs/>
      <w:color w:val="156082" w:themeColor="accent1"/>
      <w:sz w:val="20"/>
      <w:szCs w:val="20"/>
    </w:rPr>
  </w:style>
  <w:style w:type="character" w:styleId="IntenseReference">
    <w:name w:val="Intense Reference"/>
    <w:uiPriority w:val="32"/>
    <w:qFormat/>
    <w:rsid w:val="00CC71F7"/>
    <w:rPr>
      <w:b/>
      <w:bCs/>
      <w:i/>
      <w:iCs/>
      <w:caps/>
      <w:color w:val="156082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1F7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CC71F7"/>
    <w:rPr>
      <w:b/>
      <w:bCs/>
    </w:rPr>
  </w:style>
  <w:style w:type="character" w:styleId="Emphasis">
    <w:name w:val="Emphasis"/>
    <w:uiPriority w:val="20"/>
    <w:qFormat/>
    <w:rsid w:val="00CC71F7"/>
    <w:rPr>
      <w:caps/>
      <w:color w:val="0A2F4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CC71F7"/>
    <w:pPr>
      <w:spacing w:before="0" w:after="0" w:line="240" w:lineRule="auto"/>
    </w:pPr>
  </w:style>
  <w:style w:type="character" w:styleId="SubtleEmphasis">
    <w:name w:val="Subtle Emphasis"/>
    <w:uiPriority w:val="19"/>
    <w:qFormat/>
    <w:rsid w:val="00CC71F7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CC71F7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CC71F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1F7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CC71F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8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Smerdel</dc:creator>
  <cp:keywords/>
  <dc:description/>
  <cp:lastModifiedBy>Julia Smerdel</cp:lastModifiedBy>
  <cp:revision>1</cp:revision>
  <dcterms:created xsi:type="dcterms:W3CDTF">2024-04-14T10:13:00Z</dcterms:created>
  <dcterms:modified xsi:type="dcterms:W3CDTF">2024-04-14T11:26:00Z</dcterms:modified>
</cp:coreProperties>
</file>