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mzvnc0jlz8i9" w:id="0"/>
      <w:bookmarkEnd w:id="0"/>
      <w:r w:rsidDel="00000000" w:rsidR="00000000" w:rsidRPr="00000000">
        <w:rPr>
          <w:rtl w:val="0"/>
        </w:rPr>
        <w:t xml:space="preserve">1.</w:t>
      </w:r>
    </w:p>
    <w:p w:rsidR="00000000" w:rsidDel="00000000" w:rsidP="00000000" w:rsidRDefault="00000000" w:rsidRPr="00000000" w14:paraId="00000003">
      <w:pPr>
        <w:pStyle w:val="Heading3"/>
        <w:rPr/>
      </w:pPr>
      <w:bookmarkStart w:colFirst="0" w:colLast="0" w:name="_u4v2nhccv4qm" w:id="1"/>
      <w:bookmarkEnd w:id="1"/>
      <w:r w:rsidDel="00000000" w:rsidR="00000000" w:rsidRPr="00000000">
        <w:rPr>
          <w:rtl w:val="0"/>
        </w:rPr>
        <w:t xml:space="preserve">1.3</w:t>
      </w:r>
    </w:p>
    <w:p w:rsidR="00000000" w:rsidDel="00000000" w:rsidP="00000000" w:rsidRDefault="00000000" w:rsidRPr="00000000" w14:paraId="00000004">
      <w:pPr>
        <w:pStyle w:val="Heading3"/>
        <w:rPr/>
      </w:pPr>
      <w:bookmarkStart w:colFirst="0" w:colLast="0" w:name="_jjzjs06yp0ez" w:id="2"/>
      <w:bookmarkEnd w:id="2"/>
      <w:r w:rsidDel="00000000" w:rsidR="00000000" w:rsidRPr="00000000">
        <w:rPr>
          <w:rtl w:val="0"/>
        </w:rPr>
        <w:t xml:space="preserve">1.4</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tb6s0p1xh57" w:id="3"/>
      <w:bookmarkEnd w:id="3"/>
      <w:r w:rsidDel="00000000" w:rsidR="00000000" w:rsidRPr="00000000">
        <w:rPr>
          <w:rtl w:val="0"/>
        </w:rPr>
        <w:t xml:space="preserve">2.</w:t>
      </w:r>
    </w:p>
    <w:p w:rsidR="00000000" w:rsidDel="00000000" w:rsidP="00000000" w:rsidRDefault="00000000" w:rsidRPr="00000000" w14:paraId="00000009">
      <w:pPr>
        <w:rPr>
          <w:b w:val="1"/>
          <w:bCs w:val="1"/>
        </w:rPr>
      </w:pPr>
      <w:r w:rsidDel="00000000" w:rsidR="00000000" w:rsidRPr="00000000">
        <w:rPr>
          <w:b w:val="1"/>
          <w:bCs w:val="1"/>
          <w:rtl w:val="0"/>
        </w:rPr>
        <w:t xml:space="preserve">Video Link: </w:t>
      </w:r>
      <w:hyperlink r:id="rId6">
        <w:r w:rsidDel="00000000" w:rsidR="00000000" w:rsidRPr="00000000">
          <w:rPr>
            <w:b w:val="1"/>
            <w:bCs w:val="1"/>
            <w:color w:val="1155cc"/>
            <w:u w:val="single"/>
            <w:rtl w:val="0"/>
          </w:rPr>
          <w:t xml:space="preserve">https://youtu.be/12KiuYmTLpA</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t xml:space="preserve">Screenshot of the terminal after running:</w:t>
      </w:r>
    </w:p>
    <w:p w:rsidR="00000000" w:rsidDel="00000000" w:rsidP="00000000" w:rsidRDefault="00000000" w:rsidRPr="00000000" w14:paraId="0000000B">
      <w:pPr>
        <w:rPr/>
      </w:pPr>
      <w:r w:rsidDel="00000000" w:rsidR="00000000" w:rsidRPr="00000000">
        <w:rPr/>
        <w:drawing>
          <wp:inline distB="114300" distT="114300" distL="114300" distR="114300">
            <wp:extent cx="5943600" cy="3327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We modified the code to add a gentle head nod alongside the antenna movements. The head moves to 10°, then −10°, and returns to neutral. We expected the robot to nod smoothly while moving its antennas, then finish in a neutral position. During testing, </w:t>
      </w:r>
      <w:r w:rsidDel="00000000" w:rsidR="00000000" w:rsidRPr="00000000">
        <w:rPr>
          <w:rtl w:val="0"/>
        </w:rPr>
        <w:t xml:space="preserve">there is a small delay everytime run the </w:t>
      </w:r>
      <w:r w:rsidDel="00000000" w:rsidR="00000000" w:rsidRPr="00000000">
        <w:rPr>
          <w:i w:val="1"/>
          <w:iCs w:val="1"/>
          <w:color w:val="ff0000"/>
          <w:rtl w:val="0"/>
        </w:rPr>
        <w:t xml:space="preserve">hello_world.py</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r>
    </w:p>
    <w:p>
      <w:pPr>
        <w:pStyle w:val="S4Main"/>
        <w:keepNext/>
        <w:pageBreakBefore/>
        <w:spacing w:after="120"/>
      </w:pPr>
      <w:r>
        <w:t>Part 3 Custom antenna greeting application</w:t>
      </w:r>
    </w:p>
    <w:p>
      <w:pPr>
        <w:pStyle w:val="S4Heading"/>
        <w:keepNext/>
        <w:spacing w:after="120"/>
      </w:pPr>
      <w:r>
        <w:t>3.1 App Selection</w:t>
      </w:r>
    </w:p>
    <w:p>
      <w:pPr>
        <w:pStyle w:val="S4Body"/>
        <w:spacing w:after="120"/>
      </w:pPr>
      <w:r>
        <w:t>Our potential final project concerns expressive greetings that communicate intended social impressions. We combine components from the Reachy Mini Conversation App and Emotions (Pollen Robotics, n.d.-a, n.d.-b): fixed speech supplies the social context, and controlled antenna movement supports sections 4 and 5’s affect and sociability questions.</w:t>
      </w:r>
    </w:p>
    <w:p>
      <w:pPr>
        <w:pStyle w:val="S4Subheading"/>
        <w:spacing w:after="120"/>
      </w:pPr>
      <w:r>
        <w:t>Integration map</w:t>
      </w:r>
    </w:p>
    <w:tbl>
      <w:tblPr>
        <w:tblW w:type="auto" w:w="0"/>
        <w:tblLayout w:type="fixed"/>
        <w:tblLook w:firstColumn="1" w:firstRow="1" w:lastColumn="0" w:lastRow="0" w:noHBand="0" w:noVBand="1" w:val="04A0"/>
      </w:tblPr>
      <w:tblGrid>
        <w:gridCol w:w="1944"/>
        <w:gridCol w:w="3672"/>
        <w:gridCol w:w="3744"/>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pStyle w:val="S4Table"/>
              <w:spacing w:after="80" w:before="80"/>
            </w:pPr>
            <w:r>
              <w:rPr>
                <w:b/>
                <w:sz w:val="20"/>
              </w:rPr>
              <w:t>Source component</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pStyle w:val="S4Table"/>
              <w:spacing w:after="80" w:before="80"/>
            </w:pPr>
            <w:r>
              <w:rPr>
                <w:b/>
                <w:sz w:val="20"/>
              </w:rPr>
              <w:t>Reuse in the greeting app</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pStyle w:val="S4Table"/>
              <w:spacing w:after="80" w:before="80"/>
            </w:pPr>
            <w:r>
              <w:rPr>
                <w:b/>
                <w:sz w:val="20"/>
              </w:rPr>
              <w:t>Contribution and adaptation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S4Table"/>
              <w:spacing w:after="80" w:before="80"/>
            </w:pPr>
            <w:r>
              <w:rPr>
                <w:sz w:val="20"/>
              </w:rPr>
              <w:t>Conversation App</w:t>
              <w:br/>
              <w:t>streaming.py</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S4Table"/>
              <w:spacing w:after="80" w:before="80"/>
            </w:pPr>
            <w:r>
              <w:rPr>
                <w:sz w:val="20"/>
              </w:rPr>
              <w:t>audio_to_float32 converts the frozen PCM16 greeting in every A/B trial.</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S4Table"/>
              <w:spacing w:after="80" w:before="80"/>
            </w:pPr>
            <w:r>
              <w:rPr>
                <w:sz w:val="20"/>
              </w:rPr>
              <w:t>Consistent speech samples; custom WAV loading and scheduling. No live conversation or LLM generation.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S4Table"/>
              <w:spacing w:after="80" w:before="80"/>
            </w:pPr>
            <w:r>
              <w:rPr>
                <w:sz w:val="20"/>
              </w:rPr>
              <w:t>Emotions</w:t>
              <w:br/>
              <w:t>emotionsLibrary.ts and trajectoryPlayer.ts</w:t>
            </w:r>
          </w:p>
        </w:tc>
        <w:tc>
          <w:tcPr>
            <w:tcW w:type="dxa" w:w="36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S4Table"/>
              <w:spacing w:after="80" w:before="80"/>
            </w:pPr>
            <w:r>
              <w:rPr>
                <w:sz w:val="20"/>
              </w:rPr>
              <w:t>Ported trajectory parser/decimator and distance-based neutral-transition calculation.</w:t>
            </w:r>
          </w:p>
        </w:tc>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pStyle w:val="S4Table"/>
              <w:spacing w:after="80" w:before="80"/>
            </w:pPr>
            <w:r>
              <w:rPr>
                <w:sz w:val="20"/>
              </w:rPr>
              <w:t>Used by greeting compilation and neutral recovery. Custom antenna trajectory, SDK transport, 0.5 s recovery minimum and feedback checks.</w:t>
            </w:r>
          </w:p>
        </w:tc>
      </w:tr>
    </w:tbl>
    <w:p>
      <w:pPr>
        <w:pStyle w:val="S4Body"/>
        <w:spacing w:after="120" w:before="120"/>
      </w:pPr>
      <w:r>
        <w:t>Pinned upstream sources were verified: Conversation b9f58a3 and Emotions cde39d23. Full revisions, sources, hashes, licenses and runtime mappings are retained in third_party/ and SOURCE_INTEGRATION.md; tests compare the PCM converter with upstream. This is component-level integration, not two complete apps. The WAV is locally prerecorded Samantha speech, not a Conversation backend capture.</w:t>
      </w:r>
    </w:p>
    <w:p>
      <w:pPr>
        <w:pStyle w:val="S4Heading"/>
        <w:keepNext/>
        <w:spacing w:after="120"/>
      </w:pPr>
      <w:r>
        <w:t>3.2 Integration and Experimental Manipulation</w:t>
      </w:r>
    </w:p>
    <w:p>
      <w:pPr>
        <w:pStyle w:val="S4Body"/>
        <w:spacing w:after="120"/>
      </w:pPr>
      <w:r>
        <w:t>The sole condition parameter, antenna_amplitude_deg, specifies maximum displacement from calibrated neutral per antenna: A = 10°, B = 30° (20°/60° peak-to-peak). Values remain provisional pending physical verification. conditions.json exposes amplitudes; calibration.json holds neutral offsets. The implementation accounts for the SDK’s right-left joint order.</w:t>
      </w:r>
    </w:p>
    <w:p>
      <w:pPr>
        <w:pStyle w:val="S4Body"/>
        <w:spacing w:after="120"/>
      </w:pPr>
      <w:r>
        <w:t>Each six-second cycle holds neutral for 1 s, moves left neutral → +A → −A → neutral over 1/2/1 s, then holds neutral for 1 s. Right signs are reversed. Both conditions use minimum-jerk interpolation, 50 Hz commands and the same 1.749 s “Hello, nice to meet you” WAV, starting at t = 1 s with motion. Head/base stay neutral; wobbling, tracking, automatic body yaw and variable responses are disabled. Audio, volume, timing, interpolation, setting and facilitation remain constant.</w:t>
      </w:r>
    </w:p>
    <w:p>
      <w:pPr>
        <w:pStyle w:val="S4Body"/>
        <w:spacing w:after="120"/>
      </w:pPr>
      <w:r>
        <w:t>At fixed timing, amplitude also changes speed and acceleration; a purely spatial effect cannot be isolated. Deliver one greeting per condition in counterbalanced AB/BA order. Sociability is the primary HRIES outcome; valence/arousal are separate exploratory outcomes. Preserve section 5’s HRIES label swaps 2/3 and 5/6.</w:t>
      </w:r>
    </w:p>
    <w:p>
      <w:pPr>
        <w:pStyle w:val="S4Heading"/>
        <w:keepNext/>
        <w:pageBreakBefore/>
        <w:spacing w:after="120"/>
      </w:pPr>
      <w:r>
        <w:t>3.3 Testing Logging and Reproducibility</w:t>
      </w:r>
    </w:p>
    <w:p>
      <w:pPr>
        <w:pStyle w:val="S4Subheading"/>
        <w:spacing w:after="120"/>
      </w:pPr>
      <w:r>
        <w:t>Setup and launch</w:t>
      </w:r>
    </w:p>
    <w:p>
      <w:pPr>
        <w:pStyle w:val="S4Body"/>
        <w:spacing w:after="120"/>
      </w:pPr>
      <w:r>
        <w:t>From the repository root on macOS with Python 3.12 and uv, create the isolated environment below. requirements-lock.txt records the tested SDK 1.11.0, NumPy 2.5.3, SoundDevice 0.5.3 and MuJoCo 3.3.0 environment. Other operating systems require verification. Replay the committed WAV; do not regenerate it between conditions.</w:t>
      </w:r>
    </w:p>
    <w:p>
      <w:pPr>
        <w:pStyle w:val="S4Body"/>
        <w:keepLines/>
        <w:spacing w:after="80"/>
      </w:pPr>
      <w:r>
        <w:rPr>
          <w:rFonts w:ascii="Courier New" w:hAnsi="Courier New"/>
          <w:sz w:val="18"/>
        </w:rPr>
        <w:t>uv venv --python 3.12 .venv</w:t>
        <w:br/>
        <w:t>uv pip sync --python .venv/bin/python requirements-lock.txt</w:t>
        <w:br/>
        <w:t>uv pip install --python .venv/bin/python --no-deps -e .</w:t>
        <w:br/>
        <w:t>source .venv/bin/activate</w:t>
        <w:br/>
        <w:t>python scripts/verify_sources.py</w:t>
        <w:br/>
        <w:t>python -m pytest -q</w:t>
        <w:br/>
        <w:t>python -m reachy_lab2 devices</w:t>
        <w:br/>
        <w:t>python scripts/simulate.py</w:t>
      </w:r>
    </w:p>
    <w:p>
      <w:pPr>
        <w:pStyle w:val="S4Body"/>
        <w:spacing w:after="120"/>
      </w:pPr>
      <w:r>
        <w:t>Keep that headless simulator running. In a second activated terminal, run each condition below and press Enter when ready. Replace device 2 with the fixed output device reported by devices; 2 was MacBook Pro Speakers in this verification.</w:t>
      </w:r>
    </w:p>
    <w:p>
      <w:pPr>
        <w:pStyle w:val="S4Body"/>
        <w:keepLines/>
        <w:spacing w:after="80"/>
      </w:pPr>
      <w:r>
        <w:rPr>
          <w:rFonts w:ascii="Courier New" w:hAnsi="Courier New"/>
          <w:sz w:val="18"/>
        </w:rPr>
        <w:t>python -m reachy_lab2 trial --condition A --backend sim --audio-device 2</w:t>
        <w:br/>
        <w:t>python -m reachy_lab2 trial --condition B --backend sim --audio-device 2</w:t>
      </w:r>
    </w:p>
    <w:p>
      <w:pPr>
        <w:pStyle w:val="S4Body"/>
        <w:spacing w:after="120"/>
      </w:pPr>
      <w:r>
        <w:t>For the wireless robot, use its existing daemon on the approved network; do not launch a second daemon. Check battery, motor temperature and system state, clear at least 30 cm, end teleoperation, close other controllers and station an operator at stop. Change --backend sim to --backend physical --host reachy-mini.local. First add --commissioning for half-amplitude technical runs (5°/15°); after inspection, document the adjustment and use --physical-check for 10°/30° trials. Neither mode collects participant data.</w:t>
      </w:r>
    </w:p>
    <w:p>
      <w:pPr>
        <w:pStyle w:val="S4Body"/>
        <w:spacing w:after="120"/>
      </w:pPr>
      <w:r>
        <w:t>Participant sessions require a completed, hash-matched physical_review.json and verified calibration; both are deliberately pending. The README gives the freeze procedure. After review, use the command below, then the assigned second condition. P01/P03 use AB; P02/P04 use BA. The second command enforces a 30 s neutral reset after the first questionnaire. Only one replacement is allowed, linked with --repeat-of to the original failed/interrupted trial.</w:t>
      </w:r>
    </w:p>
    <w:p>
      <w:pPr>
        <w:pStyle w:val="S4Body"/>
        <w:keepLines/>
        <w:spacing w:after="80"/>
      </w:pPr>
      <w:r>
        <w:rPr>
          <w:rFonts w:ascii="Courier New" w:hAnsi="Courier New"/>
          <w:sz w:val="18"/>
        </w:rPr>
        <w:t>python -m reachy_lab2 session --participant P01 --condition A</w:t>
        <w:br/>
        <w:t xml:space="preserve">  --operator OP1 --backend physical --host reachy-mini.local</w:t>
        <w:br/>
        <w:t xml:space="preserve">  --audio-device 2</w:t>
      </w:r>
    </w:p>
    <w:p>
      <w:pPr>
        <w:pStyle w:val="S4Body"/>
        <w:spacing w:after="120"/>
      </w:pPr>
      <w:r>
        <w:t>Enter the wrapped session command as one line. Collect measures in section 5’s order. The existing section 5.3 placeholder concerning the 3–5-minute condition duration still requires resolution before collection; no additional greetings have been introduced.</w:t>
      </w:r>
    </w:p>
    <w:p>
      <w:pPr>
        <w:pStyle w:val="S4Subheading"/>
        <w:spacing w:after="120"/>
      </w:pPr>
      <w:r>
        <w:t>Stop procedure</w:t>
      </w:r>
    </w:p>
    <w:p>
      <w:pPr>
        <w:pStyle w:val="S4Body"/>
        <w:spacing w:after="120"/>
      </w:pPr>
      <w:r>
        <w:t>Press Ctrl+C, or run python -m reachy_lab2 stop from another activated terminal. The app aborts audio and attempts feedback-confirmed neutral recovery, retaining the interrupted log. Use mark operator_error or mark interruption to record deviations. A remote stop during an Enter prompt prevents the next greeting once the prompt returns; Ctrl+C exits immediately. If the app is unresponsive or recovery fails, use the course-approved robot stop and inspect before resuming. The app stop is not a hardware emergency stop.</w:t>
      </w:r>
    </w:p>
    <w:p>
      <w:pPr>
        <w:pStyle w:val="S4Subheading"/>
        <w:pageBreakBefore/>
        <w:spacing w:after="120"/>
      </w:pPr>
      <w:r>
        <w:t>Measurement and test evidence</w:t>
      </w:r>
    </w:p>
    <w:p>
      <w:pPr>
        <w:pStyle w:val="S4Body"/>
        <w:spacing w:after="120"/>
      </w:pPr>
      <w:r>
        <w:t>UUID-named JSONL logs retain condition/amplitude, UTC and monotonic start/end times, participant/order/attempt, asset/code hashes, commands, audio events, errors, completion and recovery. SDK feedback targets 50 polls/s; five pretrial samples define measured neutral. Right/left baseline-corrected maximum displacement and full range are separate. Polls may repeat cached states; polling rate does not establish sensor refresh rate.</w:t>
      </w:r>
    </w:p>
    <w:p>
      <w:pPr>
        <w:pStyle w:val="S4Body"/>
        <w:spacing w:after="120"/>
      </w:pPr>
      <w:r>
        <w:t>Provisional delivery criteria are both signed peaks within ±3° of command, ≥20 polls/s, gaps ≤100 ms, stationary head/base within 2°/2 mm, no skipped frames, scheduled timing within ±50 ms and endpoint within ±2° of measured neutral. Recovery requires five consecutive neutral polls. Raw tracking error and observed onset are diagnostics affected by plant/transport lag; physical trace and acoustic review remain necessary.</w:t>
      </w:r>
    </w:p>
    <w:p>
      <w:pPr>
        <w:pStyle w:val="S4Body"/>
        <w:spacing w:after="120"/>
      </w:pPr>
      <w:r>
        <w:t>All 16 software tests passed. MuJoCo with speaker playback completed A/B and recovered after three stops: pre-hold, movement and post-hold. Right/left maximum excursions were 9.87°/9.87° for A and 29.77°/29.77° for B; ranges were 19.71°/19.71° and 59.52°/59.52°. Polling averaged about 48 Hz; complete cycles skipped no frames. Logs are in evidence/antenna-greeting/.</w:t>
      </w:r>
    </w:p>
    <w:p>
      <w:pPr>
        <w:pStyle w:val="S4Body"/>
        <w:spacing w:after="120"/>
      </w:pPr>
      <w:r>
        <w:t>Predicted audio-to-command onset differences were below 2 ms, not measured acoustic synchrony. Feedback crossed 0.5° at 1.33 s (A) and 1.25 s (B); raw tracking discrepancies reached 2.11°/5.30°. Smooth-onset threshold effects and feedback lag affect these diagnostics. VALIDATION.md explains retained earlier failures. Mock command echoes, simulated feedback and physical measurements are distinct; these checks are not participant data.</w:t>
      </w:r>
    </w:p>
    <w:p>
      <w:pPr>
        <w:pStyle w:val="S4Subheading"/>
        <w:spacing w:after="120"/>
      </w:pPr>
      <w:r>
        <w:t>Pending physical tests and demonstration</w:t>
      </w:r>
    </w:p>
    <w:p>
      <w:pPr>
        <w:pStyle w:val="S4Body"/>
        <w:spacing w:after="120"/>
      </w:pPr>
      <w:r>
        <w:t>Before recruitment, physically verify neutral, joint/sign mapping, excursions, timing, audio/volume, stationary head/base, motor noise and recovery in both conditions. Retain the same stage markers and calibrated angle/video evidence. Reassess provisional amplitudes/tolerances and document changes before collection.</w:t>
      </w:r>
    </w:p>
    <w:p>
      <w:pPr>
        <w:pStyle w:val="S4Body"/>
        <w:spacing w:after="120"/>
      </w:pPr>
      <w:r>
        <w:t>[To complete: robot-only video showing one full physical cycle of A and B, including initial/final neutral; links [ ]. Matching physical logs and stage-marker excerpt [ ]. Calibration, final settings, speaker/volume and code fingerprint [ ]. Sim-to-real differences and documented amplitude adjustment [ ].]</w:t>
      </w:r>
    </w:p>
    <w:p>
      <w:pPr>
        <w:pStyle w:val="S4Body"/>
        <w:spacing w:after="120"/>
      </w:pPr>
      <w:r>
        <w:t>Physical tests, listening review, acoustic measurement, participant collection and demonstrations remain pending. The physical-review gate is closed; sections 4 and 5 retain their evidence placeholders.</w:t>
      </w:r>
    </w:p>
    <w:p>
      <w:pPr>
        <w:pStyle w:val="S4Subheading"/>
        <w:spacing w:after="120"/>
      </w:pPr>
      <w:r>
        <w:t>References for Section 3</w:t>
      </w:r>
    </w:p>
    <w:p>
      <w:pPr>
        <w:pStyle w:val="S4Reference"/>
        <w:spacing w:after="120"/>
      </w:pPr>
      <w:r>
        <w:t>Pollen Robotics. (n.d.-a). Reachy Mini Conversation App (revision b9f58a3587d79a3275d4402d1a8d210649d62d50) [Computer software]. GitHub. https://github.com/pollen-robotics/reachy_mini_conversation_app</w:t>
      </w:r>
    </w:p>
    <w:p>
      <w:pPr>
        <w:pStyle w:val="S4Reference"/>
        <w:spacing w:after="120"/>
      </w:pPr>
      <w:r>
        <w:t>Pollen Robotics. (n.d.-b). Emotions (revision cde39d23da61ada61d9ae4635bee051334434b44) [Computer software]. Hugging Face. https://huggingface.co/spaces/pollen-robotics/emotions</w:t>
      </w:r>
    </w:p>
    <w:p>
      <w:pPr>
        <w:pStyle w:val="S4Main"/>
        <w:pageBreakBefore/>
      </w:pPr>
      <w:r>
        <w:t>Part 4 Research framework</w:t>
      </w:r>
    </w:p>
    <w:p>
      <w:pPr>
        <w:pStyle w:val="S4Heading"/>
      </w:pPr>
      <w:r>
        <w:t>4.1 Frame the HRI Problem</w:t>
      </w:r>
    </w:p>
    <w:p>
      <w:pPr>
        <w:pStyle w:val="S4Body"/>
      </w:pPr>
      <w:r>
        <w:t>Reachy Mini’s antenna movements offer a simple way to vary an expressive greeting, but we need evidence about how changing their angular excursion affects the emotions people attribute to the robot. Saerbeck and Bartneck (2010) found that robot motion characteristics influenced perceived affect, including a relationship between acceleration and arousal. Their findings motivate studying antenna motion, but do not establish how Reachy Mini’s antenna amplitude will be interpreted.</w:t>
      </w:r>
    </w:p>
    <w:p>
      <w:pPr>
        <w:pStyle w:val="S4Body"/>
      </w:pPr>
      <w:r>
        <w:t>We define perceived emotion through valence, or how positive or negative the robot appears, and arousal, or how activated it appears, following Russell’s (1980) circumplex model. Our proposed pilot compares two antenna amplitudes during the same greeting. It examines whether this measurable change alters perceived affect and, separately, perceived sociability. This can inform the design of greetings whose nonverbal cues communicate the intended impression. The study concerns participants’ interpretations; it does not assume that the robot experiences emotions.</w:t>
      </w:r>
    </w:p>
    <w:p>
      <w:pPr>
        <w:pStyle w:val="S4Heading"/>
      </w:pPr>
      <w:r>
        <w:t>4.2 Define and Operationalize the Constructs</w:t>
      </w:r>
    </w:p>
    <w:p>
      <w:pPr>
        <w:pStyle w:val="S4Subheading"/>
      </w:pPr>
      <w:r>
        <w:t>Construct map</w:t>
      </w:r>
    </w:p>
    <w:p>
      <w:pPr>
        <w:pStyle w:val="S4Body"/>
      </w:pPr>
      <w:r>
        <w:t>The proposed claim is that changing antenna excursion under fixed greeting timing may change perceived affect. Sociability is a related social impression, measured separately using HRIES (Spatola et al., 2021).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613"/>
        <w:gridCol w:w="2592"/>
        <w:gridCol w:w="2995"/>
      </w:tblGrid>
      <w:tr>
        <w:trPr>
          <w:cantSplit/>
          <w:tblHeader/>
        </w:trPr>
        <w:tc>
          <w:tcPr>
            <w:tcW w:type="dxa" w:w="2160"/>
            <w:vAlign w:val="center"/>
            <w:tcMar>
              <w:top w:w="95" w:type="dxa"/>
              <w:left w:w="95" w:type="dxa"/>
              <w:bottom w:w="95" w:type="dxa"/>
              <w:right w:w="95" w:type="dxa"/>
            </w:tcMar>
            <w:shd w:fill="E7EEF5"/>
          </w:tcPr>
          <w:p>
            <w:pPr>
              <w:pStyle w:val="S4Table"/>
            </w:pPr>
            <w:r>
              <w:rPr>
                <w:b/>
              </w:rPr>
              <w:t>Claim or construct</w:t>
            </w:r>
          </w:p>
        </w:tc>
        <w:tc>
          <w:tcPr>
            <w:tcW w:type="dxa" w:w="1613"/>
            <w:vAlign w:val="center"/>
            <w:tcMar>
              <w:top w:w="95" w:type="dxa"/>
              <w:left w:w="95" w:type="dxa"/>
              <w:bottom w:w="95" w:type="dxa"/>
              <w:right w:w="95" w:type="dxa"/>
            </w:tcMar>
            <w:shd w:fill="E7EEF5"/>
          </w:tcPr>
          <w:p>
            <w:pPr>
              <w:pStyle w:val="S4Table"/>
            </w:pPr>
            <w:r>
              <w:rPr>
                <w:b/>
              </w:rPr>
              <w:t>Manipulation</w:t>
            </w:r>
          </w:p>
        </w:tc>
        <w:tc>
          <w:tcPr>
            <w:tcW w:type="dxa" w:w="2592"/>
            <w:vAlign w:val="center"/>
            <w:tcMar>
              <w:top w:w="95" w:type="dxa"/>
              <w:left w:w="95" w:type="dxa"/>
              <w:bottom w:w="95" w:type="dxa"/>
              <w:right w:w="95" w:type="dxa"/>
            </w:tcMar>
            <w:shd w:fill="E7EEF5"/>
          </w:tcPr>
          <w:p>
            <w:pPr>
              <w:pStyle w:val="S4Table"/>
            </w:pPr>
            <w:r>
              <w:rPr>
                <w:b/>
              </w:rPr>
              <w:t>Measure</w:t>
            </w:r>
          </w:p>
        </w:tc>
        <w:tc>
          <w:tcPr>
            <w:tcW w:type="dxa" w:w="2995"/>
            <w:vAlign w:val="center"/>
            <w:tcMar>
              <w:top w:w="95" w:type="dxa"/>
              <w:left w:w="95" w:type="dxa"/>
              <w:bottom w:w="95" w:type="dxa"/>
              <w:right w:w="95" w:type="dxa"/>
            </w:tcMar>
            <w:shd w:fill="E7EEF5"/>
          </w:tcPr>
          <w:p>
            <w:pPr>
              <w:pStyle w:val="S4Table"/>
            </w:pPr>
            <w:r>
              <w:rPr>
                <w:b/>
              </w:rPr>
              <w:t>Expected evidence</w:t>
            </w:r>
          </w:p>
        </w:tc>
      </w:tr>
      <w:tr>
        <w:trPr>
          <w:cantSplit/>
        </w:trPr>
        <w:tc>
          <w:tcPr>
            <w:tcW w:type="dxa" w:w="2160"/>
            <w:vAlign w:val="center"/>
            <w:tcMar>
              <w:top w:w="95" w:type="dxa"/>
              <w:left w:w="95" w:type="dxa"/>
              <w:bottom w:w="95" w:type="dxa"/>
              <w:right w:w="95" w:type="dxa"/>
            </w:tcMar>
          </w:tcPr>
          <w:p>
            <w:pPr>
              <w:pStyle w:val="S4Table"/>
            </w:pPr>
            <w:r>
              <w:rPr>
                <w:b w:val="0"/>
              </w:rPr>
              <w:t>Antenna excursion is delivered and noticed</w:t>
            </w:r>
          </w:p>
        </w:tc>
        <w:tc>
          <w:tcPr>
            <w:tcW w:type="dxa" w:w="1613"/>
            <w:vAlign w:val="center"/>
            <w:tcMar>
              <w:top w:w="95" w:type="dxa"/>
              <w:left w:w="95" w:type="dxa"/>
              <w:bottom w:w="95" w:type="dxa"/>
              <w:right w:w="95" w:type="dxa"/>
            </w:tcMar>
          </w:tcPr>
          <w:p>
            <w:pPr>
              <w:pStyle w:val="S4Table"/>
            </w:pPr>
            <w:r>
              <w:rPr>
                <w:b w:val="0"/>
              </w:rPr>
              <w:t>10° versus 30° amplitude per antenna</w:t>
            </w:r>
          </w:p>
        </w:tc>
        <w:tc>
          <w:tcPr>
            <w:tcW w:type="dxa" w:w="2592"/>
            <w:vAlign w:val="center"/>
            <w:tcMar>
              <w:top w:w="95" w:type="dxa"/>
              <w:left w:w="95" w:type="dxa"/>
              <w:bottom w:w="95" w:type="dxa"/>
              <w:right w:w="95" w:type="dxa"/>
            </w:tcMar>
          </w:tcPr>
          <w:p>
            <w:pPr>
              <w:pStyle w:val="S4Table"/>
            </w:pPr>
            <w:r>
              <w:rPr>
                <w:b w:val="0"/>
              </w:rPr>
              <w:t>Measured joint angles; perceived movement-size item</w:t>
            </w:r>
          </w:p>
        </w:tc>
        <w:tc>
          <w:tcPr>
            <w:tcW w:type="dxa" w:w="2995"/>
            <w:vAlign w:val="center"/>
            <w:tcMar>
              <w:top w:w="95" w:type="dxa"/>
              <w:left w:w="95" w:type="dxa"/>
              <w:bottom w:w="95" w:type="dxa"/>
              <w:right w:w="95" w:type="dxa"/>
            </w:tcMar>
          </w:tcPr>
          <w:p>
            <w:pPr>
              <w:pStyle w:val="S4Table"/>
            </w:pPr>
            <w:r>
              <w:rPr>
                <w:b w:val="0"/>
              </w:rPr>
              <w:t>Separated physical excursions and higher size ratings in B</w:t>
            </w:r>
          </w:p>
        </w:tc>
      </w:tr>
      <w:tr>
        <w:trPr>
          <w:cantSplit/>
        </w:trPr>
        <w:tc>
          <w:tcPr>
            <w:tcW w:type="dxa" w:w="2160"/>
            <w:vAlign w:val="center"/>
            <w:tcMar>
              <w:top w:w="95" w:type="dxa"/>
              <w:left w:w="95" w:type="dxa"/>
              <w:bottom w:w="95" w:type="dxa"/>
              <w:right w:w="95" w:type="dxa"/>
            </w:tcMar>
          </w:tcPr>
          <w:p>
            <w:pPr>
              <w:pStyle w:val="S4Table"/>
            </w:pPr>
            <w:r>
              <w:rPr>
                <w:b w:val="0"/>
              </w:rPr>
              <w:t>Perceived affect may differ</w:t>
            </w:r>
          </w:p>
        </w:tc>
        <w:tc>
          <w:tcPr>
            <w:tcW w:type="dxa" w:w="1613"/>
            <w:vAlign w:val="center"/>
            <w:tcMar>
              <w:top w:w="95" w:type="dxa"/>
              <w:left w:w="95" w:type="dxa"/>
              <w:bottom w:w="95" w:type="dxa"/>
              <w:right w:w="95" w:type="dxa"/>
            </w:tcMar>
          </w:tcPr>
          <w:p>
            <w:pPr>
              <w:pStyle w:val="S4Table"/>
            </w:pPr>
            <w:r>
              <w:rPr>
                <w:b w:val="0"/>
              </w:rPr>
              <w:t>Same A/B comparison</w:t>
            </w:r>
          </w:p>
        </w:tc>
        <w:tc>
          <w:tcPr>
            <w:tcW w:type="dxa" w:w="2592"/>
            <w:vAlign w:val="center"/>
            <w:tcMar>
              <w:top w:w="95" w:type="dxa"/>
              <w:left w:w="95" w:type="dxa"/>
              <w:bottom w:w="95" w:type="dxa"/>
              <w:right w:w="95" w:type="dxa"/>
            </w:tcMar>
          </w:tcPr>
          <w:p>
            <w:pPr>
              <w:pStyle w:val="S4Table"/>
            </w:pPr>
            <w:r>
              <w:rPr>
                <w:b w:val="0"/>
              </w:rPr>
              <w:t>Separate 7-point valence and arousal items</w:t>
            </w:r>
          </w:p>
        </w:tc>
        <w:tc>
          <w:tcPr>
            <w:tcW w:type="dxa" w:w="2995"/>
            <w:vAlign w:val="center"/>
            <w:tcMar>
              <w:top w:w="95" w:type="dxa"/>
              <w:left w:w="95" w:type="dxa"/>
              <w:bottom w:w="95" w:type="dxa"/>
              <w:right w:w="95" w:type="dxa"/>
            </w:tcMar>
          </w:tcPr>
          <w:p>
            <w:pPr>
              <w:pStyle w:val="S4Table"/>
            </w:pPr>
            <w:r>
              <w:rPr>
                <w:b w:val="0"/>
              </w:rPr>
              <w:t>Within-person B − A differences, interpreted alongside participants’ explanations</w:t>
            </w:r>
          </w:p>
        </w:tc>
      </w:tr>
      <w:tr>
        <w:trPr>
          <w:cantSplit/>
        </w:trPr>
        <w:tc>
          <w:tcPr>
            <w:tcW w:type="dxa" w:w="2160"/>
            <w:vAlign w:val="center"/>
            <w:tcMar>
              <w:top w:w="95" w:type="dxa"/>
              <w:left w:w="95" w:type="dxa"/>
              <w:bottom w:w="95" w:type="dxa"/>
              <w:right w:w="95" w:type="dxa"/>
            </w:tcMar>
          </w:tcPr>
          <w:p>
            <w:pPr>
              <w:pStyle w:val="S4Table"/>
            </w:pPr>
            <w:r>
              <w:rPr>
                <w:b w:val="0"/>
              </w:rPr>
              <w:t>Perceived sociability may differ</w:t>
            </w:r>
          </w:p>
        </w:tc>
        <w:tc>
          <w:tcPr>
            <w:tcW w:type="dxa" w:w="1613"/>
            <w:vAlign w:val="center"/>
            <w:tcMar>
              <w:top w:w="95" w:type="dxa"/>
              <w:left w:w="95" w:type="dxa"/>
              <w:bottom w:w="95" w:type="dxa"/>
              <w:right w:w="95" w:type="dxa"/>
            </w:tcMar>
          </w:tcPr>
          <w:p>
            <w:pPr>
              <w:pStyle w:val="S4Table"/>
            </w:pPr>
            <w:r>
              <w:rPr>
                <w:b w:val="0"/>
              </w:rPr>
              <w:t>Same A/B comparison</w:t>
            </w:r>
          </w:p>
        </w:tc>
        <w:tc>
          <w:tcPr>
            <w:tcW w:type="dxa" w:w="2592"/>
            <w:vAlign w:val="center"/>
            <w:tcMar>
              <w:top w:w="95" w:type="dxa"/>
              <w:left w:w="95" w:type="dxa"/>
              <w:bottom w:w="95" w:type="dxa"/>
              <w:right w:w="95" w:type="dxa"/>
            </w:tcMar>
          </w:tcPr>
          <w:p>
            <w:pPr>
              <w:pStyle w:val="S4Table"/>
            </w:pPr>
            <w:r>
              <w:rPr>
                <w:b w:val="0"/>
              </w:rPr>
              <w:t>HRIES sociability mean</w:t>
            </w:r>
          </w:p>
        </w:tc>
        <w:tc>
          <w:tcPr>
            <w:tcW w:type="dxa" w:w="2995"/>
            <w:vAlign w:val="center"/>
            <w:tcMar>
              <w:top w:w="95" w:type="dxa"/>
              <w:left w:w="95" w:type="dxa"/>
              <w:bottom w:w="95" w:type="dxa"/>
              <w:right w:w="95" w:type="dxa"/>
            </w:tcMar>
          </w:tcPr>
          <w:p>
            <w:pPr>
              <w:pStyle w:val="S4Table"/>
            </w:pPr>
            <w:r>
              <w:rPr>
                <w:b w:val="0"/>
              </w:rPr>
              <w:t>Within-person B − A differences; other HRIES dimensions remain separate</w:t>
            </w:r>
          </w:p>
        </w:tc>
      </w:tr>
    </w:tbl>
    <w:p>
      <w:pPr>
        <w:pStyle w:val="S4Body"/>
        <w:spacing w:before="160"/>
      </w:pPr>
      <w:r>
        <w:t>These are criteria for interpreting future evidence, not observed results. A detected movement difference alone would not demonstrate a difference in perceived emotion.</w:t>
      </w:r>
    </w:p>
    <w:p>
      <w:pPr>
        <w:pStyle w:val="S4Subheading"/>
      </w:pPr>
      <w:r>
        <w:t>Independent variable and reproducible movement</w:t>
      </w:r>
    </w:p>
    <w:p>
      <w:pPr>
        <w:pStyle w:val="S4Body"/>
      </w:pPr>
      <w:r>
        <w:t>The single command parameter is antenna_amplitude_deg: the maximum angular displacement of each antenna from its calibrated neutral position. Condition A is 10° (0.175 rad); Condition B is 30° (0.524 rad). Both antennas follow mirrored trajectories with the same amplitude. Their respective peak-to-peak excursions are 20° and 60°, not 10° and 30°. These are proposed settings to verify in simulation and on the physical robot before fixing the study protocol.</w:t>
      </w:r>
    </w:p>
    <w:p>
      <w:pPr>
        <w:pStyle w:val="S4Body"/>
      </w:pPr>
      <w:r>
        <w:t>Each greeting uses one 4-second antenna sequence: neutral → +A → −A → neutral for the left antenna, with reversed signs for the right. Segment durations are 1, 2, and 1 seconds, using the same smooth interpolation. Start the motion and a fixed recording of “Hello, nice to meet you” together after a 1-second neutral hold; finish with a 1-second neutral hold. Keep the head and base stationary. The recording, volume, synchronization, and number of movements stay identical.</w:t>
      </w:r>
    </w:p>
    <w:p>
      <w:pPr>
        <w:pStyle w:val="S4Subheading"/>
      </w:pPr>
      <w:r>
        <w:t>Operational measures</w:t>
      </w:r>
    </w:p>
    <w:p>
      <w:pPr>
        <w:pStyle w:val="S4Body"/>
      </w:pPr>
      <w:r>
        <w:t>After each condition, ask participants to rate Reachy Mini as it appeared during that greeting, rather than their own feelings. Collect HRIES and emotion ratings before the open-ended response, and place the movement-size check last to reduce attention being directed to the manipulation before the outcomes.</w:t>
      </w:r>
    </w:p>
    <w:p>
      <w:pPr>
        <w:pStyle w:val="S4Body"/>
      </w:pPr>
      <w:r>
        <w:rPr>
          <w:b/>
        </w:rPr>
        <w:t xml:space="preserve">Perceived valence. </w:t>
      </w:r>
      <w:r>
        <w:t>“How positive or negative did Reachy Mini’s apparent emotional state seem?” Use a 7-point bipolar scale: 1 = very negative, 4 = neutral, 7 = very positive. Higher scores indicate more positive perceived affect.</w:t>
      </w:r>
    </w:p>
    <w:p>
      <w:pPr>
        <w:pStyle w:val="S4Body"/>
      </w:pPr>
      <w:r>
        <w:rPr>
          <w:b/>
        </w:rPr>
        <w:t xml:space="preserve">Perceived arousal. </w:t>
      </w:r>
      <w:r>
        <w:t>“How emotionally activated did Reachy Mini seem?” Use a 7-point bipolar scale: 1 = very low activation/sleepy, 4 = moderate activation, 7 = very high activation/aroused. Explain that activation can accompany either positive or negative emotion. Higher scores indicate greater perceived arousal.</w:t>
      </w:r>
    </w:p>
    <w:p>
      <w:pPr>
        <w:pStyle w:val="S4Body"/>
      </w:pPr>
      <w:r>
        <w:rPr>
          <w:b/>
        </w:rPr>
        <w:t xml:space="preserve">Perceived sociability. </w:t>
      </w:r>
      <w:r>
        <w:t>Administer the full 16-item HRIES with its published 7-point response scale (Spatola et al., 2021). Designate sociability as the primary HRIES outcome: average its four items, warm, likeable, trustworthy, and friendly. Calculate animacy, agency, and disturbance separately; do not calculate an overall HRIES score. Valence and arousal are additional exploratory emotion outcomes and are not substitutes for HRIES.</w:t>
      </w:r>
    </w:p>
    <w:p>
      <w:pPr>
        <w:pStyle w:val="S4Body"/>
      </w:pPr>
      <w:r>
        <w:rPr>
          <w:b/>
        </w:rPr>
        <w:t xml:space="preserve">Perceptual manipulation check. </w:t>
      </w:r>
      <w:r>
        <w:t>“How large were the antenna movements during this greeting?” Rate from 1 = very small to 7 = very large. Compare B − A within each participant; positive differences support perceptual separation. Do not discard a participant simply because this rating fails to favor B.</w:t>
      </w:r>
    </w:p>
    <w:p>
      <w:pPr>
        <w:pStyle w:val="S4Body"/>
      </w:pPr>
      <w:r>
        <w:rPr>
          <w:b/>
        </w:rPr>
        <w:t xml:space="preserve">Physical manipulation check. </w:t>
      </w:r>
      <w:r>
        <w:t>Record timestamped measured angles for both antenna joints, targeting at least 20 samples/second and reporting the achieved rate. For each antenna, subtract its measured neutral angle and calculate the largest absolute displacement in degrees and the full maximum-minus-minimum range. Keep left and right results separate. Log the command value, condition, motion start/end, neutral recovery, and faults. Commanded angles alone cannot verify actual movement. If feedback is unavailable, use calibrated angle measurements from fixed-view video and document measurement uncertainty.</w:t>
      </w:r>
    </w:p>
    <w:p>
      <w:pPr>
        <w:pStyle w:val="S4Body"/>
      </w:pPr>
      <w:r>
        <w:rPr>
          <w:b/>
        </w:rPr>
        <w:t xml:space="preserve">Objective behavioral outcome. </w:t>
      </w:r>
      <w:r>
        <w:t>Record greeting completion as 1 if the scheduled audio and antenna sequence finish, both antennas return to within ±2° of neutral, and no operator intervention occurs; otherwise record 0 and the reason. This measures execution fidelity, not emotion recognition.</w:t>
      </w:r>
    </w:p>
    <w:p>
      <w:pPr>
        <w:pStyle w:val="S4Body"/>
      </w:pPr>
      <w:r>
        <w:rPr>
          <w:b/>
        </w:rPr>
        <w:t xml:space="preserve">Qualitative evidence. </w:t>
      </w:r>
      <w:r>
        <w:t>“How would you describe Reachy Mini during this greeting, and what influenced your impression?” Retain the response verbatim and compare explanations with the ratings without treating particular emotion words as correct answers.</w:t>
      </w:r>
    </w:p>
    <w:p>
      <w:pPr>
        <w:pStyle w:val="S4Subheading"/>
      </w:pPr>
      <w:r>
        <w:t>Controls and potential confounds</w:t>
      </w:r>
    </w:p>
    <w:p>
      <w:pPr>
        <w:pStyle w:val="S4Body"/>
      </w:pPr>
      <w:r>
        <w:rPr>
          <w:b/>
        </w:rPr>
        <w:t xml:space="preserve">Controls. </w:t>
      </w:r>
      <w:r>
        <w:t>Hold constant the robot, neutral pose, mirrored movement pattern, interpolation, timing, audio, head/base posture, participant distance and viewing angle, lighting, room noise, facilitator wording, and questionnaire order. Use the same reset interval between conditions. Disable spontaneous motions and variable live responses during the greeting.</w:t>
      </w:r>
    </w:p>
    <w:p>
      <w:pPr>
        <w:pStyle w:val="S4Body"/>
      </w:pPr>
      <w:r>
        <w:rPr>
          <w:b/>
        </w:rPr>
        <w:t xml:space="preserve">Order and participant differences. </w:t>
      </w:r>
      <w:r>
        <w:t>Each participant experiences A and B. Counterbalance order as AB/BA across the pilot, use neutral condition labels, and record prior robot familiarity. Order, habituation, familiarity, and experimenter cues could influence judgments. Standardized instructions and within-person comparisons reduce these alternatives but do not eliminate them.</w:t>
      </w:r>
    </w:p>
    <w:p>
      <w:pPr>
        <w:pStyle w:val="S4Body"/>
      </w:pPr>
      <w:r>
        <w:rPr>
          <w:b/>
        </w:rPr>
        <w:t xml:space="preserve">Motion coupling. </w:t>
      </w:r>
      <w:r>
        <w:t>At fixed segment durations, increasing excursion necessarily increases angular speed and acceleration. These are coupled consequences of the amplitude manipulation, not additional independently assigned factors. Record achieved timing and inspect the angle traces; interpret any difference as an effect of the amplitude-scaled greeting under fixed timing. This design cannot isolate a purely spatial amplitude effect from its associated kinematics (Saerbeck &amp; Bartneck, 2010).</w:t>
      </w:r>
    </w:p>
    <w:p>
      <w:pPr>
        <w:pStyle w:val="S4Body"/>
      </w:pPr>
      <w:r>
        <w:rPr>
          <w:b/>
        </w:rPr>
        <w:t xml:space="preserve">Execution and sensory differences. </w:t>
      </w:r>
      <w:r>
        <w:t>Motor noise, vibration, tracking errors, audio delays, or an obscured antenna could also influence impressions. Check both conditions before collection and document deviations in every trial. Any condition-dependent noise remains an alternative explanation even if the programmed settings are otherwise matched.</w:t>
      </w:r>
    </w:p>
    <w:p>
      <w:pPr>
        <w:pStyle w:val="S4Subheading"/>
      </w:pPr>
      <w:r>
        <w:t>Construct validity and interpretation</w:t>
      </w:r>
    </w:p>
    <w:p>
      <w:pPr>
        <w:pStyle w:val="S4Body"/>
      </w:pPr>
      <w:r>
        <w:t>Russell (1980) provides the conceptual basis for separating valence and arousal; the two wording-specific items proposed here are study-created and have not been validated for Reachy Mini. Pretest whether respondents understand the distinction and rate the robot rather than themselves. HRIES has published factor-analytic support for distinct dimensions (Spatola et al., 2021), but sociability and animacy do not directly measure emotion. Keep these constructs separate.</w:t>
      </w:r>
    </w:p>
    <w:p>
      <w:pPr>
        <w:pStyle w:val="S4Body"/>
      </w:pPr>
      <w:r>
        <w:t>Physical angle records establish delivery, the size item checks perception, and open-ended accounts help assess whether emotional interpretations align with the ratings. Report each participant’s paired differences and descriptive summaries. Agreement across these measures would strengthen the interpretation; disagreement should be retained and explained. A small convenience pilot cannot establish population-wide effects, validate the new items, or identify an optimal amplitude from only two levels.</w:t>
      </w:r>
    </w:p>
    <w:p>
      <w:pPr>
        <w:pStyle w:val="S4Heading"/>
        <w:pageBreakBefore/>
      </w:pPr>
      <w:r>
        <w:t>4.3 Formulate the Research Questions</w:t>
      </w:r>
    </w:p>
    <w:p>
      <w:pPr>
        <w:pStyle w:val="S4Body"/>
      </w:pPr>
      <w:r>
        <w:rPr>
          <w:b/>
        </w:rPr>
        <w:t xml:space="preserve">RQ1 — Exploratory emotion question. </w:t>
      </w:r>
      <w:r>
        <w:t>How does low versus high antenna movement amplitude (10° versus 30° from neutral per antenna), with greeting timing held constant, affect participants’ ratings of Reachy Mini’s perceived emotional valence and arousal during a greeting interaction?</w:t>
      </w:r>
    </w:p>
    <w:p>
      <w:pPr>
        <w:pStyle w:val="S4Body"/>
      </w:pPr>
      <w:r>
        <w:rPr>
          <w:b/>
        </w:rPr>
        <w:t xml:space="preserve">RQ2 — Exploratory social impression question. </w:t>
      </w:r>
      <w:r>
        <w:t>How does the same low versus high antenna amplitude comparison affect participants’ HRIES sociability scores during the greeting interaction?</w:t>
      </w:r>
    </w:p>
    <w:p>
      <w:pPr>
        <w:pStyle w:val="S4Body"/>
      </w:pPr>
      <w:r>
        <w:t>Both questions follow from the constructs and measures above. No confirmatory directional hypothesis is proposed: the cited evidence motivates testing motion-based affect, but does not establish whether this specific antenna comparison should produce more positive emotion or greater sociability. The analysis will therefore allow higher, lower, unchanged, or mixed ratings.</w:t>
      </w:r>
    </w:p>
    <w:p>
      <w:pPr>
        <w:pStyle w:val="S4Heading"/>
      </w:pPr>
      <w:r>
        <w:t>References</w:t>
      </w:r>
    </w:p>
    <w:p>
      <w:pPr>
        <w:pStyle w:val="S4Reference"/>
      </w:pPr>
      <w:r>
        <w:rPr>
          <w:i w:val="0"/>
        </w:rPr>
        <w:t xml:space="preserve">Russell, J. A. (1980). A circumplex model of affect. </w:t>
      </w:r>
      <w:r>
        <w:rPr>
          <w:i/>
        </w:rPr>
        <w:t>Journal of Personality and Social Psychology, 39</w:t>
      </w:r>
      <w:r>
        <w:rPr>
          <w:i w:val="0"/>
        </w:rPr>
        <w:t>(6), 1161–1178.</w:t>
      </w:r>
      <w:r>
        <w:t xml:space="preserve"> </w:t>
      </w:r>
      <w:hyperlink r:id="rId11">
        <w:r>
          <w:rPr>
            <w:color w:val="0563C1"/>
          </w:rPr>
          <w:t>https://doi.org/10.1037/h0077714</w:t>
        </w:r>
      </w:hyperlink>
    </w:p>
    <w:p>
      <w:pPr>
        <w:pStyle w:val="S4Reference"/>
      </w:pPr>
      <w:r>
        <w:rPr>
          <w:i w:val="0"/>
        </w:rPr>
        <w:t xml:space="preserve">Saerbeck, M., &amp; Bartneck, C. (2010). Attribution of affect to robot motion. In </w:t>
      </w:r>
      <w:r>
        <w:rPr>
          <w:i/>
        </w:rPr>
        <w:t>Proceedings of the 5th ACM/IEEE International Conference on Human-Robot Interaction</w:t>
      </w:r>
      <w:r>
        <w:rPr>
          <w:i w:val="0"/>
        </w:rPr>
        <w:t xml:space="preserve"> (pp. 53–60). Association for Computing Machinery.</w:t>
      </w:r>
      <w:r>
        <w:t xml:space="preserve"> </w:t>
      </w:r>
      <w:hyperlink r:id="rId12">
        <w:r>
          <w:rPr>
            <w:color w:val="0563C1"/>
          </w:rPr>
          <w:t>https://doi.org/10.1145/1734454.1734473</w:t>
        </w:r>
      </w:hyperlink>
    </w:p>
    <w:p>
      <w:pPr>
        <w:pStyle w:val="S4Reference"/>
      </w:pPr>
      <w:r>
        <w:rPr>
          <w:i w:val="0"/>
        </w:rPr>
        <w:t xml:space="preserve">Spatola, N., Kühnlenz, B., &amp; Cheng, G. (2021). Perception and evaluation in human–robot interaction: The Human–Robot Interaction Evaluation Scale (HRIES)—A multicomponent approach of anthropomorphism. </w:t>
      </w:r>
      <w:r>
        <w:rPr>
          <w:i/>
        </w:rPr>
        <w:t>International Journal of Social Robotics, 13</w:t>
      </w:r>
      <w:r>
        <w:rPr>
          <w:i w:val="0"/>
        </w:rPr>
        <w:t>(7), 1517–1539.</w:t>
      </w:r>
      <w:r>
        <w:t xml:space="preserve"> </w:t>
      </w:r>
      <w:hyperlink r:id="rId13">
        <w:r>
          <w:rPr>
            <w:color w:val="0563C1"/>
          </w:rPr>
          <w:t>https://doi.org/10.1007/s12369-020-00667-4</w:t>
        </w:r>
      </w:hyperlink>
    </w:p>
    <w:p>
      <w:pPr>
        <w:pStyle w:val="S4Main"/>
        <w:pageBreakBefore/>
      </w:pPr>
      <w:r>
        <w:t>Part 5 Study design and procedure</w:t>
      </w:r>
    </w:p>
    <w:p>
      <w:pPr>
        <w:pStyle w:val="S4Body"/>
      </w:pPr>
      <w:r>
        <w:t>This protocol describes the planned pilot. Bracketed fields will be completed after technical testing, recruitment, or data collection.</w:t>
      </w:r>
    </w:p>
    <w:p>
      <w:pPr>
        <w:pStyle w:val="S4Heading"/>
      </w:pPr>
      <w:r>
        <w:t>5.1 Study Design and Conditions</w:t>
      </w:r>
    </w:p>
    <w:p>
      <w:pPr>
        <w:pStyle w:val="S4Body"/>
      </w:pPr>
      <w:r>
        <w:t>Each participant will experience both antenna-amplitude conditions in counterbalanced order. Sociability is the primary HRIES outcome; separate valence and arousal ratings address perceived emotion.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1944"/>
        <w:gridCol w:w="3672"/>
      </w:tblGrid>
      <w:tr>
        <w:trPr>
          <w:cantSplit/>
          <w:tblHeader/>
        </w:trPr>
        <w:tc>
          <w:tcPr>
            <w:tcW w:type="dxa" w:w="1800"/>
            <w:vAlign w:val="center"/>
            <w:tcMar>
              <w:top w:w="95" w:type="dxa"/>
              <w:left w:w="95" w:type="dxa"/>
              <w:bottom w:w="95" w:type="dxa"/>
              <w:right w:w="95" w:type="dxa"/>
            </w:tcMar>
            <w:shd w:fill="E7EEF5"/>
          </w:tcPr>
          <w:p>
            <w:pPr>
              <w:pStyle w:val="S4Table"/>
              <w:keepNext/>
            </w:pPr>
            <w:r>
              <w:rPr>
                <w:b/>
              </w:rPr>
              <w:t>Element</w:t>
            </w:r>
          </w:p>
        </w:tc>
        <w:tc>
          <w:tcPr>
            <w:tcW w:type="dxa" w:w="1944"/>
            <w:vAlign w:val="center"/>
            <w:tcMar>
              <w:top w:w="95" w:type="dxa"/>
              <w:left w:w="95" w:type="dxa"/>
              <w:bottom w:w="95" w:type="dxa"/>
              <w:right w:w="95" w:type="dxa"/>
            </w:tcMar>
            <w:shd w:fill="E7EEF5"/>
          </w:tcPr>
          <w:p>
            <w:pPr>
              <w:pStyle w:val="S4Table"/>
              <w:keepNext/>
            </w:pPr>
            <w:r>
              <w:rPr>
                <w:b/>
              </w:rPr>
              <w:t>Condition A</w:t>
            </w:r>
          </w:p>
        </w:tc>
        <w:tc>
          <w:tcPr>
            <w:tcW w:type="dxa" w:w="1944"/>
            <w:vAlign w:val="center"/>
            <w:tcMar>
              <w:top w:w="95" w:type="dxa"/>
              <w:left w:w="95" w:type="dxa"/>
              <w:bottom w:w="95" w:type="dxa"/>
              <w:right w:w="95" w:type="dxa"/>
            </w:tcMar>
            <w:shd w:fill="E7EEF5"/>
          </w:tcPr>
          <w:p>
            <w:pPr>
              <w:pStyle w:val="S4Table"/>
              <w:keepNext/>
            </w:pPr>
            <w:r>
              <w:rPr>
                <w:b/>
              </w:rPr>
              <w:t>Condition B</w:t>
            </w:r>
          </w:p>
        </w:tc>
        <w:tc>
          <w:tcPr>
            <w:tcW w:type="dxa" w:w="3672"/>
            <w:vAlign w:val="center"/>
            <w:tcMar>
              <w:top w:w="95" w:type="dxa"/>
              <w:left w:w="95" w:type="dxa"/>
              <w:bottom w:w="95" w:type="dxa"/>
              <w:right w:w="95" w:type="dxa"/>
            </w:tcMar>
            <w:shd w:fill="E7EEF5"/>
          </w:tcPr>
          <w:p>
            <w:pPr>
              <w:pStyle w:val="S4Table"/>
              <w:keepNext/>
            </w:pPr>
            <w:r>
              <w:rPr>
                <w:b/>
              </w:rPr>
              <w:t>Held constant</w:t>
            </w:r>
          </w:p>
        </w:tc>
      </w:tr>
      <w:tr>
        <w:trPr>
          <w:cantSplit/>
        </w:trPr>
        <w:tc>
          <w:tcPr>
            <w:tcW w:type="dxa" w:w="1800"/>
            <w:vAlign w:val="center"/>
            <w:tcMar>
              <w:top w:w="95" w:type="dxa"/>
              <w:left w:w="95" w:type="dxa"/>
              <w:bottom w:w="95" w:type="dxa"/>
              <w:right w:w="95" w:type="dxa"/>
            </w:tcMar>
          </w:tcPr>
          <w:p>
            <w:pPr>
              <w:pStyle w:val="S4Table"/>
              <w:keepNext/>
            </w:pPr>
            <w:r>
              <w:rPr>
                <w:b w:val="0"/>
              </w:rPr>
              <w:t>Antenna amplitude</w:t>
            </w:r>
          </w:p>
        </w:tc>
        <w:tc>
          <w:tcPr>
            <w:tcW w:type="dxa" w:w="1944"/>
            <w:vAlign w:val="center"/>
            <w:tcMar>
              <w:top w:w="95" w:type="dxa"/>
              <w:left w:w="95" w:type="dxa"/>
              <w:bottom w:w="95" w:type="dxa"/>
              <w:right w:w="95" w:type="dxa"/>
            </w:tcMar>
          </w:tcPr>
          <w:p>
            <w:pPr>
              <w:pStyle w:val="S4Table"/>
              <w:keepNext/>
            </w:pPr>
            <w:r>
              <w:rPr>
                <w:b w:val="0"/>
              </w:rPr>
              <w:t>10° from neutral; 20° peak-to-peak</w:t>
            </w:r>
          </w:p>
        </w:tc>
        <w:tc>
          <w:tcPr>
            <w:tcW w:type="dxa" w:w="1944"/>
            <w:vAlign w:val="center"/>
            <w:tcMar>
              <w:top w:w="95" w:type="dxa"/>
              <w:left w:w="95" w:type="dxa"/>
              <w:bottom w:w="95" w:type="dxa"/>
              <w:right w:w="95" w:type="dxa"/>
            </w:tcMar>
          </w:tcPr>
          <w:p>
            <w:pPr>
              <w:pStyle w:val="S4Table"/>
              <w:keepNext/>
            </w:pPr>
            <w:r>
              <w:rPr>
                <w:b w:val="0"/>
              </w:rPr>
              <w:t>30° from neutral; 60° peak-to-peak</w:t>
            </w:r>
          </w:p>
        </w:tc>
        <w:tc>
          <w:tcPr>
            <w:tcW w:type="dxa" w:w="3672"/>
            <w:vAlign w:val="center"/>
            <w:tcMar>
              <w:top w:w="95" w:type="dxa"/>
              <w:left w:w="95" w:type="dxa"/>
              <w:bottom w:w="95" w:type="dxa"/>
              <w:right w:w="95" w:type="dxa"/>
            </w:tcMar>
          </w:tcPr>
          <w:p>
            <w:pPr>
              <w:pStyle w:val="S4Table"/>
              <w:keepNext/>
            </w:pPr>
            <w:r>
              <w:rPr>
                <w:b w:val="0"/>
              </w:rPr>
              <w:t>Same axis, pattern, and calibrated neutral; mirrored antennas</w:t>
            </w:r>
          </w:p>
        </w:tc>
      </w:tr>
      <w:tr>
        <w:trPr>
          <w:cantSplit/>
        </w:trPr>
        <w:tc>
          <w:tcPr>
            <w:tcW w:type="dxa" w:w="1800"/>
            <w:vAlign w:val="center"/>
            <w:tcMar>
              <w:top w:w="95" w:type="dxa"/>
              <w:left w:w="95" w:type="dxa"/>
              <w:bottom w:w="95" w:type="dxa"/>
              <w:right w:w="95" w:type="dxa"/>
            </w:tcMar>
          </w:tcPr>
          <w:p>
            <w:pPr>
              <w:pStyle w:val="S4Table"/>
              <w:keepNext/>
            </w:pPr>
            <w:r>
              <w:rPr>
                <w:b w:val="0"/>
              </w:rPr>
              <w:t>Motion sequence</w:t>
            </w:r>
          </w:p>
        </w:tc>
        <w:tc>
          <w:tcPr>
            <w:tcW w:type="dxa" w:w="1944"/>
            <w:vAlign w:val="center"/>
            <w:tcMar>
              <w:top w:w="95" w:type="dxa"/>
              <w:left w:w="95" w:type="dxa"/>
              <w:bottom w:w="95" w:type="dxa"/>
              <w:right w:w="95" w:type="dxa"/>
            </w:tcMar>
          </w:tcPr>
          <w:p>
            <w:pPr>
              <w:pStyle w:val="S4Table"/>
              <w:keepNext/>
            </w:pPr>
            <w:r>
              <w:rPr>
                <w:b w:val="0"/>
              </w:rPr>
              <w:t>Neutral → +A → −A → neutral</w:t>
            </w:r>
          </w:p>
        </w:tc>
        <w:tc>
          <w:tcPr>
            <w:tcW w:type="dxa" w:w="1944"/>
            <w:vAlign w:val="center"/>
            <w:tcMar>
              <w:top w:w="95" w:type="dxa"/>
              <w:left w:w="95" w:type="dxa"/>
              <w:bottom w:w="95" w:type="dxa"/>
              <w:right w:w="95" w:type="dxa"/>
            </w:tcMar>
          </w:tcPr>
          <w:p>
            <w:pPr>
              <w:pStyle w:val="S4Table"/>
              <w:keepNext/>
            </w:pPr>
            <w:r>
              <w:rPr>
                <w:b w:val="0"/>
              </w:rPr>
              <w:t>Same sequence at B amplitude</w:t>
            </w:r>
          </w:p>
        </w:tc>
        <w:tc>
          <w:tcPr>
            <w:tcW w:type="dxa" w:w="3672"/>
            <w:vAlign w:val="center"/>
            <w:tcMar>
              <w:top w:w="95" w:type="dxa"/>
              <w:left w:w="95" w:type="dxa"/>
              <w:bottom w:w="95" w:type="dxa"/>
              <w:right w:w="95" w:type="dxa"/>
            </w:tcMar>
          </w:tcPr>
          <w:p>
            <w:pPr>
              <w:pStyle w:val="S4Table"/>
              <w:keepNext/>
            </w:pPr>
            <w:r>
              <w:rPr>
                <w:b w:val="0"/>
              </w:rPr>
              <w:t>Left antenna as shown; right signs reversed; segments of 1, 2, and 1 s</w:t>
            </w:r>
          </w:p>
        </w:tc>
      </w:tr>
      <w:tr>
        <w:trPr>
          <w:cantSplit/>
        </w:trPr>
        <w:tc>
          <w:tcPr>
            <w:tcW w:type="dxa" w:w="1800"/>
            <w:vAlign w:val="center"/>
            <w:tcMar>
              <w:top w:w="95" w:type="dxa"/>
              <w:left w:w="95" w:type="dxa"/>
              <w:bottom w:w="95" w:type="dxa"/>
              <w:right w:w="95" w:type="dxa"/>
            </w:tcMar>
          </w:tcPr>
          <w:p>
            <w:pPr>
              <w:pStyle w:val="S4Table"/>
              <w:keepNext/>
            </w:pPr>
            <w:r>
              <w:rPr>
                <w:b w:val="0"/>
              </w:rPr>
              <w:t>Greeting cycle</w:t>
            </w:r>
          </w:p>
        </w:tc>
        <w:tc>
          <w:tcPr>
            <w:tcW w:type="dxa" w:w="1944"/>
            <w:vAlign w:val="center"/>
            <w:tcMar>
              <w:top w:w="95" w:type="dxa"/>
              <w:left w:w="95" w:type="dxa"/>
              <w:bottom w:w="95" w:type="dxa"/>
              <w:right w:w="95" w:type="dxa"/>
            </w:tcMar>
          </w:tcPr>
          <w:p>
            <w:pPr>
              <w:pStyle w:val="S4Table"/>
              <w:keepNext/>
            </w:pPr>
            <w:r>
              <w:rPr>
                <w:b w:val="0"/>
              </w:rPr>
              <w:t>6 s</w:t>
            </w:r>
          </w:p>
        </w:tc>
        <w:tc>
          <w:tcPr>
            <w:tcW w:type="dxa" w:w="1944"/>
            <w:vAlign w:val="center"/>
            <w:tcMar>
              <w:top w:w="95" w:type="dxa"/>
              <w:left w:w="95" w:type="dxa"/>
              <w:bottom w:w="95" w:type="dxa"/>
              <w:right w:w="95" w:type="dxa"/>
            </w:tcMar>
          </w:tcPr>
          <w:p>
            <w:pPr>
              <w:pStyle w:val="S4Table"/>
              <w:keepNext/>
            </w:pPr>
            <w:r>
              <w:rPr>
                <w:b w:val="0"/>
              </w:rPr>
              <w:t>6 s</w:t>
            </w:r>
          </w:p>
        </w:tc>
        <w:tc>
          <w:tcPr>
            <w:tcW w:type="dxa" w:w="3672"/>
            <w:vAlign w:val="center"/>
            <w:tcMar>
              <w:top w:w="95" w:type="dxa"/>
              <w:left w:w="95" w:type="dxa"/>
              <w:bottom w:w="95" w:type="dxa"/>
              <w:right w:w="95" w:type="dxa"/>
            </w:tcMar>
          </w:tcPr>
          <w:p>
            <w:pPr>
              <w:pStyle w:val="S4Table"/>
              <w:keepNext/>
            </w:pPr>
            <w:r>
              <w:rPr>
                <w:b w:val="0"/>
              </w:rPr>
              <w:t>1 s neutral; 4 s motion; 1 s neutral</w:t>
            </w:r>
          </w:p>
        </w:tc>
      </w:tr>
      <w:tr>
        <w:trPr>
          <w:cantSplit/>
        </w:trPr>
        <w:tc>
          <w:tcPr>
            <w:tcW w:type="dxa" w:w="1800"/>
            <w:vAlign w:val="center"/>
            <w:tcMar>
              <w:top w:w="95" w:type="dxa"/>
              <w:left w:w="95" w:type="dxa"/>
              <w:bottom w:w="95" w:type="dxa"/>
              <w:right w:w="95" w:type="dxa"/>
            </w:tcMar>
          </w:tcPr>
          <w:p>
            <w:pPr>
              <w:pStyle w:val="S4Table"/>
              <w:keepNext/>
            </w:pPr>
            <w:r>
              <w:rPr>
                <w:b w:val="0"/>
              </w:rPr>
              <w:t>Speech and other behavior</w:t>
            </w:r>
          </w:p>
        </w:tc>
        <w:tc>
          <w:tcPr>
            <w:tcW w:type="dxa" w:w="1944"/>
            <w:vAlign w:val="center"/>
            <w:tcMar>
              <w:top w:w="95" w:type="dxa"/>
              <w:left w:w="95" w:type="dxa"/>
              <w:bottom w:w="95" w:type="dxa"/>
              <w:right w:w="95" w:type="dxa"/>
            </w:tcMar>
          </w:tcPr>
          <w:p>
            <w:pPr>
              <w:pStyle w:val="S4Table"/>
              <w:keepNext/>
            </w:pPr>
            <w:r>
              <w:rPr>
                <w:b w:val="0"/>
              </w:rPr>
              <w:t>“Hello, nice to meet you”</w:t>
            </w:r>
          </w:p>
        </w:tc>
        <w:tc>
          <w:tcPr>
            <w:tcW w:type="dxa" w:w="1944"/>
            <w:vAlign w:val="center"/>
            <w:tcMar>
              <w:top w:w="95" w:type="dxa"/>
              <w:left w:w="95" w:type="dxa"/>
              <w:bottom w:w="95" w:type="dxa"/>
              <w:right w:w="95" w:type="dxa"/>
            </w:tcMar>
          </w:tcPr>
          <w:p>
            <w:pPr>
              <w:pStyle w:val="S4Table"/>
              <w:keepNext/>
            </w:pPr>
            <w:r>
              <w:rPr>
                <w:b w:val="0"/>
              </w:rPr>
              <w:t>Same recording</w:t>
            </w:r>
          </w:p>
        </w:tc>
        <w:tc>
          <w:tcPr>
            <w:tcW w:type="dxa" w:w="3672"/>
            <w:vAlign w:val="center"/>
            <w:tcMar>
              <w:top w:w="95" w:type="dxa"/>
              <w:left w:w="95" w:type="dxa"/>
              <w:bottom w:w="95" w:type="dxa"/>
              <w:right w:w="95" w:type="dxa"/>
            </w:tcMar>
          </w:tcPr>
          <w:p>
            <w:pPr>
              <w:pStyle w:val="S4Table"/>
              <w:keepNext/>
            </w:pPr>
            <w:r>
              <w:rPr>
                <w:b w:val="0"/>
              </w:rPr>
              <w:t>Audio starts with motion; fixed volume and interpolation; stationary head/base</w:t>
            </w:r>
          </w:p>
        </w:tc>
      </w:tr>
      <w:tr>
        <w:trPr>
          <w:cantSplit/>
        </w:trPr>
        <w:tc>
          <w:tcPr>
            <w:tcW w:type="dxa" w:w="1800"/>
            <w:vAlign w:val="center"/>
            <w:tcMar>
              <w:top w:w="95" w:type="dxa"/>
              <w:left w:w="95" w:type="dxa"/>
              <w:bottom w:w="95" w:type="dxa"/>
              <w:right w:w="95" w:type="dxa"/>
            </w:tcMar>
          </w:tcPr>
          <w:p>
            <w:pPr>
              <w:pStyle w:val="S4Table"/>
            </w:pPr>
            <w:r>
              <w:rPr>
                <w:b w:val="0"/>
              </w:rPr>
              <w:t>Administration</w:t>
            </w:r>
          </w:p>
        </w:tc>
        <w:tc>
          <w:tcPr>
            <w:tcW w:type="dxa" w:w="1944"/>
            <w:vAlign w:val="center"/>
            <w:tcMar>
              <w:top w:w="95" w:type="dxa"/>
              <w:left w:w="95" w:type="dxa"/>
              <w:bottom w:w="95" w:type="dxa"/>
              <w:right w:w="95" w:type="dxa"/>
            </w:tcMar>
          </w:tcPr>
          <w:p>
            <w:pPr>
              <w:pStyle w:val="S4Table"/>
            </w:pPr>
            <w:r>
              <w:rPr>
                <w:b w:val="0"/>
              </w:rPr>
              <w:t>One greeting, then measures</w:t>
            </w:r>
          </w:p>
        </w:tc>
        <w:tc>
          <w:tcPr>
            <w:tcW w:type="dxa" w:w="1944"/>
            <w:vAlign w:val="center"/>
            <w:tcMar>
              <w:top w:w="95" w:type="dxa"/>
              <w:left w:w="95" w:type="dxa"/>
              <w:bottom w:w="95" w:type="dxa"/>
              <w:right w:w="95" w:type="dxa"/>
            </w:tcMar>
          </w:tcPr>
          <w:p>
            <w:pPr>
              <w:pStyle w:val="S4Table"/>
            </w:pPr>
            <w:r>
              <w:rPr>
                <w:b w:val="0"/>
              </w:rPr>
              <w:t>Same task and measures</w:t>
            </w:r>
          </w:p>
        </w:tc>
        <w:tc>
          <w:tcPr>
            <w:tcW w:type="dxa" w:w="3672"/>
            <w:vAlign w:val="center"/>
            <w:tcMar>
              <w:top w:w="95" w:type="dxa"/>
              <w:left w:w="95" w:type="dxa"/>
              <w:bottom w:w="95" w:type="dxa"/>
              <w:right w:w="95" w:type="dxa"/>
            </w:tcMar>
          </w:tcPr>
          <w:p>
            <w:pPr>
              <w:pStyle w:val="S4Table"/>
            </w:pPr>
            <w:r>
              <w:rPr>
                <w:b w:val="0"/>
              </w:rPr>
              <w:t>Same room, positions, facilitator, instructions, and questionnaire order</w:t>
            </w:r>
          </w:p>
        </w:tc>
      </w:tr>
    </w:tbl>
    <w:p>
      <w:pPr>
        <w:pStyle w:val="S4Body"/>
        <w:spacing w:before="140"/>
      </w:pPr>
      <w:r>
        <w:t>Fixed timing couples amplitude with speed and acceleration; interpretation will follow section 4.2.</w:t>
      </w:r>
    </w:p>
    <w:p>
      <w:pPr>
        <w:pStyle w:val="S4Body"/>
      </w:pPr>
      <w:r>
        <w:rPr>
          <w:i/>
        </w:rPr>
        <w:t>[To complete: verify both conditions in simulation and on the robot; enter final angles, timing, calibration, interpolation, audio file, and code version [ ].]</w:t>
      </w:r>
    </w:p>
    <w:p>
      <w:pPr>
        <w:pStyle w:val="S4Heading"/>
      </w:pPr>
      <w:r>
        <w:t>5.2 Participants and Condition Order</w:t>
      </w:r>
    </w:p>
    <w:p>
      <w:pPr>
        <w:pStyle w:val="S4Body"/>
      </w:pPr>
      <w:r>
        <w:t>At least four adult volunteers (18+) will be recruited from the university community, excluding team members. Participants must understand the instructions. Convenience sampling is feasible for this pilot but limits generalization. Background items will cover age band (18–24, 25–34, 35–44, 45+), physical-robot experience (none/occasional/frequent), and Reachy Mini experience (yes/no); responses are optional.</w:t>
      </w:r>
    </w:p>
    <w:p>
      <w:pPr>
        <w:pStyle w:val="S4Body"/>
      </w:pPr>
      <w:r>
        <w:t>Assign participant IDs in enrollment order and balance AB/BA if recruitment expands. Store responses without names.</w:t>
      </w:r>
    </w:p>
    <w:p>
      <w:pPr>
        <w:pStyle w:val="S4Body"/>
      </w:pPr>
      <w:r>
        <w:t>Planned assignments: P01—AB; P02—BA; P03—AB; P04—BA. These are unfilled recruitment slots.</w:t>
      </w:r>
    </w:p>
    <w:p>
      <w:pPr>
        <w:pStyle w:val="S4Body"/>
        <w:spacing w:before="140"/>
      </w:pPr>
      <w:r>
        <w:rPr>
          <w:i/>
        </w:rPr>
        <w:t>[To complete: recruited [ ]; completed both conditions [ ]; participant characteristics [ ]; actual order or deviations [ ].]</w:t>
      </w:r>
    </w:p>
    <w:p>
      <w:pPr>
        <w:pStyle w:val="S4Heading"/>
      </w:pPr>
      <w:r>
        <w:t>5.3 Study Task</w:t>
      </w:r>
    </w:p>
    <w:p>
      <w:pPr>
        <w:pStyle w:val="S4Body"/>
      </w:pPr>
      <w:r>
        <w:t>Participants will observe one greeting, reply “Hello,” and complete the measures. Each condition is planned to last 3–5 minutes: 30–45 seconds for instructions and positioning, six seconds for the greeting, and 2.5–4 minutes for responses. Greeting exposure will remain identical across conditions.</w:t>
      </w:r>
    </w:p>
    <w:p>
      <w:pPr>
        <w:pStyle w:val="S4Body"/>
      </w:pPr>
      <w:r>
        <w:rPr>
          <w:b/>
        </w:rPr>
        <w:t xml:space="preserve">Standard instructions. </w:t>
      </w:r>
      <w:r>
        <w:t>“Please face the robot and watch its greeting. When it finishes, say ‘Hello.’ Then describe your impression of the robot using the questionnaire. There are no right or wrong answers.”</w:t>
      </w:r>
    </w:p>
    <w:p>
      <w:pPr>
        <w:pStyle w:val="S4Body"/>
      </w:pPr>
      <w:r>
        <w:t>Completed: audio and motion finish, both antennas return within ±2° of neutral, and no intervention occurs. Interrupted: an external disruption or participant pause prevents completion. Failed: a technical fault prevents valid completion. Repeated: one replacement attempt after resolving a fault or interruption. Retain all attempts; use ratings from the first completed attempt and flag prior exposure. Stop the condition if the replacement fails. Do not repeat based on ratings.</w:t>
      </w:r>
    </w:p>
    <w:p>
      <w:pPr>
        <w:pStyle w:val="S4Body"/>
      </w:pPr>
      <w:r>
        <w:rPr>
          <w:i/>
        </w:rPr>
        <w:t>[To complete: practice-session duration [ ]; confirm how the six-second greeting and full condition procedure meet the assignment’s 3–5-minute task requirement before collection.]</w:t>
      </w:r>
    </w:p>
    <w:p>
      <w:pPr>
        <w:pStyle w:val="S4Heading"/>
      </w:pPr>
      <w:r>
        <w:t>5.4 Study Setting</w:t>
      </w:r>
    </w:p>
    <w:p>
      <w:pPr>
        <w:pStyle w:val="S4Body"/>
      </w:pPr>
      <w:r>
        <w:t>Sessions will use the same quiet room and desk. Participants will sit at a marked position, provisionally 1 m from the robot, with both antennas visible. Robot orientation, furniture, lighting, volume, and operator position will remain fixed. Spontaneous motions and variable responses will be disabled; the operator will remain beside the stop control.</w:t>
      </w:r>
    </w:p>
    <w:p>
      <w:pPr>
        <w:pStyle w:val="S4Body"/>
      </w:pPr>
      <w:r>
        <w:rPr>
          <w:i/>
        </w:rPr>
        <w:t>[To complete: room [ ]; distance [ ]; desk/chair heights [ ]; lighting [ ]; volume [ ]; operator position [ ]; setup photograph/diagram [ ]. Record deviations by session.]</w:t>
      </w:r>
    </w:p>
    <w:p>
      <w:pPr>
        <w:pStyle w:val="S4Heading"/>
      </w:pPr>
      <w:r>
        <w:t>5.5 Study Procedure and Facilitator Script</w:t>
      </w:r>
    </w:p>
    <w:p>
      <w:pPr>
        <w:pStyle w:val="S4Body"/>
      </w:pPr>
      <w:r>
        <w:rPr>
          <w:b/>
        </w:rPr>
        <w:t xml:space="preserve">1. Prepare. </w:t>
      </w:r>
      <w:r>
        <w:t>Check condition files, audio, angle logging, stop control, and neutral recovery. Confirm survey version and order; resolve faults before starting.</w:t>
      </w:r>
    </w:p>
    <w:p>
      <w:pPr>
        <w:pStyle w:val="S4Body"/>
      </w:pPr>
      <w:r>
        <w:rPr>
          <w:b/>
        </w:rPr>
        <w:t xml:space="preserve">2. Obtain agreement. </w:t>
      </w:r>
      <w:r>
        <w:t>“You will experience two robot greetings and answer questions about each. Participation is voluntary; you may skip questions or stop at any time. Responses use a participant code. Do you agree to participate?” Record agreement and background responses. Use written notes; any participant recording requires separate agreement.</w:t>
      </w:r>
    </w:p>
    <w:p>
      <w:pPr>
        <w:pStyle w:val="S4Body"/>
      </w:pPr>
      <w:r>
        <w:rPr>
          <w:b/>
        </w:rPr>
        <w:t xml:space="preserve">3. Run the first condition. </w:t>
      </w:r>
      <w:r>
        <w:t>Read section 5.3’s instructions and run the assigned condition without naming its amplitude. Record completion and deviations. Collect HRIES, valence, arousal, the open response, and movement-size rating, in that order, without coaching.</w:t>
      </w:r>
    </w:p>
    <w:p>
      <w:pPr>
        <w:pStyle w:val="S4Body"/>
      </w:pPr>
      <w:r>
        <w:rPr>
          <w:b/>
        </w:rPr>
        <w:t xml:space="preserve">4. Run the second condition. </w:t>
      </w:r>
      <w:r>
        <w:t>After responses, hold neutral for 30 seconds. Repeat the same instructions, procedure, and measures for the second condition.</w:t>
      </w:r>
    </w:p>
    <w:p>
      <w:pPr>
        <w:pStyle w:val="S4Body"/>
      </w:pPr>
      <w:r>
        <w:rPr>
          <w:b/>
        </w:rPr>
        <w:t xml:space="preserve">5. Debrief. </w:t>
      </w:r>
      <w:r>
        <w:t>“The greetings differed in antenna movement size. We are studying whether this changes perceived emotion and sociability. Thank you for participating.” Invite questions.</w:t>
      </w:r>
    </w:p>
    <w:p>
      <w:pPr>
        <w:pStyle w:val="S4Body"/>
      </w:pPr>
      <w:r>
        <w:rPr>
          <w:b/>
        </w:rPr>
        <w:t xml:space="preserve">6. Check the record. </w:t>
      </w:r>
      <w:r>
        <w:t>Check completeness and record actual order, interruptions, repeats, faults, and environmental changes. Leave unobserved responses missing.</w:t>
      </w:r>
    </w:p>
    <w:p>
      <w:pPr>
        <w:pStyle w:val="S4Heading"/>
        <w:pageBreakBefore/>
      </w:pPr>
      <w:r>
        <w:t>5.6 Subjective Objective and Qualitative Measures</w:t>
      </w:r>
    </w:p>
    <w:p>
      <w:pPr>
        <w:pStyle w:val="S4Subheading"/>
      </w:pPr>
      <w:r>
        <w:t>Post-condition questionnaire</w:t>
      </w:r>
    </w:p>
    <w:p>
      <w:pPr>
        <w:pStyle w:val="S4Body"/>
      </w:pPr>
      <w:r>
        <w:t>Participant ID: ______    Greeting number: 1 / 2    Survey version: HRIES-greeting-v1</w:t>
      </w:r>
    </w:p>
    <w:p>
      <w:pPr>
        <w:pStyle w:val="S4Body"/>
      </w:pPr>
      <w:r>
        <w:t>Use all 16 HRIES items (Spatola et al., 2021), with the response labels from Mauliana et al. (2025, Supplementary Material, Table S1). Instructions refer to the just-completed greeting.</w:t>
      </w:r>
    </w:p>
    <w:p>
      <w:pPr>
        <w:pStyle w:val="S4Body"/>
      </w:pPr>
      <w:r>
        <w:t>“Based on the greeting you just experienced, rate how well each term describes Reachy Mini. Enter one number from 1 to 7 for each term.” Response labels: 1 = Completely NOT capable; 2 = Moderately NOT capable; 3 = Slightly NOT capable; 4 = Undecided; 5 = Slightly capable; 6 = Moderately capable; 7 = Completely capable.</w:t>
      </w:r>
    </w:p>
    <w:p>
      <w:pPr>
        <w:pStyle w:val="S4Body"/>
      </w:pPr>
      <w:r>
        <w:t>Study adaptation: swap labels 2/3 and 5/6 from the supplement to restore increasing intensity; retain all items and 1–7 scoring.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800"/>
        <w:gridCol w:w="2880"/>
        <w:gridCol w:w="1800"/>
      </w:tblGrid>
      <w:tr>
        <w:trPr>
          <w:cantSplit/>
          <w:tblHeader/>
        </w:trPr>
        <w:tc>
          <w:tcPr>
            <w:tcW w:type="dxa" w:w="2880"/>
            <w:vAlign w:val="center"/>
            <w:tcMar>
              <w:top w:w="95" w:type="dxa"/>
              <w:left w:w="95" w:type="dxa"/>
              <w:bottom w:w="95" w:type="dxa"/>
              <w:right w:w="95" w:type="dxa"/>
            </w:tcMar>
            <w:shd w:fill="E7EEF5"/>
          </w:tcPr>
          <w:p>
            <w:pPr>
              <w:pStyle w:val="S4Table"/>
              <w:keepNext/>
            </w:pPr>
            <w:r>
              <w:rPr>
                <w:b/>
              </w:rPr>
              <w:t>Term</w:t>
            </w:r>
          </w:p>
        </w:tc>
        <w:tc>
          <w:tcPr>
            <w:tcW w:type="dxa" w:w="1800"/>
            <w:vAlign w:val="center"/>
            <w:tcMar>
              <w:top w:w="95" w:type="dxa"/>
              <w:left w:w="95" w:type="dxa"/>
              <w:bottom w:w="95" w:type="dxa"/>
              <w:right w:w="95" w:type="dxa"/>
            </w:tcMar>
            <w:shd w:fill="E7EEF5"/>
          </w:tcPr>
          <w:p>
            <w:pPr>
              <w:pStyle w:val="S4Table"/>
              <w:keepNext/>
            </w:pPr>
            <w:r>
              <w:rPr>
                <w:b/>
              </w:rPr>
              <w:t>Rating 1–7</w:t>
            </w:r>
          </w:p>
        </w:tc>
        <w:tc>
          <w:tcPr>
            <w:tcW w:type="dxa" w:w="2880"/>
            <w:vAlign w:val="center"/>
            <w:tcMar>
              <w:top w:w="95" w:type="dxa"/>
              <w:left w:w="95" w:type="dxa"/>
              <w:bottom w:w="95" w:type="dxa"/>
              <w:right w:w="95" w:type="dxa"/>
            </w:tcMar>
            <w:shd w:fill="E7EEF5"/>
          </w:tcPr>
          <w:p>
            <w:pPr>
              <w:pStyle w:val="S4Table"/>
              <w:keepNext/>
            </w:pPr>
            <w:r>
              <w:rPr>
                <w:b/>
              </w:rPr>
              <w:t>Term</w:t>
            </w:r>
          </w:p>
        </w:tc>
        <w:tc>
          <w:tcPr>
            <w:tcW w:type="dxa" w:w="1800"/>
            <w:vAlign w:val="center"/>
            <w:tcMar>
              <w:top w:w="95" w:type="dxa"/>
              <w:left w:w="95" w:type="dxa"/>
              <w:bottom w:w="95" w:type="dxa"/>
              <w:right w:w="95" w:type="dxa"/>
            </w:tcMar>
            <w:shd w:fill="E7EEF5"/>
          </w:tcPr>
          <w:p>
            <w:pPr>
              <w:pStyle w:val="S4Table"/>
              <w:keepNext/>
            </w:pPr>
            <w:r>
              <w:rPr>
                <w:b/>
              </w:rPr>
              <w:t>Rating 1–7</w:t>
            </w:r>
          </w:p>
        </w:tc>
      </w:tr>
      <w:tr>
        <w:trPr>
          <w:cantSplit/>
        </w:trPr>
        <w:tc>
          <w:tcPr>
            <w:tcW w:type="dxa" w:w="2880"/>
            <w:vAlign w:val="center"/>
            <w:tcMar>
              <w:top w:w="95" w:type="dxa"/>
              <w:left w:w="95" w:type="dxa"/>
              <w:bottom w:w="95" w:type="dxa"/>
              <w:right w:w="95" w:type="dxa"/>
            </w:tcMar>
          </w:tcPr>
          <w:p>
            <w:pPr>
              <w:pStyle w:val="S4Table"/>
              <w:keepNext/>
            </w:pPr>
            <w:r>
              <w:rPr>
                <w:b w:val="0"/>
              </w:rPr>
              <w:t>1. Warm</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2. Likeable</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3. Trustworthy</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4. Friendly</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5. Alive</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6. Natural</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7. Real</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8. Human-like</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9. Self-reliant</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10. Rational</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11. Intentional</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12. Intelligent</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keepNext/>
            </w:pPr>
            <w:r>
              <w:rPr>
                <w:b w:val="0"/>
              </w:rPr>
              <w:t>13. Creepy</w:t>
            </w:r>
          </w:p>
        </w:tc>
        <w:tc>
          <w:tcPr>
            <w:tcW w:type="dxa" w:w="1800"/>
            <w:vAlign w:val="center"/>
            <w:tcMar>
              <w:top w:w="95" w:type="dxa"/>
              <w:left w:w="95" w:type="dxa"/>
              <w:bottom w:w="95" w:type="dxa"/>
              <w:right w:w="95" w:type="dxa"/>
            </w:tcMar>
          </w:tcPr>
          <w:p>
            <w:pPr>
              <w:pStyle w:val="S4Table"/>
              <w:keepNext/>
            </w:pPr>
            <w:r>
              <w:rPr>
                <w:b w:val="0"/>
              </w:rPr>
              <w:t>______</w:t>
            </w:r>
          </w:p>
        </w:tc>
        <w:tc>
          <w:tcPr>
            <w:tcW w:type="dxa" w:w="2880"/>
            <w:vAlign w:val="center"/>
            <w:tcMar>
              <w:top w:w="95" w:type="dxa"/>
              <w:left w:w="95" w:type="dxa"/>
              <w:bottom w:w="95" w:type="dxa"/>
              <w:right w:w="95" w:type="dxa"/>
            </w:tcMar>
          </w:tcPr>
          <w:p>
            <w:pPr>
              <w:pStyle w:val="S4Table"/>
              <w:keepNext/>
            </w:pPr>
            <w:r>
              <w:rPr>
                <w:b w:val="0"/>
              </w:rPr>
              <w:t>14. Scary</w:t>
            </w:r>
          </w:p>
        </w:tc>
        <w:tc>
          <w:tcPr>
            <w:tcW w:type="dxa" w:w="1800"/>
            <w:vAlign w:val="center"/>
            <w:tcMar>
              <w:top w:w="95" w:type="dxa"/>
              <w:left w:w="95" w:type="dxa"/>
              <w:bottom w:w="95" w:type="dxa"/>
              <w:right w:w="95" w:type="dxa"/>
            </w:tcMar>
          </w:tcPr>
          <w:p>
            <w:pPr>
              <w:pStyle w:val="S4Table"/>
              <w:keepNext/>
            </w:pPr>
            <w:r>
              <w:rPr>
                <w:b w:val="0"/>
              </w:rPr>
              <w:t>______</w:t>
            </w:r>
          </w:p>
        </w:tc>
      </w:tr>
      <w:tr>
        <w:trPr>
          <w:cantSplit/>
        </w:trPr>
        <w:tc>
          <w:tcPr>
            <w:tcW w:type="dxa" w:w="2880"/>
            <w:vAlign w:val="center"/>
            <w:tcMar>
              <w:top w:w="95" w:type="dxa"/>
              <w:left w:w="95" w:type="dxa"/>
              <w:bottom w:w="95" w:type="dxa"/>
              <w:right w:w="95" w:type="dxa"/>
            </w:tcMar>
          </w:tcPr>
          <w:p>
            <w:pPr>
              <w:pStyle w:val="S4Table"/>
            </w:pPr>
            <w:r>
              <w:rPr>
                <w:b w:val="0"/>
              </w:rPr>
              <w:t>15. Uncanny</w:t>
            </w:r>
          </w:p>
        </w:tc>
        <w:tc>
          <w:tcPr>
            <w:tcW w:type="dxa" w:w="1800"/>
            <w:vAlign w:val="center"/>
            <w:tcMar>
              <w:top w:w="95" w:type="dxa"/>
              <w:left w:w="95" w:type="dxa"/>
              <w:bottom w:w="95" w:type="dxa"/>
              <w:right w:w="95" w:type="dxa"/>
            </w:tcMar>
          </w:tcPr>
          <w:p>
            <w:pPr>
              <w:pStyle w:val="S4Table"/>
            </w:pPr>
            <w:r>
              <w:rPr>
                <w:b w:val="0"/>
              </w:rPr>
              <w:t>______</w:t>
            </w:r>
          </w:p>
        </w:tc>
        <w:tc>
          <w:tcPr>
            <w:tcW w:type="dxa" w:w="2880"/>
            <w:vAlign w:val="center"/>
            <w:tcMar>
              <w:top w:w="95" w:type="dxa"/>
              <w:left w:w="95" w:type="dxa"/>
              <w:bottom w:w="95" w:type="dxa"/>
              <w:right w:w="95" w:type="dxa"/>
            </w:tcMar>
          </w:tcPr>
          <w:p>
            <w:pPr>
              <w:pStyle w:val="S4Table"/>
            </w:pPr>
            <w:r>
              <w:rPr>
                <w:b w:val="0"/>
              </w:rPr>
              <w:t>16. Weird</w:t>
            </w:r>
          </w:p>
        </w:tc>
        <w:tc>
          <w:tcPr>
            <w:tcW w:type="dxa" w:w="1800"/>
            <w:vAlign w:val="center"/>
            <w:tcMar>
              <w:top w:w="95" w:type="dxa"/>
              <w:left w:w="95" w:type="dxa"/>
              <w:bottom w:w="95" w:type="dxa"/>
              <w:right w:w="95" w:type="dxa"/>
            </w:tcMar>
          </w:tcPr>
          <w:p>
            <w:pPr>
              <w:pStyle w:val="S4Table"/>
            </w:pPr>
            <w:r>
              <w:rPr>
                <w:b w:val="0"/>
              </w:rPr>
              <w:t>______</w:t>
            </w:r>
          </w:p>
        </w:tc>
      </w:tr>
    </w:tbl>
    <w:p>
      <w:pPr>
        <w:pStyle w:val="S4Body"/>
        <w:spacing w:before="140"/>
      </w:pPr>
      <w:r>
        <w:t>Average items 1–4 for sociability (primary), 5–8 for animacy, 9–12 for agency, and 13–16 for disturbance. Higher scores indicate more of each dimension. Require four responses per mean; otherwise mark it missing. Do not calculate an overall HRIES score.</w:t>
      </w:r>
    </w:p>
    <w:p>
      <w:pPr>
        <w:pStyle w:val="S4Body"/>
      </w:pPr>
      <w:r>
        <w:rPr>
          <w:b/>
        </w:rPr>
        <w:t xml:space="preserve">Valence. </w:t>
      </w:r>
      <w:r>
        <w:t>“How positive or negative did Reachy Mini’s apparent emotional state seem?” 1 = very negative; 4 = neutral; 7 = very positive. Response: ______.</w:t>
      </w:r>
    </w:p>
    <w:p>
      <w:pPr>
        <w:pStyle w:val="S4Body"/>
      </w:pPr>
      <w:r>
        <w:rPr>
          <w:b/>
        </w:rPr>
        <w:t xml:space="preserve">Arousal. </w:t>
      </w:r>
      <w:r>
        <w:t>“How emotionally activated did Reachy Mini seem?” 1 = very low activation/sleepy; 4 = moderate activation; 7 = very high activation/aroused. Activation may be positive or negative. Response: ______. These two study-created items measure perceived robot emotion and remain separate from HRIES.</w:t>
      </w:r>
    </w:p>
    <w:p>
      <w:pPr>
        <w:pStyle w:val="S4Body"/>
      </w:pPr>
      <w:r>
        <w:rPr>
          <w:b/>
        </w:rPr>
        <w:t xml:space="preserve">Open-ended question. </w:t>
      </w:r>
      <w:r>
        <w:t>“How would you describe Reachy Mini during this greeting, and what influenced your impression?” Record the response verbatim: [response].</w:t>
      </w:r>
    </w:p>
    <w:p>
      <w:pPr>
        <w:pStyle w:val="S4Body"/>
      </w:pPr>
      <w:r>
        <w:rPr>
          <w:b/>
        </w:rPr>
        <w:t xml:space="preserve">Manipulation check. </w:t>
      </w:r>
      <w:r>
        <w:t>“How large were the antenna movements during this greeting?” 1 = very small; 7 = very large. Response: ______. Administer last; compare B − A without excluding participants whose ratings do not favor B.</w:t>
      </w:r>
    </w:p>
    <w:p>
      <w:pPr>
        <w:pStyle w:val="S4Body"/>
      </w:pPr>
      <w:r>
        <w:rPr>
          <w:b/>
        </w:rPr>
        <w:t xml:space="preserve">Objective measure. </w:t>
      </w:r>
      <w:r>
        <w:t>Record completion per attempt: 1 = completed; 0 = interrupted/failed, with reason; NA = unobserved. Verify delivery using angles and event logs (section 4.2). Completion measures execution, not emotion.</w:t>
      </w:r>
    </w:p>
    <w:p>
      <w:pPr>
        <w:pStyle w:val="S4Subheading"/>
      </w:pPr>
      <w:r>
        <w:t>Records to complete after collection</w:t>
      </w:r>
    </w:p>
    <w:p>
      <w:pPr>
        <w:pStyle w:val="S4Body"/>
      </w:pPr>
      <w:r>
        <w:t>Record participant ID, session date, facilitator/operator, planned/actual order, condition, attempt, time, amplitude, completion, faults, interruptions, repeats, and deviations. Link these records to the questionnaire responses and separate scores. Use NA with a reason for missing observations; retain actual zeros.</w:t>
      </w:r>
    </w:p>
    <w:p>
      <w:pPr>
        <w:pStyle w:val="S4Body"/>
      </w:pPr>
      <w:r>
        <w:rPr>
          <w:i/>
        </w:rPr>
        <w:t>[To complete: de-identified responses [ ]; angle/event logs [ ]; session/deviation records [ ]; recruitment summary [ ].]</w:t>
      </w:r>
    </w:p>
    <w:p>
      <w:pPr>
        <w:pStyle w:val="S4Heading"/>
      </w:pPr>
      <w:r>
        <w:t>References for Section 5</w:t>
      </w:r>
    </w:p>
    <w:p>
      <w:pPr>
        <w:pStyle w:val="S4Reference"/>
      </w:pPr>
      <w:r>
        <w:rPr>
          <w:i w:val="0"/>
        </w:rPr>
        <w:t xml:space="preserve">Mauliana, M., Ashok, A., Czernochowski, D., &amp; Berns, K. (2025). Exploring LLM-powered multi-session human-robot interactions with university students. </w:t>
      </w:r>
      <w:r>
        <w:rPr>
          <w:i/>
        </w:rPr>
        <w:t>Frontiers in Robotics and AI, 12</w:t>
      </w:r>
      <w:r>
        <w:rPr>
          <w:i w:val="0"/>
        </w:rPr>
        <w:t>, Article 1585589.</w:t>
      </w:r>
      <w:r>
        <w:t xml:space="preserve"> </w:t>
      </w:r>
      <w:hyperlink r:id="rId14">
        <w:r>
          <w:rPr>
            <w:color w:val="0563C1"/>
          </w:rPr>
          <w:t>https://doi.org/10.3389/frobt.2025.1585589</w:t>
        </w:r>
      </w:hyperlink>
    </w:p>
    <w:p>
      <w:pPr>
        <w:pStyle w:val="S4Reference"/>
      </w:pPr>
      <w:r>
        <w:rPr>
          <w:i w:val="0"/>
        </w:rPr>
        <w:t xml:space="preserve">Spatola, N., Kühnlenz, B., &amp; Cheng, G. (2021). Perception and evaluation in human–robot interaction: The Human–Robot Interaction Evaluation Scale (HRIES)—A multicomponent approach of anthropomorphism. </w:t>
      </w:r>
      <w:r>
        <w:rPr>
          <w:i/>
        </w:rPr>
        <w:t>International Journal of Social Robotics, 13</w:t>
      </w:r>
      <w:r>
        <w:rPr>
          <w:i w:val="0"/>
        </w:rPr>
        <w:t>(7), 1517–1539.</w:t>
      </w:r>
      <w:r>
        <w:t xml:space="preserve"> </w:t>
      </w:r>
      <w:hyperlink r:id="rId13">
        <w:r>
          <w:rPr>
            <w:color w:val="0563C1"/>
          </w:rPr>
          <w:t>https://doi.org/10.1007/s12369-020-00667-4</w:t>
        </w:r>
      </w:hyperlink>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4Body">
    <w:name w:val="S4 Body"/>
    <w:basedOn w:val="Normal"/>
    <w:pPr>
      <w:keepLines/>
      <w:widowControl/>
      <w:spacing w:before="0" w:after="140" w:line="259" w:lineRule="auto"/>
    </w:pPr>
    <w:rPr>
      <w:rFonts w:ascii="Arial" w:hAnsi="Arial"/>
      <w:b w:val="0"/>
      <w:color w:val="000000"/>
      <w:sz w:val="22"/>
    </w:rPr>
  </w:style>
  <w:style w:type="paragraph" w:customStyle="1" w:styleId="S4Main">
    <w:name w:val="S4 Main"/>
    <w:basedOn w:val="Normal"/>
    <w:pPr>
      <w:keepNext/>
      <w:widowControl/>
      <w:spacing w:before="200" w:after="140" w:line="259" w:lineRule="auto"/>
    </w:pPr>
    <w:rPr>
      <w:rFonts w:ascii="Arial" w:hAnsi="Arial"/>
      <w:b/>
      <w:color w:val="000000"/>
      <w:sz w:val="36"/>
    </w:rPr>
  </w:style>
  <w:style w:type="paragraph" w:customStyle="1" w:styleId="S4Heading">
    <w:name w:val="S4 Heading"/>
    <w:basedOn w:val="Normal"/>
    <w:pPr>
      <w:keepNext/>
      <w:widowControl/>
      <w:spacing w:before="200" w:after="140" w:line="259" w:lineRule="auto"/>
    </w:pPr>
    <w:rPr>
      <w:rFonts w:ascii="Arial" w:hAnsi="Arial"/>
      <w:b/>
      <w:color w:val="000000"/>
      <w:sz w:val="26"/>
    </w:rPr>
  </w:style>
  <w:style w:type="paragraph" w:customStyle="1" w:styleId="S4Subheading">
    <w:name w:val="S4 Subheading"/>
    <w:basedOn w:val="Normal"/>
    <w:pPr>
      <w:keepNext/>
      <w:widowControl/>
      <w:spacing w:before="200" w:after="140" w:line="259" w:lineRule="auto"/>
    </w:pPr>
    <w:rPr>
      <w:rFonts w:ascii="Arial" w:hAnsi="Arial"/>
      <w:b/>
      <w:color w:val="000000"/>
      <w:sz w:val="22"/>
    </w:rPr>
  </w:style>
  <w:style w:type="paragraph" w:customStyle="1" w:styleId="S4Table">
    <w:name w:val="S4 Table"/>
    <w:basedOn w:val="Normal"/>
    <w:pPr>
      <w:widowControl/>
      <w:spacing w:before="0" w:after="60" w:line="247" w:lineRule="auto"/>
    </w:pPr>
    <w:rPr>
      <w:rFonts w:ascii="Arial" w:hAnsi="Arial"/>
      <w:b w:val="0"/>
      <w:color w:val="000000"/>
      <w:sz w:val="20"/>
    </w:rPr>
  </w:style>
  <w:style w:type="paragraph" w:customStyle="1" w:styleId="S4Reference">
    <w:name w:val="S4 Reference"/>
    <w:basedOn w:val="Normal"/>
    <w:pPr>
      <w:keepLines/>
      <w:widowControl/>
      <w:spacing w:before="0" w:after="180" w:line="259" w:lineRule="auto"/>
      <w:ind w:left="720" w:hanging="720"/>
    </w:pPr>
    <w:rPr>
      <w:rFonts w:ascii="Arial" w:hAnsi="Arial"/>
      <w:b w:val="0"/>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huggingface.co/spaces/pollen-robotics/emotions" TargetMode="External"/><Relationship Id="rId5" Type="http://schemas.openxmlformats.org/officeDocument/2006/relationships/styles" Target="styles.xml"/><Relationship Id="rId6" Type="http://schemas.openxmlformats.org/officeDocument/2006/relationships/hyperlink" Target="https://youtu.be/12KiuYmTLpA" TargetMode="External"/><Relationship Id="rId7" Type="http://schemas.openxmlformats.org/officeDocument/2006/relationships/image" Target="media/image1.png"/><Relationship Id="rId8" Type="http://schemas.openxmlformats.org/officeDocument/2006/relationships/hyperlink" Target="https://github.com/pollen-robotics/reachy_mini_conversation_app?utm_source=chatgpt.com" TargetMode="External"/><Relationship Id="rId11" Type="http://schemas.openxmlformats.org/officeDocument/2006/relationships/hyperlink" Target="https://doi.org/10.1037/h0077714" TargetMode="External"/><Relationship Id="rId12" Type="http://schemas.openxmlformats.org/officeDocument/2006/relationships/hyperlink" Target="https://doi.org/10.1145/1734454.1734473" TargetMode="External"/><Relationship Id="rId13" Type="http://schemas.openxmlformats.org/officeDocument/2006/relationships/hyperlink" Target="https://doi.org/10.1007/s12369-020-00667-4" TargetMode="External"/><Relationship Id="rId14" Type="http://schemas.openxmlformats.org/officeDocument/2006/relationships/hyperlink" Target="https://doi.org/10.3389/frobt.2025.1585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