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mzvnc0jlz8i9" w:id="0"/>
      <w:bookmarkEnd w:id="0"/>
      <w:r w:rsidDel="00000000" w:rsidR="00000000" w:rsidRPr="00000000">
        <w:rPr>
          <w:rtl w:val="0"/>
        </w:rPr>
        <w:t xml:space="preserve">1.</w:t>
      </w:r>
    </w:p>
    <w:p w:rsidR="00000000" w:rsidDel="00000000" w:rsidP="00000000" w:rsidRDefault="00000000" w:rsidRPr="00000000" w14:paraId="00000003">
      <w:pPr>
        <w:pStyle w:val="Heading3"/>
        <w:rPr/>
      </w:pPr>
      <w:bookmarkStart w:colFirst="0" w:colLast="0" w:name="_u4v2nhccv4qm" w:id="1"/>
      <w:bookmarkEnd w:id="1"/>
      <w:r w:rsidDel="00000000" w:rsidR="00000000" w:rsidRPr="00000000">
        <w:rPr>
          <w:rtl w:val="0"/>
        </w:rPr>
        <w:t xml:space="preserve">1.3</w:t>
      </w:r>
    </w:p>
    <w:p w:rsidR="00000000" w:rsidDel="00000000" w:rsidP="00000000" w:rsidRDefault="00000000" w:rsidRPr="00000000" w14:paraId="00000004">
      <w:pPr>
        <w:pStyle w:val="Heading3"/>
        <w:rPr/>
      </w:pPr>
      <w:bookmarkStart w:colFirst="0" w:colLast="0" w:name="_jjzjs06yp0ez" w:id="2"/>
      <w:bookmarkEnd w:id="2"/>
      <w:r w:rsidDel="00000000" w:rsidR="00000000" w:rsidRPr="00000000">
        <w:rPr>
          <w:rtl w:val="0"/>
        </w:rPr>
        <w:t xml:space="preserve">1.4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tb6s0p1xh57" w:id="3"/>
      <w:bookmarkEnd w:id="3"/>
      <w:r w:rsidDel="00000000" w:rsidR="00000000" w:rsidRPr="00000000">
        <w:rPr>
          <w:rtl w:val="0"/>
        </w:rPr>
        <w:t xml:space="preserve">2.</w:t>
      </w:r>
    </w:p>
    <w:p w:rsidR="00000000" w:rsidDel="00000000" w:rsidP="00000000" w:rsidRDefault="00000000" w:rsidRPr="00000000" w14:paraId="00000009">
      <w:pPr>
        <w:rPr>
          <w:b w:val="1"/>
          <w:bCs w:val="1"/>
        </w:rPr>
      </w:pPr>
      <w:r w:rsidDel="00000000" w:rsidR="00000000" w:rsidRPr="00000000">
        <w:rPr>
          <w:b w:val="1"/>
          <w:bCs w:val="1"/>
          <w:rtl w:val="0"/>
        </w:rPr>
        <w:t xml:space="preserve">Video Link: </w:t>
      </w:r>
      <w:hyperlink r:id="rId6">
        <w:r w:rsidDel="00000000" w:rsidR="00000000" w:rsidRPr="00000000">
          <w:rPr>
            <w:b w:val="1"/>
            <w:bCs w:val="1"/>
            <w:color w:val="1155cc"/>
            <w:u w:val="single"/>
            <w:rtl w:val="0"/>
          </w:rPr>
          <w:t xml:space="preserve">https://youtu.be/12KiuYmTLpA</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t xml:space="preserve">Screenshot of the terminal after running:</w:t>
      </w:r>
    </w:p>
    <w:p w:rsidR="00000000" w:rsidDel="00000000" w:rsidP="00000000" w:rsidRDefault="00000000" w:rsidRPr="00000000" w14:paraId="0000000B">
      <w:pPr>
        <w:rPr/>
      </w:pPr>
      <w:r w:rsidDel="00000000" w:rsidR="00000000" w:rsidRPr="00000000">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We modified the code to add a gentle head nod alongside the antenna movements. The head moves to 10°, then −10°, and returns to neutral. We expected the robot to nod smoothly while moving its antennas, then finish in a neutral position. During testing, </w:t>
      </w:r>
      <w:r w:rsidDel="00000000" w:rsidR="00000000" w:rsidRPr="00000000">
        <w:rPr>
          <w:rtl w:val="0"/>
        </w:rPr>
        <w:t xml:space="preserve">there is a small delay everytime run the </w:t>
      </w:r>
      <w:r w:rsidDel="00000000" w:rsidR="00000000" w:rsidRPr="00000000">
        <w:rPr>
          <w:i w:val="1"/>
          <w:iCs w:val="1"/>
          <w:color w:val="ff0000"/>
          <w:rtl w:val="0"/>
        </w:rPr>
        <w:t xml:space="preserve">hello_world.py</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6"/>
          <w:szCs w:val="36"/>
        </w:rPr>
      </w:pPr>
      <w:r w:rsidDel="00000000" w:rsidR="00000000" w:rsidRPr="00000000">
        <w:rPr>
          <w:b w:val="1"/>
          <w:bCs w:val="1"/>
          <w:sz w:val="36"/>
          <w:szCs w:val="36"/>
          <w:rtl w:val="0"/>
        </w:rPr>
        <w:t xml:space="preserve">Part 3:</w:t>
      </w:r>
    </w:p>
    <w:p w:rsidR="00000000" w:rsidDel="00000000" w:rsidP="00000000" w:rsidRDefault="00000000" w:rsidRPr="00000000" w14:paraId="0000000F">
      <w:pPr>
        <w:spacing w:after="240" w:before="240" w:lineRule="auto"/>
        <w:rPr>
          <w:b w:val="1"/>
          <w:bCs w:val="1"/>
          <w:sz w:val="28"/>
          <w:szCs w:val="28"/>
        </w:rPr>
      </w:pPr>
      <w:r w:rsidDel="00000000" w:rsidR="00000000" w:rsidRPr="00000000">
        <w:rPr>
          <w:b w:val="1"/>
          <w:bCs w:val="1"/>
          <w:sz w:val="28"/>
          <w:szCs w:val="28"/>
          <w:rtl w:val="0"/>
        </w:rPr>
        <w:t xml:space="preserve">3.1 App Selection</w:t>
      </w:r>
    </w:p>
    <w:p w:rsidR="00000000" w:rsidDel="00000000" w:rsidP="00000000" w:rsidRDefault="00000000" w:rsidRPr="00000000" w14:paraId="00000010">
      <w:pPr>
        <w:numPr>
          <w:ilvl w:val="0"/>
          <w:numId w:val="1"/>
        </w:numPr>
        <w:spacing w:after="240" w:before="240" w:lineRule="auto"/>
        <w:ind w:left="720" w:hanging="360"/>
        <w:rPr>
          <w:u w:val="none"/>
        </w:rPr>
      </w:pPr>
      <w:hyperlink r:id="rId8">
        <w:r w:rsidDel="00000000" w:rsidR="00000000" w:rsidRPr="00000000">
          <w:rPr>
            <w:color w:val="1155cc"/>
            <w:u w:val="single"/>
            <w:rtl w:val="0"/>
          </w:rPr>
          <w:t xml:space="preserve">Reachy Mini Conversation App</w:t>
        </w:r>
      </w:hyperlink>
      <w:r w:rsidDel="00000000" w:rsidR="00000000" w:rsidRPr="00000000">
        <w:rPr>
          <w:rtl w:val="0"/>
        </w:rPr>
      </w:r>
    </w:p>
    <w:p w:rsidR="00000000" w:rsidDel="00000000" w:rsidP="00000000" w:rsidRDefault="00000000" w:rsidRPr="00000000" w14:paraId="00000011">
      <w:pPr>
        <w:spacing w:after="240" w:before="240" w:lineRule="auto"/>
        <w:ind w:left="720" w:firstLine="0"/>
        <w:rPr/>
      </w:pPr>
      <w:r w:rsidDel="00000000" w:rsidR="00000000" w:rsidRPr="00000000">
        <w:rPr>
          <w:b w:val="1"/>
          <w:bCs w:val="1"/>
          <w:rtl w:val="0"/>
        </w:rPr>
        <w:t xml:space="preserve">Summary: </w:t>
      </w:r>
      <w:r w:rsidDel="00000000" w:rsidR="00000000" w:rsidRPr="00000000">
        <w:rPr>
          <w:rtl w:val="0"/>
        </w:rPr>
        <w:t xml:space="preserve">This enables spoken interaction with an LLM, allowing the robot to receive questions and respond verbally. </w:t>
      </w:r>
    </w:p>
    <w:p w:rsidR="00000000" w:rsidDel="00000000" w:rsidP="00000000" w:rsidRDefault="00000000" w:rsidRPr="00000000" w14:paraId="00000012">
      <w:pPr>
        <w:numPr>
          <w:ilvl w:val="0"/>
          <w:numId w:val="1"/>
        </w:numPr>
        <w:spacing w:after="240" w:before="240" w:lineRule="auto"/>
        <w:ind w:left="720" w:hanging="360"/>
        <w:rPr>
          <w:u w:val="none"/>
        </w:rPr>
      </w:pPr>
      <w:hyperlink r:id="rId9">
        <w:r w:rsidDel="00000000" w:rsidR="00000000" w:rsidRPr="00000000">
          <w:rPr>
            <w:color w:val="1155cc"/>
            <w:u w:val="single"/>
            <w:rtl w:val="0"/>
          </w:rPr>
          <w:t xml:space="preserve">Pollen Robotics Emotions</w:t>
        </w:r>
      </w:hyperlink>
      <w:r w:rsidDel="00000000" w:rsidR="00000000" w:rsidRPr="00000000">
        <w:rPr>
          <w:rtl w:val="0"/>
        </w:rPr>
      </w:r>
    </w:p>
    <w:p w:rsidR="00000000" w:rsidDel="00000000" w:rsidP="00000000" w:rsidRDefault="00000000" w:rsidRPr="00000000" w14:paraId="00000013">
      <w:pPr>
        <w:spacing w:after="240" w:before="240" w:lineRule="auto"/>
        <w:ind w:left="720" w:firstLine="0"/>
        <w:rPr/>
      </w:pPr>
      <w:r w:rsidDel="00000000" w:rsidR="00000000" w:rsidRPr="00000000">
        <w:rPr>
          <w:b w:val="1"/>
          <w:bCs w:val="1"/>
          <w:rtl w:val="0"/>
        </w:rPr>
        <w:t xml:space="preserve">Summary: </w:t>
      </w:r>
      <w:r w:rsidDel="00000000" w:rsidR="00000000" w:rsidRPr="00000000">
        <w:rPr>
          <w:rtl w:val="0"/>
        </w:rPr>
        <w:t xml:space="preserve">This provides expressive head and antenna movements that convey nonverbal signals.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Reason:</w:t>
      </w:r>
      <w:r w:rsidDel="00000000" w:rsidR="00000000" w:rsidRPr="00000000">
        <w:rPr>
          <w:rtl w:val="0"/>
        </w:rPr>
        <w:t xml:space="preserve"> Our potential final project wishes to explore how an LLM-powered robot can communicate its processing status and uncertainty through nonverbal behavior, helping users understand when it is preparing a response, needs clarification, or lacks sufficient information. We will integrate the Reachy Mini Conversation App’s voice interaction and LLM response capabilities with expressive-motion components from the Emotions app.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this lab specifically, we will focus on a brief question-and-answer interaction in which the user asks a question, Reachy displays a repeatable processing gesture, then delivers its answer, and returns to neutral. Comparing early and delayed gesture onset will let us investigate how the timing of nonverbal feedback influences perceptions of the robot and, in turn, affects HRI. We believe this provides a controlled starting point for broader research on more transparent human-robot interactions and human-LLM interactions.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sz w:val="28"/>
          <w:szCs w:val="28"/>
        </w:rPr>
      </w:pPr>
      <w:r w:rsidDel="00000000" w:rsidR="00000000" w:rsidRPr="00000000">
        <w:rPr>
          <w:b w:val="1"/>
          <w:bCs w:val="1"/>
          <w:sz w:val="28"/>
          <w:szCs w:val="28"/>
          <w:rtl w:val="0"/>
        </w:rPr>
        <w:t xml:space="preserve">3.2 Integration and Experimental Manipulation</w:t>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tl w:val="0"/>
        </w:rPr>
      </w:r>
    </w:p>
    <w:p>
      <w:pPr>
        <w:pStyle w:val="S4Main"/>
        <w:pageBreakBefore/>
      </w:pPr>
      <w:r>
        <w:t>Part 4 Research framework</w:t>
      </w:r>
    </w:p>
    <w:p>
      <w:pPr>
        <w:pStyle w:val="S4Heading"/>
      </w:pPr>
      <w:r>
        <w:t>4.1 Frame the HRI Problem</w:t>
      </w:r>
    </w:p>
    <w:p>
      <w:pPr>
        <w:pStyle w:val="S4Body"/>
      </w:pPr>
      <w:r>
        <w:t>Reachy Mini’s antenna movements offer a simple way to vary an expressive greeting, but we need evidence about how changing their angular excursion affects the emotions people attribute to the robot. Saerbeck and Bartneck (2010) found that robot motion characteristics influenced perceived affect, including a relationship between acceleration and arousal. Their findings motivate studying antenna motion, but do not establish how Reachy Mini’s antenna amplitude will be interpreted.</w:t>
      </w:r>
    </w:p>
    <w:p>
      <w:pPr>
        <w:pStyle w:val="S4Body"/>
      </w:pPr>
      <w:r>
        <w:t>We define perceived emotion through valence, or how positive or negative the robot appears, and arousal, or how activated it appears, following Russell’s (1980) circumplex model. Our proposed pilot compares two antenna amplitudes during the same greeting. It examines whether this measurable change alters perceived affect and, separately, perceived sociability. This can inform the design of greetings whose nonverbal cues communicate the intended impression. The study concerns participants’ interpretations; it does not assume that the robot experiences emotions.</w:t>
      </w:r>
    </w:p>
    <w:p>
      <w:pPr>
        <w:pStyle w:val="S4Heading"/>
      </w:pPr>
      <w:r>
        <w:t>4.2 Define and Operationalize the Constructs</w:t>
      </w:r>
    </w:p>
    <w:p>
      <w:pPr>
        <w:pStyle w:val="S4Subheading"/>
      </w:pPr>
      <w:r>
        <w:t>Construct map</w:t>
      </w:r>
    </w:p>
    <w:p>
      <w:pPr>
        <w:pStyle w:val="S4Body"/>
      </w:pPr>
      <w:r>
        <w:t>The proposed claim is that changing antenna excursion under fixed greeting timing may change perceived affect. Sociability is a related social impression, measured separately using HRIES (Spatola et al., 2021).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613"/>
        <w:gridCol w:w="2592"/>
        <w:gridCol w:w="2995"/>
      </w:tblGrid>
      <w:tr>
        <w:trPr>
          <w:cantSplit/>
          <w:tblHeader/>
        </w:trPr>
        <w:tc>
          <w:tcPr>
            <w:tcW w:type="dxa" w:w="2160"/>
            <w:vAlign w:val="center"/>
            <w:tcMar>
              <w:top w:w="95" w:type="dxa"/>
              <w:left w:w="95" w:type="dxa"/>
              <w:bottom w:w="95" w:type="dxa"/>
              <w:right w:w="95" w:type="dxa"/>
            </w:tcMar>
            <w:shd w:fill="E7EEF5"/>
          </w:tcPr>
          <w:p>
            <w:pPr>
              <w:pStyle w:val="S4Table"/>
            </w:pPr>
            <w:r>
              <w:rPr>
                <w:b/>
              </w:rPr>
              <w:t>Claim or construct</w:t>
            </w:r>
          </w:p>
        </w:tc>
        <w:tc>
          <w:tcPr>
            <w:tcW w:type="dxa" w:w="1613"/>
            <w:vAlign w:val="center"/>
            <w:tcMar>
              <w:top w:w="95" w:type="dxa"/>
              <w:left w:w="95" w:type="dxa"/>
              <w:bottom w:w="95" w:type="dxa"/>
              <w:right w:w="95" w:type="dxa"/>
            </w:tcMar>
            <w:shd w:fill="E7EEF5"/>
          </w:tcPr>
          <w:p>
            <w:pPr>
              <w:pStyle w:val="S4Table"/>
            </w:pPr>
            <w:r>
              <w:rPr>
                <w:b/>
              </w:rPr>
              <w:t>Manipulation</w:t>
            </w:r>
          </w:p>
        </w:tc>
        <w:tc>
          <w:tcPr>
            <w:tcW w:type="dxa" w:w="2592"/>
            <w:vAlign w:val="center"/>
            <w:tcMar>
              <w:top w:w="95" w:type="dxa"/>
              <w:left w:w="95" w:type="dxa"/>
              <w:bottom w:w="95" w:type="dxa"/>
              <w:right w:w="95" w:type="dxa"/>
            </w:tcMar>
            <w:shd w:fill="E7EEF5"/>
          </w:tcPr>
          <w:p>
            <w:pPr>
              <w:pStyle w:val="S4Table"/>
            </w:pPr>
            <w:r>
              <w:rPr>
                <w:b/>
              </w:rPr>
              <w:t>Measure</w:t>
            </w:r>
          </w:p>
        </w:tc>
        <w:tc>
          <w:tcPr>
            <w:tcW w:type="dxa" w:w="2995"/>
            <w:vAlign w:val="center"/>
            <w:tcMar>
              <w:top w:w="95" w:type="dxa"/>
              <w:left w:w="95" w:type="dxa"/>
              <w:bottom w:w="95" w:type="dxa"/>
              <w:right w:w="95" w:type="dxa"/>
            </w:tcMar>
            <w:shd w:fill="E7EEF5"/>
          </w:tcPr>
          <w:p>
            <w:pPr>
              <w:pStyle w:val="S4Table"/>
            </w:pPr>
            <w:r>
              <w:rPr>
                <w:b/>
              </w:rPr>
              <w:t>Expected evidence</w:t>
            </w:r>
          </w:p>
        </w:tc>
      </w:tr>
      <w:tr>
        <w:trPr>
          <w:cantSplit/>
        </w:trPr>
        <w:tc>
          <w:tcPr>
            <w:tcW w:type="dxa" w:w="2160"/>
            <w:vAlign w:val="center"/>
            <w:tcMar>
              <w:top w:w="95" w:type="dxa"/>
              <w:left w:w="95" w:type="dxa"/>
              <w:bottom w:w="95" w:type="dxa"/>
              <w:right w:w="95" w:type="dxa"/>
            </w:tcMar>
          </w:tcPr>
          <w:p>
            <w:pPr>
              <w:pStyle w:val="S4Table"/>
            </w:pPr>
            <w:r>
              <w:rPr>
                <w:b w:val="0"/>
              </w:rPr>
              <w:t>Antenna excursion is delivered and noticed</w:t>
            </w:r>
          </w:p>
        </w:tc>
        <w:tc>
          <w:tcPr>
            <w:tcW w:type="dxa" w:w="1613"/>
            <w:vAlign w:val="center"/>
            <w:tcMar>
              <w:top w:w="95" w:type="dxa"/>
              <w:left w:w="95" w:type="dxa"/>
              <w:bottom w:w="95" w:type="dxa"/>
              <w:right w:w="95" w:type="dxa"/>
            </w:tcMar>
          </w:tcPr>
          <w:p>
            <w:pPr>
              <w:pStyle w:val="S4Table"/>
            </w:pPr>
            <w:r>
              <w:rPr>
                <w:b w:val="0"/>
              </w:rPr>
              <w:t>10° versus 30° amplitude per antenna</w:t>
            </w:r>
          </w:p>
        </w:tc>
        <w:tc>
          <w:tcPr>
            <w:tcW w:type="dxa" w:w="2592"/>
            <w:vAlign w:val="center"/>
            <w:tcMar>
              <w:top w:w="95" w:type="dxa"/>
              <w:left w:w="95" w:type="dxa"/>
              <w:bottom w:w="95" w:type="dxa"/>
              <w:right w:w="95" w:type="dxa"/>
            </w:tcMar>
          </w:tcPr>
          <w:p>
            <w:pPr>
              <w:pStyle w:val="S4Table"/>
            </w:pPr>
            <w:r>
              <w:rPr>
                <w:b w:val="0"/>
              </w:rPr>
              <w:t>Measured joint angles; perceived movement-size item</w:t>
            </w:r>
          </w:p>
        </w:tc>
        <w:tc>
          <w:tcPr>
            <w:tcW w:type="dxa" w:w="2995"/>
            <w:vAlign w:val="center"/>
            <w:tcMar>
              <w:top w:w="95" w:type="dxa"/>
              <w:left w:w="95" w:type="dxa"/>
              <w:bottom w:w="95" w:type="dxa"/>
              <w:right w:w="95" w:type="dxa"/>
            </w:tcMar>
          </w:tcPr>
          <w:p>
            <w:pPr>
              <w:pStyle w:val="S4Table"/>
            </w:pPr>
            <w:r>
              <w:rPr>
                <w:b w:val="0"/>
              </w:rPr>
              <w:t>Separated physical excursions and higher size ratings in B</w:t>
            </w:r>
          </w:p>
        </w:tc>
      </w:tr>
      <w:tr>
        <w:trPr>
          <w:cantSplit/>
        </w:trPr>
        <w:tc>
          <w:tcPr>
            <w:tcW w:type="dxa" w:w="2160"/>
            <w:vAlign w:val="center"/>
            <w:tcMar>
              <w:top w:w="95" w:type="dxa"/>
              <w:left w:w="95" w:type="dxa"/>
              <w:bottom w:w="95" w:type="dxa"/>
              <w:right w:w="95" w:type="dxa"/>
            </w:tcMar>
          </w:tcPr>
          <w:p>
            <w:pPr>
              <w:pStyle w:val="S4Table"/>
            </w:pPr>
            <w:r>
              <w:rPr>
                <w:b w:val="0"/>
              </w:rPr>
              <w:t>Perceived affect may differ</w:t>
            </w:r>
          </w:p>
        </w:tc>
        <w:tc>
          <w:tcPr>
            <w:tcW w:type="dxa" w:w="1613"/>
            <w:vAlign w:val="center"/>
            <w:tcMar>
              <w:top w:w="95" w:type="dxa"/>
              <w:left w:w="95" w:type="dxa"/>
              <w:bottom w:w="95" w:type="dxa"/>
              <w:right w:w="95" w:type="dxa"/>
            </w:tcMar>
          </w:tcPr>
          <w:p>
            <w:pPr>
              <w:pStyle w:val="S4Table"/>
            </w:pPr>
            <w:r>
              <w:rPr>
                <w:b w:val="0"/>
              </w:rPr>
              <w:t>Same A/B comparison</w:t>
            </w:r>
          </w:p>
        </w:tc>
        <w:tc>
          <w:tcPr>
            <w:tcW w:type="dxa" w:w="2592"/>
            <w:vAlign w:val="center"/>
            <w:tcMar>
              <w:top w:w="95" w:type="dxa"/>
              <w:left w:w="95" w:type="dxa"/>
              <w:bottom w:w="95" w:type="dxa"/>
              <w:right w:w="95" w:type="dxa"/>
            </w:tcMar>
          </w:tcPr>
          <w:p>
            <w:pPr>
              <w:pStyle w:val="S4Table"/>
            </w:pPr>
            <w:r>
              <w:rPr>
                <w:b w:val="0"/>
              </w:rPr>
              <w:t>Separate 7-point valence and arousal items</w:t>
            </w:r>
          </w:p>
        </w:tc>
        <w:tc>
          <w:tcPr>
            <w:tcW w:type="dxa" w:w="2995"/>
            <w:vAlign w:val="center"/>
            <w:tcMar>
              <w:top w:w="95" w:type="dxa"/>
              <w:left w:w="95" w:type="dxa"/>
              <w:bottom w:w="95" w:type="dxa"/>
              <w:right w:w="95" w:type="dxa"/>
            </w:tcMar>
          </w:tcPr>
          <w:p>
            <w:pPr>
              <w:pStyle w:val="S4Table"/>
            </w:pPr>
            <w:r>
              <w:rPr>
                <w:b w:val="0"/>
              </w:rPr>
              <w:t>Within-person B − A differences, interpreted alongside participants’ explanations</w:t>
            </w:r>
          </w:p>
        </w:tc>
      </w:tr>
      <w:tr>
        <w:trPr>
          <w:cantSplit/>
        </w:trPr>
        <w:tc>
          <w:tcPr>
            <w:tcW w:type="dxa" w:w="2160"/>
            <w:vAlign w:val="center"/>
            <w:tcMar>
              <w:top w:w="95" w:type="dxa"/>
              <w:left w:w="95" w:type="dxa"/>
              <w:bottom w:w="95" w:type="dxa"/>
              <w:right w:w="95" w:type="dxa"/>
            </w:tcMar>
          </w:tcPr>
          <w:p>
            <w:pPr>
              <w:pStyle w:val="S4Table"/>
            </w:pPr>
            <w:r>
              <w:rPr>
                <w:b w:val="0"/>
              </w:rPr>
              <w:t>Perceived sociability may differ</w:t>
            </w:r>
          </w:p>
        </w:tc>
        <w:tc>
          <w:tcPr>
            <w:tcW w:type="dxa" w:w="1613"/>
            <w:vAlign w:val="center"/>
            <w:tcMar>
              <w:top w:w="95" w:type="dxa"/>
              <w:left w:w="95" w:type="dxa"/>
              <w:bottom w:w="95" w:type="dxa"/>
              <w:right w:w="95" w:type="dxa"/>
            </w:tcMar>
          </w:tcPr>
          <w:p>
            <w:pPr>
              <w:pStyle w:val="S4Table"/>
            </w:pPr>
            <w:r>
              <w:rPr>
                <w:b w:val="0"/>
              </w:rPr>
              <w:t>Same A/B comparison</w:t>
            </w:r>
          </w:p>
        </w:tc>
        <w:tc>
          <w:tcPr>
            <w:tcW w:type="dxa" w:w="2592"/>
            <w:vAlign w:val="center"/>
            <w:tcMar>
              <w:top w:w="95" w:type="dxa"/>
              <w:left w:w="95" w:type="dxa"/>
              <w:bottom w:w="95" w:type="dxa"/>
              <w:right w:w="95" w:type="dxa"/>
            </w:tcMar>
          </w:tcPr>
          <w:p>
            <w:pPr>
              <w:pStyle w:val="S4Table"/>
            </w:pPr>
            <w:r>
              <w:rPr>
                <w:b w:val="0"/>
              </w:rPr>
              <w:t>HRIES sociability mean</w:t>
            </w:r>
          </w:p>
        </w:tc>
        <w:tc>
          <w:tcPr>
            <w:tcW w:type="dxa" w:w="2995"/>
            <w:vAlign w:val="center"/>
            <w:tcMar>
              <w:top w:w="95" w:type="dxa"/>
              <w:left w:w="95" w:type="dxa"/>
              <w:bottom w:w="95" w:type="dxa"/>
              <w:right w:w="95" w:type="dxa"/>
            </w:tcMar>
          </w:tcPr>
          <w:p>
            <w:pPr>
              <w:pStyle w:val="S4Table"/>
            </w:pPr>
            <w:r>
              <w:rPr>
                <w:b w:val="0"/>
              </w:rPr>
              <w:t>Within-person B − A differences; other HRIES dimensions remain separate</w:t>
            </w:r>
          </w:p>
        </w:tc>
      </w:tr>
    </w:tbl>
    <w:p>
      <w:pPr>
        <w:pStyle w:val="S4Body"/>
        <w:spacing w:before="160"/>
      </w:pPr>
      <w:r>
        <w:t>These are criteria for interpreting future evidence, not observed results. A detected movement difference alone would not demonstrate a difference in perceived emotion.</w:t>
      </w:r>
    </w:p>
    <w:p>
      <w:pPr>
        <w:pStyle w:val="S4Subheading"/>
      </w:pPr>
      <w:r>
        <w:t>Independent variable and reproducible movement</w:t>
      </w:r>
    </w:p>
    <w:p>
      <w:pPr>
        <w:pStyle w:val="S4Body"/>
      </w:pPr>
      <w:r>
        <w:t>The single command parameter is antenna_amplitude_deg: the maximum angular displacement of each antenna from its calibrated neutral position. Condition A is 10° (0.175 rad); Condition B is 30° (0.524 rad). Both antennas follow mirrored trajectories with the same amplitude. Their respective peak-to-peak excursions are 20° and 60°, not 10° and 30°. These are proposed settings to verify in simulation and on the physical robot before fixing the study protocol.</w:t>
      </w:r>
    </w:p>
    <w:p>
      <w:pPr>
        <w:pStyle w:val="S4Body"/>
      </w:pPr>
      <w:r>
        <w:t>Each greeting uses one 4-second antenna sequence: neutral → +A → −A → neutral for the left antenna, with reversed signs for the right. Segment durations are 1, 2, and 1 seconds, using the same smooth interpolation. Start the motion and a fixed recording of “Hello, nice to meet you” together after a 1-second neutral hold; finish with a 1-second neutral hold. Keep the head and base stationary. The recording, volume, synchronization, and number of movements stay identical.</w:t>
      </w:r>
    </w:p>
    <w:p>
      <w:pPr>
        <w:pStyle w:val="S4Subheading"/>
      </w:pPr>
      <w:r>
        <w:t>Operational measures</w:t>
      </w:r>
    </w:p>
    <w:p>
      <w:pPr>
        <w:pStyle w:val="S4Body"/>
      </w:pPr>
      <w:r>
        <w:t>After each condition, ask participants to rate Reachy Mini as it appeared during that greeting, rather than their own feelings. Collect HRIES and emotion ratings before the open-ended response, and place the movement-size check last to reduce attention being directed to the manipulation before the outcomes.</w:t>
      </w:r>
    </w:p>
    <w:p>
      <w:pPr>
        <w:pStyle w:val="S4Body"/>
      </w:pPr>
      <w:r>
        <w:rPr>
          <w:b/>
        </w:rPr>
        <w:t xml:space="preserve">Perceived valence. </w:t>
      </w:r>
      <w:r>
        <w:t>“How positive or negative did Reachy Mini’s apparent emotional state seem?” Use a 7-point bipolar scale: 1 = very negative, 4 = neutral, 7 = very positive. Higher scores indicate more positive perceived affect.</w:t>
      </w:r>
    </w:p>
    <w:p>
      <w:pPr>
        <w:pStyle w:val="S4Body"/>
      </w:pPr>
      <w:r>
        <w:rPr>
          <w:b/>
        </w:rPr>
        <w:t xml:space="preserve">Perceived arousal. </w:t>
      </w:r>
      <w:r>
        <w:t>“How emotionally activated did Reachy Mini seem?” Use a 7-point bipolar scale: 1 = very low activation/sleepy, 4 = moderate activation, 7 = very high activation/aroused. Explain that activation can accompany either positive or negative emotion. Higher scores indicate greater perceived arousal.</w:t>
      </w:r>
    </w:p>
    <w:p>
      <w:pPr>
        <w:pStyle w:val="S4Body"/>
      </w:pPr>
      <w:r>
        <w:rPr>
          <w:b/>
        </w:rPr>
        <w:t xml:space="preserve">Perceived sociability. </w:t>
      </w:r>
      <w:r>
        <w:t>Administer the full 16-item HRIES with its published 7-point response scale (Spatola et al., 2021). Designate sociability as the primary HRIES outcome: average its four items, warm, likeable, trustworthy, and friendly. Calculate animacy, agency, and disturbance separately; do not calculate an overall HRIES score. Valence and arousal are additional exploratory emotion outcomes and are not substitutes for HRIES.</w:t>
      </w:r>
    </w:p>
    <w:p>
      <w:pPr>
        <w:pStyle w:val="S4Body"/>
      </w:pPr>
      <w:r>
        <w:rPr>
          <w:b/>
        </w:rPr>
        <w:t xml:space="preserve">Perceptual manipulation check. </w:t>
      </w:r>
      <w:r>
        <w:t>“How large were the antenna movements during this greeting?” Rate from 1 = very small to 7 = very large. Compare B − A within each participant; positive differences support perceptual separation. Do not discard a participant simply because this rating fails to favor B.</w:t>
      </w:r>
    </w:p>
    <w:p>
      <w:pPr>
        <w:pStyle w:val="S4Body"/>
      </w:pPr>
      <w:r>
        <w:rPr>
          <w:b/>
        </w:rPr>
        <w:t xml:space="preserve">Physical manipulation check. </w:t>
      </w:r>
      <w:r>
        <w:t>Record timestamped measured angles for both antenna joints, targeting at least 20 samples/second and reporting the achieved rate. For each antenna, subtract its measured neutral angle and calculate the largest absolute displacement in degrees and the full maximum-minus-minimum range. Keep left and right results separate. Log the command value, condition, motion start/end, neutral recovery, and faults. Commanded angles alone cannot verify actual movement. If feedback is unavailable, use calibrated angle measurements from fixed-view video and document measurement uncertainty.</w:t>
      </w:r>
    </w:p>
    <w:p>
      <w:pPr>
        <w:pStyle w:val="S4Body"/>
      </w:pPr>
      <w:r>
        <w:rPr>
          <w:b/>
        </w:rPr>
        <w:t xml:space="preserve">Objective behavioral outcome. </w:t>
      </w:r>
      <w:r>
        <w:t>Record greeting completion as 1 if the scheduled audio and antenna sequence finish, both antennas return to within ±2° of neutral, and no operator intervention occurs; otherwise record 0 and the reason. This measures execution fidelity, not emotion recognition.</w:t>
      </w:r>
    </w:p>
    <w:p>
      <w:pPr>
        <w:pStyle w:val="S4Body"/>
      </w:pPr>
      <w:r>
        <w:rPr>
          <w:b/>
        </w:rPr>
        <w:t xml:space="preserve">Qualitative evidence. </w:t>
      </w:r>
      <w:r>
        <w:t>“How would you describe Reachy Mini during this greeting, and what influenced your impression?” Retain the response verbatim and compare explanations with the ratings without treating particular emotion words as correct answers.</w:t>
      </w:r>
    </w:p>
    <w:p>
      <w:pPr>
        <w:pStyle w:val="S4Subheading"/>
      </w:pPr>
      <w:r>
        <w:t>Controls and potential confounds</w:t>
      </w:r>
    </w:p>
    <w:p>
      <w:pPr>
        <w:pStyle w:val="S4Body"/>
      </w:pPr>
      <w:r>
        <w:rPr>
          <w:b/>
        </w:rPr>
        <w:t xml:space="preserve">Controls. </w:t>
      </w:r>
      <w:r>
        <w:t>Hold constant the robot, neutral pose, mirrored movement pattern, interpolation, timing, audio, head/base posture, participant distance and viewing angle, lighting, room noise, facilitator wording, and questionnaire order. Use the same reset interval between conditions. Disable spontaneous motions and variable live responses during the greeting.</w:t>
      </w:r>
    </w:p>
    <w:p>
      <w:pPr>
        <w:pStyle w:val="S4Body"/>
      </w:pPr>
      <w:r>
        <w:rPr>
          <w:b/>
        </w:rPr>
        <w:t xml:space="preserve">Order and participant differences. </w:t>
      </w:r>
      <w:r>
        <w:t>Each participant experiences A and B. Counterbalance order as AB/BA across the pilot, use neutral condition labels, and record prior robot familiarity. Order, habituation, familiarity, and experimenter cues could influence judgments. Standardized instructions and within-person comparisons reduce these alternatives but do not eliminate them.</w:t>
      </w:r>
    </w:p>
    <w:p>
      <w:pPr>
        <w:pStyle w:val="S4Body"/>
      </w:pPr>
      <w:r>
        <w:rPr>
          <w:b/>
        </w:rPr>
        <w:t xml:space="preserve">Motion coupling. </w:t>
      </w:r>
      <w:r>
        <w:t>At fixed segment durations, increasing excursion necessarily increases angular speed and acceleration. These are coupled consequences of the amplitude manipulation, not additional independently assigned factors. Record achieved timing and inspect the angle traces; interpret any difference as an effect of the amplitude-scaled greeting under fixed timing. This design cannot isolate a purely spatial amplitude effect from its associated kinematics (Saerbeck &amp; Bartneck, 2010).</w:t>
      </w:r>
    </w:p>
    <w:p>
      <w:pPr>
        <w:pStyle w:val="S4Body"/>
      </w:pPr>
      <w:r>
        <w:rPr>
          <w:b/>
        </w:rPr>
        <w:t xml:space="preserve">Execution and sensory differences. </w:t>
      </w:r>
      <w:r>
        <w:t>Motor noise, vibration, tracking errors, audio delays, or an obscured antenna could also influence impressions. Check both conditions before collection and document deviations in every trial. Any condition-dependent noise remains an alternative explanation even if the programmed settings are otherwise matched.</w:t>
      </w:r>
    </w:p>
    <w:p>
      <w:pPr>
        <w:pStyle w:val="S4Subheading"/>
      </w:pPr>
      <w:r>
        <w:t>Construct validity and interpretation</w:t>
      </w:r>
    </w:p>
    <w:p>
      <w:pPr>
        <w:pStyle w:val="S4Body"/>
      </w:pPr>
      <w:r>
        <w:t>Russell (1980) provides the conceptual basis for separating valence and arousal; the two wording-specific items proposed here are study-created and have not been validated for Reachy Mini. Pretest whether respondents understand the distinction and rate the robot rather than themselves. HRIES has published factor-analytic support for distinct dimensions (Spatola et al., 2021), but sociability and animacy do not directly measure emotion. Keep these constructs separate.</w:t>
      </w:r>
    </w:p>
    <w:p>
      <w:pPr>
        <w:pStyle w:val="S4Body"/>
      </w:pPr>
      <w:r>
        <w:t>Physical angle records establish delivery, the size item checks perception, and open-ended accounts help assess whether emotional interpretations align with the ratings. Report each participant’s paired differences and descriptive summaries. Agreement across these measures would strengthen the interpretation; disagreement should be retained and explained. A small convenience pilot cannot establish population-wide effects, validate the new items, or identify an optimal amplitude from only two levels.</w:t>
      </w:r>
    </w:p>
    <w:p>
      <w:pPr>
        <w:pStyle w:val="S4Heading"/>
        <w:pageBreakBefore/>
      </w:pPr>
      <w:r>
        <w:t>4.3 Formulate the Research Questions</w:t>
      </w:r>
    </w:p>
    <w:p>
      <w:pPr>
        <w:pStyle w:val="S4Body"/>
      </w:pPr>
      <w:r>
        <w:rPr>
          <w:b/>
        </w:rPr>
        <w:t xml:space="preserve">RQ1 — Exploratory emotion question. </w:t>
      </w:r>
      <w:r>
        <w:t>How does low versus high antenna movement amplitude (10° versus 30° from neutral per antenna), with greeting timing held constant, affect participants’ ratings of Reachy Mini’s perceived emotional valence and arousal during a greeting interaction?</w:t>
      </w:r>
    </w:p>
    <w:p>
      <w:pPr>
        <w:pStyle w:val="S4Body"/>
      </w:pPr>
      <w:r>
        <w:rPr>
          <w:b/>
        </w:rPr>
        <w:t xml:space="preserve">RQ2 — Exploratory social impression question. </w:t>
      </w:r>
      <w:r>
        <w:t>How does the same low versus high antenna amplitude comparison affect participants’ HRIES sociability scores during the greeting interaction?</w:t>
      </w:r>
    </w:p>
    <w:p>
      <w:pPr>
        <w:pStyle w:val="S4Body"/>
      </w:pPr>
      <w:r>
        <w:t>Both questions follow from the constructs and measures above. No confirmatory directional hypothesis is proposed: the cited evidence motivates testing motion-based affect, but does not establish whether this specific antenna comparison should produce more positive emotion or greater sociability. The analysis will therefore allow higher, lower, unchanged, or mixed ratings.</w:t>
      </w:r>
    </w:p>
    <w:p>
      <w:pPr>
        <w:pStyle w:val="S4Heading"/>
      </w:pPr>
      <w:r>
        <w:t>References</w:t>
      </w:r>
    </w:p>
    <w:p>
      <w:pPr>
        <w:pStyle w:val="S4Reference"/>
      </w:pPr>
      <w:r>
        <w:rPr>
          <w:i w:val="0"/>
        </w:rPr>
        <w:t xml:space="preserve">Russell, J. A. (1980). A circumplex model of affect. </w:t>
      </w:r>
      <w:r>
        <w:rPr>
          <w:i/>
        </w:rPr>
        <w:t>Journal of Personality and Social Psychology, 39</w:t>
      </w:r>
      <w:r>
        <w:rPr>
          <w:i w:val="0"/>
        </w:rPr>
        <w:t>(6), 1161–1178.</w:t>
      </w:r>
      <w:r>
        <w:t xml:space="preserve"> </w:t>
      </w:r>
      <w:hyperlink r:id="rId11">
        <w:r>
          <w:rPr>
            <w:color w:val="0563C1"/>
          </w:rPr>
          <w:t>https://doi.org/10.1037/h0077714</w:t>
        </w:r>
      </w:hyperlink>
    </w:p>
    <w:p>
      <w:pPr>
        <w:pStyle w:val="S4Reference"/>
      </w:pPr>
      <w:r>
        <w:rPr>
          <w:i w:val="0"/>
        </w:rPr>
        <w:t xml:space="preserve">Saerbeck, M., &amp; Bartneck, C. (2010). Attribution of affect to robot motion. In </w:t>
      </w:r>
      <w:r>
        <w:rPr>
          <w:i/>
        </w:rPr>
        <w:t>Proceedings of the 5th ACM/IEEE International Conference on Human-Robot Interaction</w:t>
      </w:r>
      <w:r>
        <w:rPr>
          <w:i w:val="0"/>
        </w:rPr>
        <w:t xml:space="preserve"> (pp. 53–60). Association for Computing Machinery.</w:t>
      </w:r>
      <w:r>
        <w:t xml:space="preserve"> </w:t>
      </w:r>
      <w:hyperlink r:id="rId12">
        <w:r>
          <w:rPr>
            <w:color w:val="0563C1"/>
          </w:rPr>
          <w:t>https://doi.org/10.1145/1734454.1734473</w:t>
        </w:r>
      </w:hyperlink>
    </w:p>
    <w:p>
      <w:pPr>
        <w:pStyle w:val="S4Reference"/>
      </w:pPr>
      <w:r>
        <w:rPr>
          <w:i w:val="0"/>
        </w:rPr>
        <w:t xml:space="preserve">Spatola, N., Kühnlenz, B., &amp; Cheng, G. (2021). Perception and evaluation in human–robot interaction: The Human–Robot Interaction Evaluation Scale (HRIES)—A multicomponent approach of anthropomorphism. </w:t>
      </w:r>
      <w:r>
        <w:rPr>
          <w:i/>
        </w:rPr>
        <w:t>International Journal of Social Robotics, 13</w:t>
      </w:r>
      <w:r>
        <w:rPr>
          <w:i w:val="0"/>
        </w:rPr>
        <w:t>(7), 1517–1539.</w:t>
      </w:r>
      <w:r>
        <w:t xml:space="preserve"> </w:t>
      </w:r>
      <w:hyperlink r:id="rId13">
        <w:r>
          <w:rPr>
            <w:color w:val="0563C1"/>
          </w:rPr>
          <w:t>https://doi.org/10.1007/s12369-020-00667-4</w:t>
        </w:r>
      </w:hyperlink>
    </w:p>
    <w:p>
      <w:pPr>
        <w:pStyle w:val="S4Main"/>
        <w:pageBreakBefore/>
      </w:pPr>
      <w:r>
        <w:t>Part 5 Study design and procedure</w:t>
      </w:r>
    </w:p>
    <w:p>
      <w:pPr>
        <w:pStyle w:val="S4Body"/>
      </w:pPr>
      <w:r>
        <w:t>This protocol describes the planned pilot. Bracketed fields will be completed after technical testing, recruitment, or data collection.</w:t>
      </w:r>
    </w:p>
    <w:p>
      <w:pPr>
        <w:pStyle w:val="S4Heading"/>
      </w:pPr>
      <w:r>
        <w:t>5.1 Study Design and Conditions</w:t>
      </w:r>
    </w:p>
    <w:p>
      <w:pPr>
        <w:pStyle w:val="S4Body"/>
      </w:pPr>
      <w:r>
        <w:t>Each participant will experience both antenna-amplitude conditions in counterbalanced order. Sociability is the primary HRIES outcome; separate valence and arousal ratings address perceived emotion.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1944"/>
        <w:gridCol w:w="3672"/>
      </w:tblGrid>
      <w:tr>
        <w:trPr>
          <w:cantSplit/>
          <w:tblHeader/>
        </w:trPr>
        <w:tc>
          <w:tcPr>
            <w:tcW w:type="dxa" w:w="1800"/>
            <w:vAlign w:val="center"/>
            <w:tcMar>
              <w:top w:w="95" w:type="dxa"/>
              <w:left w:w="95" w:type="dxa"/>
              <w:bottom w:w="95" w:type="dxa"/>
              <w:right w:w="95" w:type="dxa"/>
            </w:tcMar>
            <w:shd w:fill="E7EEF5"/>
          </w:tcPr>
          <w:p>
            <w:pPr>
              <w:pStyle w:val="S4Table"/>
              <w:keepNext/>
            </w:pPr>
            <w:r>
              <w:rPr>
                <w:b/>
              </w:rPr>
              <w:t>Element</w:t>
            </w:r>
          </w:p>
        </w:tc>
        <w:tc>
          <w:tcPr>
            <w:tcW w:type="dxa" w:w="1944"/>
            <w:vAlign w:val="center"/>
            <w:tcMar>
              <w:top w:w="95" w:type="dxa"/>
              <w:left w:w="95" w:type="dxa"/>
              <w:bottom w:w="95" w:type="dxa"/>
              <w:right w:w="95" w:type="dxa"/>
            </w:tcMar>
            <w:shd w:fill="E7EEF5"/>
          </w:tcPr>
          <w:p>
            <w:pPr>
              <w:pStyle w:val="S4Table"/>
              <w:keepNext/>
            </w:pPr>
            <w:r>
              <w:rPr>
                <w:b/>
              </w:rPr>
              <w:t>Condition A</w:t>
            </w:r>
          </w:p>
        </w:tc>
        <w:tc>
          <w:tcPr>
            <w:tcW w:type="dxa" w:w="1944"/>
            <w:vAlign w:val="center"/>
            <w:tcMar>
              <w:top w:w="95" w:type="dxa"/>
              <w:left w:w="95" w:type="dxa"/>
              <w:bottom w:w="95" w:type="dxa"/>
              <w:right w:w="95" w:type="dxa"/>
            </w:tcMar>
            <w:shd w:fill="E7EEF5"/>
          </w:tcPr>
          <w:p>
            <w:pPr>
              <w:pStyle w:val="S4Table"/>
              <w:keepNext/>
            </w:pPr>
            <w:r>
              <w:rPr>
                <w:b/>
              </w:rPr>
              <w:t>Condition B</w:t>
            </w:r>
          </w:p>
        </w:tc>
        <w:tc>
          <w:tcPr>
            <w:tcW w:type="dxa" w:w="3672"/>
            <w:vAlign w:val="center"/>
            <w:tcMar>
              <w:top w:w="95" w:type="dxa"/>
              <w:left w:w="95" w:type="dxa"/>
              <w:bottom w:w="95" w:type="dxa"/>
              <w:right w:w="95" w:type="dxa"/>
            </w:tcMar>
            <w:shd w:fill="E7EEF5"/>
          </w:tcPr>
          <w:p>
            <w:pPr>
              <w:pStyle w:val="S4Table"/>
              <w:keepNext/>
            </w:pPr>
            <w:r>
              <w:rPr>
                <w:b/>
              </w:rPr>
              <w:t>Held constant</w:t>
            </w:r>
          </w:p>
        </w:tc>
      </w:tr>
      <w:tr>
        <w:trPr>
          <w:cantSplit/>
        </w:trPr>
        <w:tc>
          <w:tcPr>
            <w:tcW w:type="dxa" w:w="1800"/>
            <w:vAlign w:val="center"/>
            <w:tcMar>
              <w:top w:w="95" w:type="dxa"/>
              <w:left w:w="95" w:type="dxa"/>
              <w:bottom w:w="95" w:type="dxa"/>
              <w:right w:w="95" w:type="dxa"/>
            </w:tcMar>
          </w:tcPr>
          <w:p>
            <w:pPr>
              <w:pStyle w:val="S4Table"/>
              <w:keepNext/>
            </w:pPr>
            <w:r>
              <w:rPr>
                <w:b w:val="0"/>
              </w:rPr>
              <w:t>Antenna amplitude</w:t>
            </w:r>
          </w:p>
        </w:tc>
        <w:tc>
          <w:tcPr>
            <w:tcW w:type="dxa" w:w="1944"/>
            <w:vAlign w:val="center"/>
            <w:tcMar>
              <w:top w:w="95" w:type="dxa"/>
              <w:left w:w="95" w:type="dxa"/>
              <w:bottom w:w="95" w:type="dxa"/>
              <w:right w:w="95" w:type="dxa"/>
            </w:tcMar>
          </w:tcPr>
          <w:p>
            <w:pPr>
              <w:pStyle w:val="S4Table"/>
              <w:keepNext/>
            </w:pPr>
            <w:r>
              <w:rPr>
                <w:b w:val="0"/>
              </w:rPr>
              <w:t>10° from neutral; 20° peak-to-peak</w:t>
            </w:r>
          </w:p>
        </w:tc>
        <w:tc>
          <w:tcPr>
            <w:tcW w:type="dxa" w:w="1944"/>
            <w:vAlign w:val="center"/>
            <w:tcMar>
              <w:top w:w="95" w:type="dxa"/>
              <w:left w:w="95" w:type="dxa"/>
              <w:bottom w:w="95" w:type="dxa"/>
              <w:right w:w="95" w:type="dxa"/>
            </w:tcMar>
          </w:tcPr>
          <w:p>
            <w:pPr>
              <w:pStyle w:val="S4Table"/>
              <w:keepNext/>
            </w:pPr>
            <w:r>
              <w:rPr>
                <w:b w:val="0"/>
              </w:rPr>
              <w:t>30° from neutral; 60° peak-to-peak</w:t>
            </w:r>
          </w:p>
        </w:tc>
        <w:tc>
          <w:tcPr>
            <w:tcW w:type="dxa" w:w="3672"/>
            <w:vAlign w:val="center"/>
            <w:tcMar>
              <w:top w:w="95" w:type="dxa"/>
              <w:left w:w="95" w:type="dxa"/>
              <w:bottom w:w="95" w:type="dxa"/>
              <w:right w:w="95" w:type="dxa"/>
            </w:tcMar>
          </w:tcPr>
          <w:p>
            <w:pPr>
              <w:pStyle w:val="S4Table"/>
              <w:keepNext/>
            </w:pPr>
            <w:r>
              <w:rPr>
                <w:b w:val="0"/>
              </w:rPr>
              <w:t>Same axis, pattern, and calibrated neutral; mirrored antennas</w:t>
            </w:r>
          </w:p>
        </w:tc>
      </w:tr>
      <w:tr>
        <w:trPr>
          <w:cantSplit/>
        </w:trPr>
        <w:tc>
          <w:tcPr>
            <w:tcW w:type="dxa" w:w="1800"/>
            <w:vAlign w:val="center"/>
            <w:tcMar>
              <w:top w:w="95" w:type="dxa"/>
              <w:left w:w="95" w:type="dxa"/>
              <w:bottom w:w="95" w:type="dxa"/>
              <w:right w:w="95" w:type="dxa"/>
            </w:tcMar>
          </w:tcPr>
          <w:p>
            <w:pPr>
              <w:pStyle w:val="S4Table"/>
              <w:keepNext/>
            </w:pPr>
            <w:r>
              <w:rPr>
                <w:b w:val="0"/>
              </w:rPr>
              <w:t>Motion sequence</w:t>
            </w:r>
          </w:p>
        </w:tc>
        <w:tc>
          <w:tcPr>
            <w:tcW w:type="dxa" w:w="1944"/>
            <w:vAlign w:val="center"/>
            <w:tcMar>
              <w:top w:w="95" w:type="dxa"/>
              <w:left w:w="95" w:type="dxa"/>
              <w:bottom w:w="95" w:type="dxa"/>
              <w:right w:w="95" w:type="dxa"/>
            </w:tcMar>
          </w:tcPr>
          <w:p>
            <w:pPr>
              <w:pStyle w:val="S4Table"/>
              <w:keepNext/>
            </w:pPr>
            <w:r>
              <w:rPr>
                <w:b w:val="0"/>
              </w:rPr>
              <w:t>Neutral → +A → −A → neutral</w:t>
            </w:r>
          </w:p>
        </w:tc>
        <w:tc>
          <w:tcPr>
            <w:tcW w:type="dxa" w:w="1944"/>
            <w:vAlign w:val="center"/>
            <w:tcMar>
              <w:top w:w="95" w:type="dxa"/>
              <w:left w:w="95" w:type="dxa"/>
              <w:bottom w:w="95" w:type="dxa"/>
              <w:right w:w="95" w:type="dxa"/>
            </w:tcMar>
          </w:tcPr>
          <w:p>
            <w:pPr>
              <w:pStyle w:val="S4Table"/>
              <w:keepNext/>
            </w:pPr>
            <w:r>
              <w:rPr>
                <w:b w:val="0"/>
              </w:rPr>
              <w:t>Same sequence at B amplitude</w:t>
            </w:r>
          </w:p>
        </w:tc>
        <w:tc>
          <w:tcPr>
            <w:tcW w:type="dxa" w:w="3672"/>
            <w:vAlign w:val="center"/>
            <w:tcMar>
              <w:top w:w="95" w:type="dxa"/>
              <w:left w:w="95" w:type="dxa"/>
              <w:bottom w:w="95" w:type="dxa"/>
              <w:right w:w="95" w:type="dxa"/>
            </w:tcMar>
          </w:tcPr>
          <w:p>
            <w:pPr>
              <w:pStyle w:val="S4Table"/>
              <w:keepNext/>
            </w:pPr>
            <w:r>
              <w:rPr>
                <w:b w:val="0"/>
              </w:rPr>
              <w:t>Left antenna as shown; right signs reversed; segments of 1, 2, and 1 s</w:t>
            </w:r>
          </w:p>
        </w:tc>
      </w:tr>
      <w:tr>
        <w:trPr>
          <w:cantSplit/>
        </w:trPr>
        <w:tc>
          <w:tcPr>
            <w:tcW w:type="dxa" w:w="1800"/>
            <w:vAlign w:val="center"/>
            <w:tcMar>
              <w:top w:w="95" w:type="dxa"/>
              <w:left w:w="95" w:type="dxa"/>
              <w:bottom w:w="95" w:type="dxa"/>
              <w:right w:w="95" w:type="dxa"/>
            </w:tcMar>
          </w:tcPr>
          <w:p>
            <w:pPr>
              <w:pStyle w:val="S4Table"/>
              <w:keepNext/>
            </w:pPr>
            <w:r>
              <w:rPr>
                <w:b w:val="0"/>
              </w:rPr>
              <w:t>Greeting cycle</w:t>
            </w:r>
          </w:p>
        </w:tc>
        <w:tc>
          <w:tcPr>
            <w:tcW w:type="dxa" w:w="1944"/>
            <w:vAlign w:val="center"/>
            <w:tcMar>
              <w:top w:w="95" w:type="dxa"/>
              <w:left w:w="95" w:type="dxa"/>
              <w:bottom w:w="95" w:type="dxa"/>
              <w:right w:w="95" w:type="dxa"/>
            </w:tcMar>
          </w:tcPr>
          <w:p>
            <w:pPr>
              <w:pStyle w:val="S4Table"/>
              <w:keepNext/>
            </w:pPr>
            <w:r>
              <w:rPr>
                <w:b w:val="0"/>
              </w:rPr>
              <w:t>6 s</w:t>
            </w:r>
          </w:p>
        </w:tc>
        <w:tc>
          <w:tcPr>
            <w:tcW w:type="dxa" w:w="1944"/>
            <w:vAlign w:val="center"/>
            <w:tcMar>
              <w:top w:w="95" w:type="dxa"/>
              <w:left w:w="95" w:type="dxa"/>
              <w:bottom w:w="95" w:type="dxa"/>
              <w:right w:w="95" w:type="dxa"/>
            </w:tcMar>
          </w:tcPr>
          <w:p>
            <w:pPr>
              <w:pStyle w:val="S4Table"/>
              <w:keepNext/>
            </w:pPr>
            <w:r>
              <w:rPr>
                <w:b w:val="0"/>
              </w:rPr>
              <w:t>6 s</w:t>
            </w:r>
          </w:p>
        </w:tc>
        <w:tc>
          <w:tcPr>
            <w:tcW w:type="dxa" w:w="3672"/>
            <w:vAlign w:val="center"/>
            <w:tcMar>
              <w:top w:w="95" w:type="dxa"/>
              <w:left w:w="95" w:type="dxa"/>
              <w:bottom w:w="95" w:type="dxa"/>
              <w:right w:w="95" w:type="dxa"/>
            </w:tcMar>
          </w:tcPr>
          <w:p>
            <w:pPr>
              <w:pStyle w:val="S4Table"/>
              <w:keepNext/>
            </w:pPr>
            <w:r>
              <w:rPr>
                <w:b w:val="0"/>
              </w:rPr>
              <w:t>1 s neutral; 4 s motion; 1 s neutral</w:t>
            </w:r>
          </w:p>
        </w:tc>
      </w:tr>
      <w:tr>
        <w:trPr>
          <w:cantSplit/>
        </w:trPr>
        <w:tc>
          <w:tcPr>
            <w:tcW w:type="dxa" w:w="1800"/>
            <w:vAlign w:val="center"/>
            <w:tcMar>
              <w:top w:w="95" w:type="dxa"/>
              <w:left w:w="95" w:type="dxa"/>
              <w:bottom w:w="95" w:type="dxa"/>
              <w:right w:w="95" w:type="dxa"/>
            </w:tcMar>
          </w:tcPr>
          <w:p>
            <w:pPr>
              <w:pStyle w:val="S4Table"/>
              <w:keepNext/>
            </w:pPr>
            <w:r>
              <w:rPr>
                <w:b w:val="0"/>
              </w:rPr>
              <w:t>Speech and other behavior</w:t>
            </w:r>
          </w:p>
        </w:tc>
        <w:tc>
          <w:tcPr>
            <w:tcW w:type="dxa" w:w="1944"/>
            <w:vAlign w:val="center"/>
            <w:tcMar>
              <w:top w:w="95" w:type="dxa"/>
              <w:left w:w="95" w:type="dxa"/>
              <w:bottom w:w="95" w:type="dxa"/>
              <w:right w:w="95" w:type="dxa"/>
            </w:tcMar>
          </w:tcPr>
          <w:p>
            <w:pPr>
              <w:pStyle w:val="S4Table"/>
              <w:keepNext/>
            </w:pPr>
            <w:r>
              <w:rPr>
                <w:b w:val="0"/>
              </w:rPr>
              <w:t>“Hello, nice to meet you”</w:t>
            </w:r>
          </w:p>
        </w:tc>
        <w:tc>
          <w:tcPr>
            <w:tcW w:type="dxa" w:w="1944"/>
            <w:vAlign w:val="center"/>
            <w:tcMar>
              <w:top w:w="95" w:type="dxa"/>
              <w:left w:w="95" w:type="dxa"/>
              <w:bottom w:w="95" w:type="dxa"/>
              <w:right w:w="95" w:type="dxa"/>
            </w:tcMar>
          </w:tcPr>
          <w:p>
            <w:pPr>
              <w:pStyle w:val="S4Table"/>
              <w:keepNext/>
            </w:pPr>
            <w:r>
              <w:rPr>
                <w:b w:val="0"/>
              </w:rPr>
              <w:t>Same recording</w:t>
            </w:r>
          </w:p>
        </w:tc>
        <w:tc>
          <w:tcPr>
            <w:tcW w:type="dxa" w:w="3672"/>
            <w:vAlign w:val="center"/>
            <w:tcMar>
              <w:top w:w="95" w:type="dxa"/>
              <w:left w:w="95" w:type="dxa"/>
              <w:bottom w:w="95" w:type="dxa"/>
              <w:right w:w="95" w:type="dxa"/>
            </w:tcMar>
          </w:tcPr>
          <w:p>
            <w:pPr>
              <w:pStyle w:val="S4Table"/>
              <w:keepNext/>
            </w:pPr>
            <w:r>
              <w:rPr>
                <w:b w:val="0"/>
              </w:rPr>
              <w:t>Audio starts with motion; fixed volume and interpolation; stationary head/base</w:t>
            </w:r>
          </w:p>
        </w:tc>
      </w:tr>
      <w:tr>
        <w:trPr>
          <w:cantSplit/>
        </w:trPr>
        <w:tc>
          <w:tcPr>
            <w:tcW w:type="dxa" w:w="1800"/>
            <w:vAlign w:val="center"/>
            <w:tcMar>
              <w:top w:w="95" w:type="dxa"/>
              <w:left w:w="95" w:type="dxa"/>
              <w:bottom w:w="95" w:type="dxa"/>
              <w:right w:w="95" w:type="dxa"/>
            </w:tcMar>
          </w:tcPr>
          <w:p>
            <w:pPr>
              <w:pStyle w:val="S4Table"/>
            </w:pPr>
            <w:r>
              <w:rPr>
                <w:b w:val="0"/>
              </w:rPr>
              <w:t>Administration</w:t>
            </w:r>
          </w:p>
        </w:tc>
        <w:tc>
          <w:tcPr>
            <w:tcW w:type="dxa" w:w="1944"/>
            <w:vAlign w:val="center"/>
            <w:tcMar>
              <w:top w:w="95" w:type="dxa"/>
              <w:left w:w="95" w:type="dxa"/>
              <w:bottom w:w="95" w:type="dxa"/>
              <w:right w:w="95" w:type="dxa"/>
            </w:tcMar>
          </w:tcPr>
          <w:p>
            <w:pPr>
              <w:pStyle w:val="S4Table"/>
            </w:pPr>
            <w:r>
              <w:rPr>
                <w:b w:val="0"/>
              </w:rPr>
              <w:t>One greeting, then measures</w:t>
            </w:r>
          </w:p>
        </w:tc>
        <w:tc>
          <w:tcPr>
            <w:tcW w:type="dxa" w:w="1944"/>
            <w:vAlign w:val="center"/>
            <w:tcMar>
              <w:top w:w="95" w:type="dxa"/>
              <w:left w:w="95" w:type="dxa"/>
              <w:bottom w:w="95" w:type="dxa"/>
              <w:right w:w="95" w:type="dxa"/>
            </w:tcMar>
          </w:tcPr>
          <w:p>
            <w:pPr>
              <w:pStyle w:val="S4Table"/>
            </w:pPr>
            <w:r>
              <w:rPr>
                <w:b w:val="0"/>
              </w:rPr>
              <w:t>Same task and measures</w:t>
            </w:r>
          </w:p>
        </w:tc>
        <w:tc>
          <w:tcPr>
            <w:tcW w:type="dxa" w:w="3672"/>
            <w:vAlign w:val="center"/>
            <w:tcMar>
              <w:top w:w="95" w:type="dxa"/>
              <w:left w:w="95" w:type="dxa"/>
              <w:bottom w:w="95" w:type="dxa"/>
              <w:right w:w="95" w:type="dxa"/>
            </w:tcMar>
          </w:tcPr>
          <w:p>
            <w:pPr>
              <w:pStyle w:val="S4Table"/>
            </w:pPr>
            <w:r>
              <w:rPr>
                <w:b w:val="0"/>
              </w:rPr>
              <w:t>Same room, positions, facilitator, instructions, and questionnaire order</w:t>
            </w:r>
          </w:p>
        </w:tc>
      </w:tr>
    </w:tbl>
    <w:p>
      <w:pPr>
        <w:pStyle w:val="S4Body"/>
        <w:spacing w:before="140"/>
      </w:pPr>
      <w:r>
        <w:t>Fixed timing couples amplitude with speed and acceleration; interpretation will follow section 4.2.</w:t>
      </w:r>
    </w:p>
    <w:p>
      <w:pPr>
        <w:pStyle w:val="S4Body"/>
      </w:pPr>
      <w:r>
        <w:rPr>
          <w:i/>
        </w:rPr>
        <w:t>[To complete: verify both conditions in simulation and on the robot; enter final angles, timing, calibration, interpolation, audio file, and code version [ ].]</w:t>
      </w:r>
    </w:p>
    <w:p>
      <w:pPr>
        <w:pStyle w:val="S4Heading"/>
      </w:pPr>
      <w:r>
        <w:t>5.2 Participants and Condition Order</w:t>
      </w:r>
    </w:p>
    <w:p>
      <w:pPr>
        <w:pStyle w:val="S4Body"/>
      </w:pPr>
      <w:r>
        <w:t>At least four adult volunteers (18+) will be recruited from the university community, excluding team members. Participants must understand the instructions. Convenience sampling is feasible for this pilot but limits generalization. Background items will cover age band (18–24, 25–34, 35–44, 45+), physical-robot experience (none/occasional/frequent), and Reachy Mini experience (yes/no); responses are optional.</w:t>
      </w:r>
    </w:p>
    <w:p>
      <w:pPr>
        <w:pStyle w:val="S4Body"/>
      </w:pPr>
      <w:r>
        <w:t>Assign participant IDs in enrollment order and balance AB/BA if recruitment expands. Store responses without names.</w:t>
      </w:r>
    </w:p>
    <w:p>
      <w:pPr>
        <w:pStyle w:val="S4Body"/>
      </w:pPr>
      <w:r>
        <w:t>Planned assignments: P01—AB; P02—BA; P03—AB; P04—BA. These are unfilled recruitment slots.</w:t>
      </w:r>
    </w:p>
    <w:p>
      <w:pPr>
        <w:pStyle w:val="S4Body"/>
        <w:spacing w:before="140"/>
      </w:pPr>
      <w:r>
        <w:rPr>
          <w:i/>
        </w:rPr>
        <w:t>[To complete: recruited [ ]; completed both conditions [ ]; participant characteristics [ ]; actual order or deviations [ ].]</w:t>
      </w:r>
    </w:p>
    <w:p>
      <w:pPr>
        <w:pStyle w:val="S4Heading"/>
      </w:pPr>
      <w:r>
        <w:t>5.3 Study Task</w:t>
      </w:r>
    </w:p>
    <w:p>
      <w:pPr>
        <w:pStyle w:val="S4Body"/>
      </w:pPr>
      <w:r>
        <w:t>Participants will observe one greeting, reply “Hello,” and complete the measures. Each condition is planned to last 3–5 minutes: 30–45 seconds for instructions and positioning, six seconds for the greeting, and 2.5–4 minutes for responses. Greeting exposure will remain identical across conditions.</w:t>
      </w:r>
    </w:p>
    <w:p>
      <w:pPr>
        <w:pStyle w:val="S4Body"/>
      </w:pPr>
      <w:r>
        <w:rPr>
          <w:b/>
        </w:rPr>
        <w:t xml:space="preserve">Standard instructions. </w:t>
      </w:r>
      <w:r>
        <w:t>“Please face the robot and watch its greeting. When it finishes, say ‘Hello.’ Then describe your impression of the robot using the questionnaire. There are no right or wrong answers.”</w:t>
      </w:r>
    </w:p>
    <w:p>
      <w:pPr>
        <w:pStyle w:val="S4Body"/>
      </w:pPr>
      <w:r>
        <w:t>Completed: audio and motion finish, both antennas return within ±2° of neutral, and no intervention occurs. Interrupted: an external disruption or participant pause prevents completion. Failed: a technical fault prevents valid completion. Repeated: one replacement attempt after resolving a fault or interruption. Retain all attempts; use ratings from the first completed attempt and flag prior exposure. Stop the condition if the replacement fails. Do not repeat based on ratings.</w:t>
      </w:r>
    </w:p>
    <w:p>
      <w:pPr>
        <w:pStyle w:val="S4Body"/>
      </w:pPr>
      <w:r>
        <w:rPr>
          <w:i/>
        </w:rPr>
        <w:t>[To complete: practice-session duration [ ]; confirm how the six-second greeting and full condition procedure meet the assignment’s 3–5-minute task requirement before collection.]</w:t>
      </w:r>
    </w:p>
    <w:p>
      <w:pPr>
        <w:pStyle w:val="S4Heading"/>
      </w:pPr>
      <w:r>
        <w:t>5.4 Study Setting</w:t>
      </w:r>
    </w:p>
    <w:p>
      <w:pPr>
        <w:pStyle w:val="S4Body"/>
      </w:pPr>
      <w:r>
        <w:t>Sessions will use the same quiet room and desk. Participants will sit at a marked position, provisionally 1 m from the robot, with both antennas visible. Robot orientation, furniture, lighting, volume, and operator position will remain fixed. Spontaneous motions and variable responses will be disabled; the operator will remain beside the stop control.</w:t>
      </w:r>
    </w:p>
    <w:p>
      <w:pPr>
        <w:pStyle w:val="S4Body"/>
      </w:pPr>
      <w:r>
        <w:rPr>
          <w:i/>
        </w:rPr>
        <w:t>[To complete: room [ ]; distance [ ]; desk/chair heights [ ]; lighting [ ]; volume [ ]; operator position [ ]; setup photograph/diagram [ ]. Record deviations by session.]</w:t>
      </w:r>
    </w:p>
    <w:p>
      <w:pPr>
        <w:pStyle w:val="S4Heading"/>
      </w:pPr>
      <w:r>
        <w:t>5.5 Study Procedure and Facilitator Script</w:t>
      </w:r>
    </w:p>
    <w:p>
      <w:pPr>
        <w:pStyle w:val="S4Body"/>
      </w:pPr>
      <w:r>
        <w:rPr>
          <w:b/>
        </w:rPr>
        <w:t xml:space="preserve">1. Prepare. </w:t>
      </w:r>
      <w:r>
        <w:t>Check condition files, audio, angle logging, stop control, and neutral recovery. Confirm survey version and order; resolve faults before starting.</w:t>
      </w:r>
    </w:p>
    <w:p>
      <w:pPr>
        <w:pStyle w:val="S4Body"/>
      </w:pPr>
      <w:r>
        <w:rPr>
          <w:b/>
        </w:rPr>
        <w:t xml:space="preserve">2. Obtain agreement. </w:t>
      </w:r>
      <w:r>
        <w:t>“You will experience two robot greetings and answer questions about each. Participation is voluntary; you may skip questions or stop at any time. Responses use a participant code. Do you agree to participate?” Record agreement and background responses. Use written notes; any participant recording requires separate agreement.</w:t>
      </w:r>
    </w:p>
    <w:p>
      <w:pPr>
        <w:pStyle w:val="S4Body"/>
      </w:pPr>
      <w:r>
        <w:rPr>
          <w:b/>
        </w:rPr>
        <w:t xml:space="preserve">3. Run the first condition. </w:t>
      </w:r>
      <w:r>
        <w:t>Read section 5.3’s instructions and run the assigned condition without naming its amplitude. Record completion and deviations. Collect HRIES, valence, arousal, the open response, and movement-size rating, in that order, without coaching.</w:t>
      </w:r>
    </w:p>
    <w:p>
      <w:pPr>
        <w:pStyle w:val="S4Body"/>
      </w:pPr>
      <w:r>
        <w:rPr>
          <w:b/>
        </w:rPr>
        <w:t xml:space="preserve">4. Run the second condition. </w:t>
      </w:r>
      <w:r>
        <w:t>After responses, hold neutral for 30 seconds. Repeat the same instructions, procedure, and measures for the second condition.</w:t>
      </w:r>
    </w:p>
    <w:p>
      <w:pPr>
        <w:pStyle w:val="S4Body"/>
      </w:pPr>
      <w:r>
        <w:rPr>
          <w:b/>
        </w:rPr>
        <w:t xml:space="preserve">5. Debrief. </w:t>
      </w:r>
      <w:r>
        <w:t>“The greetings differed in antenna movement size. We are studying whether this changes perceived emotion and sociability. Thank you for participating.” Invite questions.</w:t>
      </w:r>
    </w:p>
    <w:p>
      <w:pPr>
        <w:pStyle w:val="S4Body"/>
      </w:pPr>
      <w:r>
        <w:rPr>
          <w:b/>
        </w:rPr>
        <w:t xml:space="preserve">6. Check the record. </w:t>
      </w:r>
      <w:r>
        <w:t>Check completeness and record actual order, interruptions, repeats, faults, and environmental changes. Leave unobserved responses missing.</w:t>
      </w:r>
    </w:p>
    <w:p>
      <w:pPr>
        <w:pStyle w:val="S4Heading"/>
        <w:pageBreakBefore/>
      </w:pPr>
      <w:r>
        <w:t>5.6 Subjective Objective and Qualitative Measures</w:t>
      </w:r>
    </w:p>
    <w:p>
      <w:pPr>
        <w:pStyle w:val="S4Subheading"/>
      </w:pPr>
      <w:r>
        <w:t>Post-condition questionnaire</w:t>
      </w:r>
    </w:p>
    <w:p>
      <w:pPr>
        <w:pStyle w:val="S4Body"/>
      </w:pPr>
      <w:r>
        <w:t>Participant ID: ______    Greeting number: 1 / 2    Survey version: HRIES-greeting-v1</w:t>
      </w:r>
    </w:p>
    <w:p>
      <w:pPr>
        <w:pStyle w:val="S4Body"/>
      </w:pPr>
      <w:r>
        <w:t>Use all 16 HRIES items (Spatola et al., 2021), with the response labels from Mauliana et al. (2025, Supplementary Material, Table S1). Instructions refer to the just-completed greeting.</w:t>
      </w:r>
    </w:p>
    <w:p>
      <w:pPr>
        <w:pStyle w:val="S4Body"/>
      </w:pPr>
      <w:r>
        <w:t>“Based on the greeting you just experienced, rate how well each term describes Reachy Mini. Enter one number from 1 to 7 for each term.” Response labels: 1 = Completely NOT capable; 2 = Moderately NOT capable; 3 = Slightly NOT capable; 4 = Undecided; 5 = Slightly capable; 6 = Moderately capable; 7 = Completely capable.</w:t>
      </w:r>
    </w:p>
    <w:p>
      <w:pPr>
        <w:pStyle w:val="S4Body"/>
      </w:pPr>
      <w:r>
        <w:t>Study adaptation: swap labels 2/3 and 5/6 from the supplement to restore increasing intensity; retain all items and 1–7 scoring.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00"/>
        <w:gridCol w:w="2880"/>
        <w:gridCol w:w="1800"/>
      </w:tblGrid>
      <w:tr>
        <w:trPr>
          <w:cantSplit/>
          <w:tblHeader/>
        </w:trPr>
        <w:tc>
          <w:tcPr>
            <w:tcW w:type="dxa" w:w="2880"/>
            <w:vAlign w:val="center"/>
            <w:tcMar>
              <w:top w:w="95" w:type="dxa"/>
              <w:left w:w="95" w:type="dxa"/>
              <w:bottom w:w="95" w:type="dxa"/>
              <w:right w:w="95" w:type="dxa"/>
            </w:tcMar>
            <w:shd w:fill="E7EEF5"/>
          </w:tcPr>
          <w:p>
            <w:pPr>
              <w:pStyle w:val="S4Table"/>
              <w:keepNext/>
            </w:pPr>
            <w:r>
              <w:rPr>
                <w:b/>
              </w:rPr>
              <w:t>Term</w:t>
            </w:r>
          </w:p>
        </w:tc>
        <w:tc>
          <w:tcPr>
            <w:tcW w:type="dxa" w:w="1800"/>
            <w:vAlign w:val="center"/>
            <w:tcMar>
              <w:top w:w="95" w:type="dxa"/>
              <w:left w:w="95" w:type="dxa"/>
              <w:bottom w:w="95" w:type="dxa"/>
              <w:right w:w="95" w:type="dxa"/>
            </w:tcMar>
            <w:shd w:fill="E7EEF5"/>
          </w:tcPr>
          <w:p>
            <w:pPr>
              <w:pStyle w:val="S4Table"/>
              <w:keepNext/>
            </w:pPr>
            <w:r>
              <w:rPr>
                <w:b/>
              </w:rPr>
              <w:t>Rating 1–7</w:t>
            </w:r>
          </w:p>
        </w:tc>
        <w:tc>
          <w:tcPr>
            <w:tcW w:type="dxa" w:w="2880"/>
            <w:vAlign w:val="center"/>
            <w:tcMar>
              <w:top w:w="95" w:type="dxa"/>
              <w:left w:w="95" w:type="dxa"/>
              <w:bottom w:w="95" w:type="dxa"/>
              <w:right w:w="95" w:type="dxa"/>
            </w:tcMar>
            <w:shd w:fill="E7EEF5"/>
          </w:tcPr>
          <w:p>
            <w:pPr>
              <w:pStyle w:val="S4Table"/>
              <w:keepNext/>
            </w:pPr>
            <w:r>
              <w:rPr>
                <w:b/>
              </w:rPr>
              <w:t>Term</w:t>
            </w:r>
          </w:p>
        </w:tc>
        <w:tc>
          <w:tcPr>
            <w:tcW w:type="dxa" w:w="1800"/>
            <w:vAlign w:val="center"/>
            <w:tcMar>
              <w:top w:w="95" w:type="dxa"/>
              <w:left w:w="95" w:type="dxa"/>
              <w:bottom w:w="95" w:type="dxa"/>
              <w:right w:w="95" w:type="dxa"/>
            </w:tcMar>
            <w:shd w:fill="E7EEF5"/>
          </w:tcPr>
          <w:p>
            <w:pPr>
              <w:pStyle w:val="S4Table"/>
              <w:keepNext/>
            </w:pPr>
            <w:r>
              <w:rPr>
                <w:b/>
              </w:rPr>
              <w:t>Rating 1–7</w:t>
            </w:r>
          </w:p>
        </w:tc>
      </w:tr>
      <w:tr>
        <w:trPr>
          <w:cantSplit/>
        </w:trPr>
        <w:tc>
          <w:tcPr>
            <w:tcW w:type="dxa" w:w="2880"/>
            <w:vAlign w:val="center"/>
            <w:tcMar>
              <w:top w:w="95" w:type="dxa"/>
              <w:left w:w="95" w:type="dxa"/>
              <w:bottom w:w="95" w:type="dxa"/>
              <w:right w:w="95" w:type="dxa"/>
            </w:tcMar>
          </w:tcPr>
          <w:p>
            <w:pPr>
              <w:pStyle w:val="S4Table"/>
              <w:keepNext/>
            </w:pPr>
            <w:r>
              <w:rPr>
                <w:b w:val="0"/>
              </w:rPr>
              <w:t>1. Warm</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2. Likeable</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3. Trustworthy</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4. Friendly</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5. Alive</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6. Natural</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7. Real</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8. Human-like</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9. Self-reliant</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10. Rational</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11. Intentional</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12. Intelligent</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13. Creepy</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14. Scary</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pPr>
            <w:r>
              <w:rPr>
                <w:b w:val="0"/>
              </w:rPr>
              <w:t>15. Uncanny</w:t>
            </w:r>
          </w:p>
        </w:tc>
        <w:tc>
          <w:tcPr>
            <w:tcW w:type="dxa" w:w="1800"/>
            <w:vAlign w:val="center"/>
            <w:tcMar>
              <w:top w:w="95" w:type="dxa"/>
              <w:left w:w="95" w:type="dxa"/>
              <w:bottom w:w="95" w:type="dxa"/>
              <w:right w:w="95" w:type="dxa"/>
            </w:tcMar>
          </w:tcPr>
          <w:p>
            <w:pPr>
              <w:pStyle w:val="S4Table"/>
            </w:pPr>
            <w:r>
              <w:rPr>
                <w:b w:val="0"/>
              </w:rPr>
              <w:t>______</w:t>
            </w:r>
          </w:p>
        </w:tc>
        <w:tc>
          <w:tcPr>
            <w:tcW w:type="dxa" w:w="2880"/>
            <w:vAlign w:val="center"/>
            <w:tcMar>
              <w:top w:w="95" w:type="dxa"/>
              <w:left w:w="95" w:type="dxa"/>
              <w:bottom w:w="95" w:type="dxa"/>
              <w:right w:w="95" w:type="dxa"/>
            </w:tcMar>
          </w:tcPr>
          <w:p>
            <w:pPr>
              <w:pStyle w:val="S4Table"/>
            </w:pPr>
            <w:r>
              <w:rPr>
                <w:b w:val="0"/>
              </w:rPr>
              <w:t>16. Weird</w:t>
            </w:r>
          </w:p>
        </w:tc>
        <w:tc>
          <w:tcPr>
            <w:tcW w:type="dxa" w:w="1800"/>
            <w:vAlign w:val="center"/>
            <w:tcMar>
              <w:top w:w="95" w:type="dxa"/>
              <w:left w:w="95" w:type="dxa"/>
              <w:bottom w:w="95" w:type="dxa"/>
              <w:right w:w="95" w:type="dxa"/>
            </w:tcMar>
          </w:tcPr>
          <w:p>
            <w:pPr>
              <w:pStyle w:val="S4Table"/>
            </w:pPr>
            <w:r>
              <w:rPr>
                <w:b w:val="0"/>
              </w:rPr>
              <w:t>______</w:t>
            </w:r>
          </w:p>
        </w:tc>
      </w:tr>
    </w:tbl>
    <w:p>
      <w:pPr>
        <w:pStyle w:val="S4Body"/>
        <w:spacing w:before="140"/>
      </w:pPr>
      <w:r>
        <w:t>Average items 1–4 for sociability (primary), 5–8 for animacy, 9–12 for agency, and 13–16 for disturbance. Higher scores indicate more of each dimension. Require four responses per mean; otherwise mark it missing. Do not calculate an overall HRIES score.</w:t>
      </w:r>
    </w:p>
    <w:p>
      <w:pPr>
        <w:pStyle w:val="S4Body"/>
      </w:pPr>
      <w:r>
        <w:rPr>
          <w:b/>
        </w:rPr>
        <w:t xml:space="preserve">Valence. </w:t>
      </w:r>
      <w:r>
        <w:t>“How positive or negative did Reachy Mini’s apparent emotional state seem?” 1 = very negative; 4 = neutral; 7 = very positive. Response: ______.</w:t>
      </w:r>
    </w:p>
    <w:p>
      <w:pPr>
        <w:pStyle w:val="S4Body"/>
      </w:pPr>
      <w:r>
        <w:rPr>
          <w:b/>
        </w:rPr>
        <w:t xml:space="preserve">Arousal. </w:t>
      </w:r>
      <w:r>
        <w:t>“How emotionally activated did Reachy Mini seem?” 1 = very low activation/sleepy; 4 = moderate activation; 7 = very high activation/aroused. Activation may be positive or negative. Response: ______. These two study-created items measure perceived robot emotion and remain separate from HRIES.</w:t>
      </w:r>
    </w:p>
    <w:p>
      <w:pPr>
        <w:pStyle w:val="S4Body"/>
      </w:pPr>
      <w:r>
        <w:rPr>
          <w:b/>
        </w:rPr>
        <w:t xml:space="preserve">Open-ended question. </w:t>
      </w:r>
      <w:r>
        <w:t>“How would you describe Reachy Mini during this greeting, and what influenced your impression?” Record the response verbatim: [response].</w:t>
      </w:r>
    </w:p>
    <w:p>
      <w:pPr>
        <w:pStyle w:val="S4Body"/>
      </w:pPr>
      <w:r>
        <w:rPr>
          <w:b/>
        </w:rPr>
        <w:t xml:space="preserve">Manipulation check. </w:t>
      </w:r>
      <w:r>
        <w:t>“How large were the antenna movements during this greeting?” 1 = very small; 7 = very large. Response: ______. Administer last; compare B − A without excluding participants whose ratings do not favor B.</w:t>
      </w:r>
    </w:p>
    <w:p>
      <w:pPr>
        <w:pStyle w:val="S4Body"/>
      </w:pPr>
      <w:r>
        <w:rPr>
          <w:b/>
        </w:rPr>
        <w:t xml:space="preserve">Objective measure. </w:t>
      </w:r>
      <w:r>
        <w:t>Record completion per attempt: 1 = completed; 0 = interrupted/failed, with reason; NA = unobserved. Verify delivery using angles and event logs (section 4.2). Completion measures execution, not emotion.</w:t>
      </w:r>
    </w:p>
    <w:p>
      <w:pPr>
        <w:pStyle w:val="S4Subheading"/>
      </w:pPr>
      <w:r>
        <w:t>Records to complete after collection</w:t>
      </w:r>
    </w:p>
    <w:p>
      <w:pPr>
        <w:pStyle w:val="S4Body"/>
      </w:pPr>
      <w:r>
        <w:t>Record participant ID, session date, facilitator/operator, planned/actual order, condition, attempt, time, amplitude, completion, faults, interruptions, repeats, and deviations. Link these records to the questionnaire responses and separate scores. Use NA with a reason for missing observations; retain actual zeros.</w:t>
      </w:r>
    </w:p>
    <w:p>
      <w:pPr>
        <w:pStyle w:val="S4Body"/>
      </w:pPr>
      <w:r>
        <w:rPr>
          <w:i/>
        </w:rPr>
        <w:t>[To complete: de-identified responses [ ]; angle/event logs [ ]; session/deviation records [ ]; recruitment summary [ ].]</w:t>
      </w:r>
    </w:p>
    <w:p>
      <w:pPr>
        <w:pStyle w:val="S4Heading"/>
      </w:pPr>
      <w:r>
        <w:t>References for Section 5</w:t>
      </w:r>
    </w:p>
    <w:p>
      <w:pPr>
        <w:pStyle w:val="S4Reference"/>
      </w:pPr>
      <w:r>
        <w:rPr>
          <w:i w:val="0"/>
        </w:rPr>
        <w:t xml:space="preserve">Mauliana, M., Ashok, A., Czernochowski, D., &amp; Berns, K. (2025). Exploring LLM-powered multi-session human-robot interactions with university students. </w:t>
      </w:r>
      <w:r>
        <w:rPr>
          <w:i/>
        </w:rPr>
        <w:t>Frontiers in Robotics and AI, 12</w:t>
      </w:r>
      <w:r>
        <w:rPr>
          <w:i w:val="0"/>
        </w:rPr>
        <w:t>, Article 1585589.</w:t>
      </w:r>
      <w:r>
        <w:t xml:space="preserve"> </w:t>
      </w:r>
      <w:hyperlink r:id="rId14">
        <w:r>
          <w:rPr>
            <w:color w:val="0563C1"/>
          </w:rPr>
          <w:t>https://doi.org/10.3389/frobt.2025.1585589</w:t>
        </w:r>
      </w:hyperlink>
    </w:p>
    <w:p>
      <w:pPr>
        <w:pStyle w:val="S4Reference"/>
      </w:pPr>
      <w:r>
        <w:rPr>
          <w:i w:val="0"/>
        </w:rPr>
        <w:t xml:space="preserve">Spatola, N., Kühnlenz, B., &amp; Cheng, G. (2021). Perception and evaluation in human–robot interaction: The Human–Robot Interaction Evaluation Scale (HRIES)—A multicomponent approach of anthropomorphism. </w:t>
      </w:r>
      <w:r>
        <w:rPr>
          <w:i/>
        </w:rPr>
        <w:t>International Journal of Social Robotics, 13</w:t>
      </w:r>
      <w:r>
        <w:rPr>
          <w:i w:val="0"/>
        </w:rPr>
        <w:t>(7), 1517–1539.</w:t>
      </w:r>
      <w:r>
        <w:t xml:space="preserve"> </w:t>
      </w:r>
      <w:hyperlink r:id="rId13">
        <w:r>
          <w:rPr>
            <w:color w:val="0563C1"/>
          </w:rPr>
          <w:t>https://doi.org/10.1007/s12369-020-00667-4</w:t>
        </w:r>
      </w:hyperlink>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4Body">
    <w:name w:val="S4 Body"/>
    <w:basedOn w:val="Normal"/>
    <w:pPr>
      <w:keepLines/>
      <w:widowControl/>
      <w:spacing w:before="0" w:after="140" w:line="259" w:lineRule="auto"/>
    </w:pPr>
    <w:rPr>
      <w:rFonts w:ascii="Arial" w:hAnsi="Arial"/>
      <w:b w:val="0"/>
      <w:color w:val="000000"/>
      <w:sz w:val="22"/>
    </w:rPr>
  </w:style>
  <w:style w:type="paragraph" w:customStyle="1" w:styleId="S4Main">
    <w:name w:val="S4 Main"/>
    <w:basedOn w:val="Normal"/>
    <w:pPr>
      <w:keepNext/>
      <w:widowControl/>
      <w:spacing w:before="200" w:after="140" w:line="259" w:lineRule="auto"/>
    </w:pPr>
    <w:rPr>
      <w:rFonts w:ascii="Arial" w:hAnsi="Arial"/>
      <w:b/>
      <w:color w:val="000000"/>
      <w:sz w:val="36"/>
    </w:rPr>
  </w:style>
  <w:style w:type="paragraph" w:customStyle="1" w:styleId="S4Heading">
    <w:name w:val="S4 Heading"/>
    <w:basedOn w:val="Normal"/>
    <w:pPr>
      <w:keepNext/>
      <w:widowControl/>
      <w:spacing w:before="200" w:after="140" w:line="259" w:lineRule="auto"/>
    </w:pPr>
    <w:rPr>
      <w:rFonts w:ascii="Arial" w:hAnsi="Arial"/>
      <w:b/>
      <w:color w:val="000000"/>
      <w:sz w:val="26"/>
    </w:rPr>
  </w:style>
  <w:style w:type="paragraph" w:customStyle="1" w:styleId="S4Subheading">
    <w:name w:val="S4 Subheading"/>
    <w:basedOn w:val="Normal"/>
    <w:pPr>
      <w:keepNext/>
      <w:widowControl/>
      <w:spacing w:before="200" w:after="140" w:line="259" w:lineRule="auto"/>
    </w:pPr>
    <w:rPr>
      <w:rFonts w:ascii="Arial" w:hAnsi="Arial"/>
      <w:b/>
      <w:color w:val="000000"/>
      <w:sz w:val="22"/>
    </w:rPr>
  </w:style>
  <w:style w:type="paragraph" w:customStyle="1" w:styleId="S4Table">
    <w:name w:val="S4 Table"/>
    <w:basedOn w:val="Normal"/>
    <w:pPr>
      <w:widowControl/>
      <w:spacing w:before="0" w:after="60" w:line="247" w:lineRule="auto"/>
    </w:pPr>
    <w:rPr>
      <w:rFonts w:ascii="Arial" w:hAnsi="Arial"/>
      <w:b w:val="0"/>
      <w:color w:val="000000"/>
      <w:sz w:val="20"/>
    </w:rPr>
  </w:style>
  <w:style w:type="paragraph" w:customStyle="1" w:styleId="S4Reference">
    <w:name w:val="S4 Reference"/>
    <w:basedOn w:val="Normal"/>
    <w:pPr>
      <w:keepLines/>
      <w:widowControl/>
      <w:spacing w:before="0" w:after="180" w:line="259" w:lineRule="auto"/>
      <w:ind w:left="720" w:hanging="720"/>
    </w:pPr>
    <w:rPr>
      <w:rFonts w:ascii="Arial" w:hAnsi="Arial"/>
      <w:b w:val="0"/>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huggingface.co/spaces/pollen-robotics/emotions" TargetMode="External"/><Relationship Id="rId5" Type="http://schemas.openxmlformats.org/officeDocument/2006/relationships/styles" Target="styles.xml"/><Relationship Id="rId6" Type="http://schemas.openxmlformats.org/officeDocument/2006/relationships/hyperlink" Target="https://youtu.be/12KiuYmTLpA" TargetMode="External"/><Relationship Id="rId7" Type="http://schemas.openxmlformats.org/officeDocument/2006/relationships/image" Target="media/image1.png"/><Relationship Id="rId8" Type="http://schemas.openxmlformats.org/officeDocument/2006/relationships/hyperlink" Target="https://github.com/pollen-robotics/reachy_mini_conversation_app?utm_source=chatgpt.com" TargetMode="External"/><Relationship Id="rId11" Type="http://schemas.openxmlformats.org/officeDocument/2006/relationships/hyperlink" Target="https://doi.org/10.1037/h0077714" TargetMode="External"/><Relationship Id="rId12" Type="http://schemas.openxmlformats.org/officeDocument/2006/relationships/hyperlink" Target="https://doi.org/10.1145/1734454.1734473" TargetMode="External"/><Relationship Id="rId13" Type="http://schemas.openxmlformats.org/officeDocument/2006/relationships/hyperlink" Target="https://doi.org/10.1007/s12369-020-00667-4" TargetMode="External"/><Relationship Id="rId14" Type="http://schemas.openxmlformats.org/officeDocument/2006/relationships/hyperlink" Target="https://doi.org/10.3389/frobt.2025.1585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