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Antenna Movement and Perceived Affect in Reachy Mini Greetings</w:t>
      </w:r>
    </w:p>
    <w:p>
      <w:pPr>
        <w:pStyle w:val="Subtitle"/>
        <w:widowControl/>
      </w:pPr>
      <w:r>
        <w:t>HRI Lab 2 final report</w:t>
      </w:r>
    </w:p>
    <w:p>
      <w:pPr>
        <w:pStyle w:val="Subtitle"/>
        <w:widowControl/>
      </w:pPr>
      <w:r>
        <w:t>Four participant pilot   Study sessions 30 September 2026</w:t>
      </w:r>
    </w:p>
    <w:p>
      <w:pPr>
        <w:pStyle w:val="Heading2"/>
      </w:pPr>
      <w:r>
        <w:t>Study overview</w:t>
      </w:r>
    </w:p>
    <w:p>
      <w:pPr>
        <w:widowControl/>
      </w:pPr>
      <w:r>
        <w:t>This pilot examined whether changing Reachy Mini’s antenna amplitude during an otherwise fixed greeting changed perceived emotion and sociability. Four adults experienced Condition A at 10° and Condition B at 30° from neutral per antenna. Mean HRIES sociability was 3.69 in A and 4.31 in B; three participants rated B higher and one gave the same score. Arousal increased for two participants, while the valence difference came from one participant. These descriptive findings motivate further testing of expressive greetings, but do not establish a general effect or an optimal amplitude. All eight greetings were recorded as completed; physical telemetry is unavailable in this submission.</w:t>
      </w:r>
    </w:p>
    <w:p>
      <w:pPr>
        <w:pStyle w:val="Heading1"/>
      </w:pPr>
      <w:r>
        <w:t>1 Introduction</w:t>
      </w:r>
    </w:p>
    <w:p>
      <w:pPr>
        <w:pStyle w:val="Heading2"/>
      </w:pPr>
      <w:r>
        <w:t>HRI problem and motivation</w:t>
      </w:r>
    </w:p>
    <w:p>
      <w:pPr>
        <w:widowControl/>
      </w:pPr>
      <w:r>
        <w:t>A social robot’s greeting provides an early cue about its apparent emotional state and willingness to interact. Reachy Mini’s movable antennas offer a controllable expressive channel, but a larger movement need not communicate the same impression to every observer. We therefore investigated how an amplitude-scaled greeting influences the emotions people attribute to the robot and the social impression it creates. The study concerns human interpretation of a robot, without assuming that the robot experiences emotion.</w:t>
      </w:r>
    </w:p>
    <w:p>
      <w:pPr>
        <w:pStyle w:val="Heading2"/>
      </w:pPr>
      <w:r>
        <w:t>Relevant prior research</w:t>
      </w:r>
    </w:p>
    <w:p>
      <w:pPr>
        <w:widowControl/>
      </w:pPr>
      <w:r>
        <w:t>Saerbeck and Bartneck (2010) found that robot motion characteristics influenced attributed affect, with acceleration particularly related to arousal. This motivates a motion manipulation but does not establish how Reachy Mini’s antenna excursion will be interpreted. Russell’s (1980) circumplex model distinguishes valence from arousal: a robot can appear activated without appearing more positive. We measured these separately. HRIES distinguishes sociability, animacy, agency, and disturbance (Spatola et al., 2021); sociability offers a separate measure of social impression rather than a direct emotion score.</w:t>
      </w:r>
    </w:p>
    <w:p>
      <w:pPr>
        <w:pStyle w:val="Heading1"/>
        <w:pageBreakBefore/>
      </w:pPr>
      <w:r>
        <w:t>Research questions and study design</w:t>
      </w:r>
    </w:p>
    <w:p>
      <w:pPr>
        <w:pStyle w:val="Heading2"/>
      </w:pPr>
      <w:r>
        <w:t>Research questions and hypotheses</w:t>
      </w:r>
    </w:p>
    <w:p>
      <w:pPr>
        <w:widowControl/>
      </w:pPr>
      <w:r>
        <w:t>RQ1 asks how low versus high antenna amplitude, with greeting timing held constant, changes ratings of Reachy Mini’s perceived emotional valence and arousal. RQ2 asks how the same comparison changes HRIES sociability.</w:t>
      </w:r>
    </w:p>
    <w:p>
      <w:pPr>
        <w:widowControl/>
      </w:pPr>
      <w:r>
        <w:t>H1 predicts higher perceived arousal in Condition B than in A. H2 predicts higher HRIES sociability in B than in A. Valence is an exploratory, nondirectional comparison because larger motion does not necessarily imply greater positivity. These hypotheses formalize the study’s motivation; no preregistration or dated precollection hypothesis record is available. Animacy, agency, disturbance, and movement size remain separate secondary or supporting outcomes.</w:t>
      </w:r>
    </w:p>
    <w:p>
      <w:pPr>
        <w:pStyle w:val="Heading1"/>
      </w:pPr>
      <w:r>
        <w:t>2 Method</w:t>
      </w:r>
    </w:p>
    <w:p>
      <w:pPr>
        <w:pStyle w:val="Heading2"/>
      </w:pPr>
      <w:r>
        <w:t>Reachy Mini application</w:t>
      </w:r>
    </w:p>
    <w:p>
      <w:pPr>
        <w:widowControl/>
      </w:pPr>
      <w:r>
        <w:t>We combined components from Pollen Robotics’ Emotions and Reachy Mini Conversation App in antenna-greeting-v1 to deliver a repeatable expressive response. The participant initiated each exchange by saying “Hello”; the facilitator then triggered the response already prepared for the assigned condition. Automatic speech recognition and live LLM response generation were not used.</w:t>
      </w:r>
    </w:p>
    <w:p>
      <w:pPr>
        <w:widowControl/>
      </w:pPr>
      <w:r>
        <w:t>Emotions supplied trajectory parsing and decimation, plus distance-based transitions into and back to neutral. Custom mirrored antenna trajectories varied expressiveness to test perceived emotion and sociability. The Conversation App supplied PCM-to-floating-point audio conversion for fixed playback of “Hello, nice to meet you.” The same 1.7493125-second WAV, generated once using macOS Samantha at 170 words per minute, was replayed unchanged. Commanded head pose stayed neutral and base yaw zero; tracking and spontaneous expressive behavior were disabled. Appendix A specifies the stimulus.</w:t>
      </w:r>
    </w:p>
    <w:p>
      <w:pPr>
        <w:pStyle w:val="Heading2"/>
      </w:pPr>
      <w:r>
        <w:t>Conditions and controls</w:t>
      </w:r>
    </w:p>
    <w:tbl>
      <w:tblPr>
        <w:tblW w:type="auto" w:w="0"/>
        <w:jc w:val="center"/>
        <w:tblLayout w:type="fixed"/>
        <w:tblLook w:firstColumn="1" w:firstRow="1" w:lastColumn="0" w:lastRow="0" w:noHBand="0" w:noVBand="1" w:val="04A0"/>
      </w:tblPr>
      <w:tblGrid>
        <w:gridCol w:w="4032"/>
        <w:gridCol w:w="2981"/>
        <w:gridCol w:w="2981"/>
      </w:tblGrid>
      <w:tr>
        <w:trPr>
          <w:cantSplit/>
          <w:tblHeader/>
        </w:trPr>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pPr>
            <w:r>
              <w:rPr>
                <w:b/>
                <w:color w:val="000000"/>
                <w:sz w:val="19"/>
              </w:rPr>
              <w:t>Parameter</w:t>
            </w:r>
          </w:p>
        </w:tc>
        <w:tc>
          <w:tcPr>
            <w:tcW w:type="dxa" w:w="298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jc w:val="center"/>
            </w:pPr>
            <w:r>
              <w:rPr>
                <w:b/>
                <w:color w:val="000000"/>
                <w:sz w:val="19"/>
              </w:rPr>
              <w:t>Condition A</w:t>
            </w:r>
          </w:p>
        </w:tc>
        <w:tc>
          <w:tcPr>
            <w:tcW w:type="dxa" w:w="298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jc w:val="center"/>
            </w:pPr>
            <w:r>
              <w:rPr>
                <w:b/>
                <w:color w:val="000000"/>
                <w:sz w:val="19"/>
              </w:rPr>
              <w:t>Condition B</w:t>
            </w:r>
          </w:p>
        </w:tc>
      </w:tr>
      <w:tr>
        <w:trPr>
          <w:cantSplit/>
        </w:trPr>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Maximum displacement per antenna</w:t>
            </w:r>
          </w:p>
        </w:tc>
        <w:tc>
          <w:tcPr>
            <w:tcW w:type="dxa" w:w="298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10° from neutral</w:t>
            </w:r>
          </w:p>
        </w:tc>
        <w:tc>
          <w:tcPr>
            <w:tcW w:type="dxa" w:w="298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30° from neutral</w:t>
            </w:r>
          </w:p>
        </w:tc>
      </w:tr>
      <w:tr>
        <w:trPr>
          <w:cantSplit/>
        </w:trPr>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Peak to peak excursion</w:t>
            </w:r>
          </w:p>
        </w:tc>
        <w:tc>
          <w:tcPr>
            <w:tcW w:type="dxa" w:w="298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20°</w:t>
            </w:r>
          </w:p>
        </w:tc>
        <w:tc>
          <w:tcPr>
            <w:tcW w:type="dxa" w:w="298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60°</w:t>
            </w:r>
          </w:p>
        </w:tc>
      </w:tr>
      <w:tr>
        <w:trPr>
          <w:cantSplit/>
        </w:trPr>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Movement duration</w:t>
            </w:r>
          </w:p>
        </w:tc>
        <w:tc>
          <w:tcPr>
            <w:tcW w:type="dxa" w:w="298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4 s</w:t>
            </w:r>
          </w:p>
        </w:tc>
        <w:tc>
          <w:tcPr>
            <w:tcW w:type="dxa" w:w="298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4 s</w:t>
            </w:r>
          </w:p>
        </w:tc>
      </w:tr>
      <w:tr>
        <w:trPr>
          <w:cantSplit/>
        </w:trPr>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Complete greeting cycle</w:t>
            </w:r>
          </w:p>
        </w:tc>
        <w:tc>
          <w:tcPr>
            <w:tcW w:type="dxa" w:w="298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6 s</w:t>
            </w:r>
          </w:p>
        </w:tc>
        <w:tc>
          <w:tcPr>
            <w:tcW w:type="dxa" w:w="298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6 s</w:t>
            </w:r>
          </w:p>
        </w:tc>
      </w:tr>
      <w:tr>
        <w:trPr>
          <w:cantSplit/>
        </w:trPr>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Greeting audio</w:t>
            </w:r>
          </w:p>
        </w:tc>
        <w:tc>
          <w:tcPr>
            <w:tcW w:type="dxa" w:w="298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Same frozen WAV</w:t>
            </w:r>
          </w:p>
        </w:tc>
        <w:tc>
          <w:tcPr>
            <w:tcW w:type="dxa" w:w="298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Same frozen WAV</w:t>
            </w:r>
          </w:p>
        </w:tc>
      </w:tr>
      <w:tr>
        <w:trPr>
          <w:cantSplit/>
        </w:trPr>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Head and base targets</w:t>
            </w:r>
          </w:p>
        </w:tc>
        <w:tc>
          <w:tcPr>
            <w:tcW w:type="dxa" w:w="298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Stationary neutral</w:t>
            </w:r>
          </w:p>
        </w:tc>
        <w:tc>
          <w:tcPr>
            <w:tcW w:type="dxa" w:w="298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Stationary neutral</w:t>
            </w:r>
          </w:p>
        </w:tc>
      </w:tr>
    </w:tbl>
    <w:p>
      <w:pPr>
        <w:spacing w:after="40"/>
      </w:pPr>
    </w:p>
    <w:p>
      <w:pPr>
        <w:widowControl/>
      </w:pPr>
      <w:r>
        <w:t>Both conditions used minimum-jerk interpolation with 1 s, 2 s, and 1 s movement segments and 1 s neutral holds before and after. Motion and audio were scheduled to start at t = 1 s. Amplitude was the assigned manipulation; fixed timing coupled greater excursion with greater commanded speed and acceleration.</w:t>
      </w:r>
    </w:p>
    <w:p>
      <w:pPr>
        <w:pStyle w:val="Heading1"/>
        <w:pageBreakBefore/>
      </w:pPr>
      <w:r>
        <w:t>Participants and procedure</w:t>
      </w:r>
    </w:p>
    <w:p>
      <w:pPr>
        <w:pStyle w:val="Heading2"/>
      </w:pPr>
      <w:r>
        <w:t>Participants and task</w:t>
      </w:r>
    </w:p>
    <w:p>
      <w:pPr>
        <w:widowControl/>
      </w:pPr>
      <w:r>
        <w:t>Four adults were recruited through convenience sampling. All were aged 18–24; two reported male gender and two female gender. Three reported no prior physical-robot experience, and one reported prior experience. None had prior Reachy Mini experience. In each condition, the participant said “Hello” to initiate the exchange, observed Reachy Mini’s prepared response, and completed the post-greeting measures. P01 and P03 received AB; P02 and P04 received BA. The recorded actual orders matched these assignments.</w:t>
      </w:r>
    </w:p>
    <w:p>
      <w:pPr>
        <w:pStyle w:val="Heading2"/>
      </w:pPr>
      <w:r>
        <w:t>Setting and procedure</w:t>
      </w:r>
    </w:p>
    <w:p>
      <w:pPr>
        <w:widowControl/>
      </w:pPr>
      <w:r>
        <w:t>The source protocol specified a quiet room, the same desk, a marked seat approximately 1 m from the robot, and visibility of both antennas. Robot orientation, lighting, speaker location, output volume, and operator position were intended to stay fixed. Exact achieved distance, room identity, and audio-device/volume settings were not documented in the available participant records, so they are retained as protocol specifications rather than verified session measurements.</w:t>
      </w:r>
    </w:p>
    <w:p>
      <w:pPr>
        <w:widowControl/>
      </w:pPr>
      <w:r>
        <w:t>The facilitator first checked the stimulus, neutral return, and stop control, then obtained agreement and background information. The standardized instruction was to face the robot, say “Hello” to initiate the exchange, watch its response, and then describe the impression using the questionnaire. After the participant’s greeting, the facilitator triggered the prepared response without naming the amplitude or coaching answers. After the first questionnaire, the protocol required a 30-second neutral reset, followed by the second exchange and identical measures. Debriefing disclosed the movement-size comparison. Appendix B reproduces the facilitator script.</w:t>
      </w:r>
    </w:p>
    <w:p>
      <w:pPr>
        <w:widowControl/>
      </w:pPr>
      <w:r>
        <w:t>The protocol allowed one replacement after a technical failure or interruption, retained all attempts, and used ratings from the first completed attempt. Repetition based on ratings was prohibited. The available records contain one completed greeting per condition for each participant and no documented repeats. The planned 3–5 minutes per condition included instructions and questionnaire time; actual session durations were not recorded.</w:t>
      </w:r>
    </w:p>
    <w:p>
      <w:pPr>
        <w:pStyle w:val="Heading2"/>
      </w:pPr>
      <w:r>
        <w:t>Measures</w:t>
      </w:r>
    </w:p>
    <w:p>
      <w:pPr>
        <w:widowControl/>
      </w:pPr>
      <w:r>
        <w:t>After each greeting, the measures were administered in this order: 16 HRIES terms, valence, arousal, open response, and movement size. All ratings used 1–7 scales. Sociability was the primary HRIES dimension; animacy, agency, and disturbance were scored separately. Each dimension required all four items and was their arithmetic mean. Higher disturbance means a more disturbing impression; it was not reverse-scored. No overall HRIES score was calculated.</w:t>
      </w:r>
    </w:p>
    <w:p>
      <w:pPr>
        <w:widowControl/>
      </w:pPr>
      <w:r>
        <w:t>The HRIES items and response labels followed the uploaded study materials and the questionnaire guide in the raw workbook. Relative to Mauliana et al.’s (2025) supplement, labels at 2/3 and 5/6 were swapped to make intensity increase monotonically; numeric values remained 1–7. Instructions referred to the greeting just observed. This is a documented adaptation, and the published instrument’s validation cannot be assumed to transfer unchanged to this use.</w:t>
      </w:r>
    </w:p>
    <w:p>
      <w:pPr>
        <w:pStyle w:val="Heading1"/>
        <w:pageBreakBefore/>
      </w:pPr>
      <w:r>
        <w:t>Measures and analysis approach</w:t>
      </w:r>
    </w:p>
    <w:p>
      <w:pPr>
        <w:pStyle w:val="Heading2"/>
      </w:pPr>
      <w:r>
        <w:t>Emotion and supporting measures</w:t>
      </w:r>
    </w:p>
    <w:p>
      <w:pPr>
        <w:widowControl/>
      </w:pPr>
      <w:r>
        <w:t>Valence asked how positive or negative Reachy Mini’s apparent emotional state seemed, anchored at 1 very negative, 4 neutral, and 7 very positive. Arousal asked how emotionally activated it seemed, anchored at 1 very low activation or sleepy, 4 moderate activation, and 7 very high activation or aroused. Participants were reminded that activation can be positive or negative. These study-created items rated the robot’s apparent emotion and were neither HRIES dimensions nor validated Reachy-specific emotion scales.</w:t>
      </w:r>
    </w:p>
    <w:p>
      <w:pPr>
        <w:widowControl/>
      </w:pPr>
      <w:r>
        <w:t>The qualitative prompt was “How would you describe Reachy Mini during this greeting, and what influenced your impression?” Responses were retained verbatim. The last item asked how large the antenna movements were, from 1 very small to 7 very large. A tie or unexpected movement-size rating was retained rather than used to exclude data.</w:t>
      </w:r>
    </w:p>
    <w:p>
      <w:pPr>
        <w:widowControl/>
      </w:pPr>
      <w:r>
        <w:t>The objective measure was greeting completion per attempt: 1 when scheduled audio and movement finished, both antennas returned within ±2° of neutral, and no operator intervention occurred; 0 for an interrupted or failed greeting; NA if unobserved. Completion measures execution fidelity rather than emotional understanding. The dataset contains recorded completion values, but unavailable trial telemetry prevents independent verification of each criterion.</w:t>
      </w:r>
    </w:p>
    <w:p>
      <w:pPr>
        <w:pStyle w:val="Heading2"/>
      </w:pPr>
      <w:r>
        <w:t>Analysis approach</w:t>
      </w:r>
    </w:p>
    <w:p>
      <w:pPr>
        <w:widowControl/>
      </w:pPr>
      <w:r>
        <w:t>The participant, rather than each of the eight condition records, was the unit of paired comparison. For each outcome, we calculated condition means, sample standard deviations, medians, and each participant’s B − A difference. Means and standard deviations are reported descriptively; no inferential tests or population-level claims were made for this four-person pilot. All calculations use unrounded values; the report rounds only for display.</w:t>
      </w:r>
    </w:p>
    <w:p>
      <w:pPr>
        <w:widowControl/>
      </w:pPr>
      <w:r>
        <w:t>The raw questionnaire workbook was preserved and checked against responses.csv. Numeric outcomes agree across these sources; qualitative text differs only in apostrophe typography. analysis_ready.csv preserves the workbook wording, adds the participant-register background fields, and recomputes the four HRIES means. No items were imputed. A dimension with a missing item would remain missing, and a paired difference would require both A and B. These rules did not remove any observed ratings.</w:t>
      </w:r>
    </w:p>
    <w:p>
      <w:pPr>
        <w:widowControl/>
      </w:pPr>
      <w:r>
        <w:t>Qualitative analysis used the three descriptive categories reported in the uploaded document: robotic or mechanical impression, increased liveliness or interactivity, and little or no perceived difference. Each of the eight responses was assigned one category using its explicit wording. Counts refer to responses, not independent participants. The category definitions and all responses are provided in Appendix E. No independent double coding, agreement statistic, or saturation claim is documented.</w:t>
      </w:r>
    </w:p>
    <w:p>
      <w:pPr>
        <w:pStyle w:val="Heading1"/>
        <w:pageBreakBefore/>
      </w:pPr>
      <w:r>
        <w:t>3 Results</w:t>
      </w:r>
    </w:p>
    <w:p>
      <w:pPr>
        <w:pStyle w:val="Heading2"/>
      </w:pPr>
      <w:r>
        <w:t>Participant accounting and data quality</w:t>
      </w:r>
    </w:p>
    <w:tbl>
      <w:tblPr>
        <w:tblW w:type="auto" w:w="0"/>
        <w:jc w:val="center"/>
        <w:tblLayout w:type="fixed"/>
        <w:tblLook w:firstColumn="1" w:firstRow="1" w:lastColumn="0" w:lastRow="0" w:noHBand="0" w:noVBand="1" w:val="04A0"/>
      </w:tblPr>
      <w:tblGrid>
        <w:gridCol w:w="6768"/>
        <w:gridCol w:w="3226"/>
      </w:tblGrid>
      <w:tr>
        <w:trPr>
          <w:cantSplit/>
          <w:tblHeader/>
        </w:trPr>
        <w:tc>
          <w:tcPr>
            <w:tcW w:type="dxa" w:w="67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pPr>
            <w:r>
              <w:rPr>
                <w:b/>
                <w:color w:val="000000"/>
                <w:sz w:val="19"/>
              </w:rPr>
              <w:t>Record</w:t>
            </w:r>
          </w:p>
        </w:tc>
        <w:tc>
          <w:tcPr>
            <w:tcW w:type="dxa" w:w="32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jc w:val="center"/>
            </w:pPr>
            <w:r>
              <w:rPr>
                <w:b/>
                <w:color w:val="000000"/>
                <w:sz w:val="19"/>
              </w:rPr>
              <w:t>Count</w:t>
            </w:r>
          </w:p>
        </w:tc>
      </w:tr>
      <w:tr>
        <w:trPr>
          <w:cantSplit/>
        </w:trPr>
        <w:tc>
          <w:tcPr>
            <w:tcW w:type="dxa" w:w="67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Enrolled and agreed</w:t>
            </w:r>
          </w:p>
        </w:tc>
        <w:tc>
          <w:tcPr>
            <w:tcW w:type="dxa" w:w="32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4 participants</w:t>
            </w:r>
          </w:p>
        </w:tc>
      </w:tr>
      <w:tr>
        <w:trPr>
          <w:cantSplit/>
        </w:trPr>
        <w:tc>
          <w:tcPr>
            <w:tcW w:type="dxa" w:w="67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Completed both conditions</w:t>
            </w:r>
          </w:p>
        </w:tc>
        <w:tc>
          <w:tcPr>
            <w:tcW w:type="dxa" w:w="32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4 participants</w:t>
            </w:r>
          </w:p>
        </w:tc>
      </w:tr>
      <w:tr>
        <w:trPr>
          <w:cantSplit/>
        </w:trPr>
        <w:tc>
          <w:tcPr>
            <w:tcW w:type="dxa" w:w="67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AB order and BA order</w:t>
            </w:r>
          </w:p>
        </w:tc>
        <w:tc>
          <w:tcPr>
            <w:tcW w:type="dxa" w:w="32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2 participants each</w:t>
            </w:r>
          </w:p>
        </w:tc>
      </w:tr>
      <w:tr>
        <w:trPr>
          <w:cantSplit/>
        </w:trPr>
        <w:tc>
          <w:tcPr>
            <w:tcW w:type="dxa" w:w="67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Condition A records and Condition B records</w:t>
            </w:r>
          </w:p>
        </w:tc>
        <w:tc>
          <w:tcPr>
            <w:tcW w:type="dxa" w:w="32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4 records each</w:t>
            </w:r>
          </w:p>
        </w:tc>
      </w:tr>
      <w:tr>
        <w:trPr>
          <w:cantSplit/>
        </w:trPr>
        <w:tc>
          <w:tcPr>
            <w:tcW w:type="dxa" w:w="67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Paired comparisons per outcome</w:t>
            </w:r>
          </w:p>
        </w:tc>
        <w:tc>
          <w:tcPr>
            <w:tcW w:type="dxa" w:w="32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4 pairs</w:t>
            </w:r>
          </w:p>
        </w:tc>
      </w:tr>
      <w:tr>
        <w:trPr>
          <w:cantSplit/>
        </w:trPr>
        <w:tc>
          <w:tcPr>
            <w:tcW w:type="dxa" w:w="67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Recorded completed greetings</w:t>
            </w:r>
          </w:p>
        </w:tc>
        <w:tc>
          <w:tcPr>
            <w:tcW w:type="dxa" w:w="32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8 of 8</w:t>
            </w:r>
          </w:p>
        </w:tc>
      </w:tr>
      <w:tr>
        <w:trPr>
          <w:cantSplit/>
        </w:trPr>
        <w:tc>
          <w:tcPr>
            <w:tcW w:type="dxa" w:w="67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Excluded trials or participants</w:t>
            </w:r>
          </w:p>
        </w:tc>
        <w:tc>
          <w:tcPr>
            <w:tcW w:type="dxa" w:w="32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0</w:t>
            </w:r>
          </w:p>
        </w:tc>
      </w:tr>
      <w:tr>
        <w:trPr>
          <w:cantSplit/>
        </w:trPr>
        <w:tc>
          <w:tcPr>
            <w:tcW w:type="dxa" w:w="67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Missing HRIES and additional ratings</w:t>
            </w:r>
          </w:p>
        </w:tc>
        <w:tc>
          <w:tcPr>
            <w:tcW w:type="dxa" w:w="32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0</w:t>
            </w:r>
          </w:p>
        </w:tc>
      </w:tr>
    </w:tbl>
    <w:p>
      <w:pPr>
        <w:spacing w:after="40"/>
      </w:pPr>
    </w:p>
    <w:p>
      <w:pPr>
        <w:widowControl/>
      </w:pPr>
      <w:r>
        <w:t>All 128 HRIES item responses, 24 valence/arousal/movement-size responses, and eight open responses were available. All eight completion fields were 1. The participant register records agreement for all four participants and sessions on 30 September 2026. No technical failures, interruptions, repeats, withdrawals after enrollment, or protocol deviations were recorded. Recruitment counts before enrollment were not available.</w:t>
      </w:r>
    </w:p>
    <w:p>
      <w:pPr>
        <w:pStyle w:val="Heading2"/>
      </w:pPr>
      <w:r>
        <w:t>Missing documentation and protocol fidelity</w:t>
      </w:r>
    </w:p>
    <w:p>
      <w:pPr>
        <w:widowControl/>
      </w:pPr>
      <w:r>
        <w:t>Physical angle traces and participant trial logs are missing from this submission. The study team reports that they are retained on another person’s computer, but they were unavailable for this analysis. Consequently, achieved amplitudes, feedback rate, head/base stationarity, acoustic synchronization, neutral-return tolerance, reset duration, and a full attempt audit cannot be independently checked. This does not create missing questionnaire scores; it limits verification of the delivered stimulus and recorded completion.</w:t>
      </w:r>
    </w:p>
    <w:p>
      <w:pPr>
        <w:widowControl/>
      </w:pPr>
      <w:r>
        <w:t>The uploaded document reports simulation and physical testing before collection and links videos for both conditions. The repository retains simulation evidence, but its calibration is marked physically_verified = false, conditions remain provisional, and the physical-review record is unapproved. These records were preserved without converting pending fields into claimed verification. The report therefore uses 10° and 30° as the reported study settings, rather than as independently measured physical excursions.</w:t>
      </w:r>
    </w:p>
    <w:p>
      <w:pPr>
        <w:widowControl/>
      </w:pPr>
      <w:r>
        <w:t>The original analysis-ready workbook also contains stray text “40” in seven Date cells and fourteen failure/notes cells. The raw workbook leaves these cells blank. Those entries are not treated as dates, failures, or deviations. The regenerated analysis uses the raw workbook for responses and the participant/deviation CSV registers for session dates and recorded deviations. The originals and source hashes are retained so this correction can be traced.</w:t>
      </w:r>
    </w:p>
    <w:p>
      <w:pPr>
        <w:pStyle w:val="Heading1"/>
        <w:pageBreakBefore/>
      </w:pPr>
      <w:r>
        <w:t>HRIES results</w:t>
      </w:r>
    </w:p>
    <w:p>
      <w:pPr>
        <w:widowControl/>
      </w:pPr>
      <w:r>
        <w:t>Table 1 summarizes all four HRIES dimensions. Each condition contains four observations from the same four participants. The paired difference is calculated before rounding, so it may differ from subtraction of the displayed condition means.</w:t>
      </w:r>
    </w:p>
    <w:p>
      <w:pPr>
        <w:pStyle w:val="Heading2"/>
      </w:pPr>
      <w:r>
        <w:t>Table 1 Descriptive HRIES scores</w:t>
      </w:r>
    </w:p>
    <w:tbl>
      <w:tblPr>
        <w:tblW w:type="auto" w:w="0"/>
        <w:jc w:val="center"/>
        <w:tblLayout w:type="fixed"/>
        <w:tblLook w:firstColumn="1" w:firstRow="1" w:lastColumn="0" w:lastRow="0" w:noHBand="0" w:noVBand="1" w:val="04A0"/>
      </w:tblPr>
      <w:tblGrid>
        <w:gridCol w:w="2376"/>
        <w:gridCol w:w="1728"/>
        <w:gridCol w:w="1728"/>
        <w:gridCol w:w="1800"/>
        <w:gridCol w:w="2362"/>
      </w:tblGrid>
      <w:tr>
        <w:trPr>
          <w:cantSplit/>
          <w:tblHeader/>
        </w:trP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pPr>
            <w:r>
              <w:rPr>
                <w:b/>
                <w:color w:val="000000"/>
                <w:sz w:val="19"/>
              </w:rPr>
              <w:t>Dimension</w:t>
            </w:r>
          </w:p>
        </w:tc>
        <w:tc>
          <w:tcPr>
            <w:tcW w:type="dxa" w:w="17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jc w:val="center"/>
            </w:pPr>
            <w:r>
              <w:rPr>
                <w:b/>
                <w:color w:val="000000"/>
                <w:sz w:val="19"/>
              </w:rPr>
              <w:t>A mean</w:t>
              <w:br/>
              <w:t>SD</w:t>
            </w:r>
          </w:p>
        </w:tc>
        <w:tc>
          <w:tcPr>
            <w:tcW w:type="dxa" w:w="17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jc w:val="center"/>
            </w:pPr>
            <w:r>
              <w:rPr>
                <w:b/>
                <w:color w:val="000000"/>
                <w:sz w:val="19"/>
              </w:rPr>
              <w:t>B mean</w:t>
              <w:br/>
              <w:t>SD</w:t>
            </w:r>
          </w:p>
        </w:tc>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jc w:val="center"/>
            </w:pPr>
            <w:r>
              <w:rPr>
                <w:b/>
                <w:color w:val="000000"/>
                <w:sz w:val="19"/>
              </w:rPr>
              <w:t>Mean B − A</w:t>
            </w:r>
          </w:p>
        </w:tc>
        <w:tc>
          <w:tcPr>
            <w:tcW w:type="dxa" w:w="236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jc w:val="center"/>
            </w:pPr>
            <w:r>
              <w:rPr>
                <w:b/>
                <w:color w:val="000000"/>
                <w:sz w:val="19"/>
              </w:rPr>
              <w:t>Higher B</w:t>
              <w:br/>
              <w:t>Tied</w:t>
              <w:br/>
              <w:t>Lower B</w:t>
            </w:r>
          </w:p>
        </w:tc>
      </w:tr>
      <w:tr>
        <w:trPr>
          <w:cantSplit/>
        </w:trP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Sociability</w:t>
            </w:r>
          </w:p>
        </w:tc>
        <w:tc>
          <w:tcPr>
            <w:tcW w:type="dxa" w:w="17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3.69</w:t>
              <w:br/>
              <w:t>1.96</w:t>
            </w:r>
          </w:p>
        </w:tc>
        <w:tc>
          <w:tcPr>
            <w:tcW w:type="dxa" w:w="17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4.31</w:t>
              <w:br/>
              <w:t>1.60</w:t>
            </w:r>
          </w:p>
        </w:tc>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+0.63</w:t>
            </w:r>
          </w:p>
        </w:tc>
        <w:tc>
          <w:tcPr>
            <w:tcW w:type="dxa" w:w="236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3 / 1 / 0</w:t>
            </w:r>
          </w:p>
        </w:tc>
      </w:tr>
      <w:tr>
        <w:trPr>
          <w:cantSplit/>
        </w:trP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Animacy</w:t>
            </w:r>
          </w:p>
        </w:tc>
        <w:tc>
          <w:tcPr>
            <w:tcW w:type="dxa" w:w="17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3.19</w:t>
              <w:br/>
              <w:t>1.84</w:t>
            </w:r>
          </w:p>
        </w:tc>
        <w:tc>
          <w:tcPr>
            <w:tcW w:type="dxa" w:w="17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3.56</w:t>
              <w:br/>
              <w:t>1.74</w:t>
            </w:r>
          </w:p>
        </w:tc>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+0.38</w:t>
            </w:r>
          </w:p>
        </w:tc>
        <w:tc>
          <w:tcPr>
            <w:tcW w:type="dxa" w:w="236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3 / 1 / 0</w:t>
            </w:r>
          </w:p>
        </w:tc>
      </w:tr>
      <w:tr>
        <w:trPr>
          <w:cantSplit/>
        </w:trP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Agency</w:t>
            </w:r>
          </w:p>
        </w:tc>
        <w:tc>
          <w:tcPr>
            <w:tcW w:type="dxa" w:w="17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4.00</w:t>
              <w:br/>
              <w:t>1.50</w:t>
            </w:r>
          </w:p>
        </w:tc>
        <w:tc>
          <w:tcPr>
            <w:tcW w:type="dxa" w:w="17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4.25</w:t>
              <w:br/>
              <w:t>1.59</w:t>
            </w:r>
          </w:p>
        </w:tc>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+0.25</w:t>
            </w:r>
          </w:p>
        </w:tc>
        <w:tc>
          <w:tcPr>
            <w:tcW w:type="dxa" w:w="236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2 / 1 / 1</w:t>
            </w:r>
          </w:p>
        </w:tc>
      </w:tr>
      <w:tr>
        <w:trPr>
          <w:cantSplit/>
        </w:trP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Disturbance</w:t>
            </w:r>
          </w:p>
        </w:tc>
        <w:tc>
          <w:tcPr>
            <w:tcW w:type="dxa" w:w="17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2.69</w:t>
              <w:br/>
              <w:t>2.73</w:t>
            </w:r>
          </w:p>
        </w:tc>
        <w:tc>
          <w:tcPr>
            <w:tcW w:type="dxa" w:w="17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2.75</w:t>
              <w:br/>
              <w:t>2.68</w:t>
            </w:r>
          </w:p>
        </w:tc>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+0.06</w:t>
            </w:r>
          </w:p>
        </w:tc>
        <w:tc>
          <w:tcPr>
            <w:tcW w:type="dxa" w:w="236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1 / 2 / 1</w:t>
            </w:r>
          </w:p>
        </w:tc>
      </w:tr>
    </w:tbl>
    <w:p>
      <w:pPr>
        <w:spacing w:after="40"/>
      </w:pPr>
    </w:p>
    <w:p>
      <w:pPr>
        <w:keepNext/>
      </w:pPr>
      <w:r>
        <w:drawing>
          <wp:inline xmlns:a="http://schemas.openxmlformats.org/drawingml/2006/main" xmlns:pic="http://schemas.openxmlformats.org/drawingml/2006/picture">
            <wp:extent cx="6263640" cy="2955379"/>
            <wp:docPr id="1" name="Picture 1" descr="Figure 1. Lines connect each participant’s A and B scores, regardless of presentation order. Sociability is primary; the other HRIES dimensions are secondary. Higher disturbance indicates a more disturbing impression. N = 4 paired participants."/>
            <wp:cNvGraphicFramePr>
              <a:graphicFrameLocks noChangeAspect="1"/>
            </wp:cNvGraphicFramePr>
            <a:graphic>
              <a:graphicData uri="http://schemas.openxmlformats.org/drawingml/2006/picture">
                <pic:pic>
                  <pic:nvPicPr>
                    <pic:cNvPr id="0" name="paired_hries.png"/>
                    <pic:cNvPicPr/>
                  </pic:nvPicPr>
                  <pic:blipFill>
                    <a:blip r:embed="rId11"/>
                    <a:stretch>
                      <a:fillRect/>
                    </a:stretch>
                  </pic:blipFill>
                  <pic:spPr>
                    <a:xfrm>
                      <a:off x="0" y="0"/>
                      <a:ext cx="6263640" cy="2955379"/>
                    </a:xfrm>
                    <a:prstGeom prst="rect"/>
                  </pic:spPr>
                </pic:pic>
              </a:graphicData>
            </a:graphic>
          </wp:inline>
        </w:drawing>
      </w:r>
    </w:p>
    <w:p>
      <w:pPr>
        <w:pStyle w:val="Caption"/>
        <w:widowControl/>
      </w:pPr>
      <w:r>
        <w:t>Figure 1. Lines connect each participant’s A and B scores, regardless of presentation order. Sociability is primary; the other HRIES dimensions are secondary. Higher disturbance indicates a more disturbing impression. N = 4 paired participants.</w:t>
      </w:r>
    </w:p>
    <w:p>
      <w:pPr>
        <w:widowControl/>
      </w:pPr>
      <w:r>
        <w:t>Sociability was higher in B for P01 (+0.50), P02 (+0.75), and P04 (+1.25), and unchanged for P03. The mean difference was +0.625, displayed as +0.63. Animacy increased for three participants, with a mean difference of +0.375. Agency and disturbance showed opposing individual changes: their small group means conceal heterogeneity rather than a uniform shift. P02’s disturbance score was 6.75 in both conditions, while the other participants’ scores ranged from 1.00 to 1.75.</w:t>
      </w:r>
    </w:p>
    <w:p>
      <w:pPr>
        <w:pStyle w:val="Heading1"/>
        <w:pageBreakBefore/>
      </w:pPr>
      <w:r>
        <w:t>Perceived emotion and objective findings</w:t>
      </w:r>
    </w:p>
    <w:p>
      <w:pPr>
        <w:pStyle w:val="Heading2"/>
      </w:pPr>
      <w:r>
        <w:t>Table 2 Exploratory emotion and manipulation check ratings</w:t>
      </w:r>
    </w:p>
    <w:tbl>
      <w:tblPr>
        <w:tblW w:type="auto" w:w="0"/>
        <w:jc w:val="center"/>
        <w:tblLayout w:type="fixed"/>
        <w:tblLook w:firstColumn="1" w:firstRow="1" w:lastColumn="0" w:lastRow="0" w:noHBand="0" w:noVBand="1" w:val="04A0"/>
      </w:tblPr>
      <w:tblGrid>
        <w:gridCol w:w="2376"/>
        <w:gridCol w:w="1728"/>
        <w:gridCol w:w="1728"/>
        <w:gridCol w:w="1800"/>
        <w:gridCol w:w="2362"/>
      </w:tblGrid>
      <w:tr>
        <w:trPr>
          <w:cantSplit/>
          <w:tblHeader/>
        </w:trP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pPr>
            <w:r>
              <w:rPr>
                <w:b/>
                <w:color w:val="000000"/>
                <w:sz w:val="19"/>
              </w:rPr>
              <w:t>Measure</w:t>
            </w:r>
          </w:p>
        </w:tc>
        <w:tc>
          <w:tcPr>
            <w:tcW w:type="dxa" w:w="17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jc w:val="center"/>
            </w:pPr>
            <w:r>
              <w:rPr>
                <w:b/>
                <w:color w:val="000000"/>
                <w:sz w:val="19"/>
              </w:rPr>
              <w:t>A mean</w:t>
              <w:br/>
              <w:t>SD</w:t>
            </w:r>
          </w:p>
        </w:tc>
        <w:tc>
          <w:tcPr>
            <w:tcW w:type="dxa" w:w="17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jc w:val="center"/>
            </w:pPr>
            <w:r>
              <w:rPr>
                <w:b/>
                <w:color w:val="000000"/>
                <w:sz w:val="19"/>
              </w:rPr>
              <w:t>B mean</w:t>
              <w:br/>
              <w:t>SD</w:t>
            </w:r>
          </w:p>
        </w:tc>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jc w:val="center"/>
            </w:pPr>
            <w:r>
              <w:rPr>
                <w:b/>
                <w:color w:val="000000"/>
                <w:sz w:val="19"/>
              </w:rPr>
              <w:t>Mean B − A</w:t>
            </w:r>
          </w:p>
        </w:tc>
        <w:tc>
          <w:tcPr>
            <w:tcW w:type="dxa" w:w="236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jc w:val="center"/>
            </w:pPr>
            <w:r>
              <w:rPr>
                <w:b/>
                <w:color w:val="000000"/>
                <w:sz w:val="19"/>
              </w:rPr>
              <w:t>Higher B</w:t>
              <w:br/>
              <w:t>Tied</w:t>
              <w:br/>
              <w:t>Lower B</w:t>
            </w:r>
          </w:p>
        </w:tc>
      </w:tr>
      <w:tr>
        <w:trPr>
          <w:cantSplit/>
        </w:trP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Valence</w:t>
            </w:r>
          </w:p>
        </w:tc>
        <w:tc>
          <w:tcPr>
            <w:tcW w:type="dxa" w:w="17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4.75</w:t>
              <w:br/>
              <w:t>2.06</w:t>
            </w:r>
          </w:p>
        </w:tc>
        <w:tc>
          <w:tcPr>
            <w:tcW w:type="dxa" w:w="17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5.25</w:t>
              <w:br/>
              <w:t>1.26</w:t>
            </w:r>
          </w:p>
        </w:tc>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+0.50</w:t>
            </w:r>
          </w:p>
        </w:tc>
        <w:tc>
          <w:tcPr>
            <w:tcW w:type="dxa" w:w="236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1 / 3 / 0</w:t>
            </w:r>
          </w:p>
        </w:tc>
      </w:tr>
      <w:tr>
        <w:trPr>
          <w:cantSplit/>
        </w:trP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Arousal</w:t>
            </w:r>
          </w:p>
        </w:tc>
        <w:tc>
          <w:tcPr>
            <w:tcW w:type="dxa" w:w="17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3.75</w:t>
              <w:br/>
              <w:t>0.50</w:t>
            </w:r>
          </w:p>
        </w:tc>
        <w:tc>
          <w:tcPr>
            <w:tcW w:type="dxa" w:w="17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4.50</w:t>
              <w:br/>
              <w:t>0.58</w:t>
            </w:r>
          </w:p>
        </w:tc>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+0.75</w:t>
            </w:r>
          </w:p>
        </w:tc>
        <w:tc>
          <w:tcPr>
            <w:tcW w:type="dxa" w:w="236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2 / 2 / 0</w:t>
            </w:r>
          </w:p>
        </w:tc>
      </w:tr>
      <w:tr>
        <w:trPr>
          <w:cantSplit/>
        </w:trP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Movement size</w:t>
            </w:r>
          </w:p>
        </w:tc>
        <w:tc>
          <w:tcPr>
            <w:tcW w:type="dxa" w:w="17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2.50</w:t>
              <w:br/>
              <w:t>0.58</w:t>
            </w:r>
          </w:p>
        </w:tc>
        <w:tc>
          <w:tcPr>
            <w:tcW w:type="dxa" w:w="172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3.50</w:t>
              <w:br/>
              <w:t>1.29</w:t>
            </w:r>
          </w:p>
        </w:tc>
        <w:tc>
          <w:tcPr>
            <w:tcW w:type="dxa" w:w="18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+1.00</w:t>
            </w:r>
          </w:p>
        </w:tc>
        <w:tc>
          <w:tcPr>
            <w:tcW w:type="dxa" w:w="236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2 / 2 / 0</w:t>
            </w:r>
          </w:p>
        </w:tc>
      </w:tr>
    </w:tbl>
    <w:p>
      <w:pPr>
        <w:spacing w:after="40"/>
      </w:pPr>
    </w:p>
    <w:p>
      <w:pPr>
        <w:keepNext/>
      </w:pPr>
      <w:r>
        <w:drawing>
          <wp:inline xmlns:a="http://schemas.openxmlformats.org/drawingml/2006/main" xmlns:pic="http://schemas.openxmlformats.org/drawingml/2006/picture">
            <wp:extent cx="6263640" cy="2955379"/>
            <wp:docPr id="2" name="Picture 2" descr="Figure 2. Paired valence, arousal, and perceived movement-size ratings. Each panel retains all four participants. The measures use separate 1–7 scales and should not be combined. N = 4 paired participants."/>
            <wp:cNvGraphicFramePr>
              <a:graphicFrameLocks noChangeAspect="1"/>
            </wp:cNvGraphicFramePr>
            <a:graphic>
              <a:graphicData uri="http://schemas.openxmlformats.org/drawingml/2006/picture">
                <pic:pic>
                  <pic:nvPicPr>
                    <pic:cNvPr id="0" name="paired_affect.png"/>
                    <pic:cNvPicPr/>
                  </pic:nvPicPr>
                  <pic:blipFill>
                    <a:blip r:embed="rId12"/>
                    <a:stretch>
                      <a:fillRect/>
                    </a:stretch>
                  </pic:blipFill>
                  <pic:spPr>
                    <a:xfrm>
                      <a:off x="0" y="0"/>
                      <a:ext cx="6263640" cy="2955379"/>
                    </a:xfrm>
                    <a:prstGeom prst="rect"/>
                  </pic:spPr>
                </pic:pic>
              </a:graphicData>
            </a:graphic>
          </wp:inline>
        </w:drawing>
      </w:r>
    </w:p>
    <w:p>
      <w:pPr>
        <w:pStyle w:val="Caption"/>
        <w:widowControl/>
      </w:pPr>
      <w:r>
        <w:t>Figure 2. Paired valence, arousal, and perceived movement-size ratings. Each panel retains all four participants. The measures use separate 1–7 scales and should not be combined. N = 4 paired participants.</w:t>
      </w:r>
    </w:p>
    <w:p>
      <w:pPr>
        <w:widowControl/>
      </w:pPr>
      <w:r>
        <w:t>The valence difference was driven entirely by P04 (A = 2, B = 4); P01, P02, and P03 did not change. Arousal increased for P01 (4 to 5) and P03 (3 to 5), while P02 and P04 did not change. Movement size increased for P03 (3 to 5) and P04 (2 to 4), while P01 and P02 gave ties. Thus, the intended movement difference was perceptually salient for only two participants. All ties were retained.</w:t>
      </w:r>
    </w:p>
    <w:p>
      <w:pPr>
        <w:pStyle w:val="Heading2"/>
      </w:pPr>
      <w:r>
        <w:t>Recorded completion</w:t>
      </w:r>
    </w:p>
    <w:p>
      <w:pPr>
        <w:widowControl/>
      </w:pPr>
      <w:r>
        <w:t>Completion was recorded for 4/4 greetings in A and 4/4 in B, giving 100% in each condition and 8/8 overall. No failures or interventions were documented. This outcome does not distinguish the conditions and does not demonstrate emotion recognition or equal tracking accuracy. It is a worksheet-based execution result, qualified by the missing physical logs described above.</w:t>
      </w:r>
    </w:p>
    <w:p>
      <w:pPr>
        <w:pStyle w:val="Heading1"/>
        <w:pageBreakBefore/>
      </w:pPr>
      <w:r>
        <w:t>Qualitative findings</w:t>
      </w:r>
    </w:p>
    <w:p>
      <w:pPr>
        <w:widowControl/>
      </w:pPr>
      <w:r>
        <w:t>Three responses described a robotic or mechanical impression, two described increased liveliness or interactivity, and three indicated little or no perceived difference. Both liveliness/interactivity responses occurred in B, from P01 and P03. Table 3 shows the coding; full wording appears in Appendix E.</w:t>
      </w:r>
    </w:p>
    <w:p>
      <w:pPr>
        <w:pStyle w:val="Heading2"/>
      </w:pPr>
      <w:r>
        <w:t>Table 3 Response coding</w:t>
      </w:r>
    </w:p>
    <w:tbl>
      <w:tblPr>
        <w:tblW w:type="auto" w:w="0"/>
        <w:jc w:val="center"/>
        <w:tblLayout w:type="fixed"/>
        <w:tblLook w:firstColumn="1" w:firstRow="1" w:lastColumn="0" w:lastRow="0" w:noHBand="0" w:noVBand="1" w:val="04A0"/>
      </w:tblPr>
      <w:tblGrid>
        <w:gridCol w:w="1152"/>
        <w:gridCol w:w="1008"/>
        <w:gridCol w:w="3917"/>
        <w:gridCol w:w="3917"/>
      </w:tblGrid>
      <w:tr>
        <w:trPr>
          <w:cantSplit/>
          <w:tblHeader/>
        </w:trPr>
        <w:tc>
          <w:tcPr>
            <w:tcW w:type="dxa" w:w="11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pPr>
            <w:r>
              <w:rPr>
                <w:b/>
                <w:color w:val="000000"/>
                <w:sz w:val="19"/>
              </w:rPr>
              <w:t>Participant</w:t>
            </w:r>
          </w:p>
        </w:tc>
        <w:tc>
          <w:tcPr>
            <w:tcW w:type="dxa" w:w="100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jc w:val="center"/>
            </w:pPr>
            <w:r>
              <w:rPr>
                <w:b/>
                <w:color w:val="000000"/>
                <w:sz w:val="19"/>
              </w:rPr>
              <w:t>Condition</w:t>
            </w:r>
          </w:p>
        </w:tc>
        <w:tc>
          <w:tcPr>
            <w:tcW w:type="dxa" w:w="3917"/>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jc w:val="center"/>
            </w:pPr>
            <w:r>
              <w:rPr>
                <w:b/>
                <w:color w:val="000000"/>
                <w:sz w:val="19"/>
              </w:rPr>
              <w:t>Response excerpt</w:t>
            </w:r>
          </w:p>
        </w:tc>
        <w:tc>
          <w:tcPr>
            <w:tcW w:type="dxa" w:w="3917"/>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jc w:val="center"/>
            </w:pPr>
            <w:r>
              <w:rPr>
                <w:b/>
                <w:color w:val="000000"/>
                <w:sz w:val="19"/>
              </w:rPr>
              <w:t>Category</w:t>
            </w:r>
          </w:p>
        </w:tc>
      </w:tr>
      <w:tr>
        <w:trPr>
          <w:cantSplit/>
        </w:trPr>
        <w:tc>
          <w:tcPr>
            <w:tcW w:type="dxa" w:w="11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P01</w:t>
            </w:r>
          </w:p>
        </w:tc>
        <w:tc>
          <w:tcPr>
            <w:tcW w:type="dxa" w:w="100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A</w:t>
            </w:r>
          </w:p>
        </w:tc>
        <w:tc>
          <w:tcPr>
            <w:tcW w:type="dxa" w:w="3917"/>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“very flat” and “not … enthusiastic”</w:t>
            </w:r>
          </w:p>
        </w:tc>
        <w:tc>
          <w:tcPr>
            <w:tcW w:type="dxa" w:w="3917"/>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Robotic or mechanical</w:t>
            </w:r>
          </w:p>
        </w:tc>
      </w:tr>
      <w:tr>
        <w:trPr>
          <w:cantSplit/>
        </w:trPr>
        <w:tc>
          <w:tcPr>
            <w:tcW w:type="dxa" w:w="11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P01</w:t>
            </w:r>
          </w:p>
        </w:tc>
        <w:tc>
          <w:tcPr>
            <w:tcW w:type="dxa" w:w="100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B</w:t>
            </w:r>
          </w:p>
        </w:tc>
        <w:tc>
          <w:tcPr>
            <w:tcW w:type="dxa" w:w="3917"/>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“slightly more upbeat”</w:t>
            </w:r>
          </w:p>
        </w:tc>
        <w:tc>
          <w:tcPr>
            <w:tcW w:type="dxa" w:w="3917"/>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Increased liveliness or interactivity</w:t>
            </w:r>
          </w:p>
        </w:tc>
      </w:tr>
      <w:tr>
        <w:trPr>
          <w:cantSplit/>
        </w:trPr>
        <w:tc>
          <w:tcPr>
            <w:tcW w:type="dxa" w:w="11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P02</w:t>
            </w:r>
          </w:p>
        </w:tc>
        <w:tc>
          <w:tcPr>
            <w:tcW w:type="dxa" w:w="100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B</w:t>
            </w:r>
          </w:p>
        </w:tc>
        <w:tc>
          <w:tcPr>
            <w:tcW w:type="dxa" w:w="3917"/>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“robotic, cold, and mechanical”</w:t>
            </w:r>
          </w:p>
        </w:tc>
        <w:tc>
          <w:tcPr>
            <w:tcW w:type="dxa" w:w="3917"/>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Robotic or mechanical</w:t>
            </w:r>
          </w:p>
        </w:tc>
      </w:tr>
      <w:tr>
        <w:trPr>
          <w:cantSplit/>
        </w:trPr>
        <w:tc>
          <w:tcPr>
            <w:tcW w:type="dxa" w:w="11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P02</w:t>
            </w:r>
          </w:p>
        </w:tc>
        <w:tc>
          <w:tcPr>
            <w:tcW w:type="dxa" w:w="100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A</w:t>
            </w:r>
          </w:p>
        </w:tc>
        <w:tc>
          <w:tcPr>
            <w:tcW w:type="dxa" w:w="3917"/>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“not … very different”</w:t>
            </w:r>
          </w:p>
        </w:tc>
        <w:tc>
          <w:tcPr>
            <w:tcW w:type="dxa" w:w="3917"/>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Little or no perceived difference</w:t>
            </w:r>
          </w:p>
        </w:tc>
      </w:tr>
      <w:tr>
        <w:trPr>
          <w:cantSplit/>
        </w:trPr>
        <w:tc>
          <w:tcPr>
            <w:tcW w:type="dxa" w:w="11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P03</w:t>
            </w:r>
          </w:p>
        </w:tc>
        <w:tc>
          <w:tcPr>
            <w:tcW w:type="dxa" w:w="100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A</w:t>
            </w:r>
          </w:p>
        </w:tc>
        <w:tc>
          <w:tcPr>
            <w:tcW w:type="dxa" w:w="3917"/>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“quite robotic”</w:t>
            </w:r>
          </w:p>
        </w:tc>
        <w:tc>
          <w:tcPr>
            <w:tcW w:type="dxa" w:w="3917"/>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Robotic or mechanical</w:t>
            </w:r>
          </w:p>
        </w:tc>
      </w:tr>
      <w:tr>
        <w:trPr>
          <w:cantSplit/>
        </w:trPr>
        <w:tc>
          <w:tcPr>
            <w:tcW w:type="dxa" w:w="11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P03</w:t>
            </w:r>
          </w:p>
        </w:tc>
        <w:tc>
          <w:tcPr>
            <w:tcW w:type="dxa" w:w="100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B</w:t>
            </w:r>
          </w:p>
        </w:tc>
        <w:tc>
          <w:tcPr>
            <w:tcW w:type="dxa" w:w="3917"/>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“more interactive”</w:t>
            </w:r>
          </w:p>
        </w:tc>
        <w:tc>
          <w:tcPr>
            <w:tcW w:type="dxa" w:w="3917"/>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Increased liveliness or interactivity</w:t>
            </w:r>
          </w:p>
        </w:tc>
      </w:tr>
      <w:tr>
        <w:trPr>
          <w:cantSplit/>
        </w:trPr>
        <w:tc>
          <w:tcPr>
            <w:tcW w:type="dxa" w:w="11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P04</w:t>
            </w:r>
          </w:p>
        </w:tc>
        <w:tc>
          <w:tcPr>
            <w:tcW w:type="dxa" w:w="100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B</w:t>
            </w:r>
          </w:p>
        </w:tc>
        <w:tc>
          <w:tcPr>
            <w:tcW w:type="dxa" w:w="3917"/>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“no … particular impression”</w:t>
            </w:r>
          </w:p>
        </w:tc>
        <w:tc>
          <w:tcPr>
            <w:tcW w:type="dxa" w:w="3917"/>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Little or no perceived difference</w:t>
            </w:r>
          </w:p>
        </w:tc>
      </w:tr>
      <w:tr>
        <w:trPr>
          <w:cantSplit/>
        </w:trPr>
        <w:tc>
          <w:tcPr>
            <w:tcW w:type="dxa" w:w="11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P04</w:t>
            </w:r>
          </w:p>
        </w:tc>
        <w:tc>
          <w:tcPr>
            <w:tcW w:type="dxa" w:w="100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A</w:t>
            </w:r>
          </w:p>
        </w:tc>
        <w:tc>
          <w:tcPr>
            <w:tcW w:type="dxa" w:w="3917"/>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“no … particular impression”</w:t>
            </w:r>
          </w:p>
        </w:tc>
        <w:tc>
          <w:tcPr>
            <w:tcW w:type="dxa" w:w="3917"/>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Little or no perceived difference</w:t>
            </w:r>
          </w:p>
        </w:tc>
      </w:tr>
    </w:tbl>
    <w:p>
      <w:pPr>
        <w:spacing w:after="40"/>
      </w:pPr>
    </w:p>
    <w:p>
      <w:pPr>
        <w:widowControl/>
      </w:pPr>
      <w:r>
        <w:t>P01 described A as flat and lacking enthusiasm, then B as slightly more upbeat. P03 wanted more interaction in A and described B as more interactive. However, P02 described B as cold and mechanical, and P04 reported no particular impression in either condition. The larger greeting therefore did not create a uniformly lively interpretation.</w:t>
      </w:r>
    </w:p>
    <w:p>
      <w:pPr>
        <w:pStyle w:val="Heading2"/>
      </w:pPr>
      <w:r>
        <w:t>Convergence and disagreement across evidence</w:t>
      </w:r>
    </w:p>
    <w:p>
      <w:pPr>
        <w:widowControl/>
      </w:pPr>
      <w:r>
        <w:t>P01’s liveliness description accompanied higher sociability and arousal, even though movement-size ratings were tied. P03 described B as more interactive and rated it higher on arousal and movement size, but sociability was unchanged. P04’s sociability, valence, and movement-size ratings increased without a distinctive qualitative impression. P02 rated sociability higher in B while retaining high disturbance and describing B as mechanical. These cases show why social impression, emotional activation, and noticed movement should remain separate constructs.</w:t>
      </w:r>
    </w:p>
    <w:p>
      <w:pPr>
        <w:widowControl/>
      </w:pPr>
      <w:r>
        <w:t>P01 and P03 referred to vocal tone or pace even though the programmed recording and playback timing were unchanged. Their comments raise a possible visual influence on perceived speech, but do not verify a change in the audio signal or establish a cross-modal mechanism. No acoustic participant-session recordings were available to resolve that interpretation.</w:t>
      </w:r>
    </w:p>
    <w:p>
      <w:pPr>
        <w:pStyle w:val="Heading1"/>
        <w:pageBreakBefore/>
      </w:pPr>
      <w:r>
        <w:t>4 Discussion</w:t>
      </w:r>
    </w:p>
    <w:p>
      <w:pPr>
        <w:pStyle w:val="Heading2"/>
      </w:pPr>
      <w:r>
        <w:t>Answers to the research questions</w:t>
      </w:r>
    </w:p>
    <w:p>
      <w:pPr>
        <w:widowControl/>
      </w:pPr>
      <w:r>
        <w:t>For RQ1, the pilot shows a clearer descriptive shift in arousal than in valence. Mean arousal increased by 0.75 points, with increases for two participants and ties for two; this is partial directional support for H1. Mean valence increased by 0.50 points, but only P04 changed. The data therefore do not support a general claim that larger antenna movements make Reachy Mini appear more positive.</w:t>
      </w:r>
    </w:p>
    <w:p>
      <w:pPr>
        <w:widowControl/>
      </w:pPr>
      <w:r>
        <w:t>For RQ2, sociability increased by a mean of 0.625 points, with three increases, one tie, and no decreases. This provides descriptive support for H2 within this sample. It is the most consistent individual pattern among the focal outcomes. Yet positive changes in sociability did not always accompany liveliness descriptions or perceived movement-size changes, and B did not remove P02’s disturbing impression. The conclusion concerns initial impressions from this greeting, rather than trust, acceptance, or long-term relationship quality.</w:t>
      </w:r>
    </w:p>
    <w:p>
      <w:pPr>
        <w:pStyle w:val="Heading2"/>
      </w:pPr>
      <w:r>
        <w:t>Interpretation and alternative explanations</w:t>
      </w:r>
    </w:p>
    <w:p>
      <w:pPr>
        <w:widowControl/>
      </w:pPr>
      <w:r>
        <w:t>The arousal pattern is compatible with the motion–affect relationship motivating the study (Saerbeck &amp; Bartneck, 2010). Because increasing amplitude under fixed timing also increases speed and acceleration, the evidence pertains to the entire amplitude-scaled greeting. It cannot identify angular excursion alone as the cause. Larger movements could also change motor noise, vibration, or tracking behavior; missing physical telemetry and acoustic records prevent checking these alternatives.</w:t>
      </w:r>
    </w:p>
    <w:p>
      <w:pPr>
        <w:widowControl/>
      </w:pPr>
      <w:r>
        <w:t>The comments about unchanged speech suggest that visual motion may affect a broader impression of the greeting. Order, habituation, expectations, and ordinary response variability are also plausible. The two liveliness/interactivity comments came from AB participants, who encountered B second; neither BA participant used that category. Sociability increased in participants from both orders, but two participants per order are insufficient to separate order effects from participant differences. Counterbalancing reduces a systematic order imbalance without eliminating carryover.</w:t>
      </w:r>
    </w:p>
    <w:p>
      <w:pPr>
        <w:pStyle w:val="Heading2"/>
      </w:pPr>
      <w:r>
        <w:t>Limitations</w:t>
      </w:r>
    </w:p>
    <w:p>
      <w:pPr>
        <w:widowControl/>
      </w:pPr>
      <w:r>
        <w:t>Four convenience-sampled adults in one age band provide little basis for generalization; a single participant can determine an apparent mean effect. A six-second scripted robot response within a brief greeting exchange differs from sustained HRI. The two emotion items are study-created, and the HRIES instructions and anchor ordering were adapted. Reliability and validity of these adaptations were not evaluated in this sample. Qualitative coding is descriptive, with no documented independent coding or agreement assessment.</w:t>
      </w:r>
    </w:p>
    <w:p>
      <w:pPr>
        <w:widowControl/>
      </w:pPr>
      <w:r>
        <w:t>Only half the sample perceived larger antenna movement in B. Recorded completion has a ceiling and cannot verify the physical manipulation. Missing logs, pending calibration/review records, and incomplete room/audio metadata further limit replication of the original exposure. A larger study should resolve these documentation gaps before collecting new participant data.</w:t>
      </w:r>
    </w:p>
    <w:p>
      <w:pPr>
        <w:pStyle w:val="Heading1"/>
        <w:pageBreakBefore/>
      </w:pPr>
      <w:r>
        <w:t>Design implications and follow up study</w:t>
      </w:r>
    </w:p>
    <w:p>
      <w:pPr>
        <w:pStyle w:val="Heading2"/>
      </w:pPr>
      <w:r>
        <w:t>Design implications</w:t>
      </w:r>
    </w:p>
    <w:p>
      <w:pPr>
        <w:widowControl/>
      </w:pPr>
      <w:r>
        <w:t>Larger antenna movement is a candidate for making this particular greeting seem more sociable or activated to some users. The pilot does not justify selecting 30° as an optimal amplitude or equating activation with positivity. A practical next design iteration is to coordinate antenna motion with an emphasized word in the greeting, then test whether this makes the cue easier to interpret. Speech timing, motor sound, physical range, and user comfort should be checked together, because they contribute to the experienced greeting.</w:t>
      </w:r>
    </w:p>
    <w:p>
      <w:pPr>
        <w:pStyle w:val="Heading2"/>
      </w:pPr>
      <w:r>
        <w:t>Proposed follow up study</w:t>
      </w:r>
    </w:p>
    <w:p>
      <w:pPr>
        <w:widowControl/>
      </w:pPr>
      <w:r>
        <w:t>A follow-up would test whether visual antenna motion changes the perception of identical speech. Use three motion conditions: no antenna motion, A at 10°, and B at 30°, with the same prerecorded greeting, volume, head/base posture, and viewing arrangement. Counterbalance all six presentation orders across a larger, more diverse adult sample. Choose the sample size through a prospective precision or power analysis for a prespecified meaningful paired effect, rather than treating this unstable four-person estimate as definitive.</w:t>
      </w:r>
    </w:p>
    <w:p>
      <w:pPr>
        <w:widowControl/>
      </w:pPr>
      <w:r>
        <w:t>Retain sociability and arousal as prespecified focal outcomes and measure perceived speaking pace and vocal enthusiasm separately. Use an audio-only comparison to help assess whether any perceived vocal change depends on visible motion. Log calibrated angles, actual acoustic onset, head/base pose, motor sound, all attempts, and participant order. Pretest item comprehension and use independently coded open responses with documented category rules. Report all missingness and failures, rather than excluding participants who do not notice the manipulation.</w:t>
      </w:r>
    </w:p>
    <w:p>
      <w:pPr>
        <w:widowControl/>
      </w:pPr>
      <w:r>
        <w:t>This follow-up would still compare amplitude-scaled movements under fixed timing. A separate amplitude-by-duration experiment is needed to investigate spatial excursion and kinematics more directly, with measured speed and acceleration and prespecified contrasts. The present pilot motivates these tests; it cannot substitute for them.</w:t>
      </w:r>
    </w:p>
    <w:p>
      <w:pPr>
        <w:pStyle w:val="Heading2"/>
      </w:pPr>
      <w:r>
        <w:t>Conclusion</w:t>
      </w:r>
    </w:p>
    <w:p>
      <w:pPr>
        <w:widowControl/>
      </w:pPr>
      <w:r>
        <w:t>The four-participant pilot yielded a consistent descriptive increase in sociability for most participants, a mixed increase in arousal, and weak evidence of increased valence. Recorded greetings completed in both conditions, while qualitative accounts showed varied and sometimes conflicting interpretations. The findings support further controlled development of antenna-based greetings. Their scope remains limited to this sample and stimulus, and independent delivery verification awaits the physical records retained elsewhere.</w:t>
      </w:r>
    </w:p>
    <w:p>
      <w:pPr>
        <w:pStyle w:val="Heading1"/>
        <w:pageBreakBefore/>
      </w:pPr>
      <w:r>
        <w:t>5 References</w:t>
      </w:r>
    </w:p>
    <w:p>
      <w:pPr>
        <w:widowControl/>
        <w:ind w:left="288" w:hanging="288"/>
      </w:pPr>
      <w:r>
        <w:rPr>
          <w:sz w:val="20"/>
        </w:rPr>
        <w:t>Mauliana, M., Ashok, A., Czernochowski, D., &amp; Berns, K. (2025). Exploring LLM-powered multi-session human-robot interactions with university students. Frontiers in Robotics and AI, 12, Article 1585589. https://doi.org/10.3389/frobt.2025.1585589</w:t>
      </w:r>
    </w:p>
    <w:p>
      <w:pPr>
        <w:widowControl/>
        <w:ind w:left="288" w:hanging="288"/>
      </w:pPr>
      <w:r>
        <w:rPr>
          <w:sz w:val="20"/>
        </w:rPr>
        <w:t>Mauliana, M., Ashok, A., Czernochowski, D., &amp; Berns, K. (2025). Supplementary material for Exploring LLM-powered multi-session human-robot interactions with university students, Table S1. Frontiers in Robotics and AI. https://public-pages-files-2025.frontiersin.org/articles/1585589/file/Data_Sheet_1.pdf/1585589_data-sheet_1/1</w:t>
      </w:r>
    </w:p>
    <w:p>
      <w:pPr>
        <w:widowControl/>
        <w:ind w:left="288" w:hanging="288"/>
      </w:pPr>
      <w:r>
        <w:rPr>
          <w:sz w:val="20"/>
        </w:rPr>
        <w:t>Russell, J. A. (1980). A circumplex model of affect. Journal of Personality and Social Psychology, 39(6), 1161–1178. https://doi.org/10.1037/h0077714</w:t>
      </w:r>
    </w:p>
    <w:p>
      <w:pPr>
        <w:widowControl/>
        <w:ind w:left="288" w:hanging="288"/>
      </w:pPr>
      <w:r>
        <w:rPr>
          <w:sz w:val="20"/>
        </w:rPr>
        <w:t>Saerbeck, M., &amp; Bartneck, C. (2010). Perception of affect elicited by robot motion. In Proceedings of the 5th ACM/IEEE International Conference on Human-Robot Interaction (pp. 53–60). Association for Computing Machinery. https://doi.org/10.1145/1734454.1734473</w:t>
      </w:r>
    </w:p>
    <w:p>
      <w:pPr>
        <w:widowControl/>
        <w:ind w:left="288" w:hanging="288"/>
      </w:pPr>
      <w:r>
        <w:rPr>
          <w:sz w:val="20"/>
        </w:rPr>
        <w:t>Spatola, N., Kühnlenz, B., &amp; Cheng, G. (2021). Perception and evaluation in human–robot interaction: The Human–Robot Interaction Evaluation Scale (HRIES)—A multicomponent approach of anthropomorphism. International Journal of Social Robotics, 13, 1517–1539. https://doi.org/10.1007/s12369-020-00667-4</w:t>
      </w:r>
    </w:p>
    <w:p>
      <w:pPr>
        <w:widowControl/>
        <w:ind w:left="288" w:hanging="288"/>
      </w:pPr>
      <w:r>
        <w:rPr>
          <w:sz w:val="20"/>
        </w:rPr>
        <w:t>Pollen Robotics. (n.d.). Reachy Mini Conversation App [Source code, revision b9f58a3587d79a3275d4402d1a8d210649d62d50]. https://github.com/pollen-robotics/reachy_mini_conversation_app/tree/b9f58a3587d79a3275d4402d1a8d210649d62d50</w:t>
      </w:r>
    </w:p>
    <w:p>
      <w:pPr>
        <w:widowControl/>
        <w:ind w:left="288" w:hanging="288"/>
      </w:pPr>
      <w:r>
        <w:rPr>
          <w:sz w:val="20"/>
        </w:rPr>
        <w:t>Pollen Robotics. (n.d.). Emotions [Source code, revision cde39d23da61ada61d9ae4635bee051334434b44]. https://huggingface.co/spaces/pollen-robotics/emotions/tree/cde39d23da61ada61d9ae4635bee051334434b44</w:t>
      </w:r>
    </w:p>
    <w:p>
      <w:pPr>
        <w:pStyle w:val="Heading2"/>
      </w:pPr>
      <w:r>
        <w:t>Study repository and supplied evidence</w:t>
      </w:r>
    </w:p>
    <w:p>
      <w:pPr>
        <w:widowControl/>
      </w:pPr>
      <w:r>
        <w:t>Study repository: https://github.com/JullyL/reachy-mini-lab2. The submission archive preserves a local snapshot, source hashes, raw data, analysis outputs, and materials, so reproducing the reported statistics does not depend on the current online repository state.</w:t>
      </w:r>
    </w:p>
    <w:p>
      <w:pPr>
        <w:widowControl/>
      </w:pPr>
      <w:r>
        <w:t>The uploaded report lists Condition A demonstration video https://youtu.be/vijyzRWCf5Q and Condition B demonstration video https://youtu.be/zgnbT399KMQ. These are retained evidence links, not replacements for missing participant telemetry. Earlier setup and head-nod exercises are not part of the antenna-only study stimulus.</w:t>
      </w:r>
    </w:p>
    <w:p>
      <w:pPr>
        <w:pStyle w:val="Heading1"/>
        <w:pageBreakBefore/>
      </w:pPr>
      <w:r>
        <w:t>Appendix A Conditions and implementation</w:t>
      </w:r>
    </w:p>
    <w:p>
      <w:pPr>
        <w:widowControl/>
      </w:pPr>
      <w:r>
        <w:t>Study version antenna-greeting-v1. The parameter antenna_amplitude_deg is maximum displacement from calibrated neutral per antenna. These are reported study settings; the archived physical verification record remains pending.</w:t>
      </w:r>
    </w:p>
    <w:tbl>
      <w:tblPr>
        <w:tblW w:type="auto" w:w="0"/>
        <w:jc w:val="center"/>
        <w:tblLayout w:type="fixed"/>
        <w:tblLook w:firstColumn="1" w:firstRow="1" w:lastColumn="0" w:lastRow="0" w:noHBand="0" w:noVBand="1" w:val="04A0"/>
      </w:tblPr>
      <w:tblGrid>
        <w:gridCol w:w="3744"/>
        <w:gridCol w:w="3125"/>
        <w:gridCol w:w="3125"/>
      </w:tblGrid>
      <w:tr>
        <w:trPr>
          <w:cantSplit/>
          <w:tblHeader/>
        </w:trPr>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pPr>
            <w:r>
              <w:rPr>
                <w:b/>
                <w:color w:val="000000"/>
                <w:sz w:val="19"/>
              </w:rPr>
              <w:t>Property</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jc w:val="center"/>
            </w:pPr>
            <w:r>
              <w:rPr>
                <w:b/>
                <w:color w:val="000000"/>
                <w:sz w:val="19"/>
              </w:rPr>
              <w:t>Condition A</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jc w:val="center"/>
            </w:pPr>
            <w:r>
              <w:rPr>
                <w:b/>
                <w:color w:val="000000"/>
                <w:sz w:val="19"/>
              </w:rPr>
              <w:t>Condition B</w:t>
            </w:r>
          </w:p>
        </w:tc>
      </w:tr>
      <w:tr>
        <w:trPr>
          <w:cantSplit/>
        </w:trPr>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Maximum displacement</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10° = 0.174533 rad</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30° = 0.523599 rad</w:t>
            </w:r>
          </w:p>
        </w:tc>
      </w:tr>
      <w:tr>
        <w:trPr>
          <w:cantSplit/>
        </w:trPr>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Full excursion</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20°</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60°</w:t>
            </w:r>
          </w:p>
        </w:tc>
      </w:tr>
      <w:tr>
        <w:trPr>
          <w:cantSplit/>
        </w:trPr>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Left antenna waypoints</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0 → +10 → −10 → 0°</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0 → +30 → −30 → 0°</w:t>
            </w:r>
          </w:p>
        </w:tc>
      </w:tr>
      <w:tr>
        <w:trPr>
          <w:cantSplit/>
        </w:trPr>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Right antenna waypoints</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0 → −10 → +10 → 0°</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0 → −30 → +30 → 0°</w:t>
            </w:r>
          </w:p>
        </w:tc>
      </w:tr>
      <w:tr>
        <w:trPr>
          <w:cantSplit/>
        </w:trPr>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SDK array order</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Right then left</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Right then left</w:t>
            </w:r>
          </w:p>
        </w:tc>
      </w:tr>
      <w:tr>
        <w:trPr>
          <w:cantSplit/>
        </w:trPr>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Prehold and posthold</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1 s each</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1 s each</w:t>
            </w:r>
          </w:p>
        </w:tc>
      </w:tr>
      <w:tr>
        <w:trPr>
          <w:cantSplit/>
        </w:trPr>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Movement segment durations</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1 s, 2 s, 1 s</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1 s, 2 s, 1 s</w:t>
            </w:r>
          </w:p>
        </w:tc>
      </w:tr>
      <w:tr>
        <w:trPr>
          <w:cantSplit/>
        </w:trPr>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Interpolation and command rate</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Minimum jerk at 50 Hz</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Minimum jerk at 50 Hz</w:t>
            </w:r>
          </w:p>
        </w:tc>
      </w:tr>
      <w:tr>
        <w:trPr>
          <w:cantSplit/>
        </w:trPr>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Scheduled motion and audio start</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t = 1 s</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t = 1 s</w:t>
            </w:r>
          </w:p>
        </w:tc>
      </w:tr>
      <w:tr>
        <w:trPr>
          <w:cantSplit/>
        </w:trPr>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Scheduled motion end and cycle end</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t = 5 s and t = 6 s</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t = 5 s and t = 6 s</w:t>
            </w:r>
          </w:p>
        </w:tc>
      </w:tr>
      <w:tr>
        <w:trPr>
          <w:cantSplit/>
        </w:trPr>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Audio and software gain</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hello.wav at gain 1.0</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Same file and gain</w:t>
            </w:r>
          </w:p>
        </w:tc>
      </w:tr>
      <w:tr>
        <w:trPr>
          <w:cantSplit/>
        </w:trPr>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Head target and base yaw</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Identity pose and 0 rad</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Identity pose and 0 rad</w:t>
            </w:r>
          </w:p>
        </w:tc>
      </w:tr>
      <w:tr>
        <w:trPr>
          <w:cantSplit/>
        </w:trPr>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Greeting exposure</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One completed greeting</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jc w:val="center"/>
            </w:pPr>
            <w:r>
              <w:rPr>
                <w:b w:val="0"/>
                <w:color w:val="000000"/>
                <w:sz w:val="19"/>
              </w:rPr>
              <w:t>One completed greeting</w:t>
            </w:r>
          </w:p>
        </w:tc>
      </w:tr>
      <w:tr>
        <w:trPr>
          <w:cantSplit/>
        </w:trPr>
        <w:tc>
          <w:tcPr>
            <w:tcW w:type="dxa" w:w="37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Neutral reset between conditions</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30 s after questionnaire</w:t>
            </w:r>
          </w:p>
        </w:tc>
        <w:tc>
          <w:tcPr>
            <w:tcW w:type="dxa" w:w="3125"/>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jc w:val="center"/>
            </w:pPr>
            <w:r>
              <w:rPr>
                <w:b w:val="0"/>
                <w:color w:val="000000"/>
                <w:sz w:val="19"/>
              </w:rPr>
              <w:t>30 s after questionnaire</w:t>
            </w:r>
          </w:p>
        </w:tc>
      </w:tr>
    </w:tbl>
    <w:p>
      <w:pPr>
        <w:spacing w:after="40"/>
      </w:pPr>
    </w:p>
    <w:p>
      <w:pPr>
        <w:widowControl/>
      </w:pPr>
      <w:r>
        <w:t>In both conditions, the participant first says “Hello”; the facilitator then triggers the prepared robot response. The six-second cycle measures the robot’s response, excluding the participant’s initiation and operator delay. The exact WAV is assets/greeting/hello.wav at 16,000 Hz. SHA-256: 87306852e02c15f481cc53773a3f28d1722a8dca5318194053fe30300a695c06. Replay this file rather than regenerating speech. Physical speaker device and operating-system volume must be recorded for a future replication; they are unavailable for the original sessions.</w:t>
      </w:r>
    </w:p>
    <w:p>
      <w:pPr>
        <w:widowControl/>
      </w:pPr>
      <w:r>
        <w:t>Configuration tolerances specify a 50 Hz feedback-poll target, minimum 20 Hz, ±3° excursion tolerance, ±2° neutral/head rotation/base yaw tolerance, 2 mm head translation tolerance, and ±50 ms timing tolerance. These are engineering targets, not achieved measurements in the submitted participant data. Initial commissioning used half amplitudes of 5° and 15° in the protocol; those values are not participant conditions.</w:t>
      </w:r>
    </w:p>
    <w:p>
      <w:pPr>
        <w:pStyle w:val="Heading1"/>
        <w:pageBreakBefore/>
      </w:pPr>
      <w:r>
        <w:t>Appendix B Facilitator and participant materials</w:t>
      </w:r>
    </w:p>
    <w:p>
      <w:pPr>
        <w:pStyle w:val="Heading2"/>
      </w:pPr>
      <w:r>
        <w:t>Preparation and enrollment</w:t>
      </w:r>
    </w:p>
    <w:p>
      <w:pPr>
        <w:widowControl/>
      </w:pPr>
      <w:r>
        <w:t>Before enrollment, check robot state, unobstructed clearance, neutral return, the stop control, the frozen audio/configuration, and the questionnaire version. End other robot controllers. For new physical sessions, complete the repository’s commissioning and physical-review requirements; the archived gate must not be treated as approved. Prepare the assigned order without displaying A/B amplitudes to the participant.</w:t>
      </w:r>
    </w:p>
    <w:p>
      <w:pPr>
        <w:widowControl/>
      </w:pPr>
      <w:r>
        <w:t>Read: “You will experience two robot greetings and answer questions about each. Participation is voluntary; you may skip questions or stop at any time. Responses use a participant code. Do you agree to participate?” Record agreement without storing participant names in the dataset. Written notes are used; participant recording requires separate agreement.</w:t>
      </w:r>
    </w:p>
    <w:p>
      <w:pPr>
        <w:pStyle w:val="Heading2"/>
      </w:pPr>
      <w:r>
        <w:t>Background form</w:t>
      </w:r>
    </w:p>
    <w:p>
      <w:pPr>
        <w:widowControl/>
      </w:pPr>
      <w:r>
        <w:t>Participant code __________   Agreement yes / no   Age band __________</w:t>
        <w:br/>
        <w:t>Gender optional __________</w:t>
        <w:br/>
        <w:t>Prior experience with physical robots none / prior experience / prefer not to answer</w:t>
        <w:br/>
        <w:t>Prior experience with Reachy Mini yes / no / prefer not to answer</w:t>
      </w:r>
    </w:p>
    <w:p>
      <w:pPr>
        <w:widowControl/>
      </w:pPr>
      <w:r>
        <w:t>The retained dataset summarizes physical-robot experience as none or prior experience. The earlier protocol draft proposed none/occasional/frequent; no occasional/frequent distinctions are available, and none are reconstructed.</w:t>
      </w:r>
    </w:p>
    <w:p>
      <w:pPr>
        <w:pStyle w:val="Heading2"/>
      </w:pPr>
      <w:r>
        <w:t>Condition administration</w:t>
      </w:r>
    </w:p>
    <w:p>
      <w:pPr>
        <w:widowControl/>
      </w:pPr>
      <w:r>
        <w:t>Read before each greeting: “Please face the robot and say ‘Hello’ to begin. Watch the robot’s response. When it finishes, describe your impression of the robot using the questionnaire. There are no right or wrong answers.”</w:t>
      </w:r>
    </w:p>
    <w:p>
      <w:pPr>
        <w:widowControl/>
      </w:pPr>
      <w:r>
        <w:t>Have the assigned response ready. After the participant says “Hello,” use the operator trigger to start that response without naming the amplitude. Record completion, interruption/failure, operator intervention, and environmental changes. Administer Appendix C without coaching: HRIES first, then valence, arousal, the verbatim open response, and movement size last. Do not repeat a greeting to change a rating.</w:t>
      </w:r>
    </w:p>
    <w:p>
      <w:pPr>
        <w:widowControl/>
      </w:pPr>
      <w:r>
        <w:t>After the first questionnaire, maintain the neutral pose for 30 seconds, then repeat the same instructions and measures for the second condition. If an interruption or technical fault prevents completion, preserve its record, resolve the problem, and allow at most one replacement; flag prior exposure. Stop the condition if the replacement also fails. Use ratings from the first completed attempt.</w:t>
      </w:r>
    </w:p>
    <w:p>
      <w:pPr>
        <w:pStyle w:val="Heading2"/>
      </w:pPr>
      <w:r>
        <w:t>Debrief and record check</w:t>
      </w:r>
    </w:p>
    <w:p>
      <w:pPr>
        <w:widowControl/>
      </w:pPr>
      <w:r>
        <w:t>Read: “The greetings differed in antenna movement size. We are studying whether this changes perceived emotion and sociability. Thank you for participating.” Invite questions. Check participant code, assigned and actual order, greeting number, responses, and any faults/repeats. Preserve missing responses rather than filling them in.</w:t>
      </w:r>
    </w:p>
    <w:p>
      <w:pPr>
        <w:widowControl/>
      </w:pPr>
      <w:r>
        <w:t>Session record fields: date; facilitator/operator; actual distance and viewing angle; room; speaker device and volume; robot identity; calibrated neutral; configuration/audio/code hashes; condition and amplitude; attempt/repeat identifier; start/end; completion and reason; achieved joint feedback; head/base checks; acoustic timing; neutral recovery; environmental notes. These fields define what a replication should retain; they do not imply that all were available for this pilot.</w:t>
      </w:r>
    </w:p>
    <w:p>
      <w:pPr>
        <w:pStyle w:val="Heading1"/>
        <w:pageBreakBefore/>
      </w:pPr>
      <w:r>
        <w:t>Appendix C Post greeting questionnaire</w:t>
      </w:r>
    </w:p>
    <w:p>
      <w:pPr>
        <w:widowControl/>
      </w:pPr>
      <w:r>
        <w:t>Participant code __________   Greeting number 1 / 2</w:t>
        <w:br/>
        <w:t>Survey version HRIES-greeting-v1</w:t>
      </w:r>
    </w:p>
    <w:p>
      <w:pPr>
        <w:widowControl/>
      </w:pPr>
      <w:r>
        <w:t>“Based on the greeting you just experienced, rate how well each term describes Reachy Mini. Enter one number from 1 to 7 for each term.”</w:t>
      </w:r>
    </w:p>
    <w:p>
      <w:pPr>
        <w:widowControl/>
      </w:pPr>
      <w:r>
        <w:t>1 Completely NOT capable   2 Moderately NOT capable</w:t>
        <w:br/>
        <w:t>3 Slightly NOT capable   4 Undecided   5 Slightly capable</w:t>
        <w:br/>
        <w:t>6 Moderately capable   7 Completely capable</w:t>
      </w:r>
    </w:p>
    <w:p>
      <w:pPr>
        <w:widowControl/>
        <w:tabs>
          <w:tab w:pos="4896" w:val="left"/>
        </w:tabs>
        <w:spacing w:after="160"/>
      </w:pPr>
      <w:r>
        <w:t>1 Warm  ______</w:t>
        <w:tab/>
        <w:t>2 Likeable  ______</w:t>
      </w:r>
    </w:p>
    <w:p>
      <w:pPr>
        <w:widowControl/>
        <w:tabs>
          <w:tab w:pos="4896" w:val="left"/>
        </w:tabs>
        <w:spacing w:after="160"/>
      </w:pPr>
      <w:r>
        <w:t>3 Trustworthy  ______</w:t>
        <w:tab/>
        <w:t>4 Friendly  ______</w:t>
      </w:r>
    </w:p>
    <w:p>
      <w:pPr>
        <w:widowControl/>
        <w:tabs>
          <w:tab w:pos="4896" w:val="left"/>
        </w:tabs>
        <w:spacing w:after="160"/>
      </w:pPr>
      <w:r>
        <w:t>5 Alive  ______</w:t>
        <w:tab/>
        <w:t>6 Natural  ______</w:t>
      </w:r>
    </w:p>
    <w:p>
      <w:pPr>
        <w:widowControl/>
        <w:tabs>
          <w:tab w:pos="4896" w:val="left"/>
        </w:tabs>
        <w:spacing w:after="160"/>
      </w:pPr>
      <w:r>
        <w:t>7 Real  ______</w:t>
        <w:tab/>
        <w:t>8 Human-like  ______</w:t>
      </w:r>
    </w:p>
    <w:p>
      <w:pPr>
        <w:widowControl/>
        <w:tabs>
          <w:tab w:pos="4896" w:val="left"/>
        </w:tabs>
        <w:spacing w:after="160"/>
      </w:pPr>
      <w:r>
        <w:t>9 Self-reliant  ______</w:t>
        <w:tab/>
        <w:t>10 Rational  ______</w:t>
      </w:r>
    </w:p>
    <w:p>
      <w:pPr>
        <w:widowControl/>
        <w:tabs>
          <w:tab w:pos="4896" w:val="left"/>
        </w:tabs>
        <w:spacing w:after="160"/>
      </w:pPr>
      <w:r>
        <w:t>11 Intentional  ______</w:t>
        <w:tab/>
        <w:t>12 Intelligent  ______</w:t>
      </w:r>
    </w:p>
    <w:p>
      <w:pPr>
        <w:widowControl/>
        <w:tabs>
          <w:tab w:pos="4896" w:val="left"/>
        </w:tabs>
        <w:spacing w:after="160"/>
      </w:pPr>
      <w:r>
        <w:t>13 Creepy  ______</w:t>
        <w:tab/>
        <w:t>14 Scary  ______</w:t>
      </w:r>
    </w:p>
    <w:p>
      <w:pPr>
        <w:widowControl/>
        <w:tabs>
          <w:tab w:pos="4896" w:val="left"/>
        </w:tabs>
        <w:spacing w:after="160"/>
      </w:pPr>
      <w:r>
        <w:t>15 Uncanny  ______</w:t>
        <w:tab/>
        <w:t>16 Weird  ______</w:t>
      </w:r>
    </w:p>
    <w:p>
      <w:pPr>
        <w:pStyle w:val="Heading2"/>
      </w:pPr>
      <w:r>
        <w:t>Additional questions in administration order</w:t>
      </w:r>
    </w:p>
    <w:p>
      <w:pPr>
        <w:widowControl/>
      </w:pPr>
      <w:r>
        <w:t>Valence  “How positive or negative did Reachy Mini’s apparent emotional state seem?”</w:t>
        <w:br/>
        <w:t>1 very negative   4 neutral   7 very positive   Response ______</w:t>
      </w:r>
    </w:p>
    <w:p>
      <w:pPr>
        <w:widowControl/>
      </w:pPr>
      <w:r>
        <w:t>Arousal  “How emotionally activated did Reachy Mini seem?”</w:t>
        <w:br/>
        <w:t>1 very low activation/sleepy   4 moderate activation   7 very high activation/aroused</w:t>
        <w:br/>
        <w:t>Activation may be positive or negative.   Response ______</w:t>
      </w:r>
    </w:p>
    <w:p>
      <w:pPr>
        <w:widowControl/>
      </w:pPr>
      <w:r>
        <w:t>Open response  “How would you describe Reachy Mini during this greeting, and what influenced your impression?”</w:t>
        <w:br/>
        <w:t>____________________________________________________________________</w:t>
        <w:br/>
        <w:t>____________________________________________________________________</w:t>
      </w:r>
    </w:p>
    <w:p>
      <w:pPr>
        <w:widowControl/>
      </w:pPr>
      <w:r>
        <w:t>Movement size  “How large were the antenna movements during this greeting?”</w:t>
        <w:br/>
        <w:t>1 very small   7 very large   Response ______</w:t>
      </w:r>
    </w:p>
    <w:p>
      <w:pPr>
        <w:widowControl/>
      </w:pPr>
      <w:r>
        <w:t>Facilitator scoring note: items 1–4 sociability, 5–8 animacy, 9–12 agency, and 13–16 disturbance. Require all four items per mean; do not form a total score. The response label ordering is the documented study adaptation of Mauliana et al. (2025), Supplementary Table S1. Keep valence and arousal separate from HRIES.</w:t>
      </w:r>
    </w:p>
    <w:p>
      <w:pPr>
        <w:pStyle w:val="Heading1"/>
        <w:pageBreakBefore/>
      </w:pPr>
      <w:r>
        <w:t>Appendix D Data dictionary</w:t>
      </w:r>
    </w:p>
    <w:p>
      <w:pPr>
        <w:widowControl/>
      </w:pPr>
      <w:r>
        <w:t>The canonical analysis file is study/final_submission/analysis/analysis_ready.csv. It contains eight participant-by-condition rows, with one A and one B row for P01–P04. Blank or NA means unobserved, not zero. No HRIES items are imputed; pairs require both conditions. Raw sources remain unchanged.</w:t>
      </w:r>
    </w:p>
    <w:tbl>
      <w:tblPr>
        <w:tblW w:type="auto" w:w="0"/>
        <w:jc w:val="center"/>
        <w:tblLayout w:type="fixed"/>
        <w:tblLook w:firstColumn="1" w:firstRow="1" w:lastColumn="0" w:lastRow="0" w:noHBand="0" w:noVBand="1" w:val="04A0"/>
      </w:tblPr>
      <w:tblGrid>
        <w:gridCol w:w="3168"/>
        <w:gridCol w:w="6826"/>
      </w:tblGrid>
      <w:tr>
        <w:trPr>
          <w:cantSplit/>
          <w:tblHeader/>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pPr>
            <w:r>
              <w:rPr>
                <w:b/>
                <w:color w:val="000000"/>
                <w:sz w:val="19"/>
              </w:rPr>
              <w:t>Field or field group</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jc w:val="center"/>
            </w:pPr>
            <w:r>
              <w:rPr>
                <w:b/>
                <w:color w:val="000000"/>
                <w:sz w:val="19"/>
              </w:rPr>
              <w:t>Definition and coding</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participant_id</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De-identified participant P01–P04</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gender and age_band</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Workbook gender; register age band 18–24</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robot_experience</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Register category none or prior experience</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reachy_experience</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Register category yes/no; all no in this pilot</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agreement</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Register participation agreement yes/no</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session_date and operator</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From participants.csv; date 2026-09-30, facilitator/operator name</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condition</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A = 10°; B = 30° maximum displacement per antenna</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antenna_amplitude_deg</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Reported command setting 10.0 or 30.0 degrees</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order and greeting_number</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AB/BA and presentation position 1/2</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study_version and survey_version</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antenna-greeting-v1 and HRIES-greeting-v1</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soc_1–soc_4</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Warm, Likeable, Trustworthy, Friendly; integer 1–7</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ani_1–ani_4</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Alive, Natural, Real, Human-like; integer 1–7</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age_1–age_4</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Self-reliant, Rational, Intentional, Intelligent; integer 1–7. age here means agency, not participant age</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dis_1–dis_4</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Creepy, Scary, Uncanny, Weird; integer 1–7</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sociability, animacy, agency, disturbance</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Mean of the respective four items only when all four exist; higher disturbance means more disturbance</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valence</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1 very negative; 4 neutral; 7 very positive</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arousal</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1 very low activation; 4 moderate; 7 very high activation</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movement_size</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1 very small; 7 very large; administered last</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qualitative_response</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Verbatim workbook wording, including original apostrophe typography</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completion</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1 recorded completed; 0 interrupted/failed; missing if unobserved</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completion_source</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Recorded worksheet outcome; physical logs unavailable</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failure_interruption_reason</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Raw free text; blank where not recorded</w:t>
            </w:r>
          </w:p>
        </w:tc>
      </w:tr>
      <w:tr>
        <w:trPr>
          <w:cantSplit/>
        </w:trPr>
        <w:tc>
          <w:tcPr>
            <w:tcW w:type="dxa" w:w="316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protocol_deviation</w:t>
            </w:r>
          </w:p>
        </w:tc>
        <w:tc>
          <w:tcPr>
            <w:tcW w:type="dxa" w:w="682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deviations.csv; none recorded for all eight records</w:t>
            </w:r>
          </w:p>
        </w:tc>
      </w:tr>
    </w:tbl>
    <w:p>
      <w:pPr>
        <w:spacing w:after="40"/>
      </w:pPr>
    </w:p>
    <w:p>
      <w:pPr>
        <w:widowControl/>
      </w:pPr>
      <w:r>
        <w:t>Output files add explicit labels: condition_summary.csv uses mean, sample_sd, median, and n; B_minus_A denotes paired differences. paired_differences.csv records A, B, and B_minus_A for each participant and measure. completion_summary.csv uses recorded_trials as its denominator. qualitative_coding.csv adds the descriptive category; audit.json records source hashes, missingness, and verification limits.</w:t>
      </w:r>
    </w:p>
    <w:p>
      <w:pPr>
        <w:pStyle w:val="Heading1"/>
        <w:pageBreakBefore/>
      </w:pPr>
      <w:r>
        <w:t>Appendix E Qualitative responses and coding rules</w:t>
      </w:r>
    </w:p>
    <w:p>
      <w:pPr>
        <w:widowControl/>
      </w:pPr>
      <w:r>
        <w:t>Responses below reproduce the raw questionnaire workbook in recorded presentation order. One descriptive category is assigned per response. These are short accounts of a greeting rather than a validated qualitative measure.</w:t>
      </w:r>
    </w:p>
    <w:p>
      <w:pPr>
        <w:keepNext/>
        <w:widowControl/>
      </w:pPr>
      <w:r>
        <w:rPr>
          <w:b/>
          <w:sz w:val="20"/>
        </w:rPr>
        <w:t>P01   Condition A   Robotic or mechanical impression</w:t>
      </w:r>
    </w:p>
    <w:p>
      <w:pPr>
        <w:widowControl/>
      </w:pPr>
      <w:r>
        <w:t>“The tone was very flat, and the speaking pace and transitions between words were smooth and slow. It did not feel very enthusiastic.”</w:t>
      </w:r>
    </w:p>
    <w:p>
      <w:pPr>
        <w:keepNext/>
        <w:widowControl/>
      </w:pPr>
      <w:r>
        <w:rPr>
          <w:b/>
          <w:sz w:val="20"/>
        </w:rPr>
        <w:t>P01   Condition B   Increased liveliness or interactivity</w:t>
      </w:r>
    </w:p>
    <w:p>
      <w:pPr>
        <w:widowControl/>
      </w:pPr>
      <w:r>
        <w:t>“The tone was slightly more upbeat.”</w:t>
      </w:r>
    </w:p>
    <w:p>
      <w:pPr>
        <w:keepNext/>
        <w:widowControl/>
      </w:pPr>
      <w:r>
        <w:rPr>
          <w:b/>
          <w:sz w:val="20"/>
        </w:rPr>
        <w:t>P02   Condition B   Robotic or mechanical impression</w:t>
      </w:r>
    </w:p>
    <w:p>
      <w:pPr>
        <w:widowControl/>
      </w:pPr>
      <w:r>
        <w:t>“It felt robotic, cold, and mechanical.”</w:t>
      </w:r>
    </w:p>
    <w:p>
      <w:pPr>
        <w:keepNext/>
        <w:widowControl/>
      </w:pPr>
      <w:r>
        <w:rPr>
          <w:b/>
          <w:sz w:val="20"/>
        </w:rPr>
        <w:t>P02   Condition A   Little or no perceived difference</w:t>
      </w:r>
    </w:p>
    <w:p>
      <w:pPr>
        <w:widowControl/>
      </w:pPr>
      <w:r>
        <w:t>“It did not feel very different from the previous one.”</w:t>
      </w:r>
    </w:p>
    <w:p>
      <w:pPr>
        <w:keepNext/>
        <w:widowControl/>
      </w:pPr>
      <w:r>
        <w:rPr>
          <w:b/>
          <w:sz w:val="20"/>
        </w:rPr>
        <w:t>P03   Condition A   Robotic or mechanical impression</w:t>
      </w:r>
    </w:p>
    <w:p>
      <w:pPr>
        <w:widowControl/>
      </w:pPr>
      <w:r>
        <w:t>“It should interact with me more. The tone sounded quite robotic.”</w:t>
      </w:r>
    </w:p>
    <w:p>
      <w:pPr>
        <w:keepNext/>
        <w:widowControl/>
      </w:pPr>
      <w:r>
        <w:rPr>
          <w:b/>
          <w:sz w:val="20"/>
        </w:rPr>
        <w:t>P03   Condition B   Increased liveliness or interactivity</w:t>
      </w:r>
    </w:p>
    <w:p>
      <w:pPr>
        <w:widowControl/>
      </w:pPr>
      <w:r>
        <w:t>“It felt more interactive, and the speaking pace seemed a little faster, although I’m not sure if that was just my own perception.”</w:t>
      </w:r>
    </w:p>
    <w:p>
      <w:pPr>
        <w:keepNext/>
        <w:widowControl/>
      </w:pPr>
      <w:r>
        <w:rPr>
          <w:b/>
          <w:sz w:val="20"/>
        </w:rPr>
        <w:t>P04   Condition B   Little or no perceived difference</w:t>
      </w:r>
    </w:p>
    <w:p>
      <w:pPr>
        <w:widowControl/>
      </w:pPr>
      <w:r>
        <w:t>“I didn’t have any particular impression.”</w:t>
      </w:r>
    </w:p>
    <w:p>
      <w:pPr>
        <w:keepNext/>
        <w:widowControl/>
      </w:pPr>
      <w:r>
        <w:rPr>
          <w:b/>
          <w:sz w:val="20"/>
        </w:rPr>
        <w:t>P04   Condition A   Little or no perceived difference</w:t>
      </w:r>
    </w:p>
    <w:p>
      <w:pPr>
        <w:widowControl/>
      </w:pPr>
      <w:r>
        <w:t>“I didn’t have any particular impression.”</w:t>
      </w:r>
    </w:p>
    <w:p>
      <w:pPr>
        <w:pStyle w:val="Heading2"/>
      </w:pPr>
      <w:r>
        <w:t>Category definitions</w:t>
      </w:r>
    </w:p>
    <w:p>
      <w:pPr>
        <w:widowControl/>
      </w:pPr>
      <w:r>
        <w:t>Robotic or mechanical impression: explicit descriptions of flat, robotic, cold, mechanical, or unenthusiastic behavior. P01 A, P02 B, and P03 A; 3 responses. P03 A also requests greater interaction, but its observed greeting description is robotic.</w:t>
      </w:r>
    </w:p>
    <w:p>
      <w:pPr>
        <w:widowControl/>
      </w:pPr>
      <w:r>
        <w:t>Increased liveliness or interactivity: explicit descriptions of a more upbeat or interactive greeting. P01 B and P03 B; 2 responses. P03’s perceived faster speech and uncertainty are retained in the full response, rather than removed from the interpretation.</w:t>
      </w:r>
    </w:p>
    <w:p>
      <w:pPr>
        <w:widowControl/>
      </w:pPr>
      <w:r>
        <w:t>Little or no perceived difference: an explicit lack of difference or lack of a particular impression. P02 A and P04 A/B; 3 responses. This category combines two kinds of weak response and should not be interpreted as proof that no perceptual difference occurred.</w:t>
      </w:r>
    </w:p>
    <w:p>
      <w:pPr>
        <w:pStyle w:val="Heading1"/>
        <w:pageBreakBefore/>
      </w:pPr>
      <w:r>
        <w:t>Appendix F Reproduction and submission materials</w:t>
      </w:r>
    </w:p>
    <w:p>
      <w:pPr>
        <w:pStyle w:val="Heading2"/>
      </w:pPr>
      <w:r>
        <w:t>Reproducing the reported analysis</w:t>
      </w:r>
    </w:p>
    <w:p>
      <w:pPr>
        <w:widowControl/>
      </w:pPr>
      <w:r>
        <w:t>The report’s results are reproduced from the retained raw workbook and participant/deviation registers using scripts/analyze_report_data.py. This descriptive analysis does not require missing physical logs and does not claim to validate stimulus delivery. The original reachy_lab2.analysis module requires telemetry-linked data with its richer schema and is a separate verification path.</w:t>
      </w:r>
    </w:p>
    <w:p>
      <w:pPr>
        <w:widowControl/>
      </w:pPr>
      <w:r>
        <w:rPr>
          <w:rFonts w:ascii="Consolas" w:hAnsi="Consolas"/>
          <w:sz w:val="18"/>
        </w:rPr>
        <w:t>python -m pip install -r study/analysis-requirements.txt</w:t>
      </w:r>
    </w:p>
    <w:p>
      <w:pPr>
        <w:widowControl/>
      </w:pPr>
      <w:r>
        <w:rPr>
          <w:rFonts w:ascii="Consolas" w:hAnsi="Consolas"/>
          <w:sz w:val="18"/>
        </w:rPr>
        <w:t>python scripts/analyze_report_data.py --out analysis/reproduced-pilot</w:t>
      </w:r>
    </w:p>
    <w:p>
      <w:pPr>
        <w:widowControl/>
      </w:pPr>
      <w:r>
        <w:t>Run from the extracted repository snapshot using Python 3.12. The script checks condition values, participant IDs, order, greeting position, workbook/CSV agreement, ratings, and counts before scoring. It generates analysis_ready.csv, condition_summary.csv, paired_differences.csv, completion_summary.csv, qualitative_coding.csv, audit.json, and both figures as PNG and SVG. Numbers are calculated at full precision; displayed summaries use two decimal places.</w:t>
      </w:r>
    </w:p>
    <w:p>
      <w:pPr>
        <w:pStyle w:val="Heading2"/>
      </w:pPr>
      <w:r>
        <w:t>Submission contents</w:t>
      </w:r>
    </w:p>
    <w:p>
      <w:pPr>
        <w:widowControl/>
      </w:pPr>
      <w:r>
        <w:t>The accompanying archive includes this report, the uploaded source document, unchanged raw XLSX/CSV sources, the earlier analysis workbook for provenance, recomputed analysis files, figures, the analysis script and requirements, facilitator/survey/condition/dictionary materials, and a repository snapshot of the app, configuration, audio, software lock, source provenance, licenses, tests, and available technical evidence. A SHA-256 manifest identifies the submitted files.</w:t>
      </w:r>
    </w:p>
    <w:p>
      <w:pPr>
        <w:pStyle w:val="Heading2"/>
      </w:pPr>
      <w:r>
        <w:t>Records still needed for full physical replication</w:t>
      </w:r>
    </w:p>
    <w:tbl>
      <w:tblPr>
        <w:tblW w:type="auto" w:w="0"/>
        <w:jc w:val="center"/>
        <w:tblLayout w:type="fixed"/>
        <w:tblLook w:firstColumn="1" w:firstRow="1" w:lastColumn="0" w:lastRow="0" w:noHBand="0" w:noVBand="1" w:val="04A0"/>
      </w:tblPr>
      <w:tblGrid>
        <w:gridCol w:w="4680"/>
        <w:gridCol w:w="5314"/>
      </w:tblGrid>
      <w:tr>
        <w:trPr>
          <w:cantSplit/>
          <w:tblHeader/>
        </w:trPr>
        <w:tc>
          <w:tcPr>
            <w:tcW w:type="dxa" w:w="468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pPr>
            <w:r>
              <w:rPr>
                <w:b/>
                <w:color w:val="000000"/>
                <w:sz w:val="19"/>
              </w:rPr>
              <w:t>Missing record</w:t>
            </w:r>
          </w:p>
        </w:tc>
        <w:tc>
          <w:tcPr>
            <w:tcW w:type="dxa" w:w="531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9E2F3"/>
          </w:tcPr>
          <w:p>
            <w:pPr>
              <w:spacing w:after="0" w:line="250" w:lineRule="auto"/>
              <w:jc w:val="center"/>
            </w:pPr>
            <w:r>
              <w:rPr>
                <w:b/>
                <w:color w:val="000000"/>
                <w:sz w:val="19"/>
              </w:rPr>
              <w:t>Consequence</w:t>
            </w:r>
          </w:p>
        </w:tc>
      </w:tr>
      <w:tr>
        <w:trPr>
          <w:cantSplit/>
        </w:trPr>
        <w:tc>
          <w:tcPr>
            <w:tcW w:type="dxa" w:w="468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Participant trial and all-attempt logs</w:t>
            </w:r>
          </w:p>
        </w:tc>
        <w:tc>
          <w:tcPr>
            <w:tcW w:type="dxa" w:w="531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Cannot independently audit execution criteria, repeats, or exclusions</w:t>
            </w:r>
          </w:p>
        </w:tc>
      </w:tr>
      <w:tr>
        <w:trPr>
          <w:cantSplit/>
        </w:trPr>
        <w:tc>
          <w:tcPr>
            <w:tcW w:type="dxa" w:w="468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Measured antenna traces and achieved polling rate</w:t>
            </w:r>
          </w:p>
        </w:tc>
        <w:tc>
          <w:tcPr>
            <w:tcW w:type="dxa" w:w="531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Cannot verify actual physical excursions or timing</w:t>
            </w:r>
          </w:p>
        </w:tc>
      </w:tr>
      <w:tr>
        <w:trPr>
          <w:cantSplit/>
        </w:trPr>
        <w:tc>
          <w:tcPr>
            <w:tcW w:type="dxa" w:w="468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Calibration and completed physical review</w:t>
            </w:r>
          </w:p>
        </w:tc>
        <w:tc>
          <w:tcPr>
            <w:tcW w:type="dxa" w:w="531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Archived settings remain provisional and unapproved</w:t>
            </w:r>
          </w:p>
        </w:tc>
      </w:tr>
      <w:tr>
        <w:trPr>
          <w:cantSplit/>
        </w:trPr>
        <w:tc>
          <w:tcPr>
            <w:tcW w:type="dxa" w:w="468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Room, distance, output device, and OS volume</w:t>
            </w:r>
          </w:p>
        </w:tc>
        <w:tc>
          <w:tcPr>
            <w:tcW w:type="dxa" w:w="531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4F6F8"/>
          </w:tcPr>
          <w:p>
            <w:pPr>
              <w:spacing w:after="0" w:line="250" w:lineRule="auto"/>
            </w:pPr>
            <w:r>
              <w:rPr>
                <w:b w:val="0"/>
                <w:color w:val="000000"/>
                <w:sz w:val="19"/>
              </w:rPr>
              <w:t>Cannot reconstruct exact viewing and acoustic arrangement</w:t>
            </w:r>
          </w:p>
        </w:tc>
      </w:tr>
      <w:tr>
        <w:trPr>
          <w:cantSplit/>
        </w:trPr>
        <w:tc>
          <w:tcPr>
            <w:tcW w:type="dxa" w:w="468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Acoustic synchronization and head/base checks</w:t>
            </w:r>
          </w:p>
        </w:tc>
        <w:tc>
          <w:tcPr>
            <w:tcW w:type="dxa" w:w="531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FFFFFF"/>
          </w:tcPr>
          <w:p>
            <w:pPr>
              <w:spacing w:after="0" w:line="250" w:lineRule="auto"/>
            </w:pPr>
            <w:r>
              <w:rPr>
                <w:b w:val="0"/>
                <w:color w:val="000000"/>
                <w:sz w:val="19"/>
              </w:rPr>
              <w:t>Cannot verify all intended sensory/pose controls</w:t>
            </w:r>
          </w:p>
        </w:tc>
      </w:tr>
    </w:tbl>
    <w:p>
      <w:pPr>
        <w:spacing w:after="40"/>
      </w:pPr>
    </w:p>
    <w:p>
      <w:pPr>
        <w:widowControl/>
      </w:pPr>
      <w:r>
        <w:t>These records are reported retained on another team member’s computer and are missing for now. Adding them requires reconciling their actual condition values, counts, settings, and outcomes with this report; the archive does not invent replacements. The available materials reproduce the questionnaire analysis, while full verification of the original physical sessions remains incomplete.</w:t>
      </w:r>
    </w:p>
    <w:sectPr w:rsidR="00FC693F" w:rsidRPr="0006063C" w:rsidSect="00034616">
      <w:headerReference w:type="default" r:id="rId9"/>
      <w:footerReference w:type="default" r:id="rId10"/>
      <w:pgSz w:w="12240" w:h="15840"/>
      <w:pgMar w:top="1037" w:right="1123" w:bottom="1008"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HRI Lab 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Reachy Mini greeting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Antenna Movement and Perceived Affect in Reachy Mini Greetings</dc:title>
  <dc:subject>HRI Lab 2 report with reproducible descriptive analysis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