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5143500" cy="914400"/>
            <wp:effectExtent t="0" r="0" b="0" l="0"/>
            <wp:docPr id="10" name="logos" descr="Universidad de San Buenaventura, Acreditación Institucional Multicampus de Alta Calidad y CEA" title="Logos institucion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227" w:color="auto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4C4C6"/>
                <w:spacing w:val="30"/>
                <w:sz w:val="18"/>
                <w:szCs w:val="18"/>
              </w:rPr>
              <w:t xml:space="preserve">CÁPSULA 10  ·  GESTIÓN Y SEGUIMIENTO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FAFBF7"/>
                <w:sz w:val="48"/>
                <w:szCs w:val="48"/>
              </w:rPr>
              <w:t xml:space="preserve">Lista de chequeo antes de abrir el curso</w:t>
            </w:r>
          </w:p>
        </w:tc>
      </w:tr>
    </w:tbl>
    <w:p>
      <w:pPr>
        <w:pBdr>
          <w:top w:val="single" w:color="F37012" w:sz="36" w:space="0"/>
        </w:pBdr>
        <w:spacing w:after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CAD6D0" w:sz="4"/>
        </w:tblBorders>
        <w:tblLayout w:type="fixed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8F2E9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5"/>
                <w:szCs w:val="15"/>
              </w:rPr>
              <w:t xml:space="preserve">RUTA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3A43"/>
                <w:sz w:val="20"/>
                <w:szCs w:val="20"/>
              </w:rPr>
              <w:t xml:space="preserve">Gestión y seguimiento</w:t>
            </w:r>
          </w:p>
        </w:tc>
        <w:tc>
          <w:tcPr>
            <w:tcW w:type="dxa" w:w="2520"/>
            <w:shd w:fill="E8F2E9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5"/>
                <w:szCs w:val="15"/>
              </w:rPr>
              <w:t xml:space="preserve">NIVEL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3A43"/>
                <w:sz w:val="20"/>
                <w:szCs w:val="20"/>
              </w:rPr>
              <w:t xml:space="preserve">Básico</w:t>
            </w:r>
          </w:p>
        </w:tc>
        <w:tc>
          <w:tcPr>
            <w:tcW w:type="dxa" w:w="2520"/>
            <w:shd w:fill="E8F2E9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5"/>
                <w:szCs w:val="15"/>
              </w:rPr>
              <w:t xml:space="preserve">TIEMPO ESTIMADO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3A43"/>
                <w:sz w:val="20"/>
                <w:szCs w:val="20"/>
              </w:rPr>
              <w:t xml:space="preserve">20 min (lectura + práctica)</w:t>
            </w:r>
          </w:p>
        </w:tc>
        <w:tc>
          <w:tcPr>
            <w:tcW w:type="dxa" w:w="2520"/>
            <w:shd w:fill="E8F2E9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5"/>
                <w:szCs w:val="15"/>
              </w:rPr>
              <w:t xml:space="preserve">PLATAFORMA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3A43"/>
                <w:sz w:val="20"/>
                <w:szCs w:val="20"/>
              </w:rPr>
              <w:t xml:space="preserve">Moodle 4.x</w:t>
            </w:r>
          </w:p>
        </w:tc>
      </w:tr>
    </w:tbl>
    <w:p>
      <w:pPr>
        <w:spacing w:after="24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F37012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¿Qué lograrás?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F37012" w:sz="24"/>
              <w:bottom w:val="none" w:color="FFFFFF" w:sz="0"/>
              <w:right w:val="none" w:color="FFFFFF" w:sz="0"/>
            </w:tcBorders>
            <w:shd w:fill="EEEBF8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7"/>
                <w:szCs w:val="17"/>
              </w:rPr>
              <w:t xml:space="preserve">OBJETIVO DE APRENDIZAJE</w:t>
            </w:r>
          </w:p>
          <w:p>
            <w:pPr>
              <w:spacing w:line="300"/>
            </w:pPr>
            <w:r>
              <w:rPr>
                <w:rFonts w:ascii="Calibri" w:cs="Calibri" w:eastAsia="Calibri" w:hAnsi="Calibri"/>
                <w:color w:val="183A43"/>
                <w:sz w:val="23"/>
                <w:szCs w:val="23"/>
              </w:rPr>
              <w:t xml:space="preserve">Verificar, con una lista de chequeo completa, que el aula virtual está lista para recibir a los estudiantes: configuración, estructura, contenidos, actividades, evaluación y comunicación.</w:t>
            </w:r>
          </w:p>
        </w:tc>
      </w:tr>
    </w:tbl>
    <w:p>
      <w:pPr>
        <w:spacing w:after="12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F37012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Para empezar</w:t>
      </w:r>
    </w:p>
    <w:p>
      <w:pPr>
        <w:spacing w:after="140" w:line="30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La primera impresión cuenta. Un curso que abre con enlaces rotos, fechas equivocadas o secciones vacías genera confusión y consultas innecesarias. Esta lista de chequeo reúne lo aprendido en las cápsulas anteriores para que hagas una revisión final ordenada.</w:t>
      </w:r>
    </w:p>
    <w:p>
      <w:pPr>
        <w:spacing w:after="140" w:line="30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Recórrela con calma, preferiblemente con el rol de estudiante, unos días antes de abrir el curso.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83A43"/>
          <w:sz w:val="23"/>
          <w:szCs w:val="23"/>
        </w:rPr>
        <w:t xml:space="preserve">Antes de comenzar, asegúrate de…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Haber construido la estructura y los contenidos del curso.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Tener a mano el syllabus y el cronograma oficial.</w:t>
      </w: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F37012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Paso a paso</w:t>
      </w:r>
    </w:p>
    <w:p>
      <w:pPr>
        <w:pStyle w:val="Heading2"/>
        <w:keepNext/>
        <w:pBdr>
          <w:left w:val="single" w:color="F37012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01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Revisa la configuración general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Nombre, fechas de inicio y fin, descripción e imagen del curso.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Formato del curso y forma de mostrar las secciones.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Rastreo de finalización habilitado.</w:t>
      </w:r>
    </w:p>
    <w:p>
      <w:pPr>
        <w:pStyle w:val="Heading2"/>
        <w:keepNext/>
        <w:pBdr>
          <w:left w:val="single" w:color="F37012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02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Revisa la bienvenida y la comunicación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Mensaje de bienvenida, presentación docente y forma de contacto (horarios de atención y tiempos de respuesta).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Syllabus y cronograma publicados.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Foro de avisos y foro de dudas creados; primer aviso programado o listo para publicar.</w:t>
      </w:r>
    </w:p>
    <w:p>
      <w:pPr>
        <w:pStyle w:val="Heading2"/>
        <w:keepNext/>
        <w:pBdr>
          <w:left w:val="single" w:color="F37012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03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Revisa la estructura y los contenidos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Todas las secciones tienen nombre, descripción y resultados de aprendizaje.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Los recursos tienen nombres claros y abren correctamente (prueba enlaces y videos).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Imágenes con texto alternativo y documentos legibles en celular.</w:t>
      </w:r>
    </w:p>
    <w:p>
      <w:pPr>
        <w:pStyle w:val="Heading2"/>
        <w:keepNext/>
        <w:pBdr>
          <w:left w:val="single" w:color="F37012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04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Revisa las actividades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Instrucciones completas: propósito, producto, pasos, criterios y fecha.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Fechas coherentes con el cronograma (apertura, entrega, cierre).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Rúbricas o criterios publicados.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Condiciones de finalización y restricciones funcionando.</w:t>
      </w:r>
    </w:p>
    <w:p>
      <w:pPr>
        <w:pStyle w:val="Heading2"/>
        <w:keepNext/>
        <w:pBdr>
          <w:left w:val="single" w:color="F37012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05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Revisa la evaluación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Libro de calificaciones con categorías y pesos que suman 100 %.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Todas las actividades calificables ubicadas en su categoría.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Cuestionarios previsualizados.</w:t>
      </w:r>
    </w:p>
    <w:p>
      <w:pPr>
        <w:pStyle w:val="Heading2"/>
        <w:keepNext/>
        <w:pBdr>
          <w:left w:val="single" w:color="F37012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06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Haz la prueba final como estudiante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Usa Cambiar rol a… › Estudiante y recorre el curso de principio a fin.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Verifica qué está visible y qué está oculto, y que el Calendario muestre las fechas correctas.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Pide a un colega que lo revise: una mirada externa detecta lo que tú ya no ves.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F37012" w:sz="24"/>
              <w:bottom w:val="none" w:color="FFFFFF" w:sz="0"/>
              <w:right w:val="none" w:color="FFFFFF" w:sz="0"/>
            </w:tcBorders>
            <w:shd w:fill="E8F2E9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7"/>
                <w:szCs w:val="17"/>
              </w:rPr>
              <w:t xml:space="preserve">TIP DOCENTE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183A43"/>
                <w:sz w:val="22"/>
                <w:szCs w:val="22"/>
              </w:rPr>
              <w:t xml:space="preserve">Pregúntate: si yo fuera estudiante y entrara por primera vez, ¿sabría exactamente qué hacer esta semana?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F37012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Lista de chequeo completa</w:t>
      </w:r>
    </w:p>
    <w:tbl>
      <w:tblPr>
        <w:tblW w:type="dxa" w:w="10080"/>
        <w:tblBorders>
          <w:top w:val="single" w:color="CAD6D0" w:sz="4"/>
          <w:left w:val="single" w:color="CAD6D0" w:sz="4"/>
          <w:bottom w:val="single" w:color="CAD6D0" w:sz="4"/>
          <w:right w:val="single" w:color="CAD6D0" w:sz="4"/>
          <w:insideH w:val="single" w:color="CAD6D0" w:sz="4"/>
          <w:insideV w:val="single" w:color="CAD6D0" w:sz="4"/>
        </w:tblBorders>
        <w:tblLayout w:type="fixed"/>
      </w:tblPr>
      <w:tblGrid>
        <w:gridCol w:w="2200"/>
        <w:gridCol w:w="6680"/>
        <w:gridCol w:w="1200"/>
      </w:tblGrid>
      <w:tr>
        <w:trPr>
          <w:tblHeader/>
        </w:trPr>
        <w:tc>
          <w:tcPr>
            <w:tcW w:type="dxa" w:w="2200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Área</w:t>
            </w:r>
          </w:p>
        </w:tc>
        <w:tc>
          <w:tcPr>
            <w:tcW w:type="dxa" w:w="6680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Verificación</w:t>
            </w:r>
          </w:p>
        </w:tc>
        <w:tc>
          <w:tcPr>
            <w:tcW w:type="dxa" w:w="1200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2200"/>
            <w:vMerge w:val="restart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Configuración</w:t>
            </w:r>
          </w:p>
        </w:tc>
        <w:tc>
          <w:tcPr>
            <w:tcW w:type="dxa" w:w="668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Nombre y fechas del curso correctos</w:t>
            </w:r>
          </w:p>
        </w:tc>
        <w:tc>
          <w:tcPr>
            <w:tcW w:type="dxa" w:w="12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color w:val="183A43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vMerge w:val="continue"/>
          </w:tcPr>
          <w:p/>
        </w:tc>
        <w:tc>
          <w:tcPr>
            <w:tcW w:type="dxa" w:w="6680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Descripción e imagen del curso</w:t>
            </w:r>
          </w:p>
        </w:tc>
        <w:tc>
          <w:tcPr>
            <w:tcW w:type="dxa" w:w="1200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color w:val="183A43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vMerge w:val="continue"/>
          </w:tcPr>
          <w:p/>
        </w:tc>
        <w:tc>
          <w:tcPr>
            <w:tcW w:type="dxa" w:w="668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Rastreo de finalización habilitado</w:t>
            </w:r>
          </w:p>
        </w:tc>
        <w:tc>
          <w:tcPr>
            <w:tcW w:type="dxa" w:w="12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color w:val="183A43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vMerge w:val="restart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Bienvenida</w:t>
            </w:r>
          </w:p>
        </w:tc>
        <w:tc>
          <w:tcPr>
            <w:tcW w:type="dxa" w:w="6680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Mensaje de bienvenida y presentación docente</w:t>
            </w:r>
          </w:p>
        </w:tc>
        <w:tc>
          <w:tcPr>
            <w:tcW w:type="dxa" w:w="1200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color w:val="183A43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vMerge w:val="continue"/>
          </w:tcPr>
          <w:p/>
        </w:tc>
        <w:tc>
          <w:tcPr>
            <w:tcW w:type="dxa" w:w="668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Syllabus y cronograma publicados</w:t>
            </w:r>
          </w:p>
        </w:tc>
        <w:tc>
          <w:tcPr>
            <w:tcW w:type="dxa" w:w="12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color w:val="183A43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vMerge w:val="continue"/>
          </w:tcPr>
          <w:p/>
        </w:tc>
        <w:tc>
          <w:tcPr>
            <w:tcW w:type="dxa" w:w="6680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Foros de avisos y dudas creados</w:t>
            </w:r>
          </w:p>
        </w:tc>
        <w:tc>
          <w:tcPr>
            <w:tcW w:type="dxa" w:w="1200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color w:val="183A43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vMerge w:val="continue"/>
          </w:tcPr>
          <w:p/>
        </w:tc>
        <w:tc>
          <w:tcPr>
            <w:tcW w:type="dxa" w:w="668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Canales y horarios de atención informados</w:t>
            </w:r>
          </w:p>
        </w:tc>
        <w:tc>
          <w:tcPr>
            <w:tcW w:type="dxa" w:w="12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color w:val="183A43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vMerge w:val="restart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Contenidos</w:t>
            </w:r>
          </w:p>
        </w:tc>
        <w:tc>
          <w:tcPr>
            <w:tcW w:type="dxa" w:w="6680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Secciones con nombre y descripción</w:t>
            </w:r>
          </w:p>
        </w:tc>
        <w:tc>
          <w:tcPr>
            <w:tcW w:type="dxa" w:w="1200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color w:val="183A43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vMerge w:val="continue"/>
          </w:tcPr>
          <w:p/>
        </w:tc>
        <w:tc>
          <w:tcPr>
            <w:tcW w:type="dxa" w:w="668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Recursos con nombres claros</w:t>
            </w:r>
          </w:p>
        </w:tc>
        <w:tc>
          <w:tcPr>
            <w:tcW w:type="dxa" w:w="12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color w:val="183A43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vMerge w:val="continue"/>
          </w:tcPr>
          <w:p/>
        </w:tc>
        <w:tc>
          <w:tcPr>
            <w:tcW w:type="dxa" w:w="6680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Enlaces y videos verificados</w:t>
            </w:r>
          </w:p>
        </w:tc>
        <w:tc>
          <w:tcPr>
            <w:tcW w:type="dxa" w:w="1200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color w:val="183A43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vMerge w:val="continue"/>
          </w:tcPr>
          <w:p/>
        </w:tc>
        <w:tc>
          <w:tcPr>
            <w:tcW w:type="dxa" w:w="668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Accesibilidad: texto alternativo y legibilidad</w:t>
            </w:r>
          </w:p>
        </w:tc>
        <w:tc>
          <w:tcPr>
            <w:tcW w:type="dxa" w:w="12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color w:val="183A43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vMerge w:val="restart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Actividades</w:t>
            </w:r>
          </w:p>
        </w:tc>
        <w:tc>
          <w:tcPr>
            <w:tcW w:type="dxa" w:w="6680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Instrucciones completas</w:t>
            </w:r>
          </w:p>
        </w:tc>
        <w:tc>
          <w:tcPr>
            <w:tcW w:type="dxa" w:w="1200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color w:val="183A43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vMerge w:val="continue"/>
          </w:tcPr>
          <w:p/>
        </w:tc>
        <w:tc>
          <w:tcPr>
            <w:tcW w:type="dxa" w:w="668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Fechas coherentes con el cronograma</w:t>
            </w:r>
          </w:p>
        </w:tc>
        <w:tc>
          <w:tcPr>
            <w:tcW w:type="dxa" w:w="12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color w:val="183A43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vMerge w:val="continue"/>
          </w:tcPr>
          <w:p/>
        </w:tc>
        <w:tc>
          <w:tcPr>
            <w:tcW w:type="dxa" w:w="6680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Rúbricas y criterios visibles</w:t>
            </w:r>
          </w:p>
        </w:tc>
        <w:tc>
          <w:tcPr>
            <w:tcW w:type="dxa" w:w="1200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color w:val="183A43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vMerge w:val="continue"/>
          </w:tcPr>
          <w:p/>
        </w:tc>
        <w:tc>
          <w:tcPr>
            <w:tcW w:type="dxa" w:w="668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Finalización y restricciones probadas</w:t>
            </w:r>
          </w:p>
        </w:tc>
        <w:tc>
          <w:tcPr>
            <w:tcW w:type="dxa" w:w="12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color w:val="183A43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vMerge w:val="restart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Evaluación</w:t>
            </w:r>
          </w:p>
        </w:tc>
        <w:tc>
          <w:tcPr>
            <w:tcW w:type="dxa" w:w="6680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Categorías y pesos del libro de calificaciones</w:t>
            </w:r>
          </w:p>
        </w:tc>
        <w:tc>
          <w:tcPr>
            <w:tcW w:type="dxa" w:w="1200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color w:val="183A43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vMerge w:val="continue"/>
          </w:tcPr>
          <w:p/>
        </w:tc>
        <w:tc>
          <w:tcPr>
            <w:tcW w:type="dxa" w:w="668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Actividades en la categoría correcta</w:t>
            </w:r>
          </w:p>
        </w:tc>
        <w:tc>
          <w:tcPr>
            <w:tcW w:type="dxa" w:w="12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color w:val="183A43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vMerge w:val="continue"/>
          </w:tcPr>
          <w:p/>
        </w:tc>
        <w:tc>
          <w:tcPr>
            <w:tcW w:type="dxa" w:w="6680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Cuestionarios previsualizados</w:t>
            </w:r>
          </w:p>
        </w:tc>
        <w:tc>
          <w:tcPr>
            <w:tcW w:type="dxa" w:w="1200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color w:val="183A43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vMerge w:val="restart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Prueba final</w:t>
            </w:r>
          </w:p>
        </w:tc>
        <w:tc>
          <w:tcPr>
            <w:tcW w:type="dxa" w:w="668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Recorrido completo con rol de estudiante</w:t>
            </w:r>
          </w:p>
        </w:tc>
        <w:tc>
          <w:tcPr>
            <w:tcW w:type="dxa" w:w="12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color w:val="183A43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vMerge w:val="continue"/>
          </w:tcPr>
          <w:p/>
        </w:tc>
        <w:tc>
          <w:tcPr>
            <w:tcW w:type="dxa" w:w="6680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Revisión de un colega</w:t>
            </w:r>
          </w:p>
        </w:tc>
        <w:tc>
          <w:tcPr>
            <w:tcW w:type="dxa" w:w="1200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color w:val="183A43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vMerge w:val="continue"/>
          </w:tcPr>
          <w:p/>
        </w:tc>
        <w:tc>
          <w:tcPr>
            <w:tcW w:type="dxa" w:w="668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Elementos en construcción ocultos</w:t>
            </w:r>
          </w:p>
        </w:tc>
        <w:tc>
          <w:tcPr>
            <w:tcW w:type="dxa" w:w="12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color w:val="183A43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F37012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Buenas prácticas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Haz la revisión al menos tres días antes de abrir el curso para tener tiempo de corregir.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Guarda esta lista y úsala cada semestre.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Después de abrir, revisa las primeras dudas en el foro: suelen señalar lo que hay que ajustar.</w:t>
      </w: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F37012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Errores frecuentes y cómo resolverlos</w:t>
      </w:r>
    </w:p>
    <w:tbl>
      <w:tblPr>
        <w:tblW w:type="dxa" w:w="10080"/>
        <w:tblBorders>
          <w:top w:val="single" w:color="CAD6D0" w:sz="4"/>
          <w:left w:val="single" w:color="CAD6D0" w:sz="4"/>
          <w:bottom w:val="single" w:color="CAD6D0" w:sz="4"/>
          <w:right w:val="single" w:color="CAD6D0" w:sz="4"/>
          <w:insideH w:val="single" w:color="CAD6D0" w:sz="4"/>
          <w:insideV w:val="single" w:color="CAD6D0" w:sz="4"/>
        </w:tblBorders>
        <w:tblLayout w:type="fixed"/>
      </w:tblPr>
      <w:tblGrid>
        <w:gridCol w:w="3629"/>
        <w:gridCol w:w="6451"/>
      </w:tblGrid>
      <w:tr>
        <w:trPr>
          <w:tblHeader/>
        </w:trPr>
        <w:tc>
          <w:tcPr>
            <w:tcW w:type="dxa" w:w="3629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Si te pasa esto…</w:t>
            </w:r>
          </w:p>
        </w:tc>
        <w:tc>
          <w:tcPr>
            <w:tcW w:type="dxa" w:w="6451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Haz esto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Fechas del semestre anterior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Al reutilizar un curso, revisa todas las fechas; puedes usar la herramienta de fechas del curso si está disponible.</w:t>
            </w:r>
          </w:p>
        </w:tc>
      </w:tr>
      <w:tr>
        <w:trPr>
          <w:cantSplit/>
        </w:trPr>
        <w:tc>
          <w:tcPr>
            <w:tcW w:type="dxa" w:w="3629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Secciones en construcción visibles</w:t>
            </w:r>
          </w:p>
        </w:tc>
        <w:tc>
          <w:tcPr>
            <w:tcW w:type="dxa" w:w="6451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Ocúltalas hasta que estén listas.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Enlaces rotos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Prueba cada URL desde una ventana de incógnito.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F37012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Reto práctico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183A43" w:sz="24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7"/>
                <w:szCs w:val="17"/>
              </w:rPr>
              <w:t xml:space="preserve">PON EN PRÁCTICA LO APRENDIDO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183A43"/>
                <w:sz w:val="22"/>
                <w:szCs w:val="22"/>
              </w:rPr>
              <w:t xml:space="preserve">Aplica la lista de chequeo completa a tu curso, marca cada ítem y corrige los pendientes antes de la apertura.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F37012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Verifica tu avance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Apliqué la lista de chequeo completa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Corregí los pendientes encontrados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Recorrí el curso con rol de estudiante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Un colega revisó el curso</w:t>
      </w:r>
    </w:p>
    <w:p>
      <w:pPr>
        <w:pBdr>
          <w:top w:val="single" w:color="CAD6D0" w:sz="4" w:space="8"/>
        </w:pBdr>
        <w:spacing w:before="360"/>
      </w:pPr>
      <w:r>
        <w:rPr>
          <w:rFonts w:ascii="Calibri" w:cs="Calibri" w:eastAsia="Calibri" w:hAnsi="Calibri"/>
          <w:color w:val="52656A"/>
          <w:sz w:val="18"/>
          <w:szCs w:val="18"/>
        </w:rPr>
        <w:t xml:space="preserve">CEA · Centro de Innovación Pedagógica y Educación Digital — Universidad de San Buenaventura Cali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Calibri" w:cs="Calibri" w:eastAsia="Calibri" w:hAnsi="Calibri"/>
        <w:color w:val="52656A"/>
        <w:sz w:val="16"/>
        <w:szCs w:val="16"/>
      </w:rPr>
      <w:t xml:space="preserve">Lista de chequeo antes de abrir el curso  ·  Universidad de San Buenaventura Cali</w:t>
    </w:r>
    <w:r>
      <w:rPr>
        <w:rFonts w:ascii="Calibri" w:cs="Calibri" w:eastAsia="Calibri" w:hAnsi="Calibri"/>
        <w:color w:val="52656A"/>
        <w:sz w:val="16"/>
        <w:szCs w:val="16"/>
      </w:rPr>
      <w:t xml:space="preserve">	Página </w:t>
    </w:r>
    <w:r>
      <w:rPr>
        <w:rFonts w:ascii="Calibri" w:cs="Calibri" w:eastAsia="Calibri" w:hAnsi="Calibri"/>
        <w:color w:val="5265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56A"/>
        <w:sz w:val="16"/>
        <w:szCs w:val="16"/>
      </w:rPr>
      <w:t xml:space="preserve"> de </w:t>
    </w:r>
    <w:r>
      <w:rPr>
        <w:rFonts w:ascii="Calibri" w:cs="Calibri" w:eastAsia="Calibri" w:hAnsi="Calibri"/>
        <w:color w:val="5265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6D0" w:sz="4" w:space="6"/>
      </w:pBdr>
      <w:tabs>
        <w:tab w:val="right" w:pos="10080"/>
      </w:tabs>
    </w:pPr>
    <w:r>
      <w:rPr>
        <w:rFonts w:ascii="Calibri" w:cs="Calibri" w:eastAsia="Calibri" w:hAnsi="Calibri"/>
        <w:b/>
        <w:bCs/>
        <w:color w:val="087F91"/>
        <w:sz w:val="17"/>
        <w:szCs w:val="17"/>
      </w:rPr>
      <w:t xml:space="preserve">CEA</w:t>
    </w:r>
    <w:r>
      <w:rPr>
        <w:rFonts w:ascii="Calibri" w:cs="Calibri" w:eastAsia="Calibri" w:hAnsi="Calibri"/>
        <w:color w:val="52656A"/>
        <w:sz w:val="17"/>
        <w:szCs w:val="17"/>
      </w:rPr>
      <w:t xml:space="preserve">  ·  Centro de Innovación Pedagógica y Educación Digital</w:t>
    </w:r>
    <w:r>
      <w:rPr>
        <w:rFonts w:ascii="Calibri" w:cs="Calibri" w:eastAsia="Calibri" w:hAnsi="Calibri"/>
        <w:b/>
        <w:bCs/>
        <w:color w:val="183A43"/>
        <w:sz w:val="17"/>
        <w:szCs w:val="17"/>
      </w:rPr>
      <w:t xml:space="preserve">	Cápsula 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20" w:hanging="280"/>
      </w:pPr>
      <w:rPr>
        <w:b/>
        <w:bCs/>
        <w:color w:val="F3701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83A43"/>
        <w:sz w:val="22"/>
        <w:szCs w:val="22"/>
      </w:rPr>
    </w:rPrDefault>
    <w:pPrDefault>
      <w:pPr>
        <w:spacing w:line="29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83A43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83A43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183A4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85b72cd7b7365ee9514f86985373425bd4f8ede3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Cápsula 10 · Lista de chequeo antes de abrir el curso</dc:title>
  <dc:creator>CEA – Universidad de San Buenaventura Cali</dc:creator>
  <dc:description>Verificar, con una lista de chequeo completa, que el aula virtual está lista para recibir a los estudiantes: configuración, estructura, contenidos, actividades, evaluación y comunicación.</dc:description>
  <cp:lastModifiedBy>Un-named</cp:lastModifiedBy>
  <cp:revision>1</cp:revision>
  <dcterms:created xsi:type="dcterms:W3CDTF">2026-10-08T13:38:07.234Z</dcterms:created>
  <dcterms:modified xsi:type="dcterms:W3CDTF">2026-10-08T13:38:07.234Z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