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CED5A6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8"/>
          <w:szCs w:val="48"/>
          <w:lang w:val="en-US" w:eastAsia="zh-CN"/>
        </w:rPr>
        <w:t>基于心理安全的反馈技巧</w:t>
      </w:r>
    </w:p>
    <w:p w14:paraId="2B1D095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课程介绍</w:t>
      </w:r>
    </w:p>
    <w:p w14:paraId="37ABFECE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当生成式AI重塑工作场景，员工的胜任感、自主性与归属感正面临前所未有的挑战——技能贬值的焦虑、人机协作的困惑、职业替代的恐惧，让传统反馈模式极易触发防御心理。本课程立足"高效反馈"核心框架，聚焦AI时代的心理安全痛点，破解"既要推动成长又要保护心态"的反馈困境。通过拆解技术变革中的心理需求逻辑，学习与实践兼顾"事实传递"与"情绪托底"的实战技巧，帮助管理者以反馈为纽带，构建人机协同下的信任型团队氛围，让反馈从"压力源"转变为"能量剂"。</w:t>
      </w:r>
    </w:p>
    <w:p w14:paraId="2A05C3D2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4"/>
          <w:szCs w:val="44"/>
          <w:lang w:val="en-US" w:eastAsia="zh-CN"/>
        </w:rPr>
      </w:pPr>
    </w:p>
    <w:p w14:paraId="5EA1BB09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课程目的</w:t>
      </w:r>
    </w:p>
    <w:p w14:paraId="1B919E93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1. 明晰AI时代员工心理安全的核心维度，识别反馈中威胁胜任感、自主性、归属感的隐形雷区。</w:t>
      </w:r>
    </w:p>
    <w:p w14:paraId="63A5EEFE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2. 掌握基于"自我决定理论"的反馈框架，建立"安全氛围-精准表达-赋能行动"的反馈逻辑。</w:t>
      </w:r>
    </w:p>
    <w:p w14:paraId="66679659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3. 学会针对AI相关场景（如技能迭代、人机协作、绩效评估）的个性化反馈技巧。</w:t>
      </w:r>
    </w:p>
    <w:p w14:paraId="568486B5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4. 提升反馈中的情绪感知与调节能力，降低技术变革下的沟通内耗，强化团队凝聚力。</w:t>
      </w:r>
    </w:p>
    <w:p w14:paraId="61F6F6BC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4"/>
          <w:szCs w:val="44"/>
          <w:lang w:val="en-US" w:eastAsia="zh-CN"/>
        </w:rPr>
      </w:pPr>
    </w:p>
    <w:p w14:paraId="6FBAC227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学员收益</w:t>
      </w:r>
    </w:p>
    <w:p w14:paraId="333697E8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</w:p>
    <w:p w14:paraId="7B1443E5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1. 认知升级：理解AI对员工职业身份与心理需求的影响机制，明确心理安全型反馈的底层逻辑。</w:t>
      </w:r>
    </w:p>
    <w:p w14:paraId="52D3CAAD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2. 风险规避：能精准识别并规避"否定技能价值""忽视自主需求""弱化人际连接"等反馈误区。</w:t>
      </w:r>
    </w:p>
    <w:p w14:paraId="4F18E63F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3. 技能掌握：习得"AI适配型"反馈工具，包括技能迭代反馈话术、人机协作指导方法等实战技巧。</w:t>
      </w:r>
    </w:p>
    <w:p w14:paraId="1F75D678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4. 氛围构建：通过反馈优化提升员工心理韧性，降低职业焦虑，打造信任包容的团队文化。</w:t>
      </w:r>
    </w:p>
    <w:p w14:paraId="6CD45F13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5. 效能提升：将反馈转化为技能升级动力与人机协作合力，提升团队在技术变革中的适应力。</w:t>
      </w:r>
    </w:p>
    <w:p w14:paraId="63FF9419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4"/>
          <w:szCs w:val="44"/>
          <w:lang w:val="en-US" w:eastAsia="zh-CN"/>
        </w:rPr>
      </w:pPr>
    </w:p>
    <w:p w14:paraId="5F61F02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适合人群</w:t>
      </w:r>
    </w:p>
    <w:p w14:paraId="3515433B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企业中基层管理者、团队负责人；</w:t>
      </w:r>
    </w:p>
    <w:p w14:paraId="16256322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人力资源从业者、人才发展专员；</w:t>
      </w:r>
    </w:p>
    <w:p w14:paraId="7FC1CD8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需指导员工应对AI技术变革的业务骨干；</w:t>
      </w:r>
    </w:p>
    <w:p w14:paraId="7D0BFE8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希望优化沟通方式、构建心理安全团队的管理型人才。</w:t>
      </w:r>
    </w:p>
    <w:p w14:paraId="67F3D1A2">
      <w:pPr>
        <w:keepNext w:val="0"/>
        <w:keepLines w:val="0"/>
        <w:pageBreakBefore w:val="0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44"/>
          <w:szCs w:val="44"/>
          <w:lang w:val="en-US" w:eastAsia="zh-CN"/>
        </w:rPr>
      </w:pPr>
    </w:p>
    <w:p w14:paraId="62E2E7F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课程时长</w:t>
      </w:r>
    </w:p>
    <w:p w14:paraId="460029B6">
      <w:pPr>
        <w:keepNext w:val="0"/>
        <w:keepLines w:val="0"/>
        <w:pageBreakBefore w:val="0"/>
        <w:widowControl w:val="0"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spacing w:val="11"/>
          <w:kern w:val="0"/>
          <w:sz w:val="24"/>
          <w:szCs w:val="24"/>
          <w:lang w:val="en-US" w:eastAsia="zh-CN"/>
        </w:rPr>
        <w:t>1天（6小时）</w:t>
      </w:r>
    </w:p>
    <w:p w14:paraId="5E59EF2F">
      <w:pPr>
        <w:keepNext w:val="0"/>
        <w:keepLines w:val="0"/>
        <w:pageBreakBefore w:val="0"/>
        <w:widowControl w:val="0"/>
        <w:numPr>
          <w:numId w:val="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200" w:after="200" w:line="52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课程大纲</w:t>
      </w:r>
    </w:p>
    <w:p w14:paraId="6C47DD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模块一：认知基石：</w:t>
      </w: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时代的心理安全与反馈新挑战</w:t>
      </w:r>
    </w:p>
    <w:p w14:paraId="35760BB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核心目标：建立对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时代反馈逻辑的系统认知</w:t>
      </w:r>
    </w:p>
    <w:p w14:paraId="42BDFA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1. 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重塑下的员工心理图景：基于自我决定理论解析胜任感、自主性、归属感的需求变化。</w:t>
      </w:r>
    </w:p>
    <w:p w14:paraId="3FDE26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心理安全缺失的反馈困境：案例拆解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技能替代焦虑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人机协作困惑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等场景的反馈失效问题。</w:t>
      </w:r>
    </w:p>
    <w:p w14:paraId="06ED7B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心理安全型反馈的三大支柱：安全氛围（信任基础）、精准表达（事实与情绪平衡）、赋能行动（成长导向）。</w:t>
      </w:r>
    </w:p>
    <w:p w14:paraId="3728D7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互动环节：小组研讨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我经历的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时代反馈难题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，识别其中的心理需求冲突点。</w:t>
      </w:r>
    </w:p>
    <w:p w14:paraId="31FB40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8"/>
          <w:szCs w:val="28"/>
          <w:rtl w:val="0"/>
          <w:lang w:val="zh-CN" w:eastAsia="zh-CN"/>
        </w:rPr>
      </w:pPr>
    </w:p>
    <w:p w14:paraId="2D50E08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模块二：底层逻辑：反馈中构建心理安全的核心原则</w:t>
      </w:r>
    </w:p>
    <w:p w14:paraId="273BC5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核心目标：掌握守护心理安全的反馈底层方法论</w:t>
      </w:r>
    </w:p>
    <w:p w14:paraId="4D34D1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尊重为先：避免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技术至上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的评判倾向，维护员工职业身份认同。</w:t>
      </w:r>
    </w:p>
    <w:p w14:paraId="622CB9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需求导向：紧扣胜任感（强化成长价值）、自主性（保留决策空间）、归属感（强化人际连接）的核心需求。</w:t>
      </w:r>
    </w:p>
    <w:p w14:paraId="0DE9446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人机协同：将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定位为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协作工具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TW" w:eastAsia="zh-TW"/>
        </w:rPr>
        <w:t>而非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评判标准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，在反馈中明晰人机互补价值。</w:t>
      </w:r>
    </w:p>
    <w:p w14:paraId="35F420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工具导入：《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时代员工心理需求评估表》，精准定位反馈切入点。</w:t>
      </w:r>
    </w:p>
    <w:p w14:paraId="2104BF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8"/>
          <w:szCs w:val="28"/>
          <w:rtl w:val="0"/>
          <w:lang w:val="zh-CN" w:eastAsia="zh-CN"/>
        </w:rPr>
      </w:pPr>
    </w:p>
    <w:p w14:paraId="3C163C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模块三：实战技巧：分场景的心理安全反馈方法</w:t>
      </w:r>
    </w:p>
    <w:p w14:paraId="422F1AA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核心目标：习得不同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相关场景的反馈实战工具</w:t>
      </w:r>
    </w:p>
    <w:p w14:paraId="046F66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技能迭代场景：应对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替代焦虑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的反馈技巧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肯定现有价值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明确成长路径的话术设计。</w:t>
      </w:r>
    </w:p>
    <w:p w14:paraId="7A96D3A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人机协作场景：指导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ja-JP" w:eastAsia="ja-JP"/>
        </w:rPr>
        <w:t>使用困惑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的反馈方法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赋能自主探索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提供支持边界的沟通策略。</w:t>
      </w:r>
    </w:p>
    <w:p w14:paraId="2F2BD3E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绩效评估场景：结合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辅助评价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的反馈逻辑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平衡数据客观与人文关怀的表达框架。</w:t>
      </w:r>
    </w:p>
    <w:p w14:paraId="4176122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4.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创新试错场景：包容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应用失误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的反馈艺术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——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弱化否定指责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+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聚焦问题解决的引导技巧。</w:t>
      </w:r>
    </w:p>
    <w:p w14:paraId="29C8ED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实战练习：分组进行场景角色扮演，运用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 xml:space="preserve">反馈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checklist"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优化表达，互相反馈</w:t>
      </w:r>
    </w:p>
    <w:p w14:paraId="568BB7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8"/>
          <w:szCs w:val="28"/>
          <w:rtl w:val="0"/>
          <w:lang w:val="zh-CN" w:eastAsia="zh-CN"/>
        </w:rPr>
      </w:pPr>
    </w:p>
    <w:p w14:paraId="76C953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模块四：能力强化：反馈中的情绪管理与氛围营造</w:t>
      </w:r>
    </w:p>
    <w:p w14:paraId="50D7D1B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核心目标：提升反馈中的心理支持能力</w:t>
      </w:r>
    </w:p>
    <w:p w14:paraId="28C4D8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情绪识别：捕捉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焦虑引发的防御信号（沉默、反驳、回避）及应对策略。</w:t>
      </w:r>
    </w:p>
    <w:p w14:paraId="7F99D9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安全破冰：从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第三个故事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切入，消除反馈前的心理戒备。</w:t>
      </w:r>
    </w:p>
    <w:p w14:paraId="7000C62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能量赋能：在反馈中注入肯定性信息，强化员工心理韧性与成长信心。</w:t>
      </w:r>
    </w:p>
    <w:p w14:paraId="57A2445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•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互动体验：情绪触发场景模拟，练习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情绪共情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事实切入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行动赋能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的衔接技巧。</w:t>
      </w:r>
    </w:p>
    <w:p w14:paraId="22C315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8"/>
          <w:szCs w:val="28"/>
          <w:rtl w:val="0"/>
          <w:lang w:val="zh-CN" w:eastAsia="zh-CN"/>
        </w:rPr>
      </w:pPr>
    </w:p>
    <w:p w14:paraId="2DCFF36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1"/>
          <w:kern w:val="2"/>
          <w:sz w:val="28"/>
          <w:szCs w:val="28"/>
          <w:rtl w:val="0"/>
          <w:lang w:val="zh-CN" w:eastAsia="zh-CN"/>
        </w:rPr>
        <w:t>模块五：整合落地：反馈体系的长效优化</w:t>
      </w:r>
    </w:p>
    <w:p w14:paraId="3314F2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核心目标：规划反馈能力的持续提升路径</w:t>
      </w:r>
    </w:p>
    <w:p w14:paraId="52EC01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知识整合：梳理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认知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原则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TW" w:eastAsia="zh-TW"/>
        </w:rPr>
        <w:t>技巧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氛围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的反馈能力提升框架。</w:t>
      </w:r>
    </w:p>
    <w:p w14:paraId="48B14D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行动规划：制定个人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反馈优化清单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ru-RU" w:eastAsia="zh-CN"/>
        </w:rPr>
        <w:t>"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，明确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相关场景的实践目标与步骤。</w:t>
      </w:r>
    </w:p>
    <w:p w14:paraId="49BA9F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工具包运用&amp;答疑总结：解决个性化场景难题，回顾反馈与心理安全的核心关联点</w:t>
      </w:r>
    </w:p>
    <w:p w14:paraId="0021D1DC">
      <w:pPr>
        <w:rPr>
          <w:rFonts w:hint="eastAsia" w:ascii="微软雅黑" w:hAnsi="微软雅黑" w:eastAsia="微软雅黑" w:cs="微软雅黑"/>
          <w:spacing w:val="11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pacing w:val="11"/>
          <w:sz w:val="28"/>
          <w:szCs w:val="28"/>
          <w:lang w:val="en-US" w:eastAsia="zh-CN"/>
        </w:rPr>
        <w:br w:type="page"/>
      </w:r>
    </w:p>
    <w:p w14:paraId="65522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pacing w:val="11"/>
          <w:kern w:val="0"/>
          <w:sz w:val="36"/>
          <w:szCs w:val="36"/>
          <w:lang w:val="en-US" w:eastAsia="zh-CN"/>
        </w:rPr>
        <w:t>讲师简介</w:t>
      </w:r>
      <w:bookmarkStart w:id="0" w:name="_GoBack"/>
      <w:bookmarkEnd w:id="0"/>
    </w:p>
    <w:p w14:paraId="61D687E6">
      <w:pPr>
        <w:rPr>
          <w:rFonts w:hint="eastAsia" w:ascii="微软雅黑" w:hAnsi="微软雅黑" w:eastAsia="微软雅黑" w:cs="Microsoft YaHei Bold"/>
          <w:b/>
          <w:szCs w:val="21"/>
        </w:rPr>
      </w:pPr>
      <w:r>
        <w:rPr>
          <w:rFonts w:ascii="微软雅黑" w:hAnsi="微软雅黑" w:eastAsia="微软雅黑"/>
          <w:sz w:val="28"/>
          <w:szCs w:val="28"/>
        </w:rP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5257800</wp:posOffset>
            </wp:positionH>
            <wp:positionV relativeFrom="margin">
              <wp:posOffset>213995</wp:posOffset>
            </wp:positionV>
            <wp:extent cx="1765300" cy="2362200"/>
            <wp:effectExtent l="0" t="0" r="0" b="0"/>
            <wp:wrapThrough wrapText="bothSides">
              <wp:wrapPolygon>
                <wp:start x="0" y="0"/>
                <wp:lineTo x="0" y="21484"/>
                <wp:lineTo x="21445" y="21484"/>
                <wp:lineTo x="21445" y="0"/>
                <wp:lineTo x="0" y="0"/>
              </wp:wrapPolygon>
            </wp:wrapThrough>
            <wp:docPr id="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Microsoft YaHei Bold"/>
          <w:b/>
          <w:sz w:val="28"/>
          <w:szCs w:val="28"/>
        </w:rPr>
        <w:t xml:space="preserve">Arry Kang </w:t>
      </w:r>
    </w:p>
    <w:p w14:paraId="7E286C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INIFAC国际引导学院认证专家级 引导师CMF</w:t>
      </w:r>
    </w:p>
    <w:p w14:paraId="6FE2E40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团队教练/行动学习教练</w:t>
      </w:r>
    </w:p>
    <w:p w14:paraId="6E533F4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变革管理/绩效改进咨询顾问</w:t>
      </w:r>
    </w:p>
    <w:p w14:paraId="0AB06DE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前媒体集团销售VP, 广告公司CEO</w:t>
      </w:r>
    </w:p>
    <w:p w14:paraId="2D75E7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拥有深厚业务团队领导经验和专业引导技能的行动学习教练，</w:t>
      </w:r>
    </w:p>
    <w:p w14:paraId="1F4A80F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</w:pPr>
      <w:r>
        <w:rPr>
          <w:rFonts w:hint="eastAsia" w:ascii="微软雅黑" w:hAnsi="微软雅黑" w:eastAsia="微软雅黑" w:cs="微软雅黑"/>
          <w:spacing w:val="11"/>
          <w:kern w:val="2"/>
          <w:sz w:val="24"/>
          <w:szCs w:val="24"/>
          <w:rtl w:val="0"/>
          <w:lang w:val="zh-CN" w:eastAsia="zh-CN"/>
        </w:rPr>
        <w:t>形成了独特的业务洞察和复杂问题解决能力</w:t>
      </w:r>
    </w:p>
    <w:p w14:paraId="08431167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sz w:val="24"/>
          <w:szCs w:val="24"/>
        </w:rPr>
        <w:t>多元专业背景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：职业生涯始于新闻行业，多年职业记者的经历锻炼 出了康老师缜密的系统思考及逻辑思维能力，能透过复杂的现象洞察问题的本质，并能与客户高效协同进行组织诊断，定义并聚焦真问题；</w:t>
      </w:r>
    </w:p>
    <w:p w14:paraId="0FFF4555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sz w:val="24"/>
          <w:szCs w:val="24"/>
        </w:rPr>
        <w:t>业务高管经验：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在产品、市场及销售业务高管的岗位上，积累了丰富的业务实战经验。理解业务 情境、懂得业务语言、能够清晰地识别业务需求，并发展业务能力、为客户提供精准的业务支持，聚焦于业务目标的实现；</w:t>
      </w:r>
    </w:p>
    <w:p w14:paraId="29730CA1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sz w:val="24"/>
          <w:szCs w:val="24"/>
        </w:rPr>
        <w:t>丰富行业经验：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深刻理解不同行业客户语言与需求，担任销售VP与CEO 期间曾带领多支不同行业团队，尤其在快消、汽车、金融、奢侈品、互联网等行业积攒了丰富的经验。期间借助完成国际重大活动与赛事(足球世界杯、奥运会、格莱美颁奖典礼、F1、全英音乐奖、网球大师杯)的广告招商、媒介投放、品牌形象打造、整合营销、数字营销、政府部门公关等方案的策划与执行的过程，不断熟悉与了解行业语言，建立了对行业的理解与洞察，为日后以咨询顾问身份服务客户奠定了坚实的基础</w:t>
      </w:r>
    </w:p>
    <w:p w14:paraId="3DB83E33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bCs w:val="0"/>
          <w:sz w:val="24"/>
          <w:szCs w:val="24"/>
        </w:rPr>
        <w:t>引导者特质与风格：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工科背景的女性领导者，追求对业务严谨性和创新突破，同时保持对团队成  员的敏锐觉察和人文关怀，这种特质使得康老师在项目管理和推进中，平衡“人”和“事”的关系，实现 团队的高效协作与行动落地，同时兼顾组织中个人与团队的能力发展；</w:t>
      </w:r>
    </w:p>
    <w:p w14:paraId="60370FD4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bCs w:val="0"/>
          <w:sz w:val="24"/>
          <w:szCs w:val="24"/>
        </w:rPr>
        <w:t>解决方案能力：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二十年业务管理与咨询顾问的经验，熟悉甲乙两方不同的需求和视角，能灵活融 合不同领域与学科的知识，围绕真实业务情境，为客户量身定制最优解决方案，推动战略落地和组织发展；</w:t>
      </w:r>
    </w:p>
    <w:p w14:paraId="3B672809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bCs w:val="0"/>
          <w:sz w:val="24"/>
          <w:szCs w:val="24"/>
        </w:rPr>
        <w:t>组织变革经验：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职业生涯跨越外企、国企、民企等多种企业类型，熟悉不同的语言体系与文化； 同时曾经历、推动、引领了多次组织变革，对于如何在组织内形成有效的助力业务和组织发展的支持系统、如何激发团队智慧解决组织中真实的议题与难题有独到的思考、经验与视角。</w:t>
      </w:r>
    </w:p>
    <w:p w14:paraId="7F77A9F2">
      <w:pPr>
        <w:rPr>
          <w:rFonts w:hint="eastAsia" w:ascii="微软雅黑" w:hAnsi="微软雅黑" w:eastAsia="微软雅黑" w:cs="Microsoft YaHei Bold"/>
          <w:b/>
          <w:sz w:val="24"/>
          <w:szCs w:val="24"/>
        </w:rPr>
      </w:pPr>
    </w:p>
    <w:p w14:paraId="2CBFB076">
      <w:pPr>
        <w:rPr>
          <w:rFonts w:hint="eastAsia" w:ascii="微软雅黑" w:hAnsi="微软雅黑" w:eastAsia="微软雅黑" w:cs="Microsoft YaHei Bold"/>
          <w:b/>
          <w:sz w:val="28"/>
          <w:szCs w:val="28"/>
        </w:rPr>
      </w:pPr>
      <w:r>
        <w:rPr>
          <w:rFonts w:hint="eastAsia" w:ascii="微软雅黑" w:hAnsi="微软雅黑" w:eastAsia="微软雅黑" w:cs="Microsoft YaHei Bold"/>
          <w:b/>
          <w:sz w:val="28"/>
          <w:szCs w:val="28"/>
        </w:rPr>
        <w:t>客户行业与议题</w:t>
      </w:r>
    </w:p>
    <w:p w14:paraId="50E168F8">
      <w:pPr>
        <w:numPr>
          <w:ilvl w:val="0"/>
          <w:numId w:val="3"/>
        </w:numPr>
        <w:rPr>
          <w:rFonts w:hint="eastAsia" w:ascii="微软雅黑" w:hAnsi="微软雅黑" w:eastAsia="微软雅黑" w:cs="Microsoft YaHei Regular"/>
          <w:bCs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bCs w:val="0"/>
          <w:sz w:val="24"/>
          <w:szCs w:val="24"/>
        </w:rPr>
        <w:t>客户行业：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包括但不局限于汽车、快速消费品、零售、制造业、医药行业、互联网、时尚及奢侈 品、金融业、文化传媒、高校等；</w:t>
      </w:r>
    </w:p>
    <w:p w14:paraId="17510902">
      <w:pPr>
        <w:numPr>
          <w:ilvl w:val="0"/>
          <w:numId w:val="3"/>
        </w:numPr>
        <w:rPr>
          <w:rFonts w:hint="eastAsia" w:ascii="微软雅黑" w:hAnsi="微软雅黑" w:eastAsia="微软雅黑" w:cs="Microsoft YaHei Bold"/>
          <w:b/>
          <w:sz w:val="24"/>
          <w:szCs w:val="24"/>
        </w:rPr>
      </w:pPr>
      <w:r>
        <w:rPr>
          <w:rFonts w:hint="eastAsia" w:ascii="微软雅黑" w:hAnsi="微软雅黑" w:eastAsia="微软雅黑" w:cs="Microsoft YaHei Regular"/>
          <w:b/>
          <w:bCs w:val="0"/>
          <w:sz w:val="24"/>
          <w:szCs w:val="24"/>
        </w:rPr>
        <w:t>客户议题：</w:t>
      </w:r>
      <w:r>
        <w:rPr>
          <w:rFonts w:hint="eastAsia" w:ascii="微软雅黑" w:hAnsi="微软雅黑" w:eastAsia="微软雅黑" w:cs="Microsoft YaHei Regular"/>
          <w:bCs/>
          <w:sz w:val="24"/>
          <w:szCs w:val="24"/>
        </w:rPr>
        <w:t>包括但不局限于战略规划工作坊、战略落地工作坊、价值观解码工作坊、愿景共创工作坊、雇主品牌核心理念共创工作坊、销售团队激励工作坊、销售拓展工作坊、售后管理共创工作坊、经销商团队管理工作坊、项目启动工作坊、产品经理共创工作坊等</w:t>
      </w:r>
      <w:r>
        <w:rPr>
          <w:rFonts w:hint="eastAsia" w:ascii="微软雅黑" w:hAnsi="微软雅黑" w:eastAsia="微软雅黑" w:cs="Microsoft YaHei Regular"/>
          <w:bCs/>
          <w:sz w:val="24"/>
          <w:szCs w:val="24"/>
          <w:lang w:eastAsia="zh-CN"/>
        </w:rPr>
        <w:t>。</w:t>
      </w:r>
    </w:p>
    <w:p w14:paraId="3CECEEC9">
      <w:pPr>
        <w:bidi w:val="0"/>
        <w:jc w:val="left"/>
        <w:rPr>
          <w:rFonts w:hint="eastAsia" w:ascii="微软雅黑" w:hAnsi="微软雅黑" w:eastAsia="微软雅黑" w:cs="微软雅黑"/>
          <w:spacing w:val="11"/>
          <w:sz w:val="28"/>
          <w:szCs w:val="28"/>
        </w:rPr>
      </w:pPr>
    </w:p>
    <w:p w14:paraId="54AD3A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440" w:lineRule="exact"/>
        <w:ind w:left="420" w:leftChars="0"/>
        <w:textAlignment w:val="auto"/>
        <w:rPr>
          <w:rFonts w:hint="eastAsia" w:ascii="微软雅黑" w:hAnsi="微软雅黑" w:eastAsia="微软雅黑" w:cs="微软雅黑"/>
          <w:spacing w:val="11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814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Bold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Microsoft YaHei Regular">
    <w:altName w:val="宋体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ingFang SC Semi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45C8D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-899160</wp:posOffset>
          </wp:positionH>
          <wp:positionV relativeFrom="margin">
            <wp:posOffset>-1151890</wp:posOffset>
          </wp:positionV>
          <wp:extent cx="7559040" cy="10692130"/>
          <wp:effectExtent l="0" t="0" r="10160" b="1270"/>
          <wp:wrapNone/>
          <wp:docPr id="9" name="WordPictureWatermark1404830" descr="背景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1404830" descr="背景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6FEC2"/>
    <w:multiLevelType w:val="singleLevel"/>
    <w:tmpl w:val="B276FEC2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abstractNum w:abstractNumId="1">
    <w:nsid w:val="FFFE00A3"/>
    <w:multiLevelType w:val="singleLevel"/>
    <w:tmpl w:val="FFFE00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2">
    <w:nsid w:val="1FB66241"/>
    <w:multiLevelType w:val="singleLevel"/>
    <w:tmpl w:val="1FB66241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CC91C2"/>
    <w:rsid w:val="13474C8B"/>
    <w:rsid w:val="14FF7655"/>
    <w:rsid w:val="30273640"/>
    <w:rsid w:val="54975C5A"/>
    <w:rsid w:val="77DC1564"/>
    <w:rsid w:val="79B45A9E"/>
    <w:rsid w:val="7AE3B331"/>
    <w:rsid w:val="7BA9121D"/>
    <w:rsid w:val="8FF6F10D"/>
    <w:rsid w:val="C7ACE6D1"/>
    <w:rsid w:val="D7CC91C2"/>
    <w:rsid w:val="D8DF224C"/>
    <w:rsid w:val="E59600CE"/>
    <w:rsid w:val="E7AF2887"/>
    <w:rsid w:val="EB785ABB"/>
    <w:rsid w:val="EFDB71A8"/>
    <w:rsid w:val="FF7F90F1"/>
    <w:rsid w:val="FFD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样式1"/>
    <w:basedOn w:val="1"/>
    <w:uiPriority w:val="0"/>
    <w:pPr>
      <w:jc w:val="left"/>
    </w:pPr>
    <w:rPr>
      <w:rFonts w:hint="eastAsia" w:ascii="Arial Unicode MS" w:hAnsi="Arial Unicode MS" w:eastAsia="微软雅黑" w:cs="Arial Unicode MS"/>
      <w:color w:val="000000"/>
      <w:sz w:val="21"/>
      <w:szCs w:val="22"/>
      <w:u w:color="000000"/>
      <w:lang w:val="zh-TW" w:eastAsia="zh-TW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2170</Words>
  <Characters>2209</Characters>
  <Lines>0</Lines>
  <Paragraphs>0</Paragraphs>
  <TotalTime>99</TotalTime>
  <ScaleCrop>false</ScaleCrop>
  <LinksUpToDate>false</LinksUpToDate>
  <CharactersWithSpaces>2224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2024-12-13T02:36:00Z</dcterms:created>
  <dc:creator>Tr᳐oy᳐೨</dc:creator>
  <cp:lastModifiedBy>WPS_1749702466</cp:lastModifiedBy>
  <dcterms:modified xsi:type="dcterms:W3CDTF">2025-11-12T05:39:50Z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7AB6773317694856AACA6EE34DE3FC4F_13</vt:lpwstr>
  </property>
  <property fmtid="{D5CDD505-2E9C-101B-9397-08002B2CF9AE}" pid="4" name="KSOTemplateDocerSaveRecord">
    <vt:lpwstr>eyJoZGlkIjoiNDQ3YjA2NDQ3ODJiNWU2ZGZhMzIwMDBjY2UwNGE2YjMiLCJ1c2VySWQiOiIxNzEwMTI1MTM3In0=</vt:lpwstr>
  </property>
</Properties>
</file>