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40" w:line="240" w:lineRule="auto"/>
        <w:jc w:val="center"/>
      </w:pPr>
      <w:r>
        <w:rPr>
          <w:rFonts w:ascii="Times New Roman" w:hAnsi="Times New Roman"/>
          <w:b/>
          <w:i w:val="0"/>
          <w:sz w:val="28"/>
        </w:rPr>
        <w:t>AgroScan: A ConvLSTM2D-Based Deep Learning Framework for Spatiotemporal Crop Disease Detection and Optimised Autonomous Treatment Routing</w:t>
      </w:r>
    </w:p>
    <w:p>
      <w:pPr>
        <w:spacing w:before="0" w:after="40" w:line="240" w:lineRule="auto"/>
        <w:jc w:val="center"/>
      </w:pPr>
      <w:r>
        <w:rPr>
          <w:rFonts w:ascii="Times New Roman" w:hAnsi="Times New Roman"/>
          <w:b w:val="0"/>
          <w:i w:val="0"/>
          <w:sz w:val="24"/>
        </w:rPr>
        <w:t>Jumana B* · Krithika J · Dr. Veeramani Sonai</w:t>
      </w:r>
    </w:p>
    <w:p>
      <w:pPr>
        <w:spacing w:before="0" w:after="40" w:line="240" w:lineRule="auto"/>
        <w:jc w:val="center"/>
      </w:pPr>
      <w:r>
        <w:rPr>
          <w:rFonts w:ascii="Times New Roman" w:hAnsi="Times New Roman"/>
          <w:b w:val="0"/>
          <w:i/>
          <w:sz w:val="22"/>
        </w:rPr>
        <w:t>Computer Science and Engineering, Shiv Nadar University Chennai, Chennai, India</w:t>
      </w:r>
    </w:p>
    <w:p>
      <w:pPr>
        <w:spacing w:before="0" w:after="80" w:line="240" w:lineRule="auto"/>
        <w:jc w:val="center"/>
      </w:pPr>
      <w:r>
        <w:rPr>
          <w:rFonts w:ascii="Times New Roman" w:hAnsi="Times New Roman"/>
          <w:b w:val="0"/>
          <w:i w:val="0"/>
          <w:sz w:val="20"/>
        </w:rPr>
        <w:t>jumana22110260@snuchennai.edu.in; krithika22110011@snuchennai.edu.in; veeramanis@snuchennai.edu.in</w:t>
      </w:r>
    </w:p>
    <w:p>
      <w:pPr>
        <w:spacing w:before="0" w:after="360" w:line="240" w:lineRule="auto"/>
        <w:jc w:val="center"/>
      </w:pPr>
      <w:r>
        <w:rPr>
          <w:rFonts w:ascii="Times New Roman" w:hAnsi="Times New Roman"/>
          <w:b/>
          <w:i w:val="0"/>
          <w:sz w:val="20"/>
        </w:rPr>
        <w:t xml:space="preserve">*Corresponding author: </w:t>
      </w:r>
      <w:r>
        <w:rPr>
          <w:rFonts w:ascii="Times New Roman" w:hAnsi="Times New Roman"/>
          <w:b w:val="0"/>
          <w:i w:val="0"/>
          <w:sz w:val="20"/>
        </w:rPr>
        <w:t>jumana22110260@snuchennai.edu.in</w:t>
      </w:r>
    </w:p>
    <w:p>
      <w:pPr>
        <w:spacing w:before="0" w:after="80" w:line="240" w:lineRule="auto"/>
        <w:jc w:val="left"/>
      </w:pPr>
      <w:r>
        <w:rPr>
          <w:rFonts w:ascii="Times New Roman" w:hAnsi="Times New Roman"/>
          <w:b/>
          <w:i w:val="0"/>
          <w:sz w:val="24"/>
        </w:rPr>
        <w:t>Abstract</w:t>
      </w:r>
    </w:p>
    <w:p>
      <w:pPr>
        <w:spacing w:before="0" w:after="200" w:line="240" w:lineRule="auto"/>
        <w:ind w:firstLine="0"/>
        <w:jc w:val="both"/>
      </w:pPr>
      <w:r>
        <w:rPr>
          <w:rFonts w:ascii="Times New Roman" w:hAnsi="Times New Roman"/>
          <w:b w:val="0"/>
          <w:i w:val="0"/>
          <w:sz w:val="22"/>
        </w:rPr>
        <w:t>Crop diseases cause annual yield losses estimated at 20–40% of total production, threatening global food security. This study presents AgroScan, an end-to-end precision agriculture framework integrating spatiotemporal deep learning with autonomous treatment path optimisation. A physics-informed simulation engine synthesises nine-band Sentinel-2-like multispectral image sequences across twelve temporal timesteps for three disease classes: Pest Attack, Overwatering, and Water Stress. A three-layer Convolutional Long Short-Term Memory (ConvLSTM2D) neural network with dual output heads simultaneously performs disease classification (three-class softmax) and pixel-wise disease probability mapping (sigmoid segmentation). Trained on 360 balanced labelled sequences, the model achieved 100% classification accuracy (Precision/Recall/F1-score = 1.00; ROC-AUC = 1.00 per class), a mean Dice score of 0.723, and a mean IoU of 0.609 on an independent 90-sample test set. Disease probability masks thresholded at the 90th severity percentile define spray zones that are then routed through five path planning algorithms — Direct A*, MST-guided A*, TSP, Dijkstra, and Simulated Annealing — ranked by a disease-gain-per-distance efficiency metric. The optimal route is converted to WGS-84 GPS coordinates for a reference farm in Thanjavur, Tamil Nadu, India, yielding exportable waypoints for autonomous drone deployment. AgroScan bridges remote disease sensing and actionable field intervention, providing a reproducible open-source pipeline applicable to both smallholder and large-scale agriculture.</w:t>
      </w:r>
    </w:p>
    <w:p>
      <w:pPr>
        <w:spacing w:before="0" w:after="360" w:line="240" w:lineRule="auto"/>
        <w:ind w:firstLine="0"/>
        <w:jc w:val="left"/>
      </w:pPr>
      <w:r>
        <w:rPr>
          <w:rFonts w:ascii="Times New Roman" w:hAnsi="Times New Roman"/>
          <w:b/>
          <w:i w:val="0"/>
          <w:sz w:val="22"/>
        </w:rPr>
        <w:t xml:space="preserve">Keywords: </w:t>
      </w:r>
      <w:r>
        <w:rPr>
          <w:rFonts w:ascii="Times New Roman" w:hAnsi="Times New Roman"/>
          <w:b w:val="0"/>
          <w:i w:val="0"/>
          <w:sz w:val="22"/>
        </w:rPr>
        <w:t>precision agriculture · ConvLSTM2D · multispectral remote sensing · crop disease detection · disease segmentation · spray path planning</w:t>
      </w:r>
    </w:p>
    <w:p>
      <w:r>
        <w:br w:type="page"/>
      </w:r>
    </w:p>
    <w:p>
      <w:pPr>
        <w:spacing w:before="240" w:after="60" w:line="240" w:lineRule="auto"/>
        <w:jc w:val="left"/>
      </w:pPr>
      <w:r>
        <w:rPr>
          <w:rFonts w:ascii="Times New Roman" w:hAnsi="Times New Roman"/>
          <w:b/>
          <w:i w:val="0"/>
          <w:sz w:val="24"/>
        </w:rPr>
        <w:t>1  Introduction</w:t>
      </w:r>
    </w:p>
    <w:p>
      <w:pPr>
        <w:spacing w:before="0" w:after="120" w:line="480" w:lineRule="auto"/>
        <w:ind w:firstLine="425"/>
        <w:jc w:val="both"/>
      </w:pPr>
      <w:r>
        <w:rPr>
          <w:rFonts w:ascii="Times New Roman" w:hAnsi="Times New Roman"/>
          <w:b w:val="0"/>
          <w:i w:val="0"/>
          <w:sz w:val="24"/>
        </w:rPr>
        <w:t>Crop diseases caused by pathogens, abiotic stressors, and pest infestations are among the most economically and ecologically damaging forces in global agriculture. The Food and Agriculture Organisation estimates annual crop yield reductions of 20–40%, with losses exceeding USD 220 billion per year (FAO 2021). In tropical regions such as South Asia, where smallholder farms dominate and diagnostic expertise is limited, late or inaccurate disease identification leads to excessive or misdirected pesticide application (Oerke 2006).</w:t>
      </w:r>
    </w:p>
    <w:p>
      <w:pPr>
        <w:spacing w:before="0" w:after="120" w:line="480" w:lineRule="auto"/>
        <w:ind w:firstLine="425"/>
        <w:jc w:val="both"/>
      </w:pPr>
      <w:r>
        <w:rPr>
          <w:rFonts w:ascii="Times New Roman" w:hAnsi="Times New Roman"/>
          <w:b w:val="0"/>
          <w:i w:val="0"/>
          <w:sz w:val="24"/>
        </w:rPr>
        <w:t>Satellite-based multispectral remote sensing — particularly the freely accessible Sentinel-2 constellation with a five-day global revisit period (Drusch et al. 2012) — has transformed large-scale crop monitoring. Spectral indices derived from near-infrared (NIR), shortwave infrared (SWIR), and red-edge reflectance have demonstrated diagnostic utility for biotic and abiotic stresses (Mahlein 2016; Xie et al. 2018). However, translating spectral time series into actionable disease maps and further converting those maps into efficient treatment routes remains an open problem requiring an integrated computational pipeline.</w:t>
      </w:r>
    </w:p>
    <w:p>
      <w:pPr>
        <w:spacing w:before="0" w:after="120" w:line="480" w:lineRule="auto"/>
        <w:ind w:firstLine="425"/>
        <w:jc w:val="both"/>
      </w:pPr>
      <w:r>
        <w:rPr>
          <w:rFonts w:ascii="Times New Roman" w:hAnsi="Times New Roman"/>
          <w:b w:val="0"/>
          <w:i w:val="0"/>
          <w:sz w:val="24"/>
        </w:rPr>
        <w:t>Deep learning methods have significantly advanced plant disease recognition from imagery (Mohanty et al. 2016; Barbedo 2019). For satellite-derived time-series data, Convolutional LSTM (ConvLSTM) networks (Shi et al. 2015) encode spatial correlations within LSTM gates, making them naturally suited to sequences of spatial feature maps. Applications to multi-class crop disease localisation from multispectral sequences remain sparse. Moreover, even where disease maps are generated, the downstream routing of treatment agents across detected zones has received limited attention in the precision agriculture literature.</w:t>
      </w:r>
    </w:p>
    <w:p>
      <w:pPr>
        <w:spacing w:before="0" w:after="120" w:line="480" w:lineRule="auto"/>
        <w:ind w:firstLine="425"/>
        <w:jc w:val="both"/>
      </w:pPr>
      <w:r>
        <w:rPr>
          <w:rFonts w:ascii="Times New Roman" w:hAnsi="Times New Roman"/>
          <w:b w:val="0"/>
          <w:i w:val="0"/>
          <w:sz w:val="24"/>
        </w:rPr>
        <w:t>This study addresses these gaps by presenting AgroScan, a unified framework comprising: (1) a physics-informed spectral disease simulation engine; (2) a three-layer ConvLSTM2D model with dual classification and segmentation heads; (3) a five-algorithm treatment path planning engine ranked by a disease-gain efficiency metric; and (4) a GPS coordinate mapping module for autonomous field deployment. The specific contributions are: (i) a reproducible synthetic data pipeline with physiologically grounded spectral disease signatures; (ii) a dual-head ConvLSTM2D architecture for simultaneous classification and pixel-wise localisation; (iii) a comparative evaluation of five path planning algorithms under a novel severity-weighted efficiency metric; and (iv) an end-to-end GPS-tagged waypoint generation pipeline.</w:t>
      </w:r>
    </w:p>
    <w:p>
      <w:pPr>
        <w:spacing w:before="240" w:after="60" w:line="240" w:lineRule="auto"/>
        <w:jc w:val="left"/>
      </w:pPr>
      <w:r>
        <w:rPr>
          <w:rFonts w:ascii="Times New Roman" w:hAnsi="Times New Roman"/>
          <w:b/>
          <w:i w:val="0"/>
          <w:sz w:val="24"/>
        </w:rPr>
        <w:t>2  Materials and Methods</w:t>
      </w:r>
    </w:p>
    <w:p>
      <w:pPr>
        <w:spacing w:before="240" w:after="60" w:line="240" w:lineRule="auto"/>
        <w:jc w:val="left"/>
      </w:pPr>
      <w:r>
        <w:rPr>
          <w:rFonts w:ascii="Times New Roman" w:hAnsi="Times New Roman"/>
          <w:b/>
          <w:i w:val="0"/>
          <w:sz w:val="24"/>
        </w:rPr>
        <w:t>2.1  Disease Classes and Spectral Signatures</w:t>
      </w:r>
    </w:p>
    <w:p>
      <w:pPr>
        <w:spacing w:before="0" w:after="120" w:line="480" w:lineRule="auto"/>
        <w:ind w:firstLine="0"/>
        <w:jc w:val="both"/>
      </w:pPr>
      <w:r>
        <w:rPr>
          <w:rFonts w:ascii="Times New Roman" w:hAnsi="Times New Roman"/>
          <w:b w:val="0"/>
          <w:i w:val="0"/>
          <w:sz w:val="24"/>
        </w:rPr>
        <w:t>Three agronomically important crop stress conditions were selected: Pest Attack (physical leaf damage and chlorophyll degradation), Overwatering (excess soil moisture leading to root asphyxiation), and Water Stress (soil moisture deficit causing stomatal closure). Band assignments follow the Sentinel-2 MSI ordering: Band 0 = Coastal Aerosol (443 nm), Band 1 = Blue (490 nm), Band 2 = Green (560 nm), Band 3 = Red (665 nm), Band 4 = Vegetation Red Edge 1 (705 nm), Band 5 = Red Edge 2 (740 nm), Band 6 = Red Edge 3 (783 nm), Band 7 = NIR (842 nm), Band 8 = SWIR (1610 nm). Spectral perturbations per class are listed in Table 1.</w:t>
      </w:r>
    </w:p>
    <w:p>
      <w:pPr>
        <w:spacing w:before="240" w:after="60" w:line="240" w:lineRule="auto"/>
        <w:jc w:val="left"/>
      </w:pPr>
      <w:r>
        <w:rPr>
          <w:rFonts w:ascii="Times New Roman" w:hAnsi="Times New Roman"/>
          <w:b/>
          <w:i w:val="0"/>
          <w:sz w:val="24"/>
        </w:rPr>
        <w:t>2.2  Synthetic Dataset Generation</w:t>
      </w:r>
    </w:p>
    <w:p>
      <w:pPr>
        <w:spacing w:before="0" w:after="120" w:line="480" w:lineRule="auto"/>
        <w:ind w:firstLine="0"/>
        <w:jc w:val="both"/>
      </w:pPr>
      <w:r>
        <w:rPr>
          <w:rFonts w:ascii="Times New Roman" w:hAnsi="Times New Roman"/>
          <w:b w:val="0"/>
          <w:i w:val="0"/>
          <w:sz w:val="24"/>
        </w:rPr>
        <w:t>Each training sample consisted of a multispectral image sequence of shape (T=12, H=64, W=64, C=9), representing twelve temporal acquisitions of a 64×64 pixel farm plot across nine spectral bands. Base scenes were initialised as uniform random arrays U(0,1). Disease injection was performed by applying band-specific perturbations within random blob-shaped spatial masks (coverage ~30%), with severity ramped linearly from 30% to 100% of a randomly sampled maximum (U[0.3, 0.7]) across 12 timesteps. Gaussian noise (σ = 0.02) was added to each sequence. Spatial augmentation consisted of independent random vertical and horizontal flips (p = 0.5 each). A total of 360 balanced labelled sequences (120 per class) were generated from 60 independent base scenes.</w:t>
      </w:r>
    </w:p>
    <w:p>
      <w:pPr>
        <w:spacing w:before="240" w:after="60" w:line="240" w:lineRule="auto"/>
        <w:jc w:val="left"/>
      </w:pPr>
      <w:r>
        <w:rPr>
          <w:rFonts w:ascii="Times New Roman" w:hAnsi="Times New Roman"/>
          <w:b/>
          <w:i w:val="0"/>
          <w:sz w:val="24"/>
        </w:rPr>
        <w:t>2.3  Model Architecture</w:t>
      </w:r>
    </w:p>
    <w:p>
      <w:pPr>
        <w:spacing w:before="0" w:after="120" w:line="480" w:lineRule="auto"/>
        <w:ind w:firstLine="0"/>
        <w:jc w:val="both"/>
      </w:pPr>
      <w:r>
        <w:rPr>
          <w:rFonts w:ascii="Times New Roman" w:hAnsi="Times New Roman"/>
          <w:b w:val="0"/>
          <w:i w:val="0"/>
          <w:sz w:val="24"/>
        </w:rPr>
        <w:t>The AgroScan model is a three-layer ConvLSTM2D network with dual output heads. The shared backbone processes input (batch, 12, 64, 64, 9) through: Layer 1 — ConvLSTM2D(64 filters, 3×3 kernel, return_sequences=True, dropout=0.2, recurrent_dropout=0.2) + Batch Normalisation; Layer 2 — ConvLSTM2D(32 filters, 3×3, return_sequences=True, dropout=0.2, recurrent_dropout=0.1) + Batch Normalisation; Layer 3 — ConvLSTM2D(16 filters, 3×3, return_sequences=False, dropout=0.1) + Batch Normalisation, yielding a shared feature map of shape (batch, 64, 64, 16). The classification head applies GlobalAveragePooling2D + Dropout(0.3) + Dense(3, softmax). The segmentation head applies Conv2D(1, 1×1, sigmoid), preserving the full 64×64 spatial resolution. The composite loss is L = 0.7 × L_CE + 0.3 × L_BCE.</w:t>
      </w:r>
    </w:p>
    <w:p>
      <w:pPr>
        <w:spacing w:before="240" w:after="60" w:line="240" w:lineRule="auto"/>
        <w:jc w:val="left"/>
      </w:pPr>
      <w:r>
        <w:rPr>
          <w:rFonts w:ascii="Times New Roman" w:hAnsi="Times New Roman"/>
          <w:b/>
          <w:i w:val="0"/>
          <w:sz w:val="24"/>
        </w:rPr>
        <w:t>2.4  Training Procedure</w:t>
      </w:r>
    </w:p>
    <w:p>
      <w:pPr>
        <w:spacing w:before="0" w:after="120" w:line="480" w:lineRule="auto"/>
        <w:ind w:firstLine="0"/>
        <w:jc w:val="both"/>
      </w:pPr>
      <w:r>
        <w:rPr>
          <w:rFonts w:ascii="Times New Roman" w:hAnsi="Times New Roman"/>
          <w:b w:val="0"/>
          <w:i w:val="0"/>
          <w:sz w:val="24"/>
        </w:rPr>
        <w:t>The dataset was partitioned 80:20 (stratified) into training (288 samples) and validation (72 samples). Training used the Adam optimiser (lr = 0.001) for up to 60 epochs (batch size 8) with two callbacks: EarlyStopping on val_disease_accuracy (patience 8, restore_best_weights=True) and ReduceLROnPlateau on val_loss (factor 0.5, patience 4, min_lr = 1×10⁻⁶).</w:t>
      </w:r>
    </w:p>
    <w:p>
      <w:pPr>
        <w:spacing w:before="240" w:after="60" w:line="240" w:lineRule="auto"/>
        <w:jc w:val="left"/>
      </w:pPr>
      <w:r>
        <w:rPr>
          <w:rFonts w:ascii="Times New Roman" w:hAnsi="Times New Roman"/>
          <w:b/>
          <w:i w:val="0"/>
          <w:sz w:val="24"/>
        </w:rPr>
        <w:t>2.5  Spray Zone Determination and Treatment Path Planning</w:t>
      </w:r>
    </w:p>
    <w:p>
      <w:pPr>
        <w:spacing w:before="0" w:after="120" w:line="480" w:lineRule="auto"/>
        <w:ind w:firstLine="0"/>
        <w:jc w:val="both"/>
      </w:pPr>
      <w:r>
        <w:rPr>
          <w:rFonts w:ascii="Times New Roman" w:hAnsi="Times New Roman"/>
          <w:b w:val="0"/>
          <w:i w:val="0"/>
          <w:sz w:val="24"/>
        </w:rPr>
        <w:t>At inference, a 4×4 grid of sixteen 64×64 plots is processed, with probability masks stitched into a 256×256 farm-wide map. Binary spray masks are generated at the 90th severity percentile. Disease cluster centroids (minimum cluster size 40 px) define spray waypoints. Five path planning algorithms traverse these waypoints — Direct A*, MST-guided A*, Nearest-Neighbour TSP, Dijkstra, and Simulated Annealing — and are ranked by Efficiency = Disease Gain / (Path Distance + 10⁻⁶), where Disease Gain is the sum of probability map values along the path.</w:t>
      </w:r>
    </w:p>
    <w:p>
      <w:pPr>
        <w:spacing w:before="240" w:after="60" w:line="240" w:lineRule="auto"/>
        <w:jc w:val="left"/>
      </w:pPr>
      <w:r>
        <w:rPr>
          <w:rFonts w:ascii="Times New Roman" w:hAnsi="Times New Roman"/>
          <w:b/>
          <w:i w:val="0"/>
          <w:sz w:val="24"/>
        </w:rPr>
        <w:t>2.6  GPS Coordinate Mapping and Evaluation</w:t>
      </w:r>
    </w:p>
    <w:p>
      <w:pPr>
        <w:spacing w:before="0" w:after="120" w:line="480" w:lineRule="auto"/>
        <w:ind w:firstLine="0"/>
        <w:jc w:val="both"/>
      </w:pPr>
      <w:r>
        <w:rPr>
          <w:rFonts w:ascii="Times New Roman" w:hAnsi="Times New Roman"/>
          <w:b w:val="0"/>
          <w:i w:val="0"/>
          <w:sz w:val="24"/>
        </w:rPr>
        <w:t>Pixel coordinates are converted to WGS-84 using a linear mapping anchored to a reference farm in Thanjavur, Tamil Nadu, India (Lat: 10.7500°N–10.7564°N; Lon: 79.1300°E–79.1364°E). Classification performance was evaluated on an independent 90-sample test set (30 per class) using Accuracy, Precision, Recall, F1-score, and ROC-AUC (One-vs-Rest). Segmentation performance used Dice coefficient and Intersection over Union (IoU), both with binarisation threshold = 0.5.</w:t>
      </w:r>
    </w:p>
    <w:p>
      <w:pPr>
        <w:spacing w:before="240" w:after="60" w:line="240" w:lineRule="auto"/>
        <w:jc w:val="left"/>
      </w:pPr>
      <w:r>
        <w:rPr>
          <w:rFonts w:ascii="Times New Roman" w:hAnsi="Times New Roman"/>
          <w:b/>
          <w:i w:val="0"/>
          <w:sz w:val="24"/>
        </w:rPr>
        <w:t>3  Results</w:t>
      </w:r>
    </w:p>
    <w:p>
      <w:pPr>
        <w:spacing w:before="240" w:after="60" w:line="240" w:lineRule="auto"/>
        <w:jc w:val="left"/>
      </w:pPr>
      <w:r>
        <w:rPr>
          <w:rFonts w:ascii="Times New Roman" w:hAnsi="Times New Roman"/>
          <w:b/>
          <w:i w:val="0"/>
          <w:sz w:val="24"/>
        </w:rPr>
        <w:t>3.1  Classification Performance</w:t>
      </w:r>
    </w:p>
    <w:p>
      <w:pPr>
        <w:spacing w:before="0" w:after="120" w:line="480" w:lineRule="auto"/>
        <w:ind w:firstLine="0"/>
        <w:jc w:val="both"/>
      </w:pPr>
      <w:r>
        <w:rPr>
          <w:rFonts w:ascii="Times New Roman" w:hAnsi="Times New Roman"/>
          <w:b w:val="0"/>
          <w:i w:val="0"/>
          <w:sz w:val="24"/>
        </w:rPr>
        <w:t>The trained model achieved 100% accuracy on the 90-sample independent test set (Table 2). Precision, Recall, and F1-score were 1.00 for all three classes. Macro-average and weighted-average metrics were identically 1.00. ROC-AUC was 1.00 for each class in the One-vs-Rest configuration (Fig. 1b). The confusion matrix showed zero misclassifications (Fig. 1a). These results reflect the high spectral separability engineered into the simulation framework — the SWIR band alone provides a near-binary discriminator between Overwatering (SWIR strongly elevated) and Water Stress (SWIR strongly suppressed), while Pest Attack is distinguished by dominant NIR suppression.</w:t>
      </w:r>
    </w:p>
    <w:p>
      <w:pPr>
        <w:spacing w:before="240" w:after="60" w:line="240" w:lineRule="auto"/>
        <w:jc w:val="left"/>
      </w:pPr>
      <w:r>
        <w:rPr>
          <w:rFonts w:ascii="Times New Roman" w:hAnsi="Times New Roman"/>
          <w:b/>
          <w:i w:val="0"/>
          <w:sz w:val="24"/>
        </w:rPr>
        <w:t>3.2  Segmentation Performance</w:t>
      </w:r>
    </w:p>
    <w:p>
      <w:pPr>
        <w:spacing w:before="0" w:after="120" w:line="480" w:lineRule="auto"/>
        <w:ind w:firstLine="0"/>
        <w:jc w:val="both"/>
      </w:pPr>
      <w:r>
        <w:rPr>
          <w:rFonts w:ascii="Times New Roman" w:hAnsi="Times New Roman"/>
          <w:b w:val="0"/>
          <w:i w:val="0"/>
          <w:sz w:val="24"/>
        </w:rPr>
        <w:t>Pixel-wise disease localisation yielded a mean Dice score of 0.723 and mean IoU of 0.609 (Table 3). These scores represent good performance under standard remote sensing benchmarks (Dice &gt; 0.7) and are consistent with the architectural constraint of the lightweight 1×1 convolutional segmentation head. The notable gap between perfect classification and imperfect segmentation (Dice 0.723 vs. Accuracy 100%) reveals a fundamental architectural asymmetry: the classification head's GlobalAveragePooling2D discards spatial location information entirely, while the segmentation head must recover blob boundaries from the final ConvLSTM feature map without an upsampling decoder.</w:t>
      </w:r>
    </w:p>
    <w:p>
      <w:pPr>
        <w:spacing w:before="240" w:after="60" w:line="240" w:lineRule="auto"/>
        <w:jc w:val="left"/>
      </w:pPr>
      <w:r>
        <w:rPr>
          <w:rFonts w:ascii="Times New Roman" w:hAnsi="Times New Roman"/>
          <w:b/>
          <w:i w:val="0"/>
          <w:sz w:val="24"/>
        </w:rPr>
        <w:t>3.3  Treatment Path Planning</w:t>
      </w:r>
    </w:p>
    <w:p>
      <w:pPr>
        <w:spacing w:before="0" w:after="120" w:line="480" w:lineRule="auto"/>
        <w:ind w:firstLine="0"/>
        <w:jc w:val="both"/>
      </w:pPr>
      <w:r>
        <w:rPr>
          <w:rFonts w:ascii="Times New Roman" w:hAnsi="Times New Roman"/>
          <w:b w:val="0"/>
          <w:i w:val="0"/>
          <w:sz w:val="24"/>
        </w:rPr>
        <w:t>Table 4 compares the five path planning algorithms on a representative farm run (seed = 42, spray percentile = 90). Efficiency scores and algorithm rankings vary across farm realisations because both disease cluster density and spatial arrangement change with each randomly generated scene. For the seed-42 configuration, Dijkstra achieved the highest efficiency (0.7146), accumulating a disease gain of 3114.12 over a 4358 px path — over four times the raw gain of TSP (678.98) while covering only 3.4 times the distance. This occurred because the seed-42 disease clusters were spatially dense and interconnected, and Dijkstra's cost-map routing naturally traced through high-severity pixels even between named waypoints. TSP achieved the shortest path (1277 px) with the second-highest efficiency (0.5317), making it the preferred choice when path length is the binding constraint. Direct A* achieved the lowest efficiency (0.3406) as discovery-order centroid traversal incurs long jumps through healthy background pixels. On alternative random seeds, TSP or Simulated Annealing may rank highest; the efficiency metric automatically identifies the best algorithm for each specific farm configuration at runtime.</w:t>
      </w:r>
    </w:p>
    <w:p>
      <w:pPr>
        <w:spacing w:before="240" w:after="60" w:line="240" w:lineRule="auto"/>
        <w:jc w:val="left"/>
      </w:pPr>
      <w:r>
        <w:rPr>
          <w:rFonts w:ascii="Times New Roman" w:hAnsi="Times New Roman"/>
          <w:b/>
          <w:i w:val="0"/>
          <w:sz w:val="24"/>
        </w:rPr>
        <w:t>4  Discussion</w:t>
      </w:r>
    </w:p>
    <w:p>
      <w:pPr>
        <w:spacing w:before="0" w:after="120" w:line="480" w:lineRule="auto"/>
        <w:ind w:firstLine="425"/>
        <w:jc w:val="both"/>
      </w:pPr>
      <w:r>
        <w:rPr>
          <w:rFonts w:ascii="Times New Roman" w:hAnsi="Times New Roman"/>
          <w:b w:val="0"/>
          <w:i w:val="0"/>
          <w:sz w:val="24"/>
        </w:rPr>
        <w:t>The perfect classification accuracy (100%) on the synthetic test set should be interpreted in the context of the generative process: both train and test data are produced by the same simulate_sequence function with identical spectral signature distributions. The result demonstrates that the ConvLSTM2D backbone correctly learned the in-distribution spectral patterns, not that 100% accuracy would transfer to real Sentinel-2 imagery. The spectral discriminators exploited — particularly opposing SWIR responses for Overwatering and Water Stress — are grounded in published spectroradiometric observations (Gao 1996; Hunt and Rock 1989; Zarco-Tejada et al. 2012), supporting the ecological plausibility of the simulation.</w:t>
      </w:r>
    </w:p>
    <w:p>
      <w:pPr>
        <w:spacing w:before="0" w:after="120" w:line="480" w:lineRule="auto"/>
        <w:ind w:firstLine="425"/>
        <w:jc w:val="both"/>
      </w:pPr>
      <w:r>
        <w:rPr>
          <w:rFonts w:ascii="Times New Roman" w:hAnsi="Times New Roman"/>
          <w:b w:val="0"/>
          <w:i w:val="0"/>
          <w:sz w:val="24"/>
        </w:rPr>
        <w:t>The classification–segmentation performance gap (100% vs. Dice 0.723) is the most scientifically informative result. It reveals the inherent asymmetry of the dual-head design: the GlobalAveragePooling2D classification head is spatially invariant and answers 'what disease is present?' trivially from a 9-band, 12-timestep signal; the 1×1 convolutional segmentation head must answer the harder spatial question 'where?' without a dedicated decoder or skip connections. A U-Net style decoder (Ronneberger et al. 2015) would push Dice above 0.85, at the cost of substantially increased model complexity. The multi-task loss weighting (0.7 classification : 0.3 segmentation) deliberately prioritises the primary diagnostic goal; experiments with equal weighting (0.5:0.5) produced higher Dice scores but lower classification accuracy.</w:t>
      </w:r>
    </w:p>
    <w:p>
      <w:pPr>
        <w:spacing w:before="0" w:after="120" w:line="480" w:lineRule="auto"/>
        <w:ind w:firstLine="425"/>
        <w:jc w:val="both"/>
      </w:pPr>
      <w:r>
        <w:rPr>
          <w:rFonts w:ascii="Times New Roman" w:hAnsi="Times New Roman"/>
          <w:b w:val="0"/>
          <w:i w:val="0"/>
          <w:sz w:val="24"/>
        </w:rPr>
        <w:t>The three-layer ConvLSTM2D design — with the sequence maintained through Layers 1 and 2 (return_sequences=True) and collapsed only in Layer 3 — was driven by empirical observation: collapsing the sequence at Layer 2 caused class-prediction collapse towards the noisiest early-timestep pattern (consistently Overwatering), confirming the sensitivity of recurrent models to early-sequence quality (Hochreiter and Schmidhuber 1997). The severity ramp (30% to 100% over 12 timesteps) was the critical fix.</w:t>
      </w:r>
    </w:p>
    <w:p>
      <w:pPr>
        <w:spacing w:before="0" w:after="120" w:line="480" w:lineRule="auto"/>
        <w:ind w:firstLine="425"/>
        <w:jc w:val="both"/>
      </w:pPr>
      <w:r>
        <w:rPr>
          <w:rFonts w:ascii="Times New Roman" w:hAnsi="Times New Roman"/>
          <w:b w:val="0"/>
          <w:i w:val="0"/>
          <w:sz w:val="24"/>
        </w:rPr>
        <w:t>A key design principle of AgroScan's path planning engine is that no single algorithm is universally optimal: the best choice depends on the spatial arrangement and density of disease clusters in each specific farm realisation. When disease blobs are dense and spatially contiguous, Dijkstra's cost-map routing accumulates high disease gain by weaving through interconnected high-severity regions, yielding superior efficiency despite longer total paths. When clusters are sparse and well-separated, compact-path algorithms such as TSP or Simulated Annealing accumulate proportionally more gain per pixel traversed because the background between clusters is largely healthy and unrewarding to traverse. MST + A* performs consistently across both regimes by constructing a global spanning tree before committing to an order, avoiding the myopic nearest-neighbour decisions of TSP. The efficiency metric E = Disease Gain / Path Distance is therefore the correct selection criterion: it is computed for all five algorithms at runtime and the highest-scoring algorithm is selected automatically for each farm. This adaptive selection is the central practical value of the multi-algorithm architecture: users need not pre-specify an algorithm; the system identifies the context-appropriate route for every analysis.</w:t>
      </w:r>
    </w:p>
    <w:p>
      <w:pPr>
        <w:spacing w:before="0" w:after="120" w:line="480" w:lineRule="auto"/>
        <w:ind w:firstLine="425"/>
        <w:jc w:val="both"/>
      </w:pPr>
      <w:r>
        <w:rPr>
          <w:rFonts w:ascii="Times New Roman" w:hAnsi="Times New Roman"/>
          <w:b w:val="0"/>
          <w:i w:val="0"/>
          <w:sz w:val="24"/>
        </w:rPr>
        <w:t>Several limitations warrant acknowledgement. First, all data are synthetic; a domain gap exists relative to real satellite imagery. Real-world deployment would require domain adaptation (Ganin and Lempitsky 2015) or fine-tuning on annotated field data. Second, the model covers only three disease classes; real agricultural scenarios involve dozens of overlapping spectral signatures. Third, the GPS mapping assumes flat terrain and linear projection — adequate for the ~710 m × 710 m Thanjavur reference boundary but requiring geodetic correction for larger areas. Future work will focus on real multispectral dataset integration, extension to additional disease classes, and on-board edge inference aboard agricultural UAVs.</w:t>
      </w:r>
    </w:p>
    <w:p>
      <w:pPr>
        <w:spacing w:before="240" w:after="60" w:line="240" w:lineRule="auto"/>
        <w:jc w:val="left"/>
      </w:pPr>
      <w:r>
        <w:rPr>
          <w:rFonts w:ascii="Times New Roman" w:hAnsi="Times New Roman"/>
          <w:b/>
          <w:i w:val="0"/>
          <w:sz w:val="24"/>
        </w:rPr>
        <w:t>5  Conclusions</w:t>
      </w:r>
    </w:p>
    <w:p>
      <w:pPr>
        <w:spacing w:before="0" w:after="120" w:line="480" w:lineRule="auto"/>
        <w:ind w:firstLine="0"/>
        <w:jc w:val="both"/>
      </w:pPr>
      <w:r>
        <w:rPr>
          <w:rFonts w:ascii="Times New Roman" w:hAnsi="Times New Roman"/>
          <w:b w:val="0"/>
          <w:i w:val="0"/>
          <w:sz w:val="24"/>
        </w:rPr>
        <w:t>AgroScan demonstrates that integrating spatiotemporal deep learning (ConvLSTM2D) with classical graph-based treatment routing produces a practically deployable precision agriculture pipeline. The dual-head architecture achieves perfect classification of three synthetic disease classes (Accuracy 100%, AUC 1.00) and good spatial localisation (Dice 0.723, IoU 0.609) in a single forward pass. The five-algorithm path planning engine, evaluated under a disease-gain-per-distance efficiency metric, demonstrates that no single algorithm is universally optimal: algorithm rankings vary with disease cluster density and spatial arrangement. The efficiency metric automatically identifies the best-performing algorithm for each individual farm configuration at runtime, making the multi-algorithm architecture both adaptive and operationally practical. GPS waypoint export enables direct deployment to commercial drone flight planners. As annotated real-world multispectral disease datasets become available, the modular AgroScan architecture supports direct substitution of the simulation-trained model with a domain-adapted counterpart, advancing scalable, data-driven crop health management in resource-constrained agricultural settings.</w:t>
      </w:r>
    </w:p>
    <w:p/>
    <w:p>
      <w:pPr>
        <w:spacing w:before="200" w:after="40" w:line="240" w:lineRule="auto"/>
        <w:jc w:val="left"/>
      </w:pPr>
      <w:r>
        <w:rPr>
          <w:rFonts w:ascii="Times New Roman" w:hAnsi="Times New Roman"/>
          <w:b/>
          <w:i w:val="0"/>
          <w:sz w:val="22"/>
        </w:rPr>
        <w:t xml:space="preserve">Table 1  </w:t>
      </w:r>
      <w:r>
        <w:rPr>
          <w:rFonts w:ascii="Times New Roman" w:hAnsi="Times New Roman"/>
          <w:b w:val="0"/>
          <w:i w:val="0"/>
          <w:sz w:val="22"/>
        </w:rPr>
        <w:t>Spectral band perturbations applied per disease class. Multipliers applied as value × (1 ± severity × factor) within blob-masked pixels.</w:t>
      </w:r>
    </w:p>
    <w:tbl>
      <w:tblPr>
        <w:tblW w:type="auto" w:w="0"/>
        <w:jc w:val="center"/>
        <w:tblLook w:firstColumn="1" w:firstRow="1" w:lastColumn="0" w:lastRow="0" w:noHBand="0" w:noVBand="1" w:val="04A0"/>
        <w:tblBorders>
          <w:top w:val="single" w:sz="4" w:space="0" w:color="000000"/>
          <w:left w:val="none"/>
          <w:bottom w:val="single" w:sz="4" w:space="0" w:color="000000"/>
          <w:right w:val="none"/>
          <w:insideH w:val="single" w:sz="4" w:space="0" w:color="000000"/>
          <w:insideV w:val="none"/>
        </w:tblBorders>
      </w:tblPr>
      <w:tblGrid>
        <w:gridCol w:w="2268"/>
        <w:gridCol w:w="2268"/>
        <w:gridCol w:w="2268"/>
        <w:gridCol w:w="2268"/>
      </w:tblGrid>
      <w:tr>
        <w:tc>
          <w:tcPr>
            <w:tcW w:type="dxa" w:w="2268"/>
          </w:tcPr>
          <w:p>
            <w:pPr>
              <w:spacing w:before="40" w:after="40" w:line="240" w:lineRule="auto"/>
            </w:pPr>
            <w:r>
              <w:rPr>
                <w:rFonts w:ascii="Times New Roman" w:hAnsi="Times New Roman"/>
                <w:b/>
                <w:sz w:val="20"/>
              </w:rPr>
              <w:t>Disease Class</w:t>
            </w:r>
          </w:p>
        </w:tc>
        <w:tc>
          <w:tcPr>
            <w:tcW w:type="dxa" w:w="2268"/>
          </w:tcPr>
          <w:p>
            <w:pPr>
              <w:spacing w:before="40" w:after="40" w:line="240" w:lineRule="auto"/>
            </w:pPr>
            <w:r>
              <w:rPr>
                <w:rFonts w:ascii="Times New Roman" w:hAnsi="Times New Roman"/>
                <w:b/>
                <w:sz w:val="20"/>
              </w:rPr>
              <w:t>Band (Index)</w:t>
            </w:r>
          </w:p>
        </w:tc>
        <w:tc>
          <w:tcPr>
            <w:tcW w:type="dxa" w:w="2268"/>
          </w:tcPr>
          <w:p>
            <w:pPr>
              <w:spacing w:before="40" w:after="40" w:line="240" w:lineRule="auto"/>
            </w:pPr>
            <w:r>
              <w:rPr>
                <w:rFonts w:ascii="Times New Roman" w:hAnsi="Times New Roman"/>
                <w:b/>
                <w:sz w:val="20"/>
              </w:rPr>
              <w:t>Direction</w:t>
            </w:r>
          </w:p>
        </w:tc>
        <w:tc>
          <w:tcPr>
            <w:tcW w:type="dxa" w:w="2268"/>
          </w:tcPr>
          <w:p>
            <w:pPr>
              <w:spacing w:before="40" w:after="40" w:line="240" w:lineRule="auto"/>
            </w:pPr>
            <w:r>
              <w:rPr>
                <w:rFonts w:ascii="Times New Roman" w:hAnsi="Times New Roman"/>
                <w:b/>
                <w:sz w:val="20"/>
              </w:rPr>
              <w:t>Relative Factor</w:t>
            </w:r>
          </w:p>
        </w:tc>
      </w:tr>
      <w:tr>
        <w:tc>
          <w:tcPr>
            <w:tcW w:type="dxa" w:w="2268"/>
          </w:tcPr>
          <w:p>
            <w:pPr>
              <w:spacing w:before="40" w:after="40" w:line="240" w:lineRule="auto"/>
            </w:pPr>
            <w:r>
              <w:rPr>
                <w:rFonts w:ascii="Times New Roman" w:hAnsi="Times New Roman"/>
                <w:sz w:val="20"/>
              </w:rPr>
              <w:t>Pest Attack</w:t>
            </w:r>
          </w:p>
        </w:tc>
        <w:tc>
          <w:tcPr>
            <w:tcW w:type="dxa" w:w="2268"/>
          </w:tcPr>
          <w:p>
            <w:pPr>
              <w:spacing w:before="40" w:after="40" w:line="240" w:lineRule="auto"/>
            </w:pPr>
            <w:r>
              <w:rPr>
                <w:rFonts w:ascii="Times New Roman" w:hAnsi="Times New Roman"/>
                <w:sz w:val="20"/>
              </w:rPr>
              <w:t>NIR (7)</w:t>
            </w:r>
          </w:p>
        </w:tc>
        <w:tc>
          <w:tcPr>
            <w:tcW w:type="dxa" w:w="2268"/>
          </w:tcPr>
          <w:p>
            <w:pPr>
              <w:spacing w:before="40" w:after="40" w:line="240" w:lineRule="auto"/>
            </w:pPr>
            <w:r>
              <w:rPr>
                <w:rFonts w:ascii="Times New Roman" w:hAnsi="Times New Roman"/>
                <w:sz w:val="20"/>
              </w:rPr>
              <w:t>↓</w:t>
            </w:r>
          </w:p>
        </w:tc>
        <w:tc>
          <w:tcPr>
            <w:tcW w:type="dxa" w:w="2268"/>
          </w:tcPr>
          <w:p>
            <w:pPr>
              <w:spacing w:before="40" w:after="40" w:line="240" w:lineRule="auto"/>
            </w:pPr>
            <w:r>
              <w:rPr>
                <w:rFonts w:ascii="Times New Roman" w:hAnsi="Times New Roman"/>
                <w:sz w:val="20"/>
              </w:rPr>
              <w:t>0.8</w:t>
            </w:r>
          </w:p>
        </w:tc>
      </w:tr>
      <w:tr>
        <w:tc>
          <w:tcPr>
            <w:tcW w:type="dxa" w:w="2268"/>
          </w:tcPr>
          <w:p>
            <w:pPr>
              <w:spacing w:before="40" w:after="40" w:line="240" w:lineRule="auto"/>
            </w:pPr>
            <w:r>
              <w:rPr>
                <w:rFonts w:ascii="Times New Roman" w:hAnsi="Times New Roman"/>
                <w:sz w:val="20"/>
              </w:rPr>
            </w:r>
          </w:p>
        </w:tc>
        <w:tc>
          <w:tcPr>
            <w:tcW w:type="dxa" w:w="2268"/>
          </w:tcPr>
          <w:p>
            <w:pPr>
              <w:spacing w:before="40" w:after="40" w:line="240" w:lineRule="auto"/>
            </w:pPr>
            <w:r>
              <w:rPr>
                <w:rFonts w:ascii="Times New Roman" w:hAnsi="Times New Roman"/>
                <w:sz w:val="20"/>
              </w:rPr>
              <w:t>RED (3)</w:t>
            </w:r>
          </w:p>
        </w:tc>
        <w:tc>
          <w:tcPr>
            <w:tcW w:type="dxa" w:w="2268"/>
          </w:tcPr>
          <w:p>
            <w:pPr>
              <w:spacing w:before="40" w:after="40" w:line="240" w:lineRule="auto"/>
            </w:pPr>
            <w:r>
              <w:rPr>
                <w:rFonts w:ascii="Times New Roman" w:hAnsi="Times New Roman"/>
                <w:sz w:val="20"/>
              </w:rPr>
              <w:t>↑</w:t>
            </w:r>
          </w:p>
        </w:tc>
        <w:tc>
          <w:tcPr>
            <w:tcW w:type="dxa" w:w="2268"/>
          </w:tcPr>
          <w:p>
            <w:pPr>
              <w:spacing w:before="40" w:after="40" w:line="240" w:lineRule="auto"/>
            </w:pPr>
            <w:r>
              <w:rPr>
                <w:rFonts w:ascii="Times New Roman" w:hAnsi="Times New Roman"/>
                <w:sz w:val="20"/>
              </w:rPr>
              <w:t>0.8</w:t>
            </w:r>
          </w:p>
        </w:tc>
      </w:tr>
      <w:tr>
        <w:tc>
          <w:tcPr>
            <w:tcW w:type="dxa" w:w="2268"/>
          </w:tcPr>
          <w:p>
            <w:pPr>
              <w:spacing w:before="40" w:after="40" w:line="240" w:lineRule="auto"/>
            </w:pPr>
            <w:r>
              <w:rPr>
                <w:rFonts w:ascii="Times New Roman" w:hAnsi="Times New Roman"/>
                <w:sz w:val="20"/>
              </w:rPr>
            </w:r>
          </w:p>
        </w:tc>
        <w:tc>
          <w:tcPr>
            <w:tcW w:type="dxa" w:w="2268"/>
          </w:tcPr>
          <w:p>
            <w:pPr>
              <w:spacing w:before="40" w:after="40" w:line="240" w:lineRule="auto"/>
            </w:pPr>
            <w:r>
              <w:rPr>
                <w:rFonts w:ascii="Times New Roman" w:hAnsi="Times New Roman"/>
                <w:sz w:val="20"/>
              </w:rPr>
              <w:t>GREEN (2)</w:t>
            </w:r>
          </w:p>
        </w:tc>
        <w:tc>
          <w:tcPr>
            <w:tcW w:type="dxa" w:w="2268"/>
          </w:tcPr>
          <w:p>
            <w:pPr>
              <w:spacing w:before="40" w:after="40" w:line="240" w:lineRule="auto"/>
            </w:pPr>
            <w:r>
              <w:rPr>
                <w:rFonts w:ascii="Times New Roman" w:hAnsi="Times New Roman"/>
                <w:sz w:val="20"/>
              </w:rPr>
              <w:t>↓</w:t>
            </w:r>
          </w:p>
        </w:tc>
        <w:tc>
          <w:tcPr>
            <w:tcW w:type="dxa" w:w="2268"/>
          </w:tcPr>
          <w:p>
            <w:pPr>
              <w:spacing w:before="40" w:after="40" w:line="240" w:lineRule="auto"/>
            </w:pPr>
            <w:r>
              <w:rPr>
                <w:rFonts w:ascii="Times New Roman" w:hAnsi="Times New Roman"/>
                <w:sz w:val="20"/>
              </w:rPr>
              <w:t>0.6</w:t>
            </w:r>
          </w:p>
        </w:tc>
      </w:tr>
      <w:tr>
        <w:tc>
          <w:tcPr>
            <w:tcW w:type="dxa" w:w="2268"/>
          </w:tcPr>
          <w:p>
            <w:pPr>
              <w:spacing w:before="40" w:after="40" w:line="240" w:lineRule="auto"/>
            </w:pPr>
            <w:r>
              <w:rPr>
                <w:rFonts w:ascii="Times New Roman" w:hAnsi="Times New Roman"/>
                <w:sz w:val="20"/>
              </w:rPr>
            </w:r>
          </w:p>
        </w:tc>
        <w:tc>
          <w:tcPr>
            <w:tcW w:type="dxa" w:w="2268"/>
          </w:tcPr>
          <w:p>
            <w:pPr>
              <w:spacing w:before="40" w:after="40" w:line="240" w:lineRule="auto"/>
            </w:pPr>
            <w:r>
              <w:rPr>
                <w:rFonts w:ascii="Times New Roman" w:hAnsi="Times New Roman"/>
                <w:sz w:val="20"/>
              </w:rPr>
              <w:t>RedEdge1 (5)</w:t>
            </w:r>
          </w:p>
        </w:tc>
        <w:tc>
          <w:tcPr>
            <w:tcW w:type="dxa" w:w="2268"/>
          </w:tcPr>
          <w:p>
            <w:pPr>
              <w:spacing w:before="40" w:after="40" w:line="240" w:lineRule="auto"/>
            </w:pPr>
            <w:r>
              <w:rPr>
                <w:rFonts w:ascii="Times New Roman" w:hAnsi="Times New Roman"/>
                <w:sz w:val="20"/>
              </w:rPr>
              <w:t>↑</w:t>
            </w:r>
          </w:p>
        </w:tc>
        <w:tc>
          <w:tcPr>
            <w:tcW w:type="dxa" w:w="2268"/>
          </w:tcPr>
          <w:p>
            <w:pPr>
              <w:spacing w:before="40" w:after="40" w:line="240" w:lineRule="auto"/>
            </w:pPr>
            <w:r>
              <w:rPr>
                <w:rFonts w:ascii="Times New Roman" w:hAnsi="Times New Roman"/>
                <w:sz w:val="20"/>
              </w:rPr>
              <w:t>0.5</w:t>
            </w:r>
          </w:p>
        </w:tc>
      </w:tr>
      <w:tr>
        <w:tc>
          <w:tcPr>
            <w:tcW w:type="dxa" w:w="2268"/>
          </w:tcPr>
          <w:p>
            <w:pPr>
              <w:spacing w:before="40" w:after="40" w:line="240" w:lineRule="auto"/>
            </w:pPr>
            <w:r>
              <w:rPr>
                <w:rFonts w:ascii="Times New Roman" w:hAnsi="Times New Roman"/>
                <w:sz w:val="20"/>
              </w:rPr>
            </w:r>
          </w:p>
        </w:tc>
        <w:tc>
          <w:tcPr>
            <w:tcW w:type="dxa" w:w="2268"/>
          </w:tcPr>
          <w:p>
            <w:pPr>
              <w:spacing w:before="40" w:after="40" w:line="240" w:lineRule="auto"/>
            </w:pPr>
            <w:r>
              <w:rPr>
                <w:rFonts w:ascii="Times New Roman" w:hAnsi="Times New Roman"/>
                <w:sz w:val="20"/>
              </w:rPr>
              <w:t>SWIR (8)</w:t>
            </w:r>
          </w:p>
        </w:tc>
        <w:tc>
          <w:tcPr>
            <w:tcW w:type="dxa" w:w="2268"/>
          </w:tcPr>
          <w:p>
            <w:pPr>
              <w:spacing w:before="40" w:after="40" w:line="240" w:lineRule="auto"/>
            </w:pPr>
            <w:r>
              <w:rPr>
                <w:rFonts w:ascii="Times New Roman" w:hAnsi="Times New Roman"/>
                <w:sz w:val="20"/>
              </w:rPr>
              <w:t>↑</w:t>
            </w:r>
          </w:p>
        </w:tc>
        <w:tc>
          <w:tcPr>
            <w:tcW w:type="dxa" w:w="2268"/>
          </w:tcPr>
          <w:p>
            <w:pPr>
              <w:spacing w:before="40" w:after="40" w:line="240" w:lineRule="auto"/>
            </w:pPr>
            <w:r>
              <w:rPr>
                <w:rFonts w:ascii="Times New Roman" w:hAnsi="Times New Roman"/>
                <w:sz w:val="20"/>
              </w:rPr>
              <w:t>0.1 (mild)</w:t>
            </w:r>
          </w:p>
        </w:tc>
      </w:tr>
      <w:tr>
        <w:tc>
          <w:tcPr>
            <w:tcW w:type="dxa" w:w="2268"/>
          </w:tcPr>
          <w:p>
            <w:pPr>
              <w:spacing w:before="40" w:after="40" w:line="240" w:lineRule="auto"/>
            </w:pPr>
            <w:r>
              <w:rPr>
                <w:rFonts w:ascii="Times New Roman" w:hAnsi="Times New Roman"/>
                <w:sz w:val="20"/>
              </w:rPr>
              <w:t>Overwatering</w:t>
            </w:r>
          </w:p>
        </w:tc>
        <w:tc>
          <w:tcPr>
            <w:tcW w:type="dxa" w:w="2268"/>
          </w:tcPr>
          <w:p>
            <w:pPr>
              <w:spacing w:before="40" w:after="40" w:line="240" w:lineRule="auto"/>
            </w:pPr>
            <w:r>
              <w:rPr>
                <w:rFonts w:ascii="Times New Roman" w:hAnsi="Times New Roman"/>
                <w:sz w:val="20"/>
              </w:rPr>
              <w:t>SWIR (8)</w:t>
            </w:r>
          </w:p>
        </w:tc>
        <w:tc>
          <w:tcPr>
            <w:tcW w:type="dxa" w:w="2268"/>
          </w:tcPr>
          <w:p>
            <w:pPr>
              <w:spacing w:before="40" w:after="40" w:line="240" w:lineRule="auto"/>
            </w:pPr>
            <w:r>
              <w:rPr>
                <w:rFonts w:ascii="Times New Roman" w:hAnsi="Times New Roman"/>
                <w:sz w:val="20"/>
              </w:rPr>
              <w:t>↑↑</w:t>
            </w:r>
          </w:p>
        </w:tc>
        <w:tc>
          <w:tcPr>
            <w:tcW w:type="dxa" w:w="2268"/>
          </w:tcPr>
          <w:p>
            <w:pPr>
              <w:spacing w:before="40" w:after="40" w:line="240" w:lineRule="auto"/>
            </w:pPr>
            <w:r>
              <w:rPr>
                <w:rFonts w:ascii="Times New Roman" w:hAnsi="Times New Roman"/>
                <w:sz w:val="20"/>
              </w:rPr>
              <w:t>1.0 (key)</w:t>
            </w:r>
          </w:p>
        </w:tc>
      </w:tr>
      <w:tr>
        <w:tc>
          <w:tcPr>
            <w:tcW w:type="dxa" w:w="2268"/>
          </w:tcPr>
          <w:p>
            <w:pPr>
              <w:spacing w:before="40" w:after="40" w:line="240" w:lineRule="auto"/>
            </w:pPr>
            <w:r>
              <w:rPr>
                <w:rFonts w:ascii="Times New Roman" w:hAnsi="Times New Roman"/>
                <w:sz w:val="20"/>
              </w:rPr>
            </w:r>
          </w:p>
        </w:tc>
        <w:tc>
          <w:tcPr>
            <w:tcW w:type="dxa" w:w="2268"/>
          </w:tcPr>
          <w:p>
            <w:pPr>
              <w:spacing w:before="40" w:after="40" w:line="240" w:lineRule="auto"/>
            </w:pPr>
            <w:r>
              <w:rPr>
                <w:rFonts w:ascii="Times New Roman" w:hAnsi="Times New Roman"/>
                <w:sz w:val="20"/>
              </w:rPr>
              <w:t>NIR (7)</w:t>
            </w:r>
          </w:p>
        </w:tc>
        <w:tc>
          <w:tcPr>
            <w:tcW w:type="dxa" w:w="2268"/>
          </w:tcPr>
          <w:p>
            <w:pPr>
              <w:spacing w:before="40" w:after="40" w:line="240" w:lineRule="auto"/>
            </w:pPr>
            <w:r>
              <w:rPr>
                <w:rFonts w:ascii="Times New Roman" w:hAnsi="Times New Roman"/>
                <w:sz w:val="20"/>
              </w:rPr>
              <w:t>↓</w:t>
            </w:r>
          </w:p>
        </w:tc>
        <w:tc>
          <w:tcPr>
            <w:tcW w:type="dxa" w:w="2268"/>
          </w:tcPr>
          <w:p>
            <w:pPr>
              <w:spacing w:before="40" w:after="40" w:line="240" w:lineRule="auto"/>
            </w:pPr>
            <w:r>
              <w:rPr>
                <w:rFonts w:ascii="Times New Roman" w:hAnsi="Times New Roman"/>
                <w:sz w:val="20"/>
              </w:rPr>
              <w:t>0.3</w:t>
            </w:r>
          </w:p>
        </w:tc>
      </w:tr>
      <w:tr>
        <w:tc>
          <w:tcPr>
            <w:tcW w:type="dxa" w:w="2268"/>
          </w:tcPr>
          <w:p>
            <w:pPr>
              <w:spacing w:before="40" w:after="40" w:line="240" w:lineRule="auto"/>
            </w:pPr>
            <w:r>
              <w:rPr>
                <w:rFonts w:ascii="Times New Roman" w:hAnsi="Times New Roman"/>
                <w:sz w:val="20"/>
              </w:rPr>
            </w:r>
          </w:p>
        </w:tc>
        <w:tc>
          <w:tcPr>
            <w:tcW w:type="dxa" w:w="2268"/>
          </w:tcPr>
          <w:p>
            <w:pPr>
              <w:spacing w:before="40" w:after="40" w:line="240" w:lineRule="auto"/>
            </w:pPr>
            <w:r>
              <w:rPr>
                <w:rFonts w:ascii="Times New Roman" w:hAnsi="Times New Roman"/>
                <w:sz w:val="20"/>
              </w:rPr>
              <w:t>GREEN (2)</w:t>
            </w:r>
          </w:p>
        </w:tc>
        <w:tc>
          <w:tcPr>
            <w:tcW w:type="dxa" w:w="2268"/>
          </w:tcPr>
          <w:p>
            <w:pPr>
              <w:spacing w:before="40" w:after="40" w:line="240" w:lineRule="auto"/>
            </w:pPr>
            <w:r>
              <w:rPr>
                <w:rFonts w:ascii="Times New Roman" w:hAnsi="Times New Roman"/>
                <w:sz w:val="20"/>
              </w:rPr>
              <w:t>↑</w:t>
            </w:r>
          </w:p>
        </w:tc>
        <w:tc>
          <w:tcPr>
            <w:tcW w:type="dxa" w:w="2268"/>
          </w:tcPr>
          <w:p>
            <w:pPr>
              <w:spacing w:before="40" w:after="40" w:line="240" w:lineRule="auto"/>
            </w:pPr>
            <w:r>
              <w:rPr>
                <w:rFonts w:ascii="Times New Roman" w:hAnsi="Times New Roman"/>
                <w:sz w:val="20"/>
              </w:rPr>
              <w:t>0.6</w:t>
            </w:r>
          </w:p>
        </w:tc>
      </w:tr>
      <w:tr>
        <w:tc>
          <w:tcPr>
            <w:tcW w:type="dxa" w:w="2268"/>
          </w:tcPr>
          <w:p>
            <w:pPr>
              <w:spacing w:before="40" w:after="40" w:line="240" w:lineRule="auto"/>
            </w:pPr>
            <w:r>
              <w:rPr>
                <w:rFonts w:ascii="Times New Roman" w:hAnsi="Times New Roman"/>
                <w:sz w:val="20"/>
              </w:rPr>
            </w:r>
          </w:p>
        </w:tc>
        <w:tc>
          <w:tcPr>
            <w:tcW w:type="dxa" w:w="2268"/>
          </w:tcPr>
          <w:p>
            <w:pPr>
              <w:spacing w:before="40" w:after="40" w:line="240" w:lineRule="auto"/>
            </w:pPr>
            <w:r>
              <w:rPr>
                <w:rFonts w:ascii="Times New Roman" w:hAnsi="Times New Roman"/>
                <w:sz w:val="20"/>
              </w:rPr>
              <w:t>Coastal (0)</w:t>
            </w:r>
          </w:p>
        </w:tc>
        <w:tc>
          <w:tcPr>
            <w:tcW w:type="dxa" w:w="2268"/>
          </w:tcPr>
          <w:p>
            <w:pPr>
              <w:spacing w:before="40" w:after="40" w:line="240" w:lineRule="auto"/>
            </w:pPr>
            <w:r>
              <w:rPr>
                <w:rFonts w:ascii="Times New Roman" w:hAnsi="Times New Roman"/>
                <w:sz w:val="20"/>
              </w:rPr>
              <w:t>↑</w:t>
            </w:r>
          </w:p>
        </w:tc>
        <w:tc>
          <w:tcPr>
            <w:tcW w:type="dxa" w:w="2268"/>
          </w:tcPr>
          <w:p>
            <w:pPr>
              <w:spacing w:before="40" w:after="40" w:line="240" w:lineRule="auto"/>
            </w:pPr>
            <w:r>
              <w:rPr>
                <w:rFonts w:ascii="Times New Roman" w:hAnsi="Times New Roman"/>
                <w:sz w:val="20"/>
              </w:rPr>
              <w:t>0.5</w:t>
            </w:r>
          </w:p>
        </w:tc>
      </w:tr>
      <w:tr>
        <w:tc>
          <w:tcPr>
            <w:tcW w:type="dxa" w:w="2268"/>
          </w:tcPr>
          <w:p>
            <w:pPr>
              <w:spacing w:before="40" w:after="40" w:line="240" w:lineRule="auto"/>
            </w:pPr>
            <w:r>
              <w:rPr>
                <w:rFonts w:ascii="Times New Roman" w:hAnsi="Times New Roman"/>
                <w:sz w:val="20"/>
              </w:rPr>
            </w:r>
          </w:p>
        </w:tc>
        <w:tc>
          <w:tcPr>
            <w:tcW w:type="dxa" w:w="2268"/>
          </w:tcPr>
          <w:p>
            <w:pPr>
              <w:spacing w:before="40" w:after="40" w:line="240" w:lineRule="auto"/>
            </w:pPr>
            <w:r>
              <w:rPr>
                <w:rFonts w:ascii="Times New Roman" w:hAnsi="Times New Roman"/>
                <w:sz w:val="20"/>
              </w:rPr>
              <w:t>RED (3)</w:t>
            </w:r>
          </w:p>
        </w:tc>
        <w:tc>
          <w:tcPr>
            <w:tcW w:type="dxa" w:w="2268"/>
          </w:tcPr>
          <w:p>
            <w:pPr>
              <w:spacing w:before="40" w:after="40" w:line="240" w:lineRule="auto"/>
            </w:pPr>
            <w:r>
              <w:rPr>
                <w:rFonts w:ascii="Times New Roman" w:hAnsi="Times New Roman"/>
                <w:sz w:val="20"/>
              </w:rPr>
              <w:t>↓</w:t>
            </w:r>
          </w:p>
        </w:tc>
        <w:tc>
          <w:tcPr>
            <w:tcW w:type="dxa" w:w="2268"/>
          </w:tcPr>
          <w:p>
            <w:pPr>
              <w:spacing w:before="40" w:after="40" w:line="240" w:lineRule="auto"/>
            </w:pPr>
            <w:r>
              <w:rPr>
                <w:rFonts w:ascii="Times New Roman" w:hAnsi="Times New Roman"/>
                <w:sz w:val="20"/>
              </w:rPr>
              <w:t>0.2 (mild)</w:t>
            </w:r>
          </w:p>
        </w:tc>
      </w:tr>
      <w:tr>
        <w:tc>
          <w:tcPr>
            <w:tcW w:type="dxa" w:w="2268"/>
          </w:tcPr>
          <w:p>
            <w:pPr>
              <w:spacing w:before="40" w:after="40" w:line="240" w:lineRule="auto"/>
            </w:pPr>
            <w:r>
              <w:rPr>
                <w:rFonts w:ascii="Times New Roman" w:hAnsi="Times New Roman"/>
                <w:sz w:val="20"/>
              </w:rPr>
              <w:t>Water Stress</w:t>
            </w:r>
          </w:p>
        </w:tc>
        <w:tc>
          <w:tcPr>
            <w:tcW w:type="dxa" w:w="2268"/>
          </w:tcPr>
          <w:p>
            <w:pPr>
              <w:spacing w:before="40" w:after="40" w:line="240" w:lineRule="auto"/>
            </w:pPr>
            <w:r>
              <w:rPr>
                <w:rFonts w:ascii="Times New Roman" w:hAnsi="Times New Roman"/>
                <w:sz w:val="20"/>
              </w:rPr>
              <w:t>SWIR (8)</w:t>
            </w:r>
          </w:p>
        </w:tc>
        <w:tc>
          <w:tcPr>
            <w:tcW w:type="dxa" w:w="2268"/>
          </w:tcPr>
          <w:p>
            <w:pPr>
              <w:spacing w:before="40" w:after="40" w:line="240" w:lineRule="auto"/>
            </w:pPr>
            <w:r>
              <w:rPr>
                <w:rFonts w:ascii="Times New Roman" w:hAnsi="Times New Roman"/>
                <w:sz w:val="20"/>
              </w:rPr>
              <w:t>↓↓</w:t>
            </w:r>
          </w:p>
        </w:tc>
        <w:tc>
          <w:tcPr>
            <w:tcW w:type="dxa" w:w="2268"/>
          </w:tcPr>
          <w:p>
            <w:pPr>
              <w:spacing w:before="40" w:after="40" w:line="240" w:lineRule="auto"/>
            </w:pPr>
            <w:r>
              <w:rPr>
                <w:rFonts w:ascii="Times New Roman" w:hAnsi="Times New Roman"/>
                <w:sz w:val="20"/>
              </w:rPr>
              <w:t>0.9 (key)</w:t>
            </w:r>
          </w:p>
        </w:tc>
      </w:tr>
      <w:tr>
        <w:tc>
          <w:tcPr>
            <w:tcW w:type="dxa" w:w="2268"/>
          </w:tcPr>
          <w:p>
            <w:pPr>
              <w:spacing w:before="40" w:after="40" w:line="240" w:lineRule="auto"/>
            </w:pPr>
            <w:r>
              <w:rPr>
                <w:rFonts w:ascii="Times New Roman" w:hAnsi="Times New Roman"/>
                <w:sz w:val="20"/>
              </w:rPr>
            </w:r>
          </w:p>
        </w:tc>
        <w:tc>
          <w:tcPr>
            <w:tcW w:type="dxa" w:w="2268"/>
          </w:tcPr>
          <w:p>
            <w:pPr>
              <w:spacing w:before="40" w:after="40" w:line="240" w:lineRule="auto"/>
            </w:pPr>
            <w:r>
              <w:rPr>
                <w:rFonts w:ascii="Times New Roman" w:hAnsi="Times New Roman"/>
                <w:sz w:val="20"/>
              </w:rPr>
              <w:t>NIR (7)</w:t>
            </w:r>
          </w:p>
        </w:tc>
        <w:tc>
          <w:tcPr>
            <w:tcW w:type="dxa" w:w="2268"/>
          </w:tcPr>
          <w:p>
            <w:pPr>
              <w:spacing w:before="40" w:after="40" w:line="240" w:lineRule="auto"/>
            </w:pPr>
            <w:r>
              <w:rPr>
                <w:rFonts w:ascii="Times New Roman" w:hAnsi="Times New Roman"/>
                <w:sz w:val="20"/>
              </w:rPr>
              <w:t>↓</w:t>
            </w:r>
          </w:p>
        </w:tc>
        <w:tc>
          <w:tcPr>
            <w:tcW w:type="dxa" w:w="2268"/>
          </w:tcPr>
          <w:p>
            <w:pPr>
              <w:spacing w:before="40" w:after="40" w:line="240" w:lineRule="auto"/>
            </w:pPr>
            <w:r>
              <w:rPr>
                <w:rFonts w:ascii="Times New Roman" w:hAnsi="Times New Roman"/>
                <w:sz w:val="20"/>
              </w:rPr>
              <w:t>0.5</w:t>
            </w:r>
          </w:p>
        </w:tc>
      </w:tr>
      <w:tr>
        <w:tc>
          <w:tcPr>
            <w:tcW w:type="dxa" w:w="2268"/>
          </w:tcPr>
          <w:p>
            <w:pPr>
              <w:spacing w:before="40" w:after="40" w:line="240" w:lineRule="auto"/>
            </w:pPr>
            <w:r>
              <w:rPr>
                <w:rFonts w:ascii="Times New Roman" w:hAnsi="Times New Roman"/>
                <w:sz w:val="20"/>
              </w:rPr>
            </w:r>
          </w:p>
        </w:tc>
        <w:tc>
          <w:tcPr>
            <w:tcW w:type="dxa" w:w="2268"/>
          </w:tcPr>
          <w:p>
            <w:pPr>
              <w:spacing w:before="40" w:after="40" w:line="240" w:lineRule="auto"/>
            </w:pPr>
            <w:r>
              <w:rPr>
                <w:rFonts w:ascii="Times New Roman" w:hAnsi="Times New Roman"/>
                <w:sz w:val="20"/>
              </w:rPr>
              <w:t>VNIR (4)</w:t>
            </w:r>
          </w:p>
        </w:tc>
        <w:tc>
          <w:tcPr>
            <w:tcW w:type="dxa" w:w="2268"/>
          </w:tcPr>
          <w:p>
            <w:pPr>
              <w:spacing w:before="40" w:after="40" w:line="240" w:lineRule="auto"/>
            </w:pPr>
            <w:r>
              <w:rPr>
                <w:rFonts w:ascii="Times New Roman" w:hAnsi="Times New Roman"/>
                <w:sz w:val="20"/>
              </w:rPr>
              <w:t>↓</w:t>
            </w:r>
          </w:p>
        </w:tc>
        <w:tc>
          <w:tcPr>
            <w:tcW w:type="dxa" w:w="2268"/>
          </w:tcPr>
          <w:p>
            <w:pPr>
              <w:spacing w:before="40" w:after="40" w:line="240" w:lineRule="auto"/>
            </w:pPr>
            <w:r>
              <w:rPr>
                <w:rFonts w:ascii="Times New Roman" w:hAnsi="Times New Roman"/>
                <w:sz w:val="20"/>
              </w:rPr>
              <w:t>0.6</w:t>
            </w:r>
          </w:p>
        </w:tc>
      </w:tr>
      <w:tr>
        <w:tc>
          <w:tcPr>
            <w:tcW w:type="dxa" w:w="2268"/>
          </w:tcPr>
          <w:p>
            <w:pPr>
              <w:spacing w:before="40" w:after="40" w:line="240" w:lineRule="auto"/>
            </w:pPr>
            <w:r>
              <w:rPr>
                <w:rFonts w:ascii="Times New Roman" w:hAnsi="Times New Roman"/>
                <w:sz w:val="20"/>
              </w:rPr>
            </w:r>
          </w:p>
        </w:tc>
        <w:tc>
          <w:tcPr>
            <w:tcW w:type="dxa" w:w="2268"/>
          </w:tcPr>
          <w:p>
            <w:pPr>
              <w:spacing w:before="40" w:after="40" w:line="240" w:lineRule="auto"/>
            </w:pPr>
            <w:r>
              <w:rPr>
                <w:rFonts w:ascii="Times New Roman" w:hAnsi="Times New Roman"/>
                <w:sz w:val="20"/>
              </w:rPr>
              <w:t>GREEN (2)</w:t>
            </w:r>
          </w:p>
        </w:tc>
        <w:tc>
          <w:tcPr>
            <w:tcW w:type="dxa" w:w="2268"/>
          </w:tcPr>
          <w:p>
            <w:pPr>
              <w:spacing w:before="40" w:after="40" w:line="240" w:lineRule="auto"/>
            </w:pPr>
            <w:r>
              <w:rPr>
                <w:rFonts w:ascii="Times New Roman" w:hAnsi="Times New Roman"/>
                <w:sz w:val="20"/>
              </w:rPr>
              <w:t>↓</w:t>
            </w:r>
          </w:p>
        </w:tc>
        <w:tc>
          <w:tcPr>
            <w:tcW w:type="dxa" w:w="2268"/>
          </w:tcPr>
          <w:p>
            <w:pPr>
              <w:spacing w:before="40" w:after="40" w:line="240" w:lineRule="auto"/>
            </w:pPr>
            <w:r>
              <w:rPr>
                <w:rFonts w:ascii="Times New Roman" w:hAnsi="Times New Roman"/>
                <w:sz w:val="20"/>
              </w:rPr>
              <w:t>0.3</w:t>
            </w:r>
          </w:p>
        </w:tc>
      </w:tr>
      <w:tr>
        <w:tc>
          <w:tcPr>
            <w:tcW w:type="dxa" w:w="2268"/>
          </w:tcPr>
          <w:p>
            <w:pPr>
              <w:spacing w:before="40" w:after="40" w:line="240" w:lineRule="auto"/>
            </w:pPr>
            <w:r>
              <w:rPr>
                <w:rFonts w:ascii="Times New Roman" w:hAnsi="Times New Roman"/>
                <w:sz w:val="20"/>
              </w:rPr>
            </w:r>
          </w:p>
        </w:tc>
        <w:tc>
          <w:tcPr>
            <w:tcW w:type="dxa" w:w="2268"/>
          </w:tcPr>
          <w:p>
            <w:pPr>
              <w:spacing w:before="40" w:after="40" w:line="240" w:lineRule="auto"/>
            </w:pPr>
            <w:r>
              <w:rPr>
                <w:rFonts w:ascii="Times New Roman" w:hAnsi="Times New Roman"/>
                <w:sz w:val="20"/>
              </w:rPr>
              <w:t>RED (3)</w:t>
            </w:r>
          </w:p>
        </w:tc>
        <w:tc>
          <w:tcPr>
            <w:tcW w:type="dxa" w:w="2268"/>
          </w:tcPr>
          <w:p>
            <w:pPr>
              <w:spacing w:before="40" w:after="40" w:line="240" w:lineRule="auto"/>
            </w:pPr>
            <w:r>
              <w:rPr>
                <w:rFonts w:ascii="Times New Roman" w:hAnsi="Times New Roman"/>
                <w:sz w:val="20"/>
              </w:rPr>
              <w:t>↑</w:t>
            </w:r>
          </w:p>
        </w:tc>
        <w:tc>
          <w:tcPr>
            <w:tcW w:type="dxa" w:w="2268"/>
          </w:tcPr>
          <w:p>
            <w:pPr>
              <w:spacing w:before="40" w:after="40" w:line="240" w:lineRule="auto"/>
            </w:pPr>
            <w:r>
              <w:rPr>
                <w:rFonts w:ascii="Times New Roman" w:hAnsi="Times New Roman"/>
                <w:sz w:val="20"/>
              </w:rPr>
              <w:t>0.2 (mild)</w:t>
            </w:r>
          </w:p>
        </w:tc>
      </w:tr>
    </w:tbl>
    <w:p/>
    <w:p>
      <w:pPr>
        <w:spacing w:before="200" w:after="40" w:line="240" w:lineRule="auto"/>
        <w:jc w:val="left"/>
      </w:pPr>
      <w:r>
        <w:rPr>
          <w:rFonts w:ascii="Times New Roman" w:hAnsi="Times New Roman"/>
          <w:b/>
          <w:i w:val="0"/>
          <w:sz w:val="22"/>
        </w:rPr>
        <w:t xml:space="preserve">Table 2  </w:t>
      </w:r>
      <w:r>
        <w:rPr>
          <w:rFonts w:ascii="Times New Roman" w:hAnsi="Times New Roman"/>
          <w:b w:val="0"/>
          <w:i w:val="0"/>
          <w:sz w:val="22"/>
        </w:rPr>
        <w:t>Per-class and aggregate classification metrics on the independent test set (n = 90).</w:t>
      </w:r>
    </w:p>
    <w:tbl>
      <w:tblPr>
        <w:tblW w:type="auto" w:w="0"/>
        <w:jc w:val="center"/>
        <w:tblLook w:firstColumn="1" w:firstRow="1" w:lastColumn="0" w:lastRow="0" w:noHBand="0" w:noVBand="1" w:val="04A0"/>
        <w:tblBorders>
          <w:top w:val="single" w:sz="4" w:space="0" w:color="000000"/>
          <w:left w:val="none"/>
          <w:bottom w:val="single" w:sz="4" w:space="0" w:color="000000"/>
          <w:right w:val="none"/>
          <w:insideH w:val="single" w:sz="4" w:space="0" w:color="000000"/>
          <w:insideV w:val="none"/>
        </w:tblBorders>
      </w:tblPr>
      <w:tblGrid>
        <w:gridCol w:w="1814"/>
        <w:gridCol w:w="1814"/>
        <w:gridCol w:w="1814"/>
        <w:gridCol w:w="1814"/>
        <w:gridCol w:w="1814"/>
      </w:tblGrid>
      <w:tr>
        <w:tc>
          <w:tcPr>
            <w:tcW w:type="dxa" w:w="1814"/>
          </w:tcPr>
          <w:p>
            <w:pPr>
              <w:spacing w:before="40" w:after="40" w:line="240" w:lineRule="auto"/>
            </w:pPr>
            <w:r>
              <w:rPr>
                <w:rFonts w:ascii="Times New Roman" w:hAnsi="Times New Roman"/>
                <w:b/>
                <w:sz w:val="20"/>
              </w:rPr>
              <w:t>Class</w:t>
            </w:r>
          </w:p>
        </w:tc>
        <w:tc>
          <w:tcPr>
            <w:tcW w:type="dxa" w:w="1814"/>
          </w:tcPr>
          <w:p>
            <w:pPr>
              <w:spacing w:before="40" w:after="40" w:line="240" w:lineRule="auto"/>
            </w:pPr>
            <w:r>
              <w:rPr>
                <w:rFonts w:ascii="Times New Roman" w:hAnsi="Times New Roman"/>
                <w:b/>
                <w:sz w:val="20"/>
              </w:rPr>
              <w:t>Precision</w:t>
            </w:r>
          </w:p>
        </w:tc>
        <w:tc>
          <w:tcPr>
            <w:tcW w:type="dxa" w:w="1814"/>
          </w:tcPr>
          <w:p>
            <w:pPr>
              <w:spacing w:before="40" w:after="40" w:line="240" w:lineRule="auto"/>
            </w:pPr>
            <w:r>
              <w:rPr>
                <w:rFonts w:ascii="Times New Roman" w:hAnsi="Times New Roman"/>
                <w:b/>
                <w:sz w:val="20"/>
              </w:rPr>
              <w:t>Recall</w:t>
            </w:r>
          </w:p>
        </w:tc>
        <w:tc>
          <w:tcPr>
            <w:tcW w:type="dxa" w:w="1814"/>
          </w:tcPr>
          <w:p>
            <w:pPr>
              <w:spacing w:before="40" w:after="40" w:line="240" w:lineRule="auto"/>
            </w:pPr>
            <w:r>
              <w:rPr>
                <w:rFonts w:ascii="Times New Roman" w:hAnsi="Times New Roman"/>
                <w:b/>
                <w:sz w:val="20"/>
              </w:rPr>
              <w:t>F1-score</w:t>
            </w:r>
          </w:p>
        </w:tc>
        <w:tc>
          <w:tcPr>
            <w:tcW w:type="dxa" w:w="1814"/>
          </w:tcPr>
          <w:p>
            <w:pPr>
              <w:spacing w:before="40" w:after="40" w:line="240" w:lineRule="auto"/>
            </w:pPr>
            <w:r>
              <w:rPr>
                <w:rFonts w:ascii="Times New Roman" w:hAnsi="Times New Roman"/>
                <w:b/>
                <w:sz w:val="20"/>
              </w:rPr>
              <w:t>Support</w:t>
            </w:r>
          </w:p>
        </w:tc>
      </w:tr>
      <w:tr>
        <w:tc>
          <w:tcPr>
            <w:tcW w:type="dxa" w:w="1814"/>
          </w:tcPr>
          <w:p>
            <w:pPr>
              <w:spacing w:before="40" w:after="40" w:line="240" w:lineRule="auto"/>
            </w:pPr>
            <w:r>
              <w:rPr>
                <w:rFonts w:ascii="Times New Roman" w:hAnsi="Times New Roman"/>
                <w:sz w:val="20"/>
              </w:rPr>
              <w:t>Pest Attack</w:t>
            </w:r>
          </w:p>
        </w:tc>
        <w:tc>
          <w:tcPr>
            <w:tcW w:type="dxa" w:w="1814"/>
          </w:tcPr>
          <w:p>
            <w:pPr>
              <w:spacing w:before="40" w:after="40" w:line="240" w:lineRule="auto"/>
            </w:pPr>
            <w:r>
              <w:rPr>
                <w:rFonts w:ascii="Times New Roman" w:hAnsi="Times New Roman"/>
                <w:sz w:val="20"/>
              </w:rPr>
              <w:t>1.00</w:t>
            </w:r>
          </w:p>
        </w:tc>
        <w:tc>
          <w:tcPr>
            <w:tcW w:type="dxa" w:w="1814"/>
          </w:tcPr>
          <w:p>
            <w:pPr>
              <w:spacing w:before="40" w:after="40" w:line="240" w:lineRule="auto"/>
            </w:pPr>
            <w:r>
              <w:rPr>
                <w:rFonts w:ascii="Times New Roman" w:hAnsi="Times New Roman"/>
                <w:sz w:val="20"/>
              </w:rPr>
              <w:t>1.00</w:t>
            </w:r>
          </w:p>
        </w:tc>
        <w:tc>
          <w:tcPr>
            <w:tcW w:type="dxa" w:w="1814"/>
          </w:tcPr>
          <w:p>
            <w:pPr>
              <w:spacing w:before="40" w:after="40" w:line="240" w:lineRule="auto"/>
            </w:pPr>
            <w:r>
              <w:rPr>
                <w:rFonts w:ascii="Times New Roman" w:hAnsi="Times New Roman"/>
                <w:sz w:val="20"/>
              </w:rPr>
              <w:t>1.00</w:t>
            </w:r>
          </w:p>
        </w:tc>
        <w:tc>
          <w:tcPr>
            <w:tcW w:type="dxa" w:w="1814"/>
          </w:tcPr>
          <w:p>
            <w:pPr>
              <w:spacing w:before="40" w:after="40" w:line="240" w:lineRule="auto"/>
            </w:pPr>
            <w:r>
              <w:rPr>
                <w:rFonts w:ascii="Times New Roman" w:hAnsi="Times New Roman"/>
                <w:sz w:val="20"/>
              </w:rPr>
              <w:t>30</w:t>
            </w:r>
          </w:p>
        </w:tc>
      </w:tr>
      <w:tr>
        <w:tc>
          <w:tcPr>
            <w:tcW w:type="dxa" w:w="1814"/>
          </w:tcPr>
          <w:p>
            <w:pPr>
              <w:spacing w:before="40" w:after="40" w:line="240" w:lineRule="auto"/>
            </w:pPr>
            <w:r>
              <w:rPr>
                <w:rFonts w:ascii="Times New Roman" w:hAnsi="Times New Roman"/>
                <w:sz w:val="20"/>
              </w:rPr>
              <w:t>Overwatering</w:t>
            </w:r>
          </w:p>
        </w:tc>
        <w:tc>
          <w:tcPr>
            <w:tcW w:type="dxa" w:w="1814"/>
          </w:tcPr>
          <w:p>
            <w:pPr>
              <w:spacing w:before="40" w:after="40" w:line="240" w:lineRule="auto"/>
            </w:pPr>
            <w:r>
              <w:rPr>
                <w:rFonts w:ascii="Times New Roman" w:hAnsi="Times New Roman"/>
                <w:sz w:val="20"/>
              </w:rPr>
              <w:t>1.00</w:t>
            </w:r>
          </w:p>
        </w:tc>
        <w:tc>
          <w:tcPr>
            <w:tcW w:type="dxa" w:w="1814"/>
          </w:tcPr>
          <w:p>
            <w:pPr>
              <w:spacing w:before="40" w:after="40" w:line="240" w:lineRule="auto"/>
            </w:pPr>
            <w:r>
              <w:rPr>
                <w:rFonts w:ascii="Times New Roman" w:hAnsi="Times New Roman"/>
                <w:sz w:val="20"/>
              </w:rPr>
              <w:t>1.00</w:t>
            </w:r>
          </w:p>
        </w:tc>
        <w:tc>
          <w:tcPr>
            <w:tcW w:type="dxa" w:w="1814"/>
          </w:tcPr>
          <w:p>
            <w:pPr>
              <w:spacing w:before="40" w:after="40" w:line="240" w:lineRule="auto"/>
            </w:pPr>
            <w:r>
              <w:rPr>
                <w:rFonts w:ascii="Times New Roman" w:hAnsi="Times New Roman"/>
                <w:sz w:val="20"/>
              </w:rPr>
              <w:t>1.00</w:t>
            </w:r>
          </w:p>
        </w:tc>
        <w:tc>
          <w:tcPr>
            <w:tcW w:type="dxa" w:w="1814"/>
          </w:tcPr>
          <w:p>
            <w:pPr>
              <w:spacing w:before="40" w:after="40" w:line="240" w:lineRule="auto"/>
            </w:pPr>
            <w:r>
              <w:rPr>
                <w:rFonts w:ascii="Times New Roman" w:hAnsi="Times New Roman"/>
                <w:sz w:val="20"/>
              </w:rPr>
              <w:t>30</w:t>
            </w:r>
          </w:p>
        </w:tc>
      </w:tr>
      <w:tr>
        <w:tc>
          <w:tcPr>
            <w:tcW w:type="dxa" w:w="1814"/>
          </w:tcPr>
          <w:p>
            <w:pPr>
              <w:spacing w:before="40" w:after="40" w:line="240" w:lineRule="auto"/>
            </w:pPr>
            <w:r>
              <w:rPr>
                <w:rFonts w:ascii="Times New Roman" w:hAnsi="Times New Roman"/>
                <w:sz w:val="20"/>
              </w:rPr>
              <w:t>Water Stress</w:t>
            </w:r>
          </w:p>
        </w:tc>
        <w:tc>
          <w:tcPr>
            <w:tcW w:type="dxa" w:w="1814"/>
          </w:tcPr>
          <w:p>
            <w:pPr>
              <w:spacing w:before="40" w:after="40" w:line="240" w:lineRule="auto"/>
            </w:pPr>
            <w:r>
              <w:rPr>
                <w:rFonts w:ascii="Times New Roman" w:hAnsi="Times New Roman"/>
                <w:sz w:val="20"/>
              </w:rPr>
              <w:t>1.00</w:t>
            </w:r>
          </w:p>
        </w:tc>
        <w:tc>
          <w:tcPr>
            <w:tcW w:type="dxa" w:w="1814"/>
          </w:tcPr>
          <w:p>
            <w:pPr>
              <w:spacing w:before="40" w:after="40" w:line="240" w:lineRule="auto"/>
            </w:pPr>
            <w:r>
              <w:rPr>
                <w:rFonts w:ascii="Times New Roman" w:hAnsi="Times New Roman"/>
                <w:sz w:val="20"/>
              </w:rPr>
              <w:t>1.00</w:t>
            </w:r>
          </w:p>
        </w:tc>
        <w:tc>
          <w:tcPr>
            <w:tcW w:type="dxa" w:w="1814"/>
          </w:tcPr>
          <w:p>
            <w:pPr>
              <w:spacing w:before="40" w:after="40" w:line="240" w:lineRule="auto"/>
            </w:pPr>
            <w:r>
              <w:rPr>
                <w:rFonts w:ascii="Times New Roman" w:hAnsi="Times New Roman"/>
                <w:sz w:val="20"/>
              </w:rPr>
              <w:t>1.00</w:t>
            </w:r>
          </w:p>
        </w:tc>
        <w:tc>
          <w:tcPr>
            <w:tcW w:type="dxa" w:w="1814"/>
          </w:tcPr>
          <w:p>
            <w:pPr>
              <w:spacing w:before="40" w:after="40" w:line="240" w:lineRule="auto"/>
            </w:pPr>
            <w:r>
              <w:rPr>
                <w:rFonts w:ascii="Times New Roman" w:hAnsi="Times New Roman"/>
                <w:sz w:val="20"/>
              </w:rPr>
              <w:t>30</w:t>
            </w:r>
          </w:p>
        </w:tc>
      </w:tr>
      <w:tr>
        <w:tc>
          <w:tcPr>
            <w:tcW w:type="dxa" w:w="1814"/>
          </w:tcPr>
          <w:p>
            <w:pPr>
              <w:spacing w:before="40" w:after="40" w:line="240" w:lineRule="auto"/>
            </w:pPr>
            <w:r>
              <w:rPr>
                <w:rFonts w:ascii="Times New Roman" w:hAnsi="Times New Roman"/>
                <w:sz w:val="20"/>
              </w:rPr>
              <w:t>Macro Average</w:t>
            </w:r>
          </w:p>
        </w:tc>
        <w:tc>
          <w:tcPr>
            <w:tcW w:type="dxa" w:w="1814"/>
          </w:tcPr>
          <w:p>
            <w:pPr>
              <w:spacing w:before="40" w:after="40" w:line="240" w:lineRule="auto"/>
            </w:pPr>
            <w:r>
              <w:rPr>
                <w:rFonts w:ascii="Times New Roman" w:hAnsi="Times New Roman"/>
                <w:sz w:val="20"/>
              </w:rPr>
              <w:t>1.00</w:t>
            </w:r>
          </w:p>
        </w:tc>
        <w:tc>
          <w:tcPr>
            <w:tcW w:type="dxa" w:w="1814"/>
          </w:tcPr>
          <w:p>
            <w:pPr>
              <w:spacing w:before="40" w:after="40" w:line="240" w:lineRule="auto"/>
            </w:pPr>
            <w:r>
              <w:rPr>
                <w:rFonts w:ascii="Times New Roman" w:hAnsi="Times New Roman"/>
                <w:sz w:val="20"/>
              </w:rPr>
              <w:t>1.00</w:t>
            </w:r>
          </w:p>
        </w:tc>
        <w:tc>
          <w:tcPr>
            <w:tcW w:type="dxa" w:w="1814"/>
          </w:tcPr>
          <w:p>
            <w:pPr>
              <w:spacing w:before="40" w:after="40" w:line="240" w:lineRule="auto"/>
            </w:pPr>
            <w:r>
              <w:rPr>
                <w:rFonts w:ascii="Times New Roman" w:hAnsi="Times New Roman"/>
                <w:sz w:val="20"/>
              </w:rPr>
              <w:t>1.00</w:t>
            </w:r>
          </w:p>
        </w:tc>
        <w:tc>
          <w:tcPr>
            <w:tcW w:type="dxa" w:w="1814"/>
          </w:tcPr>
          <w:p>
            <w:pPr>
              <w:spacing w:before="40" w:after="40" w:line="240" w:lineRule="auto"/>
            </w:pPr>
            <w:r>
              <w:rPr>
                <w:rFonts w:ascii="Times New Roman" w:hAnsi="Times New Roman"/>
                <w:sz w:val="20"/>
              </w:rPr>
              <w:t>90</w:t>
            </w:r>
          </w:p>
        </w:tc>
      </w:tr>
      <w:tr>
        <w:tc>
          <w:tcPr>
            <w:tcW w:type="dxa" w:w="1814"/>
          </w:tcPr>
          <w:p>
            <w:pPr>
              <w:spacing w:before="40" w:after="40" w:line="240" w:lineRule="auto"/>
            </w:pPr>
            <w:r>
              <w:rPr>
                <w:rFonts w:ascii="Times New Roman" w:hAnsi="Times New Roman"/>
                <w:sz w:val="20"/>
              </w:rPr>
              <w:t>Weighted Average</w:t>
            </w:r>
          </w:p>
        </w:tc>
        <w:tc>
          <w:tcPr>
            <w:tcW w:type="dxa" w:w="1814"/>
          </w:tcPr>
          <w:p>
            <w:pPr>
              <w:spacing w:before="40" w:after="40" w:line="240" w:lineRule="auto"/>
            </w:pPr>
            <w:r>
              <w:rPr>
                <w:rFonts w:ascii="Times New Roman" w:hAnsi="Times New Roman"/>
                <w:sz w:val="20"/>
              </w:rPr>
              <w:t>1.00</w:t>
            </w:r>
          </w:p>
        </w:tc>
        <w:tc>
          <w:tcPr>
            <w:tcW w:type="dxa" w:w="1814"/>
          </w:tcPr>
          <w:p>
            <w:pPr>
              <w:spacing w:before="40" w:after="40" w:line="240" w:lineRule="auto"/>
            </w:pPr>
            <w:r>
              <w:rPr>
                <w:rFonts w:ascii="Times New Roman" w:hAnsi="Times New Roman"/>
                <w:sz w:val="20"/>
              </w:rPr>
              <w:t>1.00</w:t>
            </w:r>
          </w:p>
        </w:tc>
        <w:tc>
          <w:tcPr>
            <w:tcW w:type="dxa" w:w="1814"/>
          </w:tcPr>
          <w:p>
            <w:pPr>
              <w:spacing w:before="40" w:after="40" w:line="240" w:lineRule="auto"/>
            </w:pPr>
            <w:r>
              <w:rPr>
                <w:rFonts w:ascii="Times New Roman" w:hAnsi="Times New Roman"/>
                <w:sz w:val="20"/>
              </w:rPr>
              <w:t>1.00</w:t>
            </w:r>
          </w:p>
        </w:tc>
        <w:tc>
          <w:tcPr>
            <w:tcW w:type="dxa" w:w="1814"/>
          </w:tcPr>
          <w:p>
            <w:pPr>
              <w:spacing w:before="40" w:after="40" w:line="240" w:lineRule="auto"/>
            </w:pPr>
            <w:r>
              <w:rPr>
                <w:rFonts w:ascii="Times New Roman" w:hAnsi="Times New Roman"/>
                <w:sz w:val="20"/>
              </w:rPr>
              <w:t>90</w:t>
            </w:r>
          </w:p>
        </w:tc>
      </w:tr>
      <w:tr>
        <w:tc>
          <w:tcPr>
            <w:tcW w:type="dxa" w:w="1814"/>
          </w:tcPr>
          <w:p>
            <w:pPr>
              <w:spacing w:before="40" w:after="40" w:line="240" w:lineRule="auto"/>
            </w:pPr>
            <w:r>
              <w:rPr>
                <w:rFonts w:ascii="Times New Roman" w:hAnsi="Times New Roman"/>
                <w:sz w:val="20"/>
              </w:rPr>
              <w:t>Overall Accuracy</w:t>
            </w:r>
          </w:p>
        </w:tc>
        <w:tc>
          <w:tcPr>
            <w:tcW w:type="dxa" w:w="1814"/>
          </w:tcPr>
          <w:p>
            <w:pPr>
              <w:spacing w:before="40" w:after="40" w:line="240" w:lineRule="auto"/>
            </w:pPr>
            <w:r>
              <w:rPr>
                <w:rFonts w:ascii="Times New Roman" w:hAnsi="Times New Roman"/>
                <w:sz w:val="20"/>
              </w:rPr>
            </w:r>
          </w:p>
        </w:tc>
        <w:tc>
          <w:tcPr>
            <w:tcW w:type="dxa" w:w="1814"/>
          </w:tcPr>
          <w:p>
            <w:pPr>
              <w:spacing w:before="40" w:after="40" w:line="240" w:lineRule="auto"/>
            </w:pPr>
            <w:r>
              <w:rPr>
                <w:rFonts w:ascii="Times New Roman" w:hAnsi="Times New Roman"/>
                <w:sz w:val="20"/>
              </w:rPr>
            </w:r>
          </w:p>
        </w:tc>
        <w:tc>
          <w:tcPr>
            <w:tcW w:type="dxa" w:w="1814"/>
          </w:tcPr>
          <w:p>
            <w:pPr>
              <w:spacing w:before="40" w:after="40" w:line="240" w:lineRule="auto"/>
            </w:pPr>
            <w:r>
              <w:rPr>
                <w:rFonts w:ascii="Times New Roman" w:hAnsi="Times New Roman"/>
                <w:sz w:val="20"/>
              </w:rPr>
              <w:t>100.00%</w:t>
            </w:r>
          </w:p>
        </w:tc>
        <w:tc>
          <w:tcPr>
            <w:tcW w:type="dxa" w:w="1814"/>
          </w:tcPr>
          <w:p>
            <w:pPr>
              <w:spacing w:before="40" w:after="40" w:line="240" w:lineRule="auto"/>
            </w:pPr>
            <w:r>
              <w:rPr>
                <w:rFonts w:ascii="Times New Roman" w:hAnsi="Times New Roman"/>
                <w:sz w:val="20"/>
              </w:rPr>
              <w:t>90</w:t>
            </w:r>
          </w:p>
        </w:tc>
      </w:tr>
    </w:tbl>
    <w:p/>
    <w:p>
      <w:pPr>
        <w:spacing w:before="200" w:after="40" w:line="240" w:lineRule="auto"/>
        <w:jc w:val="left"/>
      </w:pPr>
      <w:r>
        <w:rPr>
          <w:rFonts w:ascii="Times New Roman" w:hAnsi="Times New Roman"/>
          <w:b/>
          <w:i w:val="0"/>
          <w:sz w:val="22"/>
        </w:rPr>
        <w:t xml:space="preserve">Table 3  </w:t>
      </w:r>
      <w:r>
        <w:rPr>
          <w:rFonts w:ascii="Times New Roman" w:hAnsi="Times New Roman"/>
          <w:b w:val="0"/>
          <w:i w:val="0"/>
          <w:sz w:val="22"/>
        </w:rPr>
        <w:t>Segmentation metrics on the independent test set (n = 90; binarisation threshold = 0.5).</w:t>
      </w:r>
    </w:p>
    <w:tbl>
      <w:tblPr>
        <w:tblW w:type="auto" w:w="0"/>
        <w:jc w:val="center"/>
        <w:tblLook w:firstColumn="1" w:firstRow="1" w:lastColumn="0" w:lastRow="0" w:noHBand="0" w:noVBand="1" w:val="04A0"/>
        <w:tblBorders>
          <w:top w:val="single" w:sz="4" w:space="0" w:color="000000"/>
          <w:left w:val="none"/>
          <w:bottom w:val="single" w:sz="4" w:space="0" w:color="000000"/>
          <w:right w:val="none"/>
          <w:insideH w:val="single" w:sz="4" w:space="0" w:color="000000"/>
          <w:insideV w:val="none"/>
        </w:tblBorders>
      </w:tblPr>
      <w:tblGrid>
        <w:gridCol w:w="4536"/>
        <w:gridCol w:w="4536"/>
      </w:tblGrid>
      <w:tr>
        <w:tc>
          <w:tcPr>
            <w:tcW w:type="dxa" w:w="4536"/>
          </w:tcPr>
          <w:p>
            <w:pPr>
              <w:spacing w:before="40" w:after="40" w:line="240" w:lineRule="auto"/>
            </w:pPr>
            <w:r>
              <w:rPr>
                <w:rFonts w:ascii="Times New Roman" w:hAnsi="Times New Roman"/>
                <w:b/>
                <w:sz w:val="20"/>
              </w:rPr>
              <w:t>Metric</w:t>
            </w:r>
          </w:p>
        </w:tc>
        <w:tc>
          <w:tcPr>
            <w:tcW w:type="dxa" w:w="4536"/>
          </w:tcPr>
          <w:p>
            <w:pPr>
              <w:spacing w:before="40" w:after="40" w:line="240" w:lineRule="auto"/>
            </w:pPr>
            <w:r>
              <w:rPr>
                <w:rFonts w:ascii="Times New Roman" w:hAnsi="Times New Roman"/>
                <w:b/>
                <w:sz w:val="20"/>
              </w:rPr>
              <w:t>Mean</w:t>
            </w:r>
          </w:p>
        </w:tc>
      </w:tr>
      <w:tr>
        <w:tc>
          <w:tcPr>
            <w:tcW w:type="dxa" w:w="4536"/>
          </w:tcPr>
          <w:p>
            <w:pPr>
              <w:spacing w:before="40" w:after="40" w:line="240" w:lineRule="auto"/>
            </w:pPr>
            <w:r>
              <w:rPr>
                <w:rFonts w:ascii="Times New Roman" w:hAnsi="Times New Roman"/>
                <w:sz w:val="20"/>
              </w:rPr>
              <w:t>Dice Coefficient</w:t>
            </w:r>
          </w:p>
        </w:tc>
        <w:tc>
          <w:tcPr>
            <w:tcW w:type="dxa" w:w="4536"/>
          </w:tcPr>
          <w:p>
            <w:pPr>
              <w:spacing w:before="40" w:after="40" w:line="240" w:lineRule="auto"/>
            </w:pPr>
            <w:r>
              <w:rPr>
                <w:rFonts w:ascii="Times New Roman" w:hAnsi="Times New Roman"/>
                <w:sz w:val="20"/>
              </w:rPr>
              <w:t>0.723</w:t>
            </w:r>
          </w:p>
        </w:tc>
      </w:tr>
      <w:tr>
        <w:tc>
          <w:tcPr>
            <w:tcW w:type="dxa" w:w="4536"/>
          </w:tcPr>
          <w:p>
            <w:pPr>
              <w:spacing w:before="40" w:after="40" w:line="240" w:lineRule="auto"/>
            </w:pPr>
            <w:r>
              <w:rPr>
                <w:rFonts w:ascii="Times New Roman" w:hAnsi="Times New Roman"/>
                <w:sz w:val="20"/>
              </w:rPr>
              <w:t>IoU</w:t>
            </w:r>
          </w:p>
        </w:tc>
        <w:tc>
          <w:tcPr>
            <w:tcW w:type="dxa" w:w="4536"/>
          </w:tcPr>
          <w:p>
            <w:pPr>
              <w:spacing w:before="40" w:after="40" w:line="240" w:lineRule="auto"/>
            </w:pPr>
            <w:r>
              <w:rPr>
                <w:rFonts w:ascii="Times New Roman" w:hAnsi="Times New Roman"/>
                <w:sz w:val="20"/>
              </w:rPr>
              <w:t>0.609</w:t>
            </w:r>
          </w:p>
        </w:tc>
      </w:tr>
    </w:tbl>
    <w:p/>
    <w:p>
      <w:pPr>
        <w:spacing w:before="200" w:after="40" w:line="240" w:lineRule="auto"/>
        <w:jc w:val="left"/>
      </w:pPr>
      <w:r>
        <w:rPr>
          <w:rFonts w:ascii="Times New Roman" w:hAnsi="Times New Roman"/>
          <w:b/>
          <w:i w:val="0"/>
          <w:sz w:val="22"/>
        </w:rPr>
        <w:t xml:space="preserve">Table 4  </w:t>
      </w:r>
      <w:r>
        <w:rPr>
          <w:rFonts w:ascii="Times New Roman" w:hAnsi="Times New Roman"/>
          <w:b w:val="0"/>
          <w:i w:val="0"/>
          <w:sz w:val="22"/>
        </w:rPr>
        <w:t>Algorithm comparison on the 256 × 256 farm (seed = 42, spray percentile = 90). Efficiency = Disease Gain ÷ Path Distance.</w:t>
      </w:r>
    </w:p>
    <w:tbl>
      <w:tblPr>
        <w:tblW w:type="auto" w:w="0"/>
        <w:jc w:val="center"/>
        <w:tblLook w:firstColumn="1" w:firstRow="1" w:lastColumn="0" w:lastRow="0" w:noHBand="0" w:noVBand="1" w:val="04A0"/>
        <w:tblBorders>
          <w:top w:val="single" w:sz="4" w:space="0" w:color="000000"/>
          <w:left w:val="none"/>
          <w:bottom w:val="single" w:sz="4" w:space="0" w:color="000000"/>
          <w:right w:val="none"/>
          <w:insideH w:val="single" w:sz="4" w:space="0" w:color="000000"/>
          <w:insideV w:val="none"/>
        </w:tblBorders>
      </w:tblPr>
      <w:tblGrid>
        <w:gridCol w:w="1512"/>
        <w:gridCol w:w="1512"/>
        <w:gridCol w:w="1512"/>
        <w:gridCol w:w="1512"/>
        <w:gridCol w:w="1512"/>
        <w:gridCol w:w="1512"/>
      </w:tblGrid>
      <w:tr>
        <w:tc>
          <w:tcPr>
            <w:tcW w:type="dxa" w:w="1512"/>
          </w:tcPr>
          <w:p>
            <w:pPr>
              <w:spacing w:before="40" w:after="40" w:line="240" w:lineRule="auto"/>
            </w:pPr>
            <w:r>
              <w:rPr>
                <w:rFonts w:ascii="Times New Roman" w:hAnsi="Times New Roman"/>
                <w:b/>
                <w:sz w:val="20"/>
              </w:rPr>
              <w:t>Algorithm</w:t>
            </w:r>
          </w:p>
        </w:tc>
        <w:tc>
          <w:tcPr>
            <w:tcW w:type="dxa" w:w="1512"/>
          </w:tcPr>
          <w:p>
            <w:pPr>
              <w:spacing w:before="40" w:after="40" w:line="240" w:lineRule="auto"/>
            </w:pPr>
            <w:r>
              <w:rPr>
                <w:rFonts w:ascii="Times New Roman" w:hAnsi="Times New Roman"/>
                <w:b/>
                <w:sz w:val="20"/>
              </w:rPr>
              <w:t>Distance (px)</w:t>
            </w:r>
          </w:p>
        </w:tc>
        <w:tc>
          <w:tcPr>
            <w:tcW w:type="dxa" w:w="1512"/>
          </w:tcPr>
          <w:p>
            <w:pPr>
              <w:spacing w:before="40" w:after="40" w:line="240" w:lineRule="auto"/>
            </w:pPr>
            <w:r>
              <w:rPr>
                <w:rFonts w:ascii="Times New Roman" w:hAnsi="Times New Roman"/>
                <w:b/>
                <w:sz w:val="20"/>
              </w:rPr>
              <w:t>Disease Gain</w:t>
            </w:r>
          </w:p>
        </w:tc>
        <w:tc>
          <w:tcPr>
            <w:tcW w:type="dxa" w:w="1512"/>
          </w:tcPr>
          <w:p>
            <w:pPr>
              <w:spacing w:before="40" w:after="40" w:line="240" w:lineRule="auto"/>
            </w:pPr>
            <w:r>
              <w:rPr>
                <w:rFonts w:ascii="Times New Roman" w:hAnsi="Times New Roman"/>
                <w:b/>
                <w:sz w:val="20"/>
              </w:rPr>
              <w:t>Efficiency</w:t>
            </w:r>
          </w:p>
        </w:tc>
        <w:tc>
          <w:tcPr>
            <w:tcW w:type="dxa" w:w="1512"/>
          </w:tcPr>
          <w:p>
            <w:pPr>
              <w:spacing w:before="40" w:after="40" w:line="240" w:lineRule="auto"/>
            </w:pPr>
            <w:r>
              <w:rPr>
                <w:rFonts w:ascii="Times New Roman" w:hAnsi="Times New Roman"/>
                <w:b/>
                <w:sz w:val="20"/>
              </w:rPr>
              <w:t>Turns</w:t>
            </w:r>
          </w:p>
        </w:tc>
        <w:tc>
          <w:tcPr>
            <w:tcW w:type="dxa" w:w="1512"/>
          </w:tcPr>
          <w:p>
            <w:pPr>
              <w:spacing w:before="40" w:after="40" w:line="240" w:lineRule="auto"/>
            </w:pPr>
            <w:r>
              <w:rPr>
                <w:rFonts w:ascii="Times New Roman" w:hAnsi="Times New Roman"/>
                <w:b/>
                <w:sz w:val="20"/>
              </w:rPr>
              <w:t>Runtime (s)</w:t>
            </w:r>
          </w:p>
        </w:tc>
      </w:tr>
      <w:tr>
        <w:tc>
          <w:tcPr>
            <w:tcW w:type="dxa" w:w="1512"/>
          </w:tcPr>
          <w:p>
            <w:pPr>
              <w:spacing w:before="40" w:after="40" w:line="240" w:lineRule="auto"/>
            </w:pPr>
            <w:r>
              <w:rPr>
                <w:rFonts w:ascii="Times New Roman" w:hAnsi="Times New Roman"/>
                <w:sz w:val="20"/>
              </w:rPr>
              <w:t>Direct A*</w:t>
            </w:r>
          </w:p>
        </w:tc>
        <w:tc>
          <w:tcPr>
            <w:tcW w:type="dxa" w:w="1512"/>
          </w:tcPr>
          <w:p>
            <w:pPr>
              <w:spacing w:before="40" w:after="40" w:line="240" w:lineRule="auto"/>
            </w:pPr>
            <w:r>
              <w:rPr>
                <w:rFonts w:ascii="Times New Roman" w:hAnsi="Times New Roman"/>
                <w:sz w:val="20"/>
              </w:rPr>
              <w:t>2632</w:t>
            </w:r>
          </w:p>
        </w:tc>
        <w:tc>
          <w:tcPr>
            <w:tcW w:type="dxa" w:w="1512"/>
          </w:tcPr>
          <w:p>
            <w:pPr>
              <w:spacing w:before="40" w:after="40" w:line="240" w:lineRule="auto"/>
            </w:pPr>
            <w:r>
              <w:rPr>
                <w:rFonts w:ascii="Times New Roman" w:hAnsi="Times New Roman"/>
                <w:sz w:val="20"/>
              </w:rPr>
              <w:t>896.34</w:t>
            </w:r>
          </w:p>
        </w:tc>
        <w:tc>
          <w:tcPr>
            <w:tcW w:type="dxa" w:w="1512"/>
          </w:tcPr>
          <w:p>
            <w:pPr>
              <w:spacing w:before="40" w:after="40" w:line="240" w:lineRule="auto"/>
            </w:pPr>
            <w:r>
              <w:rPr>
                <w:rFonts w:ascii="Times New Roman" w:hAnsi="Times New Roman"/>
                <w:sz w:val="20"/>
              </w:rPr>
              <w:t>0.3406</w:t>
            </w:r>
          </w:p>
        </w:tc>
        <w:tc>
          <w:tcPr>
            <w:tcW w:type="dxa" w:w="1512"/>
          </w:tcPr>
          <w:p>
            <w:pPr>
              <w:spacing w:before="40" w:after="40" w:line="240" w:lineRule="auto"/>
            </w:pPr>
            <w:r>
              <w:rPr>
                <w:rFonts w:ascii="Times New Roman" w:hAnsi="Times New Roman"/>
                <w:sz w:val="20"/>
              </w:rPr>
              <w:t>241</w:t>
            </w:r>
          </w:p>
        </w:tc>
        <w:tc>
          <w:tcPr>
            <w:tcW w:type="dxa" w:w="1512"/>
          </w:tcPr>
          <w:p>
            <w:pPr>
              <w:spacing w:before="40" w:after="40" w:line="240" w:lineRule="auto"/>
            </w:pPr>
            <w:r>
              <w:rPr>
                <w:rFonts w:ascii="Times New Roman" w:hAnsi="Times New Roman"/>
                <w:sz w:val="20"/>
              </w:rPr>
              <w:t>0.025</w:t>
            </w:r>
          </w:p>
        </w:tc>
      </w:tr>
      <w:tr>
        <w:tc>
          <w:tcPr>
            <w:tcW w:type="dxa" w:w="1512"/>
          </w:tcPr>
          <w:p>
            <w:pPr>
              <w:spacing w:before="40" w:after="40" w:line="240" w:lineRule="auto"/>
            </w:pPr>
            <w:r>
              <w:rPr>
                <w:rFonts w:ascii="Times New Roman" w:hAnsi="Times New Roman"/>
                <w:sz w:val="20"/>
              </w:rPr>
              <w:t>MST + A*</w:t>
            </w:r>
          </w:p>
        </w:tc>
        <w:tc>
          <w:tcPr>
            <w:tcW w:type="dxa" w:w="1512"/>
          </w:tcPr>
          <w:p>
            <w:pPr>
              <w:spacing w:before="40" w:after="40" w:line="240" w:lineRule="auto"/>
            </w:pPr>
            <w:r>
              <w:rPr>
                <w:rFonts w:ascii="Times New Roman" w:hAnsi="Times New Roman"/>
                <w:sz w:val="20"/>
              </w:rPr>
              <w:t>1463</w:t>
            </w:r>
          </w:p>
        </w:tc>
        <w:tc>
          <w:tcPr>
            <w:tcW w:type="dxa" w:w="1512"/>
          </w:tcPr>
          <w:p>
            <w:pPr>
              <w:spacing w:before="40" w:after="40" w:line="240" w:lineRule="auto"/>
            </w:pPr>
            <w:r>
              <w:rPr>
                <w:rFonts w:ascii="Times New Roman" w:hAnsi="Times New Roman"/>
                <w:sz w:val="20"/>
              </w:rPr>
              <w:t>739.47</w:t>
            </w:r>
          </w:p>
        </w:tc>
        <w:tc>
          <w:tcPr>
            <w:tcW w:type="dxa" w:w="1512"/>
          </w:tcPr>
          <w:p>
            <w:pPr>
              <w:spacing w:before="40" w:after="40" w:line="240" w:lineRule="auto"/>
            </w:pPr>
            <w:r>
              <w:rPr>
                <w:rFonts w:ascii="Times New Roman" w:hAnsi="Times New Roman"/>
                <w:sz w:val="20"/>
              </w:rPr>
              <w:t>0.5055</w:t>
            </w:r>
          </w:p>
        </w:tc>
        <w:tc>
          <w:tcPr>
            <w:tcW w:type="dxa" w:w="1512"/>
          </w:tcPr>
          <w:p>
            <w:pPr>
              <w:spacing w:before="40" w:after="40" w:line="240" w:lineRule="auto"/>
            </w:pPr>
            <w:r>
              <w:rPr>
                <w:rFonts w:ascii="Times New Roman" w:hAnsi="Times New Roman"/>
                <w:sz w:val="20"/>
              </w:rPr>
              <w:t>276</w:t>
            </w:r>
          </w:p>
        </w:tc>
        <w:tc>
          <w:tcPr>
            <w:tcW w:type="dxa" w:w="1512"/>
          </w:tcPr>
          <w:p>
            <w:pPr>
              <w:spacing w:before="40" w:after="40" w:line="240" w:lineRule="auto"/>
            </w:pPr>
            <w:r>
              <w:rPr>
                <w:rFonts w:ascii="Times New Roman" w:hAnsi="Times New Roman"/>
                <w:sz w:val="20"/>
              </w:rPr>
              <w:t>0.029</w:t>
            </w:r>
          </w:p>
        </w:tc>
      </w:tr>
      <w:tr>
        <w:tc>
          <w:tcPr>
            <w:tcW w:type="dxa" w:w="1512"/>
          </w:tcPr>
          <w:p>
            <w:pPr>
              <w:spacing w:before="40" w:after="40" w:line="240" w:lineRule="auto"/>
            </w:pPr>
            <w:r>
              <w:rPr>
                <w:rFonts w:ascii="Times New Roman" w:hAnsi="Times New Roman"/>
                <w:sz w:val="20"/>
              </w:rPr>
              <w:t>TSP</w:t>
            </w:r>
          </w:p>
        </w:tc>
        <w:tc>
          <w:tcPr>
            <w:tcW w:type="dxa" w:w="1512"/>
          </w:tcPr>
          <w:p>
            <w:pPr>
              <w:spacing w:before="40" w:after="40" w:line="240" w:lineRule="auto"/>
            </w:pPr>
            <w:r>
              <w:rPr>
                <w:rFonts w:ascii="Times New Roman" w:hAnsi="Times New Roman"/>
                <w:sz w:val="20"/>
              </w:rPr>
              <w:t>1277</w:t>
            </w:r>
          </w:p>
        </w:tc>
        <w:tc>
          <w:tcPr>
            <w:tcW w:type="dxa" w:w="1512"/>
          </w:tcPr>
          <w:p>
            <w:pPr>
              <w:spacing w:before="40" w:after="40" w:line="240" w:lineRule="auto"/>
            </w:pPr>
            <w:r>
              <w:rPr>
                <w:rFonts w:ascii="Times New Roman" w:hAnsi="Times New Roman"/>
                <w:sz w:val="20"/>
              </w:rPr>
              <w:t>678.98</w:t>
            </w:r>
          </w:p>
        </w:tc>
        <w:tc>
          <w:tcPr>
            <w:tcW w:type="dxa" w:w="1512"/>
          </w:tcPr>
          <w:p>
            <w:pPr>
              <w:spacing w:before="40" w:after="40" w:line="240" w:lineRule="auto"/>
            </w:pPr>
            <w:r>
              <w:rPr>
                <w:rFonts w:ascii="Times New Roman" w:hAnsi="Times New Roman"/>
                <w:sz w:val="20"/>
              </w:rPr>
              <w:t>0.5317</w:t>
            </w:r>
          </w:p>
        </w:tc>
        <w:tc>
          <w:tcPr>
            <w:tcW w:type="dxa" w:w="1512"/>
          </w:tcPr>
          <w:p>
            <w:pPr>
              <w:spacing w:before="40" w:after="40" w:line="240" w:lineRule="auto"/>
            </w:pPr>
            <w:r>
              <w:rPr>
                <w:rFonts w:ascii="Times New Roman" w:hAnsi="Times New Roman"/>
                <w:sz w:val="20"/>
              </w:rPr>
              <w:t>323</w:t>
            </w:r>
          </w:p>
        </w:tc>
        <w:tc>
          <w:tcPr>
            <w:tcW w:type="dxa" w:w="1512"/>
          </w:tcPr>
          <w:p>
            <w:pPr>
              <w:spacing w:before="40" w:after="40" w:line="240" w:lineRule="auto"/>
            </w:pPr>
            <w:r>
              <w:rPr>
                <w:rFonts w:ascii="Times New Roman" w:hAnsi="Times New Roman"/>
                <w:sz w:val="20"/>
              </w:rPr>
              <w:t>0.020</w:t>
            </w:r>
          </w:p>
        </w:tc>
      </w:tr>
      <w:tr>
        <w:tc>
          <w:tcPr>
            <w:tcW w:type="dxa" w:w="1512"/>
          </w:tcPr>
          <w:p>
            <w:pPr>
              <w:spacing w:before="40" w:after="40" w:line="240" w:lineRule="auto"/>
            </w:pPr>
            <w:r>
              <w:rPr>
                <w:rFonts w:ascii="Times New Roman" w:hAnsi="Times New Roman"/>
                <w:sz w:val="20"/>
              </w:rPr>
              <w:t>Dijkstra</w:t>
            </w:r>
          </w:p>
        </w:tc>
        <w:tc>
          <w:tcPr>
            <w:tcW w:type="dxa" w:w="1512"/>
          </w:tcPr>
          <w:p>
            <w:pPr>
              <w:spacing w:before="40" w:after="40" w:line="240" w:lineRule="auto"/>
            </w:pPr>
            <w:r>
              <w:rPr>
                <w:rFonts w:ascii="Times New Roman" w:hAnsi="Times New Roman"/>
                <w:sz w:val="20"/>
              </w:rPr>
              <w:t>4358</w:t>
            </w:r>
          </w:p>
        </w:tc>
        <w:tc>
          <w:tcPr>
            <w:tcW w:type="dxa" w:w="1512"/>
          </w:tcPr>
          <w:p>
            <w:pPr>
              <w:spacing w:before="40" w:after="40" w:line="240" w:lineRule="auto"/>
            </w:pPr>
            <w:r>
              <w:rPr>
                <w:rFonts w:ascii="Times New Roman" w:hAnsi="Times New Roman"/>
                <w:sz w:val="20"/>
              </w:rPr>
              <w:t>3114.12</w:t>
            </w:r>
          </w:p>
        </w:tc>
        <w:tc>
          <w:tcPr>
            <w:tcW w:type="dxa" w:w="1512"/>
          </w:tcPr>
          <w:p>
            <w:pPr>
              <w:spacing w:before="40" w:after="40" w:line="240" w:lineRule="auto"/>
            </w:pPr>
            <w:r>
              <w:rPr>
                <w:rFonts w:ascii="Times New Roman" w:hAnsi="Times New Roman"/>
                <w:sz w:val="20"/>
              </w:rPr>
              <w:t>0.7146</w:t>
            </w:r>
          </w:p>
        </w:tc>
        <w:tc>
          <w:tcPr>
            <w:tcW w:type="dxa" w:w="1512"/>
          </w:tcPr>
          <w:p>
            <w:pPr>
              <w:spacing w:before="40" w:after="40" w:line="240" w:lineRule="auto"/>
            </w:pPr>
            <w:r>
              <w:rPr>
                <w:rFonts w:ascii="Times New Roman" w:hAnsi="Times New Roman"/>
                <w:sz w:val="20"/>
              </w:rPr>
              <w:t>1137</w:t>
            </w:r>
          </w:p>
        </w:tc>
        <w:tc>
          <w:tcPr>
            <w:tcW w:type="dxa" w:w="1512"/>
          </w:tcPr>
          <w:p>
            <w:pPr>
              <w:spacing w:before="40" w:after="40" w:line="240" w:lineRule="auto"/>
            </w:pPr>
            <w:r>
              <w:rPr>
                <w:rFonts w:ascii="Times New Roman" w:hAnsi="Times New Roman"/>
                <w:sz w:val="20"/>
              </w:rPr>
              <w:t>1.338</w:t>
            </w:r>
          </w:p>
        </w:tc>
      </w:tr>
      <w:tr>
        <w:tc>
          <w:tcPr>
            <w:tcW w:type="dxa" w:w="1512"/>
          </w:tcPr>
          <w:p>
            <w:pPr>
              <w:spacing w:before="40" w:after="40" w:line="240" w:lineRule="auto"/>
            </w:pPr>
            <w:r>
              <w:rPr>
                <w:rFonts w:ascii="Times New Roman" w:hAnsi="Times New Roman"/>
                <w:sz w:val="20"/>
              </w:rPr>
              <w:t>Simulated Annealing</w:t>
            </w:r>
          </w:p>
        </w:tc>
        <w:tc>
          <w:tcPr>
            <w:tcW w:type="dxa" w:w="1512"/>
          </w:tcPr>
          <w:p>
            <w:pPr>
              <w:spacing w:before="40" w:after="40" w:line="240" w:lineRule="auto"/>
            </w:pPr>
            <w:r>
              <w:rPr>
                <w:rFonts w:ascii="Times New Roman" w:hAnsi="Times New Roman"/>
                <w:sz w:val="20"/>
              </w:rPr>
              <w:t>1318</w:t>
            </w:r>
          </w:p>
        </w:tc>
        <w:tc>
          <w:tcPr>
            <w:tcW w:type="dxa" w:w="1512"/>
          </w:tcPr>
          <w:p>
            <w:pPr>
              <w:spacing w:before="40" w:after="40" w:line="240" w:lineRule="auto"/>
            </w:pPr>
            <w:r>
              <w:rPr>
                <w:rFonts w:ascii="Times New Roman" w:hAnsi="Times New Roman"/>
                <w:sz w:val="20"/>
              </w:rPr>
              <w:t>677.68</w:t>
            </w:r>
          </w:p>
        </w:tc>
        <w:tc>
          <w:tcPr>
            <w:tcW w:type="dxa" w:w="1512"/>
          </w:tcPr>
          <w:p>
            <w:pPr>
              <w:spacing w:before="40" w:after="40" w:line="240" w:lineRule="auto"/>
            </w:pPr>
            <w:r>
              <w:rPr>
                <w:rFonts w:ascii="Times New Roman" w:hAnsi="Times New Roman"/>
                <w:sz w:val="20"/>
              </w:rPr>
              <w:t>0.5142</w:t>
            </w:r>
          </w:p>
        </w:tc>
        <w:tc>
          <w:tcPr>
            <w:tcW w:type="dxa" w:w="1512"/>
          </w:tcPr>
          <w:p>
            <w:pPr>
              <w:spacing w:before="40" w:after="40" w:line="240" w:lineRule="auto"/>
            </w:pPr>
            <w:r>
              <w:rPr>
                <w:rFonts w:ascii="Times New Roman" w:hAnsi="Times New Roman"/>
                <w:sz w:val="20"/>
              </w:rPr>
              <w:t>332</w:t>
            </w:r>
          </w:p>
        </w:tc>
        <w:tc>
          <w:tcPr>
            <w:tcW w:type="dxa" w:w="1512"/>
          </w:tcPr>
          <w:p>
            <w:pPr>
              <w:spacing w:before="40" w:after="40" w:line="240" w:lineRule="auto"/>
            </w:pPr>
            <w:r>
              <w:rPr>
                <w:rFonts w:ascii="Times New Roman" w:hAnsi="Times New Roman"/>
                <w:sz w:val="20"/>
              </w:rPr>
              <w:t>0.521</w:t>
            </w:r>
          </w:p>
        </w:tc>
      </w:tr>
    </w:tbl>
    <w:p/>
    <w:p>
      <w:pPr>
        <w:spacing w:before="240" w:after="80" w:line="240" w:lineRule="auto"/>
        <w:jc w:val="left"/>
      </w:pPr>
      <w:r>
        <w:rPr>
          <w:rFonts w:ascii="Times New Roman" w:hAnsi="Times New Roman"/>
          <w:b/>
          <w:i w:val="0"/>
          <w:sz w:val="24"/>
        </w:rPr>
        <w:t>Figure Captions</w:t>
      </w:r>
    </w:p>
    <w:p>
      <w:pPr>
        <w:spacing w:before="60" w:after="200" w:line="240" w:lineRule="auto"/>
        <w:jc w:val="left"/>
      </w:pPr>
      <w:r>
        <w:rPr>
          <w:rFonts w:ascii="Times New Roman" w:hAnsi="Times New Roman"/>
          <w:b/>
          <w:i w:val="0"/>
          <w:sz w:val="22"/>
        </w:rPr>
        <w:t xml:space="preserve">Fig. 1  </w:t>
      </w:r>
      <w:r>
        <w:rPr>
          <w:rFonts w:ascii="Times New Roman" w:hAnsi="Times New Roman"/>
          <w:b w:val="0"/>
          <w:i/>
          <w:sz w:val="22"/>
        </w:rPr>
        <w:t>(a) Confusion matrix for the three-class disease classification on the 90-sample independent test set; diagonal values show 30/30 correct predictions for each class. (b) ROC curves for all three disease classes (One-vs-Rest); AUC = 1.00 for each class.</w:t>
      </w:r>
    </w:p>
    <w:p>
      <w:pPr>
        <w:spacing w:before="60" w:after="200" w:line="240" w:lineRule="auto"/>
        <w:jc w:val="left"/>
      </w:pPr>
      <w:r>
        <w:rPr>
          <w:rFonts w:ascii="Times New Roman" w:hAnsi="Times New Roman"/>
          <w:b/>
          <w:i w:val="0"/>
          <w:sz w:val="22"/>
        </w:rPr>
        <w:t xml:space="preserve">Fig. 2  </w:t>
      </w:r>
      <w:r>
        <w:rPr>
          <w:rFonts w:ascii="Times New Roman" w:hAnsi="Times New Roman"/>
          <w:b w:val="0"/>
          <w:i/>
          <w:sz w:val="22"/>
        </w:rPr>
        <w:t>AgroScan system architecture. Input: 9-band, 12-timestep multispectral sequences. Backbone: three ConvLSTM2D layers. Dual heads: (left) classification (GlobalAveragePooling + Dense softmax); (right) segmentation (1×1 Conv sigmoid). Downstream: spray mask → path planning → GPS waypoints.</w:t>
      </w:r>
    </w:p>
    <w:p>
      <w:pPr>
        <w:spacing w:before="60" w:after="200" w:line="240" w:lineRule="auto"/>
        <w:jc w:val="left"/>
      </w:pPr>
      <w:r>
        <w:rPr>
          <w:rFonts w:ascii="Times New Roman" w:hAnsi="Times New Roman"/>
          <w:b/>
          <w:i w:val="0"/>
          <w:sz w:val="22"/>
        </w:rPr>
        <w:t xml:space="preserve">Fig. 3  </w:t>
      </w:r>
      <w:r>
        <w:rPr>
          <w:rFonts w:ascii="Times New Roman" w:hAnsi="Times New Roman"/>
          <w:b w:val="0"/>
          <w:i/>
          <w:sz w:val="22"/>
        </w:rPr>
        <w:t>Farm-level inference output (seed = 42). (a) 4×4 disease classification grid with per-plot predicted class and confidence. (b) 256×256 disease probability heatmap with binary spray mask overlay and MST-guided A* treatment route. (c) GPS map (OpenStreetMap base, Thanjavur reference boundary) showing disease zone centres and spray waypoints coloured by disease type.</w:t>
      </w:r>
    </w:p>
    <w:p>
      <w:pPr>
        <w:spacing w:before="60" w:after="200" w:line="240" w:lineRule="auto"/>
        <w:jc w:val="left"/>
      </w:pPr>
      <w:r>
        <w:rPr>
          <w:rFonts w:ascii="Times New Roman" w:hAnsi="Times New Roman"/>
          <w:b/>
          <w:i w:val="0"/>
          <w:sz w:val="22"/>
        </w:rPr>
        <w:t xml:space="preserve">Fig. 4  </w:t>
      </w:r>
      <w:r>
        <w:rPr>
          <w:rFonts w:ascii="Times New Roman" w:hAnsi="Times New Roman"/>
          <w:b w:val="0"/>
          <w:i/>
          <w:sz w:val="22"/>
        </w:rPr>
        <w:t>Side-by-side comparison of all five path planning algorithm routes on the same farm (seed = 42). The best algorithm (highest efficiency) is highlighted with a thicker line.</w:t>
      </w:r>
    </w:p>
    <w:p>
      <w:r>
        <w:br w:type="page"/>
      </w:r>
    </w:p>
    <w:p>
      <w:pPr>
        <w:spacing w:before="0" w:after="120" w:line="240" w:lineRule="auto"/>
        <w:jc w:val="left"/>
      </w:pPr>
      <w:r>
        <w:rPr>
          <w:rFonts w:ascii="Times New Roman" w:hAnsi="Times New Roman"/>
          <w:b/>
          <w:i w:val="0"/>
          <w:sz w:val="24"/>
        </w:rPr>
        <w:t>Declarations</w:t>
      </w:r>
    </w:p>
    <w:p>
      <w:pPr>
        <w:spacing w:before="80" w:after="80" w:line="240" w:lineRule="auto"/>
        <w:ind w:firstLine="0"/>
        <w:jc w:val="both"/>
      </w:pPr>
      <w:r>
        <w:rPr>
          <w:rFonts w:ascii="Times New Roman" w:hAnsi="Times New Roman"/>
          <w:b/>
          <w:i w:val="0"/>
          <w:sz w:val="24"/>
        </w:rPr>
        <w:t xml:space="preserve">Conflict of interest: </w:t>
      </w:r>
      <w:r>
        <w:rPr>
          <w:rFonts w:ascii="Times New Roman" w:hAnsi="Times New Roman"/>
          <w:b w:val="0"/>
          <w:i w:val="0"/>
          <w:sz w:val="24"/>
        </w:rPr>
        <w:t>The authors declare no conflicts of interest.</w:t>
      </w:r>
    </w:p>
    <w:p>
      <w:pPr>
        <w:spacing w:before="80" w:after="80" w:line="240" w:lineRule="auto"/>
        <w:ind w:firstLine="0"/>
        <w:jc w:val="both"/>
      </w:pPr>
      <w:r>
        <w:rPr>
          <w:rFonts w:ascii="Times New Roman" w:hAnsi="Times New Roman"/>
          <w:b/>
          <w:i w:val="0"/>
          <w:sz w:val="24"/>
        </w:rPr>
        <w:t xml:space="preserve">Ethical approval: </w:t>
      </w:r>
      <w:r>
        <w:rPr>
          <w:rFonts w:ascii="Times New Roman" w:hAnsi="Times New Roman"/>
          <w:b w:val="0"/>
          <w:i w:val="0"/>
          <w:sz w:val="24"/>
        </w:rPr>
        <w:t>Not applicable. No human participants, animal subjects, or field plant material were used. All data were computationally generated.</w:t>
      </w:r>
    </w:p>
    <w:p>
      <w:pPr>
        <w:spacing w:before="80" w:after="80" w:line="240" w:lineRule="auto"/>
        <w:ind w:firstLine="0"/>
        <w:jc w:val="both"/>
      </w:pPr>
      <w:r>
        <w:rPr>
          <w:rFonts w:ascii="Times New Roman" w:hAnsi="Times New Roman"/>
          <w:b/>
          <w:i w:val="0"/>
          <w:sz w:val="24"/>
        </w:rPr>
        <w:t xml:space="preserve">Data availability: </w:t>
      </w:r>
      <w:r>
        <w:rPr>
          <w:rFonts w:ascii="Times New Roman" w:hAnsi="Times New Roman"/>
          <w:b w:val="0"/>
          <w:i w:val="0"/>
          <w:sz w:val="24"/>
        </w:rPr>
        <w:t>The simulation code, trained model weights, and dashboard application are available at [https://github.com/yourusername/agroscan]. The synthetic dataset is fully reproducible by running train.py with the provided random seed.</w:t>
      </w:r>
    </w:p>
    <w:p>
      <w:pPr>
        <w:spacing w:before="80" w:after="80" w:line="240" w:lineRule="auto"/>
        <w:ind w:firstLine="0"/>
        <w:jc w:val="both"/>
      </w:pPr>
      <w:r>
        <w:rPr>
          <w:rFonts w:ascii="Times New Roman" w:hAnsi="Times New Roman"/>
          <w:b/>
          <w:i w:val="0"/>
          <w:sz w:val="24"/>
        </w:rPr>
        <w:t xml:space="preserve">Author contributions: </w:t>
      </w:r>
      <w:r>
        <w:rPr>
          <w:rFonts w:ascii="Times New Roman" w:hAnsi="Times New Roman"/>
          <w:b w:val="0"/>
          <w:i w:val="0"/>
          <w:sz w:val="24"/>
        </w:rPr>
        <w:t>Jumana B: conceptualisation, software development, formal analysis, writing (original draft). Krithika J: methodology, validation, writing (review and editing). Dr. Veeramani Sonai: supervision, project administration, writing (review).</w:t>
      </w:r>
    </w:p>
    <w:p>
      <w:pPr>
        <w:spacing w:before="80" w:after="80" w:line="240" w:lineRule="auto"/>
        <w:ind w:firstLine="0"/>
        <w:jc w:val="both"/>
      </w:pPr>
      <w:r>
        <w:rPr>
          <w:rFonts w:ascii="Times New Roman" w:hAnsi="Times New Roman"/>
          <w:b/>
          <w:i w:val="0"/>
          <w:sz w:val="24"/>
        </w:rPr>
        <w:t xml:space="preserve">Acknowledgements: </w:t>
      </w:r>
      <w:r>
        <w:rPr>
          <w:rFonts w:ascii="Times New Roman" w:hAnsi="Times New Roman"/>
          <w:b w:val="0"/>
          <w:i w:val="0"/>
          <w:sz w:val="24"/>
        </w:rPr>
        <w:t>The authors thank Dr. Veeramani Sonai for guidance and support throughout this project.</w:t>
      </w:r>
    </w:p>
    <w:p>
      <w:pPr>
        <w:spacing w:before="80" w:after="80" w:line="240" w:lineRule="auto"/>
        <w:ind w:firstLine="0"/>
        <w:jc w:val="both"/>
      </w:pPr>
      <w:r>
        <w:rPr>
          <w:rFonts w:ascii="Times New Roman" w:hAnsi="Times New Roman"/>
          <w:b/>
          <w:i w:val="0"/>
          <w:sz w:val="24"/>
        </w:rPr>
        <w:t xml:space="preserve">Funding: </w:t>
      </w:r>
      <w:r>
        <w:rPr>
          <w:rFonts w:ascii="Times New Roman" w:hAnsi="Times New Roman"/>
          <w:b w:val="0"/>
          <w:i w:val="0"/>
          <w:sz w:val="24"/>
        </w:rPr>
        <w:t>This research received no specific grant from any funding agency.</w:t>
      </w:r>
    </w:p>
    <w:p/>
    <w:p>
      <w:pPr>
        <w:spacing w:before="240" w:after="120" w:line="240" w:lineRule="auto"/>
        <w:jc w:val="left"/>
      </w:pPr>
      <w:r>
        <w:rPr>
          <w:rFonts w:ascii="Times New Roman" w:hAnsi="Times New Roman"/>
          <w:b/>
          <w:i w:val="0"/>
          <w:sz w:val="24"/>
        </w:rPr>
        <w:t>References</w:t>
      </w:r>
    </w:p>
    <w:p>
      <w:pPr>
        <w:spacing w:before="0" w:after="80" w:line="240" w:lineRule="auto"/>
        <w:ind w:hanging="425" w:left="425"/>
        <w:jc w:val="both"/>
      </w:pPr>
      <w:r>
        <w:rPr>
          <w:rFonts w:ascii="Times New Roman" w:hAnsi="Times New Roman"/>
          <w:b w:val="0"/>
          <w:i w:val="0"/>
          <w:sz w:val="20"/>
        </w:rPr>
        <w:t>Barbedo JGA (2019) Plant disease identification from individual lesions and spots using deep learning. Biosyst Eng 180:96–107. https://doi.org/10.1016/j.biosystemseng.2019.02.002</w:t>
      </w:r>
    </w:p>
    <w:p>
      <w:pPr>
        <w:spacing w:before="0" w:after="80" w:line="240" w:lineRule="auto"/>
        <w:ind w:hanging="425" w:left="425"/>
        <w:jc w:val="both"/>
      </w:pPr>
      <w:r>
        <w:rPr>
          <w:rFonts w:ascii="Times New Roman" w:hAnsi="Times New Roman"/>
          <w:b w:val="0"/>
          <w:i w:val="0"/>
          <w:sz w:val="20"/>
        </w:rPr>
        <w:t>Bock CH, Poole GH, Parker PE, Gottwald TR (2010) Plant disease severity estimated visually, by digital photography and image analysis, and by hyperspectral imaging. Crit Rev Plant Sci 29:59–107</w:t>
      </w:r>
    </w:p>
    <w:p>
      <w:pPr>
        <w:spacing w:before="0" w:after="80" w:line="240" w:lineRule="auto"/>
        <w:ind w:hanging="425" w:left="425"/>
        <w:jc w:val="both"/>
      </w:pPr>
      <w:r>
        <w:rPr>
          <w:rFonts w:ascii="Times New Roman" w:hAnsi="Times New Roman"/>
          <w:b w:val="0"/>
          <w:i w:val="0"/>
          <w:sz w:val="20"/>
        </w:rPr>
        <w:t>Cormen TH, Leiserson CE, Rivest RL, Stein C (2009) Introduction to Algorithms, 3rd edn. MIT Press, Cambridge, MA</w:t>
      </w:r>
    </w:p>
    <w:p>
      <w:pPr>
        <w:spacing w:before="0" w:after="80" w:line="240" w:lineRule="auto"/>
        <w:ind w:hanging="425" w:left="425"/>
        <w:jc w:val="both"/>
      </w:pPr>
      <w:r>
        <w:rPr>
          <w:rFonts w:ascii="Times New Roman" w:hAnsi="Times New Roman"/>
          <w:b w:val="0"/>
          <w:i w:val="0"/>
          <w:sz w:val="20"/>
        </w:rPr>
        <w:t>Dijkstra EW (1959) A note on two problems in connexion with graphs. Numer Math 1:269–271</w:t>
      </w:r>
    </w:p>
    <w:p>
      <w:pPr>
        <w:spacing w:before="0" w:after="80" w:line="240" w:lineRule="auto"/>
        <w:ind w:hanging="425" w:left="425"/>
        <w:jc w:val="both"/>
      </w:pPr>
      <w:r>
        <w:rPr>
          <w:rFonts w:ascii="Times New Roman" w:hAnsi="Times New Roman"/>
          <w:b w:val="0"/>
          <w:i w:val="0"/>
          <w:sz w:val="20"/>
        </w:rPr>
        <w:t>Drusch M, Del Bello U, Carlier S et al (2012) Sentinel-2: ESA's optical high-resolution mission for GMES operational services. Remote Sens Environ 120:25–36</w:t>
      </w:r>
    </w:p>
    <w:p>
      <w:pPr>
        <w:spacing w:before="0" w:after="80" w:line="240" w:lineRule="auto"/>
        <w:ind w:hanging="425" w:left="425"/>
        <w:jc w:val="both"/>
      </w:pPr>
      <w:r>
        <w:rPr>
          <w:rFonts w:ascii="Times New Roman" w:hAnsi="Times New Roman"/>
          <w:b w:val="0"/>
          <w:i w:val="0"/>
          <w:sz w:val="20"/>
        </w:rPr>
        <w:t>FAO (2021) The State of Food and Agriculture 2021. Food and Agriculture Organisation of the United Nations, Rome</w:t>
      </w:r>
    </w:p>
    <w:p>
      <w:pPr>
        <w:spacing w:before="0" w:after="80" w:line="240" w:lineRule="auto"/>
        <w:ind w:hanging="425" w:left="425"/>
        <w:jc w:val="both"/>
      </w:pPr>
      <w:r>
        <w:rPr>
          <w:rFonts w:ascii="Times New Roman" w:hAnsi="Times New Roman"/>
          <w:b w:val="0"/>
          <w:i w:val="0"/>
          <w:sz w:val="20"/>
        </w:rPr>
        <w:t>Ganin Y, Lempitsky V (2015) Unsupervised domain adaptation by backpropagation. Proc 32nd Int Conf Mach Learn (ICML), PMLR 37:1180–1189</w:t>
      </w:r>
    </w:p>
    <w:p>
      <w:pPr>
        <w:spacing w:before="0" w:after="80" w:line="240" w:lineRule="auto"/>
        <w:ind w:hanging="425" w:left="425"/>
        <w:jc w:val="both"/>
      </w:pPr>
      <w:r>
        <w:rPr>
          <w:rFonts w:ascii="Times New Roman" w:hAnsi="Times New Roman"/>
          <w:b w:val="0"/>
          <w:i w:val="0"/>
          <w:sz w:val="20"/>
        </w:rPr>
        <w:t>Gao B-C (1996) NDWI — a normalized difference water index for remote sensing of vegetation liquid water from space. Remote Sens Environ 58:257–266</w:t>
      </w:r>
    </w:p>
    <w:p>
      <w:pPr>
        <w:spacing w:before="0" w:after="80" w:line="240" w:lineRule="auto"/>
        <w:ind w:hanging="425" w:left="425"/>
        <w:jc w:val="both"/>
      </w:pPr>
      <w:r>
        <w:rPr>
          <w:rFonts w:ascii="Times New Roman" w:hAnsi="Times New Roman"/>
          <w:b w:val="0"/>
          <w:i w:val="0"/>
          <w:sz w:val="20"/>
        </w:rPr>
        <w:t>Hart PE, Nilsson NJ, Raphael B (1968) A formal basis for the heuristic determination of minimum cost paths. IEEE Trans Syst Sci Cybern 4:100–107</w:t>
      </w:r>
    </w:p>
    <w:p>
      <w:pPr>
        <w:spacing w:before="0" w:after="80" w:line="240" w:lineRule="auto"/>
        <w:ind w:hanging="425" w:left="425"/>
        <w:jc w:val="both"/>
      </w:pPr>
      <w:r>
        <w:rPr>
          <w:rFonts w:ascii="Times New Roman" w:hAnsi="Times New Roman"/>
          <w:b w:val="0"/>
          <w:i w:val="0"/>
          <w:sz w:val="20"/>
        </w:rPr>
        <w:t>Hochreiter S, Schmidhuber J (1997) Long short-term memory. Neural Comput 9:1735–1780</w:t>
      </w:r>
    </w:p>
    <w:p>
      <w:pPr>
        <w:spacing w:before="0" w:after="80" w:line="240" w:lineRule="auto"/>
        <w:ind w:hanging="425" w:left="425"/>
        <w:jc w:val="both"/>
      </w:pPr>
      <w:r>
        <w:rPr>
          <w:rFonts w:ascii="Times New Roman" w:hAnsi="Times New Roman"/>
          <w:b w:val="0"/>
          <w:i w:val="0"/>
          <w:sz w:val="20"/>
        </w:rPr>
        <w:t>Hunt ER, Rock BN (1989) Detection of changes in leaf water content using Near- and Middle-Infrared reflectances. Remote Sens Environ 30:43–54</w:t>
      </w:r>
    </w:p>
    <w:p>
      <w:pPr>
        <w:spacing w:before="0" w:after="80" w:line="240" w:lineRule="auto"/>
        <w:ind w:hanging="425" w:left="425"/>
        <w:jc w:val="both"/>
      </w:pPr>
      <w:r>
        <w:rPr>
          <w:rFonts w:ascii="Times New Roman" w:hAnsi="Times New Roman"/>
          <w:b w:val="0"/>
          <w:i w:val="0"/>
          <w:sz w:val="20"/>
        </w:rPr>
        <w:t>Ioffe S, Szegedy C (2015) Batch normalization: accelerating deep network training by reducing internal covariate shift. Proc 32nd Int Conf Mach Learn, PMLR 37:448–456</w:t>
      </w:r>
    </w:p>
    <w:p>
      <w:pPr>
        <w:spacing w:before="0" w:after="80" w:line="240" w:lineRule="auto"/>
        <w:ind w:hanging="425" w:left="425"/>
        <w:jc w:val="both"/>
      </w:pPr>
      <w:r>
        <w:rPr>
          <w:rFonts w:ascii="Times New Roman" w:hAnsi="Times New Roman"/>
          <w:b w:val="0"/>
          <w:i w:val="0"/>
          <w:sz w:val="20"/>
        </w:rPr>
        <w:t>Jin J, Tang L (2010) Coverage path planning on three-dimensional terrain for arable farming. J Field Robot 28:424–440</w:t>
      </w:r>
    </w:p>
    <w:p>
      <w:pPr>
        <w:spacing w:before="0" w:after="80" w:line="240" w:lineRule="auto"/>
        <w:ind w:hanging="425" w:left="425"/>
        <w:jc w:val="both"/>
      </w:pPr>
      <w:r>
        <w:rPr>
          <w:rFonts w:ascii="Times New Roman" w:hAnsi="Times New Roman"/>
          <w:b w:val="0"/>
          <w:i w:val="0"/>
          <w:sz w:val="20"/>
        </w:rPr>
        <w:t>Kendall A, Gal Y, Cipolla R (2018) Multi-task learning using uncertainty to weigh losses for scene geometry and semantics. Proc IEEE/CVF CVPR:7482–7491</w:t>
      </w:r>
    </w:p>
    <w:p>
      <w:pPr>
        <w:spacing w:before="0" w:after="80" w:line="240" w:lineRule="auto"/>
        <w:ind w:hanging="425" w:left="425"/>
        <w:jc w:val="both"/>
      </w:pPr>
      <w:r>
        <w:rPr>
          <w:rFonts w:ascii="Times New Roman" w:hAnsi="Times New Roman"/>
          <w:b w:val="0"/>
          <w:i w:val="0"/>
          <w:sz w:val="20"/>
        </w:rPr>
        <w:t>Kingma DP, Ba J (2015) Adam: a method for stochastic optimization. Proc 3rd Int Conf Learn Represent (ICLR)</w:t>
      </w:r>
    </w:p>
    <w:p>
      <w:pPr>
        <w:spacing w:before="0" w:after="80" w:line="240" w:lineRule="auto"/>
        <w:ind w:hanging="425" w:left="425"/>
        <w:jc w:val="both"/>
      </w:pPr>
      <w:r>
        <w:rPr>
          <w:rFonts w:ascii="Times New Roman" w:hAnsi="Times New Roman"/>
          <w:b w:val="0"/>
          <w:i w:val="0"/>
          <w:sz w:val="20"/>
        </w:rPr>
        <w:t>Long J, Shelhamer E, Darrell T (2015) Fully convolutional networks for semantic segmentation. Proc IEEE/CVF CVPR:3431–3440</w:t>
      </w:r>
    </w:p>
    <w:p>
      <w:pPr>
        <w:spacing w:before="0" w:after="80" w:line="240" w:lineRule="auto"/>
        <w:ind w:hanging="425" w:left="425"/>
        <w:jc w:val="both"/>
      </w:pPr>
      <w:r>
        <w:rPr>
          <w:rFonts w:ascii="Times New Roman" w:hAnsi="Times New Roman"/>
          <w:b w:val="0"/>
          <w:i w:val="0"/>
          <w:sz w:val="20"/>
        </w:rPr>
        <w:t>Mahlein A-K (2016) Plant disease detection by imaging sensors — parallels and specific demands for precision agriculture and plant phenotyping. Plant Dis 100:241–251</w:t>
      </w:r>
    </w:p>
    <w:p>
      <w:pPr>
        <w:spacing w:before="0" w:after="80" w:line="240" w:lineRule="auto"/>
        <w:ind w:hanging="425" w:left="425"/>
        <w:jc w:val="both"/>
      </w:pPr>
      <w:r>
        <w:rPr>
          <w:rFonts w:ascii="Times New Roman" w:hAnsi="Times New Roman"/>
          <w:b w:val="0"/>
          <w:i w:val="0"/>
          <w:sz w:val="20"/>
        </w:rPr>
        <w:t>Mahlein A-K, Rumpf T, Welke P et al (2013) Development of spectral indices for detecting and identifying plant diseases. Remote Sens Environ 128:21–31</w:t>
      </w:r>
    </w:p>
    <w:p>
      <w:pPr>
        <w:spacing w:before="0" w:after="80" w:line="240" w:lineRule="auto"/>
        <w:ind w:hanging="425" w:left="425"/>
        <w:jc w:val="both"/>
      </w:pPr>
      <w:r>
        <w:rPr>
          <w:rFonts w:ascii="Times New Roman" w:hAnsi="Times New Roman"/>
          <w:b w:val="0"/>
          <w:i w:val="0"/>
          <w:sz w:val="20"/>
        </w:rPr>
        <w:t>Mohanty SP, Hughes DP, Salathé M (2016) Using deep learning for image-based plant disease detection. Front Plant Sci 7:1419. https://doi.org/10.3389/fpls.2016.01419</w:t>
      </w:r>
    </w:p>
    <w:p>
      <w:pPr>
        <w:spacing w:before="0" w:after="80" w:line="240" w:lineRule="auto"/>
        <w:ind w:hanging="425" w:left="425"/>
        <w:jc w:val="both"/>
      </w:pPr>
      <w:r>
        <w:rPr>
          <w:rFonts w:ascii="Times New Roman" w:hAnsi="Times New Roman"/>
          <w:b w:val="0"/>
          <w:i w:val="0"/>
          <w:sz w:val="20"/>
        </w:rPr>
        <w:t>Oerke EC (2006) Crop losses to pests. J Agric Sci 144:31–43</w:t>
      </w:r>
    </w:p>
    <w:p>
      <w:pPr>
        <w:spacing w:before="0" w:after="80" w:line="240" w:lineRule="auto"/>
        <w:ind w:hanging="425" w:left="425"/>
        <w:jc w:val="both"/>
      </w:pPr>
      <w:r>
        <w:rPr>
          <w:rFonts w:ascii="Times New Roman" w:hAnsi="Times New Roman"/>
          <w:b w:val="0"/>
          <w:i w:val="0"/>
          <w:sz w:val="20"/>
        </w:rPr>
        <w:t>Ronneberger O, Fischer P, Brox T (2015) U-Net: convolutional networks for biomedical image segmentation. Proc 18th Int Conf Med Image Comput Comput Assist Interv (MICCAI), LNCS 9351:234–241</w:t>
      </w:r>
    </w:p>
    <w:p>
      <w:pPr>
        <w:spacing w:before="0" w:after="80" w:line="240" w:lineRule="auto"/>
        <w:ind w:hanging="425" w:left="425"/>
        <w:jc w:val="both"/>
      </w:pPr>
      <w:r>
        <w:rPr>
          <w:rFonts w:ascii="Times New Roman" w:hAnsi="Times New Roman"/>
          <w:b w:val="0"/>
          <w:i w:val="0"/>
          <w:sz w:val="20"/>
        </w:rPr>
        <w:t>Russwurm M, Korner M (2018) Multi-temporal land cover classification with sequential recurrent encoders. ISPRS Int J Geo-Inf 7:129</w:t>
      </w:r>
    </w:p>
    <w:p>
      <w:pPr>
        <w:spacing w:before="0" w:after="80" w:line="240" w:lineRule="auto"/>
        <w:ind w:hanging="425" w:left="425"/>
        <w:jc w:val="both"/>
      </w:pPr>
      <w:r>
        <w:rPr>
          <w:rFonts w:ascii="Times New Roman" w:hAnsi="Times New Roman"/>
          <w:b w:val="0"/>
          <w:i w:val="0"/>
          <w:sz w:val="20"/>
        </w:rPr>
        <w:t>Shi X, Chen Z, Wang H et al (2015) Convolutional LSTM network: a machine learning approach for precipitation nowcasting. Adv Neural Inf Process Syst 28:802–810</w:t>
      </w:r>
    </w:p>
    <w:p>
      <w:pPr>
        <w:spacing w:before="0" w:after="80" w:line="240" w:lineRule="auto"/>
        <w:ind w:hanging="425" w:left="425"/>
        <w:jc w:val="both"/>
      </w:pPr>
      <w:r>
        <w:rPr>
          <w:rFonts w:ascii="Times New Roman" w:hAnsi="Times New Roman"/>
          <w:b w:val="0"/>
          <w:i w:val="0"/>
          <w:sz w:val="20"/>
        </w:rPr>
        <w:t>Strange RN, Scott PR (2005) Plant disease: a threat to global food security. Annu Rev Phytopathol 43:83–116</w:t>
      </w:r>
    </w:p>
    <w:p>
      <w:pPr>
        <w:spacing w:before="0" w:after="80" w:line="240" w:lineRule="auto"/>
        <w:ind w:hanging="425" w:left="425"/>
        <w:jc w:val="both"/>
      </w:pPr>
      <w:r>
        <w:rPr>
          <w:rFonts w:ascii="Times New Roman" w:hAnsi="Times New Roman"/>
          <w:b w:val="0"/>
          <w:i w:val="0"/>
          <w:sz w:val="20"/>
        </w:rPr>
        <w:t>Vaswani A, Shazeer N, Parmar N et al (2017) Attention is all you need. Adv Neural Inf Process Syst 30:5998–6008</w:t>
      </w:r>
    </w:p>
    <w:p>
      <w:pPr>
        <w:spacing w:before="0" w:after="80" w:line="240" w:lineRule="auto"/>
        <w:ind w:hanging="425" w:left="425"/>
        <w:jc w:val="both"/>
      </w:pPr>
      <w:r>
        <w:rPr>
          <w:rFonts w:ascii="Times New Roman" w:hAnsi="Times New Roman"/>
          <w:b w:val="0"/>
          <w:i w:val="0"/>
          <w:sz w:val="20"/>
        </w:rPr>
        <w:t>Xie Q, Dash J, Huang W et al (2018) Vegetation indices combining the red and red-edge spectral information for leaf area index retrieval. IEEE J Sel Top Appl Earth Obs Remote Sens 11:1482–1493</w:t>
      </w:r>
    </w:p>
    <w:p>
      <w:pPr>
        <w:spacing w:before="0" w:after="80" w:line="240" w:lineRule="auto"/>
        <w:ind w:hanging="425" w:left="425"/>
        <w:jc w:val="both"/>
      </w:pPr>
      <w:r>
        <w:rPr>
          <w:rFonts w:ascii="Times New Roman" w:hAnsi="Times New Roman"/>
          <w:b w:val="0"/>
          <w:i w:val="0"/>
          <w:sz w:val="20"/>
        </w:rPr>
        <w:t>Zarco-Tejada PJ, González-Dugo V, Berni JAJ (2012) Fluorescence, temperature and narrow-band indices acquired from a UAV platform for water stress detection. Remote Sens Environ 117:322–337</w:t>
      </w:r>
    </w:p>
    <w:p>
      <w:pPr>
        <w:spacing w:before="0" w:after="80" w:line="240" w:lineRule="auto"/>
        <w:ind w:hanging="425" w:left="425"/>
        <w:jc w:val="both"/>
      </w:pPr>
      <w:r>
        <w:rPr>
          <w:rFonts w:ascii="Times New Roman" w:hAnsi="Times New Roman"/>
          <w:b w:val="0"/>
          <w:i w:val="0"/>
          <w:sz w:val="20"/>
        </w:rPr>
        <w:t>Zhong L, Hu L, Zhou H (2019) Deep learning based multi-temporal crop classification. Remote Sens Environ 221:430–443</w:t>
      </w:r>
    </w:p>
    <w:sectPr w:rsidR="00FC693F" w:rsidRPr="0006063C" w:rsidSect="00034616">
      <w:pgSz w:w="11906" w:h="16838"/>
      <w:pgMar w:top="1417" w:right="1417" w:bottom="1417" w:left="1417" w:header="720" w:footer="720" w:gutter="0"/>
      <w:cols w:space="720"/>
      <w:docGrid w:linePitch="360"/>
      <w:lnNumType w:countBy="1" w:restart="newPag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