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*All activities are optional suggestions*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Write down Spanish words and have the students spell them using English letter names.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Monday teachers, start your first class by saying “Hi, my name is X. What is your name?”, with appropriate gestures if necessary, and let the students figure out how to respond. You can make name tags for the students before you do this and ask them, “What is her name? What is his name?” until they get it. This can be either fun or intimidating for the students, so use your judgment.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Vary up the example conversations used in the text by saying things in a different order, or teach the students synonyms by using different equivalent words at the same spot in the conversation.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Before each lesson, explain the topic and ask what words the students already know for it.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Discuss the day’s topic in Spanish as an icebreaker.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After they learn numbers and days of the week, go over basic words for time (5:00, 8:00, etc or simply morning, afternoon, evening), pair up the students, and have them pretend to schedule a meeting according to when they’re free in real life.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Toward the end of the week, host a low-pressure spelling bee to review vocab they should know well by now, like “hello”, “what”, and “name”. Again, this could be intimidating so use your judgment.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Tell a story in English using mostly words they already know, but with some new vocabulary thrown into the mix, and ask them to tell you the gist of what was going on. We might not have the vocab for this yet, but you can try to be creative.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Bring in any text and ask the students to pick out words they know—”what”, “is”, number words, etc.</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Ask the students if they have any words they want to learn for their own jobs or lives, and ask them if they’ve learned any English words on their own recently.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If students have trouble pronouncing a word, give them a temporary substitute English-speakers will understand, like “terteen” for thirteen, so they can communicate in their real lives. In class you should work on the correct pronunciation.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