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28A4FA56" w14:textId="58D4077B" w:rsidR="00125A11"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6943481" w:history="1">
            <w:r w:rsidR="00125A11" w:rsidRPr="00610766">
              <w:rPr>
                <w:rStyle w:val="Hyperlink"/>
                <w:rFonts w:cs="Times New Roman"/>
                <w:noProof/>
                <w:snapToGrid w:val="0"/>
                <w:w w:val="0"/>
                <w:lang w:val="en-US"/>
              </w:rPr>
              <w:t>1.</w:t>
            </w:r>
            <w:r w:rsidR="00125A11">
              <w:rPr>
                <w:rFonts w:asciiTheme="minorHAnsi" w:eastAsiaTheme="minorEastAsia" w:hAnsiTheme="minorHAnsi"/>
                <w:b w:val="0"/>
                <w:caps w:val="0"/>
                <w:noProof/>
                <w:kern w:val="2"/>
                <w:sz w:val="22"/>
                <w:lang w:val="bg-BG" w:eastAsia="bg-BG"/>
                <w14:ligatures w14:val="standardContextual"/>
              </w:rPr>
              <w:tab/>
            </w:r>
            <w:r w:rsidR="00125A11" w:rsidRPr="00610766">
              <w:rPr>
                <w:rStyle w:val="Hyperlink"/>
                <w:noProof/>
                <w:lang w:val="en-US"/>
              </w:rPr>
              <w:t>Introduction</w:t>
            </w:r>
            <w:r w:rsidR="00125A11">
              <w:rPr>
                <w:noProof/>
                <w:webHidden/>
              </w:rPr>
              <w:tab/>
            </w:r>
            <w:r w:rsidR="00125A11">
              <w:rPr>
                <w:noProof/>
                <w:webHidden/>
              </w:rPr>
              <w:fldChar w:fldCharType="begin"/>
            </w:r>
            <w:r w:rsidR="00125A11">
              <w:rPr>
                <w:noProof/>
                <w:webHidden/>
              </w:rPr>
              <w:instrText xml:space="preserve"> PAGEREF _Toc166943481 \h </w:instrText>
            </w:r>
            <w:r w:rsidR="00125A11">
              <w:rPr>
                <w:noProof/>
                <w:webHidden/>
              </w:rPr>
            </w:r>
            <w:r w:rsidR="00125A11">
              <w:rPr>
                <w:noProof/>
                <w:webHidden/>
              </w:rPr>
              <w:fldChar w:fldCharType="separate"/>
            </w:r>
            <w:r w:rsidR="00125A11">
              <w:rPr>
                <w:noProof/>
                <w:webHidden/>
              </w:rPr>
              <w:t>3</w:t>
            </w:r>
            <w:r w:rsidR="00125A11">
              <w:rPr>
                <w:noProof/>
                <w:webHidden/>
              </w:rPr>
              <w:fldChar w:fldCharType="end"/>
            </w:r>
          </w:hyperlink>
        </w:p>
        <w:p w14:paraId="5C248437" w14:textId="3F632AF1" w:rsidR="00125A11" w:rsidRDefault="00125A11">
          <w:pPr>
            <w:pStyle w:val="TOC1"/>
            <w:rPr>
              <w:rFonts w:asciiTheme="minorHAnsi" w:eastAsiaTheme="minorEastAsia" w:hAnsiTheme="minorHAnsi"/>
              <w:b w:val="0"/>
              <w:caps w:val="0"/>
              <w:noProof/>
              <w:kern w:val="2"/>
              <w:sz w:val="22"/>
              <w:lang w:val="bg-BG" w:eastAsia="bg-BG"/>
              <w14:ligatures w14:val="standardContextual"/>
            </w:rPr>
          </w:pPr>
          <w:hyperlink w:anchor="_Toc166943482" w:history="1">
            <w:r w:rsidRPr="00610766">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610766">
              <w:rPr>
                <w:rStyle w:val="Hyperlink"/>
                <w:noProof/>
                <w:lang w:val="en-US"/>
              </w:rPr>
              <w:t>Main question</w:t>
            </w:r>
            <w:r>
              <w:rPr>
                <w:noProof/>
                <w:webHidden/>
              </w:rPr>
              <w:tab/>
            </w:r>
            <w:r>
              <w:rPr>
                <w:noProof/>
                <w:webHidden/>
              </w:rPr>
              <w:fldChar w:fldCharType="begin"/>
            </w:r>
            <w:r>
              <w:rPr>
                <w:noProof/>
                <w:webHidden/>
              </w:rPr>
              <w:instrText xml:space="preserve"> PAGEREF _Toc166943482 \h </w:instrText>
            </w:r>
            <w:r>
              <w:rPr>
                <w:noProof/>
                <w:webHidden/>
              </w:rPr>
            </w:r>
            <w:r>
              <w:rPr>
                <w:noProof/>
                <w:webHidden/>
              </w:rPr>
              <w:fldChar w:fldCharType="separate"/>
            </w:r>
            <w:r>
              <w:rPr>
                <w:noProof/>
                <w:webHidden/>
              </w:rPr>
              <w:t>3</w:t>
            </w:r>
            <w:r>
              <w:rPr>
                <w:noProof/>
                <w:webHidden/>
              </w:rPr>
              <w:fldChar w:fldCharType="end"/>
            </w:r>
          </w:hyperlink>
        </w:p>
        <w:p w14:paraId="7FF11D0D" w14:textId="7E7E068D" w:rsidR="00125A11" w:rsidRDefault="00125A11">
          <w:pPr>
            <w:pStyle w:val="TOC1"/>
            <w:rPr>
              <w:rFonts w:asciiTheme="minorHAnsi" w:eastAsiaTheme="minorEastAsia" w:hAnsiTheme="minorHAnsi"/>
              <w:b w:val="0"/>
              <w:caps w:val="0"/>
              <w:noProof/>
              <w:kern w:val="2"/>
              <w:sz w:val="22"/>
              <w:lang w:val="bg-BG" w:eastAsia="bg-BG"/>
              <w14:ligatures w14:val="standardContextual"/>
            </w:rPr>
          </w:pPr>
          <w:hyperlink w:anchor="_Toc166943483" w:history="1">
            <w:r w:rsidRPr="00610766">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610766">
              <w:rPr>
                <w:rStyle w:val="Hyperlink"/>
                <w:noProof/>
                <w:lang w:val="en-US"/>
              </w:rPr>
              <w:t>Sub-questions</w:t>
            </w:r>
            <w:r>
              <w:rPr>
                <w:noProof/>
                <w:webHidden/>
              </w:rPr>
              <w:tab/>
            </w:r>
            <w:r>
              <w:rPr>
                <w:noProof/>
                <w:webHidden/>
              </w:rPr>
              <w:fldChar w:fldCharType="begin"/>
            </w:r>
            <w:r>
              <w:rPr>
                <w:noProof/>
                <w:webHidden/>
              </w:rPr>
              <w:instrText xml:space="preserve"> PAGEREF _Toc166943483 \h </w:instrText>
            </w:r>
            <w:r>
              <w:rPr>
                <w:noProof/>
                <w:webHidden/>
              </w:rPr>
            </w:r>
            <w:r>
              <w:rPr>
                <w:noProof/>
                <w:webHidden/>
              </w:rPr>
              <w:fldChar w:fldCharType="separate"/>
            </w:r>
            <w:r>
              <w:rPr>
                <w:noProof/>
                <w:webHidden/>
              </w:rPr>
              <w:t>3</w:t>
            </w:r>
            <w:r>
              <w:rPr>
                <w:noProof/>
                <w:webHidden/>
              </w:rPr>
              <w:fldChar w:fldCharType="end"/>
            </w:r>
          </w:hyperlink>
        </w:p>
        <w:p w14:paraId="5FF46B37" w14:textId="1DE0A422" w:rsidR="00125A11" w:rsidRDefault="00125A11">
          <w:pPr>
            <w:pStyle w:val="TOC1"/>
            <w:rPr>
              <w:rFonts w:asciiTheme="minorHAnsi" w:eastAsiaTheme="minorEastAsia" w:hAnsiTheme="minorHAnsi"/>
              <w:b w:val="0"/>
              <w:caps w:val="0"/>
              <w:noProof/>
              <w:kern w:val="2"/>
              <w:sz w:val="22"/>
              <w:lang w:val="bg-BG" w:eastAsia="bg-BG"/>
              <w14:ligatures w14:val="standardContextual"/>
            </w:rPr>
          </w:pPr>
          <w:hyperlink w:anchor="_Toc166943484" w:history="1">
            <w:r w:rsidRPr="00610766">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610766">
              <w:rPr>
                <w:rStyle w:val="Hyperlink"/>
                <w:noProof/>
                <w:lang w:val="en-US"/>
              </w:rPr>
              <w:t>Conclusion</w:t>
            </w:r>
            <w:r>
              <w:rPr>
                <w:noProof/>
                <w:webHidden/>
              </w:rPr>
              <w:tab/>
            </w:r>
            <w:r>
              <w:rPr>
                <w:noProof/>
                <w:webHidden/>
              </w:rPr>
              <w:fldChar w:fldCharType="begin"/>
            </w:r>
            <w:r>
              <w:rPr>
                <w:noProof/>
                <w:webHidden/>
              </w:rPr>
              <w:instrText xml:space="preserve"> PAGEREF _Toc166943484 \h </w:instrText>
            </w:r>
            <w:r>
              <w:rPr>
                <w:noProof/>
                <w:webHidden/>
              </w:rPr>
            </w:r>
            <w:r>
              <w:rPr>
                <w:noProof/>
                <w:webHidden/>
              </w:rPr>
              <w:fldChar w:fldCharType="separate"/>
            </w:r>
            <w:r>
              <w:rPr>
                <w:noProof/>
                <w:webHidden/>
              </w:rPr>
              <w:t>8</w:t>
            </w:r>
            <w:r>
              <w:rPr>
                <w:noProof/>
                <w:webHidden/>
              </w:rPr>
              <w:fldChar w:fldCharType="end"/>
            </w:r>
          </w:hyperlink>
        </w:p>
        <w:p w14:paraId="3EC2019C" w14:textId="1720B25E" w:rsidR="00125A11" w:rsidRDefault="00125A11">
          <w:pPr>
            <w:pStyle w:val="TOC1"/>
            <w:rPr>
              <w:rFonts w:asciiTheme="minorHAnsi" w:eastAsiaTheme="minorEastAsia" w:hAnsiTheme="minorHAnsi"/>
              <w:b w:val="0"/>
              <w:caps w:val="0"/>
              <w:noProof/>
              <w:kern w:val="2"/>
              <w:sz w:val="22"/>
              <w:lang w:val="bg-BG" w:eastAsia="bg-BG"/>
              <w14:ligatures w14:val="standardContextual"/>
            </w:rPr>
          </w:pPr>
          <w:hyperlink w:anchor="_Toc166943485" w:history="1">
            <w:r w:rsidRPr="00610766">
              <w:rPr>
                <w:rStyle w:val="Hyperlink"/>
                <w:rFonts w:cs="Times New Roman"/>
                <w:noProof/>
                <w:snapToGrid w:val="0"/>
                <w:w w:val="0"/>
                <w:lang w:val="en-US"/>
              </w:rPr>
              <w:t>5.</w:t>
            </w:r>
            <w:r>
              <w:rPr>
                <w:rFonts w:asciiTheme="minorHAnsi" w:eastAsiaTheme="minorEastAsia" w:hAnsiTheme="minorHAnsi"/>
                <w:b w:val="0"/>
                <w:caps w:val="0"/>
                <w:noProof/>
                <w:kern w:val="2"/>
                <w:sz w:val="22"/>
                <w:lang w:val="bg-BG" w:eastAsia="bg-BG"/>
                <w14:ligatures w14:val="standardContextual"/>
              </w:rPr>
              <w:tab/>
            </w:r>
            <w:r w:rsidRPr="00610766">
              <w:rPr>
                <w:rStyle w:val="Hyperlink"/>
                <w:noProof/>
                <w:lang w:val="en-US"/>
              </w:rPr>
              <w:t>Remarks</w:t>
            </w:r>
            <w:r>
              <w:rPr>
                <w:noProof/>
                <w:webHidden/>
              </w:rPr>
              <w:tab/>
            </w:r>
            <w:r>
              <w:rPr>
                <w:noProof/>
                <w:webHidden/>
              </w:rPr>
              <w:fldChar w:fldCharType="begin"/>
            </w:r>
            <w:r>
              <w:rPr>
                <w:noProof/>
                <w:webHidden/>
              </w:rPr>
              <w:instrText xml:space="preserve"> PAGEREF _Toc166943485 \h </w:instrText>
            </w:r>
            <w:r>
              <w:rPr>
                <w:noProof/>
                <w:webHidden/>
              </w:rPr>
            </w:r>
            <w:r>
              <w:rPr>
                <w:noProof/>
                <w:webHidden/>
              </w:rPr>
              <w:fldChar w:fldCharType="separate"/>
            </w:r>
            <w:r>
              <w:rPr>
                <w:noProof/>
                <w:webHidden/>
              </w:rPr>
              <w:t>8</w:t>
            </w:r>
            <w:r>
              <w:rPr>
                <w:noProof/>
                <w:webHidden/>
              </w:rPr>
              <w:fldChar w:fldCharType="end"/>
            </w:r>
          </w:hyperlink>
        </w:p>
        <w:p w14:paraId="09EF7E4E" w14:textId="33C49557"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6943481"/>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6943482"/>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62A7F484"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6943483"/>
      <w:r w:rsidRPr="0045170B">
        <w:rPr>
          <w:szCs w:val="28"/>
          <w:lang w:val="en-US"/>
        </w:rPr>
        <w:t>Sub-questions</w:t>
      </w:r>
      <w:bookmarkEnd w:id="2"/>
    </w:p>
    <w:p w14:paraId="0717BF25" w14:textId="513729CB" w:rsidR="007D09C4" w:rsidRPr="0045170B" w:rsidRDefault="005126CC" w:rsidP="007D09C4">
      <w:pPr>
        <w:pStyle w:val="ListParagraph"/>
        <w:numPr>
          <w:ilvl w:val="0"/>
          <w:numId w:val="28"/>
        </w:numPr>
        <w:rPr>
          <w:sz w:val="22"/>
          <w:szCs w:val="24"/>
        </w:rPr>
      </w:pPr>
      <w:r>
        <w:rPr>
          <w:sz w:val="22"/>
          <w:szCs w:val="24"/>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r>
              <w:rPr>
                <w:sz w:val="22"/>
                <w:szCs w:val="24"/>
              </w:rPr>
              <w:t>Stackdivre Monitoring and Stackdriver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Default="005126CC" w:rsidP="007D09C4">
      <w:pPr>
        <w:pStyle w:val="ListParagraph"/>
        <w:numPr>
          <w:ilvl w:val="0"/>
          <w:numId w:val="28"/>
        </w:numPr>
        <w:rPr>
          <w:sz w:val="22"/>
          <w:szCs w:val="24"/>
        </w:rPr>
      </w:pPr>
      <w:r>
        <w:rPr>
          <w:sz w:val="22"/>
          <w:szCs w:val="24"/>
        </w:rPr>
        <w:t>How to automate the deployment process</w:t>
      </w:r>
      <w:r w:rsidR="00EF3629">
        <w:rPr>
          <w:sz w:val="22"/>
          <w:szCs w:val="24"/>
        </w:rPr>
        <w:t xml:space="preserve"> to the cloud</w:t>
      </w:r>
      <w:r>
        <w:rPr>
          <w:sz w:val="22"/>
          <w:szCs w:val="24"/>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45170B" w:rsidRDefault="005126CC" w:rsidP="007D09C4">
      <w:pPr>
        <w:pStyle w:val="ListParagraph"/>
        <w:numPr>
          <w:ilvl w:val="0"/>
          <w:numId w:val="28"/>
        </w:numPr>
        <w:rPr>
          <w:sz w:val="22"/>
          <w:szCs w:val="24"/>
        </w:rPr>
      </w:pPr>
      <w:bookmarkStart w:id="3" w:name="_Hlk166937849"/>
      <w:r>
        <w:rPr>
          <w:sz w:val="22"/>
          <w:szCs w:val="24"/>
        </w:rPr>
        <w:t>How to set-up the CICD pipeline for the front and back</w:t>
      </w:r>
      <w:r w:rsidR="007C2EAA">
        <w:rPr>
          <w:sz w:val="22"/>
          <w:szCs w:val="24"/>
        </w:rPr>
        <w:t>-</w:t>
      </w:r>
      <w:r>
        <w:rPr>
          <w:sz w:val="22"/>
          <w:szCs w:val="24"/>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7777777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the application. Then the application is tested by running the defined tests in the application. The code quality is checked with the use of Sonar Cloud which is code quality and security tool that can be connected to GitHub repositories. </w:t>
      </w:r>
    </w:p>
    <w:p w14:paraId="7C9E034F" w14:textId="22917ACF" w:rsidR="00A608CB" w:rsidRDefault="00A608CB" w:rsidP="00F35CF5">
      <w:pPr>
        <w:tabs>
          <w:tab w:val="left" w:pos="3410"/>
        </w:tabs>
        <w:ind w:firstLine="567"/>
        <w:rPr>
          <w:szCs w:val="20"/>
        </w:rPr>
      </w:pPr>
      <w:r>
        <w:rPr>
          <w:szCs w:val="20"/>
        </w:rPr>
        <w:t>The code quality and security aspects of the application are expansive topics that deserve their own researches so I will not go into too much detail here. For more information, check ____</w:t>
      </w:r>
      <w:r>
        <w:rPr>
          <w:i/>
          <w:iCs/>
          <w:szCs w:val="20"/>
        </w:rPr>
        <w:t>the code quality documents</w:t>
      </w:r>
      <w:r>
        <w:rPr>
          <w:szCs w:val="20"/>
        </w:rPr>
        <w:t>_______.</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Default="00C15FA5" w:rsidP="00C15FA5">
      <w:pPr>
        <w:pStyle w:val="ListParagraph"/>
        <w:numPr>
          <w:ilvl w:val="0"/>
          <w:numId w:val="28"/>
        </w:numPr>
        <w:rPr>
          <w:sz w:val="22"/>
          <w:szCs w:val="24"/>
        </w:rPr>
      </w:pPr>
      <w:r>
        <w:rPr>
          <w:sz w:val="22"/>
          <w:szCs w:val="24"/>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Create the Kubernetes yaml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Deploy the yaml file to the GKE cluster</w:t>
      </w:r>
    </w:p>
    <w:p w14:paraId="06D17DD4" w14:textId="6AD8BDC7"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p>
    <w:p w14:paraId="3B7EF7B3" w14:textId="1694F06C" w:rsidR="002A6E02" w:rsidRDefault="002A6E02" w:rsidP="002A6E02">
      <w:pPr>
        <w:ind w:firstLine="567"/>
        <w:rPr>
          <w:szCs w:val="20"/>
        </w:rPr>
      </w:pPr>
      <w:r>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59068903" w14:textId="77777777" w:rsidR="008A09B2" w:rsidRDefault="00F818D8" w:rsidP="008A09B2">
      <w:pPr>
        <w:ind w:firstLine="567"/>
        <w:rPr>
          <w:szCs w:val="20"/>
        </w:rPr>
      </w:pPr>
      <w:r>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kubectl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29245005" w14:textId="1FF5463E" w:rsidR="008A09B2" w:rsidRDefault="008A09B2" w:rsidP="008A09B2">
      <w:pPr>
        <w:ind w:firstLine="567"/>
        <w:rPr>
          <w:szCs w:val="20"/>
        </w:rPr>
      </w:pPr>
      <w:r>
        <w:rPr>
          <w:szCs w:val="20"/>
        </w:rPr>
        <w:t>To deploy a</w:t>
      </w:r>
      <w:r w:rsidR="00404AFA">
        <w:rPr>
          <w:szCs w:val="20"/>
        </w:rPr>
        <w:t xml:space="preserve"> microservices application using Kubernetes, one must first create yaml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DockerHub,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gatewayclass controller to facilitated the exposing of the cluster and a loadbalancer that controls the incoming load to the cluster. An httprouter is also created so that requests are routed to the proper service inside the cluster. With this my yaml configuration file was created. The next step was to deploy it to GKE.</w:t>
      </w:r>
    </w:p>
    <w:p w14:paraId="7C84A208" w14:textId="77777777" w:rsidR="00CD167F" w:rsidRDefault="00404AFA" w:rsidP="008A09B2">
      <w:pPr>
        <w:ind w:firstLine="567"/>
        <w:rPr>
          <w:szCs w:val="20"/>
        </w:rPr>
      </w:pPr>
      <w:r>
        <w:rPr>
          <w:szCs w:val="20"/>
        </w:rPr>
        <w:t xml:space="preserve">To deploy the yaml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gatewayclass controller for my gateway. </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httprouter but may differ under the hood with the actual process. In my case, I decided that a gateway controller that is easy to setup and use is Envoyproxy. It is easy to set-up and use while also providing me with all of the needed functionality. At first, I wanted to use the GKE gateway controller, but due to it being proprietary and also requiring me to buy a domain, I opted to use Envoyproxy. </w:t>
      </w:r>
    </w:p>
    <w:p w14:paraId="5654DCB9" w14:textId="00A431DA" w:rsidR="002530C3" w:rsidRDefault="002530C3" w:rsidP="008A09B2">
      <w:pPr>
        <w:ind w:firstLine="567"/>
        <w:rPr>
          <w:szCs w:val="20"/>
        </w:rPr>
      </w:pPr>
      <w:r>
        <w:rPr>
          <w:szCs w:val="20"/>
        </w:rPr>
        <w:t xml:space="preserve">Back to deploying my yaml file, I first had to download and establish the Envoyproxy gatewayclass controller. This was done by following the guide on the </w:t>
      </w:r>
      <w:hyperlink r:id="rId9" w:history="1">
        <w:r w:rsidRPr="002530C3">
          <w:rPr>
            <w:rStyle w:val="Hyperlink"/>
            <w:szCs w:val="20"/>
          </w:rPr>
          <w:t>Envoyproxy</w:t>
        </w:r>
      </w:hyperlink>
      <w:r>
        <w:rPr>
          <w:szCs w:val="20"/>
        </w:rPr>
        <w:t xml:space="preserve"> website. I encountered some issue but with some debugging I was able to install the gatewayclass controller. The last step was to run </w:t>
      </w:r>
      <w:r w:rsidRPr="002530C3">
        <w:rPr>
          <w:i/>
          <w:iCs/>
          <w:szCs w:val="20"/>
          <w:u w:val="single"/>
        </w:rPr>
        <w:t>kubectl apply -f hearditgke.yaml</w:t>
      </w:r>
      <w:r>
        <w:rPr>
          <w:szCs w:val="20"/>
        </w:rPr>
        <w:t xml:space="preserve"> to deploy my application to GKE. </w:t>
      </w:r>
    </w:p>
    <w:p w14:paraId="009E80CA" w14:textId="18143D47" w:rsidR="002530C3" w:rsidRDefault="002530C3" w:rsidP="008A09B2">
      <w:pPr>
        <w:ind w:firstLine="567"/>
        <w:rPr>
          <w:szCs w:val="20"/>
        </w:rPr>
      </w:pPr>
      <w:r>
        <w:rPr>
          <w:szCs w:val="20"/>
        </w:rPr>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lastRenderedPageBreak/>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3FB9BC4A" w14:textId="77777777" w:rsidR="00C15FA5" w:rsidRPr="00C15FA5" w:rsidRDefault="00C15FA5" w:rsidP="00C15FA5">
      <w:pPr>
        <w:spacing w:after="200" w:line="276" w:lineRule="auto"/>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6943484"/>
      <w:r w:rsidRPr="0045170B">
        <w:rPr>
          <w:szCs w:val="28"/>
          <w:lang w:val="en-US"/>
        </w:rPr>
        <w:t>Conclusion</w:t>
      </w:r>
      <w:bookmarkEnd w:id="5"/>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30FCFB38" w14:textId="77777777" w:rsidR="0037466E" w:rsidRDefault="0037466E" w:rsidP="007D09C4">
      <w:pPr>
        <w:ind w:firstLine="567"/>
      </w:pPr>
    </w:p>
    <w:p w14:paraId="7E1F5BF9" w14:textId="77777777" w:rsidR="007D09C4" w:rsidRPr="0045170B" w:rsidRDefault="007D09C4" w:rsidP="007D09C4">
      <w:pPr>
        <w:pStyle w:val="ListParagraph"/>
      </w:pPr>
    </w:p>
    <w:p w14:paraId="188B6F7E" w14:textId="0D84011E" w:rsidR="0037466E" w:rsidRPr="0045170B" w:rsidRDefault="0037466E" w:rsidP="0037466E">
      <w:pPr>
        <w:pStyle w:val="HeadingCustom1"/>
        <w:numPr>
          <w:ilvl w:val="0"/>
          <w:numId w:val="23"/>
        </w:numPr>
        <w:ind w:left="567" w:hanging="567"/>
        <w:rPr>
          <w:szCs w:val="28"/>
          <w:lang w:val="en-US"/>
        </w:rPr>
      </w:pPr>
      <w:bookmarkStart w:id="6" w:name="_Toc166943485"/>
      <w:r>
        <w:rPr>
          <w:szCs w:val="28"/>
          <w:lang w:val="en-US"/>
        </w:rPr>
        <w:t>Remarks</w:t>
      </w:r>
      <w:bookmarkEnd w:id="6"/>
    </w:p>
    <w:p w14:paraId="3840E9AC" w14:textId="7BB99DCF" w:rsidR="0037466E" w:rsidRDefault="0037466E" w:rsidP="0037466E">
      <w:pPr>
        <w:ind w:firstLine="567"/>
      </w:pPr>
      <w:r w:rsidRPr="0045170B">
        <w:t>T</w:t>
      </w:r>
      <w:r>
        <w:t>his research has several parts that I have still not touched upon - mainly the scalability and load testing aspects</w:t>
      </w:r>
      <w:r w:rsidR="007434DE">
        <w:t xml:space="preserve">. </w:t>
      </w:r>
      <w:r>
        <w:t>These points will be tackled in a later sprint and this document will be updated with the relevant information.</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7" w:name="_Hlk153358857"/>
      <w:r w:rsidRPr="001B174A">
        <w:t xml:space="preserve">Slingerland, C. (2023, December 15). 11 Top Cloud Service Providers Globally In 2024. CloudZero. </w:t>
      </w:r>
      <w:hyperlink r:id="rId10"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1"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2"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3"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gramStart"/>
      <w:r w:rsidRPr="00982A1F">
        <w:rPr>
          <w:rStyle w:val="Hyperlink"/>
          <w:color w:val="auto"/>
          <w:u w:val="none"/>
          <w:lang w:val="nl-NL"/>
        </w:rPr>
        <w:t>n.d.</w:t>
      </w:r>
      <w:proofErr w:type="gramEnd"/>
      <w:r w:rsidRPr="00982A1F">
        <w:rPr>
          <w:rStyle w:val="Hyperlink"/>
          <w:color w:val="auto"/>
          <w:u w:val="none"/>
          <w:lang w:val="nl-NL"/>
        </w:rPr>
        <w:t xml:space="preserve">). Google Cloud. </w:t>
      </w:r>
      <w:hyperlink r:id="rId14" w:history="1">
        <w:r w:rsidR="0045517D" w:rsidRPr="006F701B">
          <w:rPr>
            <w:rStyle w:val="Hyperlink"/>
            <w:lang w:val="nl-NL"/>
          </w:rPr>
          <w:t>https://cloud.google.com/?hl=en</w:t>
        </w:r>
      </w:hyperlink>
    </w:p>
    <w:p w14:paraId="16E1D46E" w14:textId="3B592559" w:rsidR="00FC57FF"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5" w:history="1">
        <w:r w:rsidRPr="009E2ACE">
          <w:rPr>
            <w:rStyle w:val="Hyperlink"/>
          </w:rPr>
          <w:t>https://github.com/features/actions</w:t>
        </w:r>
      </w:hyperlink>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7"/>
    <w:p w14:paraId="3733C529" w14:textId="447EBDC7" w:rsidR="00E9390A" w:rsidRPr="007D09C4" w:rsidRDefault="00E9390A" w:rsidP="007D09C4"/>
    <w:sectPr w:rsidR="00E9390A" w:rsidRPr="007D09C4" w:rsidSect="00D61066">
      <w:footerReference w:type="default" r:id="rId16"/>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76E7F" w14:textId="77777777" w:rsidR="00863D07" w:rsidRDefault="00863D07" w:rsidP="00FC1A75">
      <w:pPr>
        <w:spacing w:line="240" w:lineRule="auto"/>
      </w:pPr>
      <w:r>
        <w:separator/>
      </w:r>
    </w:p>
  </w:endnote>
  <w:endnote w:type="continuationSeparator" w:id="0">
    <w:p w14:paraId="69F1D680" w14:textId="77777777" w:rsidR="00863D07" w:rsidRDefault="00863D07"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FE112" w14:textId="77777777" w:rsidR="00863D07" w:rsidRDefault="00863D07" w:rsidP="00FC1A75">
      <w:pPr>
        <w:spacing w:line="240" w:lineRule="auto"/>
      </w:pPr>
      <w:r>
        <w:separator/>
      </w:r>
    </w:p>
  </w:footnote>
  <w:footnote w:type="continuationSeparator" w:id="0">
    <w:p w14:paraId="58ADA3D8" w14:textId="77777777" w:rsidR="00863D07" w:rsidRDefault="00863D07"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9"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5"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0"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4"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B94B3C"/>
    <w:multiLevelType w:val="multilevel"/>
    <w:tmpl w:val="0409001F"/>
    <w:numStyleLink w:val="Style1"/>
  </w:abstractNum>
  <w:abstractNum w:abstractNumId="45"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6"/>
  </w:num>
  <w:num w:numId="2" w16cid:durableId="838278320">
    <w:abstractNumId w:val="26"/>
  </w:num>
  <w:num w:numId="3" w16cid:durableId="1622371702">
    <w:abstractNumId w:val="35"/>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1"/>
  </w:num>
  <w:num w:numId="15" w16cid:durableId="1227179410">
    <w:abstractNumId w:val="43"/>
  </w:num>
  <w:num w:numId="16" w16cid:durableId="1276450476">
    <w:abstractNumId w:val="23"/>
  </w:num>
  <w:num w:numId="17" w16cid:durableId="1489708264">
    <w:abstractNumId w:val="15"/>
  </w:num>
  <w:num w:numId="18" w16cid:durableId="2078436712">
    <w:abstractNumId w:val="27"/>
  </w:num>
  <w:num w:numId="19" w16cid:durableId="1833526778">
    <w:abstractNumId w:val="30"/>
  </w:num>
  <w:num w:numId="20" w16cid:durableId="941915040">
    <w:abstractNumId w:val="44"/>
  </w:num>
  <w:num w:numId="21" w16cid:durableId="922035206">
    <w:abstractNumId w:val="45"/>
  </w:num>
  <w:num w:numId="22" w16cid:durableId="712921518">
    <w:abstractNumId w:val="34"/>
  </w:num>
  <w:num w:numId="23" w16cid:durableId="441069455">
    <w:abstractNumId w:val="28"/>
  </w:num>
  <w:num w:numId="24" w16cid:durableId="1038163601">
    <w:abstractNumId w:val="31"/>
  </w:num>
  <w:num w:numId="25" w16cid:durableId="1707172917">
    <w:abstractNumId w:val="38"/>
  </w:num>
  <w:num w:numId="26" w16cid:durableId="1297952777">
    <w:abstractNumId w:val="11"/>
  </w:num>
  <w:num w:numId="27" w16cid:durableId="1726097119">
    <w:abstractNumId w:val="42"/>
  </w:num>
  <w:num w:numId="28" w16cid:durableId="214901827">
    <w:abstractNumId w:val="32"/>
  </w:num>
  <w:num w:numId="29" w16cid:durableId="1882159548">
    <w:abstractNumId w:val="19"/>
  </w:num>
  <w:num w:numId="30" w16cid:durableId="557282088">
    <w:abstractNumId w:val="37"/>
  </w:num>
  <w:num w:numId="31" w16cid:durableId="231045806">
    <w:abstractNumId w:val="20"/>
  </w:num>
  <w:num w:numId="32" w16cid:durableId="107356443">
    <w:abstractNumId w:val="12"/>
  </w:num>
  <w:num w:numId="33" w16cid:durableId="1382510978">
    <w:abstractNumId w:val="25"/>
  </w:num>
  <w:num w:numId="34" w16cid:durableId="1959946201">
    <w:abstractNumId w:val="39"/>
  </w:num>
  <w:num w:numId="35" w16cid:durableId="1190991786">
    <w:abstractNumId w:val="17"/>
  </w:num>
  <w:num w:numId="36" w16cid:durableId="413673171">
    <w:abstractNumId w:val="10"/>
  </w:num>
  <w:num w:numId="37" w16cid:durableId="1451433720">
    <w:abstractNumId w:val="33"/>
  </w:num>
  <w:num w:numId="38" w16cid:durableId="1819877241">
    <w:abstractNumId w:val="18"/>
  </w:num>
  <w:num w:numId="39" w16cid:durableId="354844134">
    <w:abstractNumId w:val="24"/>
  </w:num>
  <w:num w:numId="40" w16cid:durableId="1178302209">
    <w:abstractNumId w:val="16"/>
  </w:num>
  <w:num w:numId="41" w16cid:durableId="826899886">
    <w:abstractNumId w:val="22"/>
  </w:num>
  <w:num w:numId="42" w16cid:durableId="162669649">
    <w:abstractNumId w:val="41"/>
  </w:num>
  <w:num w:numId="43" w16cid:durableId="1520506699">
    <w:abstractNumId w:val="29"/>
  </w:num>
  <w:num w:numId="44" w16cid:durableId="1659915061">
    <w:abstractNumId w:val="13"/>
  </w:num>
  <w:num w:numId="45" w16cid:durableId="1387601908">
    <w:abstractNumId w:val="14"/>
  </w:num>
  <w:num w:numId="46" w16cid:durableId="21279639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21868"/>
    <w:rsid w:val="0003130E"/>
    <w:rsid w:val="00033770"/>
    <w:rsid w:val="000408CB"/>
    <w:rsid w:val="00050306"/>
    <w:rsid w:val="00052CCB"/>
    <w:rsid w:val="00052ED5"/>
    <w:rsid w:val="000633F2"/>
    <w:rsid w:val="00081FC7"/>
    <w:rsid w:val="00083A66"/>
    <w:rsid w:val="0008517B"/>
    <w:rsid w:val="00095F46"/>
    <w:rsid w:val="00097CEB"/>
    <w:rsid w:val="000C5287"/>
    <w:rsid w:val="000C58B2"/>
    <w:rsid w:val="000C5C6D"/>
    <w:rsid w:val="000E4A93"/>
    <w:rsid w:val="001025EE"/>
    <w:rsid w:val="00102A33"/>
    <w:rsid w:val="00111AA8"/>
    <w:rsid w:val="00114E13"/>
    <w:rsid w:val="00117C1A"/>
    <w:rsid w:val="0012566E"/>
    <w:rsid w:val="00125A11"/>
    <w:rsid w:val="00165326"/>
    <w:rsid w:val="00193A39"/>
    <w:rsid w:val="0019475B"/>
    <w:rsid w:val="001A177E"/>
    <w:rsid w:val="001A1931"/>
    <w:rsid w:val="001B1359"/>
    <w:rsid w:val="001B174A"/>
    <w:rsid w:val="001B2BD6"/>
    <w:rsid w:val="001B7D0E"/>
    <w:rsid w:val="001D6152"/>
    <w:rsid w:val="001E70A7"/>
    <w:rsid w:val="00214210"/>
    <w:rsid w:val="002242F0"/>
    <w:rsid w:val="0023104B"/>
    <w:rsid w:val="00240EB2"/>
    <w:rsid w:val="002530C3"/>
    <w:rsid w:val="002551C6"/>
    <w:rsid w:val="00256668"/>
    <w:rsid w:val="00277362"/>
    <w:rsid w:val="00290562"/>
    <w:rsid w:val="002A6E02"/>
    <w:rsid w:val="002C54DF"/>
    <w:rsid w:val="002D009E"/>
    <w:rsid w:val="002D0CE4"/>
    <w:rsid w:val="002E399D"/>
    <w:rsid w:val="00301103"/>
    <w:rsid w:val="00306BDE"/>
    <w:rsid w:val="00315502"/>
    <w:rsid w:val="003275CC"/>
    <w:rsid w:val="00330E97"/>
    <w:rsid w:val="00342BB1"/>
    <w:rsid w:val="00355481"/>
    <w:rsid w:val="00362F91"/>
    <w:rsid w:val="0037466E"/>
    <w:rsid w:val="003A09BF"/>
    <w:rsid w:val="003B5AE9"/>
    <w:rsid w:val="003B6A99"/>
    <w:rsid w:val="003D31DE"/>
    <w:rsid w:val="003D5C41"/>
    <w:rsid w:val="003E76D8"/>
    <w:rsid w:val="003F1FFE"/>
    <w:rsid w:val="004041D8"/>
    <w:rsid w:val="00404AFA"/>
    <w:rsid w:val="0045170B"/>
    <w:rsid w:val="0045190A"/>
    <w:rsid w:val="00451A98"/>
    <w:rsid w:val="0045517D"/>
    <w:rsid w:val="00473B79"/>
    <w:rsid w:val="004760D5"/>
    <w:rsid w:val="004B34F7"/>
    <w:rsid w:val="004C6E54"/>
    <w:rsid w:val="004D2B15"/>
    <w:rsid w:val="004E0071"/>
    <w:rsid w:val="004E4912"/>
    <w:rsid w:val="004F5110"/>
    <w:rsid w:val="00511D75"/>
    <w:rsid w:val="005126CC"/>
    <w:rsid w:val="00525537"/>
    <w:rsid w:val="005623B7"/>
    <w:rsid w:val="00586BFF"/>
    <w:rsid w:val="005878FE"/>
    <w:rsid w:val="005B53EF"/>
    <w:rsid w:val="005D0039"/>
    <w:rsid w:val="005D0503"/>
    <w:rsid w:val="005E03A0"/>
    <w:rsid w:val="005E548F"/>
    <w:rsid w:val="005E7B91"/>
    <w:rsid w:val="005F4C39"/>
    <w:rsid w:val="005F6D7A"/>
    <w:rsid w:val="005F7CAC"/>
    <w:rsid w:val="00622E26"/>
    <w:rsid w:val="00633A9F"/>
    <w:rsid w:val="006410F1"/>
    <w:rsid w:val="00641BC5"/>
    <w:rsid w:val="00645BD5"/>
    <w:rsid w:val="006524DA"/>
    <w:rsid w:val="006618CD"/>
    <w:rsid w:val="006643C8"/>
    <w:rsid w:val="00666536"/>
    <w:rsid w:val="00672E48"/>
    <w:rsid w:val="00683990"/>
    <w:rsid w:val="00695CD2"/>
    <w:rsid w:val="006A017F"/>
    <w:rsid w:val="006A299B"/>
    <w:rsid w:val="006C1942"/>
    <w:rsid w:val="006C4E52"/>
    <w:rsid w:val="006C6B89"/>
    <w:rsid w:val="006E179A"/>
    <w:rsid w:val="006E7AA3"/>
    <w:rsid w:val="006F70EB"/>
    <w:rsid w:val="00716BA5"/>
    <w:rsid w:val="007200CD"/>
    <w:rsid w:val="007377FD"/>
    <w:rsid w:val="007434DE"/>
    <w:rsid w:val="0074441B"/>
    <w:rsid w:val="00764DC5"/>
    <w:rsid w:val="00767AD3"/>
    <w:rsid w:val="007811E9"/>
    <w:rsid w:val="00784C91"/>
    <w:rsid w:val="007851F5"/>
    <w:rsid w:val="0078615C"/>
    <w:rsid w:val="00787291"/>
    <w:rsid w:val="00796E33"/>
    <w:rsid w:val="007A2639"/>
    <w:rsid w:val="007A5C1C"/>
    <w:rsid w:val="007B30A1"/>
    <w:rsid w:val="007B4014"/>
    <w:rsid w:val="007C2EAA"/>
    <w:rsid w:val="007C3313"/>
    <w:rsid w:val="007D09C4"/>
    <w:rsid w:val="007D6494"/>
    <w:rsid w:val="008348A3"/>
    <w:rsid w:val="0085715F"/>
    <w:rsid w:val="0086048E"/>
    <w:rsid w:val="00863D07"/>
    <w:rsid w:val="0089115D"/>
    <w:rsid w:val="008953F8"/>
    <w:rsid w:val="008A09B2"/>
    <w:rsid w:val="008D7D33"/>
    <w:rsid w:val="008E1CA8"/>
    <w:rsid w:val="008E3994"/>
    <w:rsid w:val="00906367"/>
    <w:rsid w:val="009256D4"/>
    <w:rsid w:val="00930E2E"/>
    <w:rsid w:val="00935092"/>
    <w:rsid w:val="00935A74"/>
    <w:rsid w:val="009420DF"/>
    <w:rsid w:val="00966DBD"/>
    <w:rsid w:val="0097647C"/>
    <w:rsid w:val="00982A1F"/>
    <w:rsid w:val="009A321E"/>
    <w:rsid w:val="009B3BB6"/>
    <w:rsid w:val="009B3DE8"/>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C69A4"/>
    <w:rsid w:val="00BD6BDD"/>
    <w:rsid w:val="00BD7C18"/>
    <w:rsid w:val="00BE1EBB"/>
    <w:rsid w:val="00BE3041"/>
    <w:rsid w:val="00BE4091"/>
    <w:rsid w:val="00BF0D11"/>
    <w:rsid w:val="00BF5153"/>
    <w:rsid w:val="00C15FA5"/>
    <w:rsid w:val="00C21B7C"/>
    <w:rsid w:val="00C21F61"/>
    <w:rsid w:val="00C23E58"/>
    <w:rsid w:val="00C26C2E"/>
    <w:rsid w:val="00C30FB1"/>
    <w:rsid w:val="00C31CEA"/>
    <w:rsid w:val="00C32679"/>
    <w:rsid w:val="00C412B5"/>
    <w:rsid w:val="00C44075"/>
    <w:rsid w:val="00C477B2"/>
    <w:rsid w:val="00C63641"/>
    <w:rsid w:val="00C71962"/>
    <w:rsid w:val="00C73C22"/>
    <w:rsid w:val="00C865CC"/>
    <w:rsid w:val="00C92AB2"/>
    <w:rsid w:val="00CA2C85"/>
    <w:rsid w:val="00CA3030"/>
    <w:rsid w:val="00CD167F"/>
    <w:rsid w:val="00CD4EF8"/>
    <w:rsid w:val="00CD5F55"/>
    <w:rsid w:val="00CE0E94"/>
    <w:rsid w:val="00CE5669"/>
    <w:rsid w:val="00CE73E1"/>
    <w:rsid w:val="00D05DBE"/>
    <w:rsid w:val="00D11FCF"/>
    <w:rsid w:val="00D151F2"/>
    <w:rsid w:val="00D17284"/>
    <w:rsid w:val="00D26D14"/>
    <w:rsid w:val="00D33D55"/>
    <w:rsid w:val="00D45E2E"/>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437FC"/>
    <w:rsid w:val="00E4441B"/>
    <w:rsid w:val="00E6672C"/>
    <w:rsid w:val="00E70B24"/>
    <w:rsid w:val="00E71487"/>
    <w:rsid w:val="00E9390A"/>
    <w:rsid w:val="00E93ABA"/>
    <w:rsid w:val="00E93E74"/>
    <w:rsid w:val="00E97F43"/>
    <w:rsid w:val="00EA12CF"/>
    <w:rsid w:val="00EC0AC9"/>
    <w:rsid w:val="00EC4A79"/>
    <w:rsid w:val="00EF3629"/>
    <w:rsid w:val="00F02F98"/>
    <w:rsid w:val="00F058AA"/>
    <w:rsid w:val="00F133B1"/>
    <w:rsid w:val="00F20DFE"/>
    <w:rsid w:val="00F35CF5"/>
    <w:rsid w:val="00F521A3"/>
    <w:rsid w:val="00F65875"/>
    <w:rsid w:val="00F75971"/>
    <w:rsid w:val="00F80D2C"/>
    <w:rsid w:val="00F818D8"/>
    <w:rsid w:val="00FA2AD3"/>
    <w:rsid w:val="00FA6D22"/>
    <w:rsid w:val="00FB52E4"/>
    <w:rsid w:val="00FB6725"/>
    <w:rsid w:val="00FC1A75"/>
    <w:rsid w:val="00FC22F4"/>
    <w:rsid w:val="00FC57FF"/>
    <w:rsid w:val="00FC7EAB"/>
    <w:rsid w:val="00FD439E"/>
    <w:rsid w:val="00FD47DA"/>
    <w:rsid w:val="00FF1691"/>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7434DE"/>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nc2=h_l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harpcorner.com/article/top-10-cloud-service-providers/" TargetMode="External"/><Relationship Id="rId5" Type="http://schemas.openxmlformats.org/officeDocument/2006/relationships/webSettings" Target="webSettings.xml"/><Relationship Id="rId15" Type="http://schemas.openxmlformats.org/officeDocument/2006/relationships/hyperlink" Target="https://github.com/features/actions" TargetMode="External"/><Relationship Id="rId10" Type="http://schemas.openxmlformats.org/officeDocument/2006/relationships/hyperlink" Target="https://www.cloudzero.com/blog/cloud-service-providers/" TargetMode="Externa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cloud.google.com/?hl=en"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9</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451</cp:revision>
  <cp:lastPrinted>2014-06-18T11:51:00Z</cp:lastPrinted>
  <dcterms:created xsi:type="dcterms:W3CDTF">2023-10-02T11:33:00Z</dcterms:created>
  <dcterms:modified xsi:type="dcterms:W3CDTF">2024-05-18T14:51:00Z</dcterms:modified>
</cp:coreProperties>
</file>