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933D" w14:textId="77777777" w:rsidR="008D189C" w:rsidRPr="008D189C" w:rsidRDefault="008D189C" w:rsidP="008D189C">
      <w:pPr>
        <w:pStyle w:val="2"/>
        <w:shd w:val="clear" w:color="auto" w:fill="FFFFFF"/>
        <w:spacing w:beforeAutospacing="0" w:after="100"/>
        <w:jc w:val="center"/>
        <w:rPr>
          <w:rFonts w:ascii="Times New Roman" w:eastAsia="Times New Roman" w:hAnsi="Times New Roman" w:hint="default"/>
          <w:i w:val="0"/>
          <w:iCs w:val="0"/>
          <w:color w:val="343A40"/>
          <w:sz w:val="32"/>
          <w:szCs w:val="32"/>
          <w:lang w:val="ru-RU" w:eastAsia="ru-RU"/>
        </w:rPr>
      </w:pPr>
      <w:r w:rsidRPr="008D189C">
        <w:rPr>
          <w:rFonts w:ascii="Times New Roman" w:hAnsi="Times New Roman" w:hint="default"/>
          <w:i w:val="0"/>
          <w:iCs w:val="0"/>
          <w:color w:val="343A40"/>
          <w:sz w:val="32"/>
          <w:szCs w:val="32"/>
          <w:lang w:val="ru-RU"/>
        </w:rPr>
        <w:t>Международные и национальные стандарты в области сопровождения ПО</w:t>
      </w:r>
    </w:p>
    <w:p w14:paraId="719D964B" w14:textId="7F4DB0AB" w:rsidR="007F1B56" w:rsidRPr="007F1B56" w:rsidRDefault="007F1B56" w:rsidP="007F1B56">
      <w:pPr>
        <w:ind w:firstLineChars="200" w:firstLine="640"/>
        <w:jc w:val="center"/>
        <w:rPr>
          <w:rStyle w:val="a5"/>
          <w:rFonts w:ascii="Times New Roman" w:eastAsia="SimSun" w:hAnsi="Times New Roman" w:cs="Times New Roman"/>
          <w:b w:val="0"/>
          <w:bCs w:val="0"/>
          <w:color w:val="000000"/>
          <w:sz w:val="32"/>
          <w:szCs w:val="32"/>
          <w:lang w:val="ru-RU"/>
        </w:rPr>
      </w:pPr>
      <w:r w:rsidRPr="007F1B56">
        <w:rPr>
          <w:rStyle w:val="a5"/>
          <w:rFonts w:ascii="Times New Roman" w:eastAsia="SimSun" w:hAnsi="Times New Roman" w:cs="Times New Roman"/>
          <w:b w:val="0"/>
          <w:bCs w:val="0"/>
          <w:color w:val="000000"/>
          <w:sz w:val="32"/>
          <w:szCs w:val="32"/>
          <w:lang w:val="ru-RU"/>
        </w:rPr>
        <w:t>Выполнил студент группы 4ПК2</w:t>
      </w:r>
    </w:p>
    <w:p w14:paraId="22F8FACA" w14:textId="7172624D" w:rsidR="00F01B22" w:rsidRDefault="007F1B56" w:rsidP="008D189C">
      <w:pPr>
        <w:ind w:firstLineChars="200" w:firstLine="640"/>
        <w:jc w:val="center"/>
        <w:rPr>
          <w:rStyle w:val="a5"/>
          <w:rFonts w:ascii="Times New Roman" w:eastAsia="SimSun" w:hAnsi="Times New Roman" w:cs="Times New Roman"/>
          <w:b w:val="0"/>
          <w:bCs w:val="0"/>
          <w:color w:val="000000"/>
          <w:sz w:val="32"/>
          <w:szCs w:val="32"/>
          <w:lang w:val="ru-RU"/>
        </w:rPr>
      </w:pPr>
      <w:r>
        <w:rPr>
          <w:rStyle w:val="a5"/>
          <w:rFonts w:ascii="Times New Roman" w:eastAsia="SimSun" w:hAnsi="Times New Roman" w:cs="Times New Roman"/>
          <w:b w:val="0"/>
          <w:bCs w:val="0"/>
          <w:color w:val="000000"/>
          <w:sz w:val="32"/>
          <w:szCs w:val="32"/>
          <w:lang w:val="ru-RU"/>
        </w:rPr>
        <w:t>Кузнецов Илья Владиславович</w:t>
      </w:r>
    </w:p>
    <w:p w14:paraId="4C322825" w14:textId="3B3AFD2A" w:rsidR="008D189C" w:rsidRDefault="008D189C" w:rsidP="008D189C">
      <w:pPr>
        <w:ind w:firstLineChars="200" w:firstLine="640"/>
        <w:jc w:val="center"/>
        <w:rPr>
          <w:rStyle w:val="a5"/>
          <w:rFonts w:ascii="Times New Roman" w:eastAsia="SimSun" w:hAnsi="Times New Roman" w:cs="Times New Roman"/>
          <w:b w:val="0"/>
          <w:bCs w:val="0"/>
          <w:color w:val="000000"/>
          <w:sz w:val="32"/>
          <w:szCs w:val="32"/>
          <w:lang w:val="ru-RU"/>
        </w:rPr>
      </w:pPr>
    </w:p>
    <w:p w14:paraId="36032139" w14:textId="497206FD" w:rsidR="008D189C" w:rsidRPr="008D189C" w:rsidRDefault="008D189C" w:rsidP="008D189C">
      <w:pPr>
        <w:shd w:val="clear" w:color="auto" w:fill="FFFFFF"/>
        <w:spacing w:before="100" w:beforeAutospacing="1"/>
        <w:ind w:firstLine="700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Для того, чтобы правильно и эффективно организовать наиболее длительный и важный этап жизненного цикла ПС – Сопровождение ПС, требующего наибольших затрат временных, трудовых и материальных ресурсов, необходимо рассмотреть рекомендации, изложенные в международных и национальных стандартах, содержащих положения для оптимальной организации данного этапа.</w:t>
      </w:r>
      <w:r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Для начала необходимо проанализировать трактовку этапа сопровождения в различных стандартах.</w:t>
      </w:r>
    </w:p>
    <w:p w14:paraId="311E51D0" w14:textId="77777777" w:rsidR="008D189C" w:rsidRPr="008D189C" w:rsidRDefault="008D189C" w:rsidP="008D189C">
      <w:pPr>
        <w:spacing w:before="100" w:beforeAutospacing="1"/>
        <w:ind w:right="-3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Сопровождение программного обеспечения определяется стандартом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IEEE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Standard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for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Software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Maintenance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(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IEEE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1219) как модификация программного продукта после передачи в эксплуатацию для устранения сбоев, улучшения показателей производительности и/или других характеристик (атрибутов) продукта, или адаптации продукта для использования в модифицированном окружении. Интересно, что данный стандарт также касается вопросов подготовки к сопровождению до передачи системы в эксплуатацию, однако, структурно это сделано на уровне соответствующего информационного приложения, включенного в стандарт.</w:t>
      </w:r>
    </w:p>
    <w:p w14:paraId="733564B0" w14:textId="77777777" w:rsidR="008D189C" w:rsidRPr="008D189C" w:rsidRDefault="008D189C" w:rsidP="008D189C">
      <w:pPr>
        <w:spacing w:before="100" w:beforeAutospacing="1"/>
        <w:ind w:right="-3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В свою очередь, стандарт жизненного цикла 12207 (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IEEE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,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ISO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/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IEC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, ГОСТ Р ИСО/МЭК) позиционирует сопровождение как один из главных процессов жизненного цикла. Этот стандарт описывает сопровождение как процесс модификации программного продукта в части его кода и документации для решения возникающих проблем при эксплуатации или реализации потребностей в улучшениях тех или иных характеристик продукта. Задача состоит в модификации продукта при условии сохранения его целостности.</w:t>
      </w:r>
    </w:p>
    <w:p w14:paraId="6264A2C1" w14:textId="77777777" w:rsidR="008D189C" w:rsidRPr="008D189C" w:rsidRDefault="008D189C" w:rsidP="008D189C">
      <w:pPr>
        <w:spacing w:before="100" w:beforeAutospacing="1"/>
        <w:ind w:right="-3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Международный стандарт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ISO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/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IEC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14764 (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Standard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for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Software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Engineering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–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Software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Maintenance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) определяет сопровождение программного обеспечения в тех же терминах, что и стандарт 12207, придавая особое значение работам по подготовке к деятельности по сопровождению до передачи системы в реальную эксплуатацию, например, вопросам планирования регламентов и операций по сопровождению.</w:t>
      </w:r>
    </w:p>
    <w:p w14:paraId="49C4B8D4" w14:textId="77777777" w:rsidR="008D189C" w:rsidRPr="008D189C" w:rsidRDefault="008D189C" w:rsidP="008D189C">
      <w:pPr>
        <w:shd w:val="clear" w:color="auto" w:fill="FFFFFF"/>
        <w:spacing w:before="100" w:beforeAutospacing="1"/>
        <w:ind w:firstLine="709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После передачи ПС в эксплуатацию возникает необходимость в поддержании его работоспособности на уровне требований, закреплённых в техническом задании. Эта </w:t>
      </w:r>
      <w:proofErr w:type="gramStart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задача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  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включает</w:t>
      </w:r>
      <w:proofErr w:type="gramEnd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 в себя как устранение программных 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lastRenderedPageBreak/>
        <w:t>сбоев и ошибок, так и возможное наращивание функциональности. Для упорядочивания данных работ необходимо обратиться к положениям, прописанным в стандартах.</w:t>
      </w:r>
    </w:p>
    <w:p w14:paraId="1AF37A61" w14:textId="77777777" w:rsidR="008D189C" w:rsidRPr="008D189C" w:rsidRDefault="008D189C" w:rsidP="008D189C">
      <w:pPr>
        <w:spacing w:before="100" w:beforeAutospacing="1"/>
        <w:ind w:right="-3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Ряд источников, в частности, стандарт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IEEE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1216, определяют три категории работ по сопровождению: корректировка, адаптация и совершенствование. Такая классификация была обновлена в стандарте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ISO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/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IEC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14764 введением четвертой составляющей.</w:t>
      </w:r>
    </w:p>
    <w:p w14:paraId="09AA9B28" w14:textId="77777777" w:rsidR="008D189C" w:rsidRPr="008D189C" w:rsidRDefault="008D189C" w:rsidP="008D189C">
      <w:pPr>
        <w:spacing w:before="100" w:beforeAutospacing="1"/>
        <w:ind w:right="-3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Таким образом, сегодня говорят о четырех категориях сопровождения:</w:t>
      </w:r>
    </w:p>
    <w:p w14:paraId="710EFEAE" w14:textId="77777777" w:rsidR="008D189C" w:rsidRPr="008D189C" w:rsidRDefault="008D189C" w:rsidP="008D189C">
      <w:pPr>
        <w:ind w:right="-3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1.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                </w:t>
      </w:r>
      <w:r w:rsidRPr="008D189C">
        <w:rPr>
          <w:rStyle w:val="a5"/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Корректирующее сопровождение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 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предполагает изменения, вызванные необходимостью устранения (исправления) фактических ошибок в программном продукте. Корректирующее сопровождение проводят в случае несоответствия программного продукта установленным требованиям.</w:t>
      </w:r>
    </w:p>
    <w:p w14:paraId="674D5F68" w14:textId="77777777" w:rsidR="008D189C" w:rsidRPr="008D189C" w:rsidRDefault="008D189C" w:rsidP="008D189C">
      <w:pPr>
        <w:pStyle w:val="a6"/>
        <w:spacing w:beforeAutospacing="0" w:afterAutospacing="0"/>
        <w:ind w:right="-35" w:firstLine="709"/>
        <w:jc w:val="both"/>
        <w:rPr>
          <w:sz w:val="28"/>
          <w:szCs w:val="28"/>
          <w:lang w:val="ru-RU"/>
        </w:rPr>
      </w:pPr>
      <w:r w:rsidRPr="008D189C">
        <w:rPr>
          <w:rFonts w:eastAsia="Georgia"/>
          <w:sz w:val="28"/>
          <w:szCs w:val="28"/>
          <w:shd w:val="clear" w:color="auto" w:fill="FFFFFF"/>
          <w:lang w:val="ru-RU"/>
        </w:rPr>
        <w:t>2.</w:t>
      </w:r>
      <w:r w:rsidRPr="008D189C">
        <w:rPr>
          <w:rFonts w:eastAsia="Georgia"/>
          <w:sz w:val="28"/>
          <w:szCs w:val="28"/>
          <w:shd w:val="clear" w:color="auto" w:fill="FFFFFF"/>
        </w:rPr>
        <w:t>                </w:t>
      </w:r>
      <w:r w:rsidRPr="008D189C">
        <w:rPr>
          <w:rStyle w:val="a5"/>
          <w:rFonts w:eastAsia="Georgia"/>
          <w:sz w:val="28"/>
          <w:szCs w:val="28"/>
          <w:shd w:val="clear" w:color="auto" w:fill="FFFFFF"/>
          <w:lang w:val="ru-RU"/>
        </w:rPr>
        <w:t>Адаптивное сопровождение</w:t>
      </w:r>
      <w:r w:rsidRPr="008D189C">
        <w:rPr>
          <w:rFonts w:eastAsia="Georgia"/>
          <w:sz w:val="28"/>
          <w:szCs w:val="28"/>
          <w:shd w:val="clear" w:color="auto" w:fill="FFFFFF"/>
        </w:rPr>
        <w:t> </w:t>
      </w:r>
      <w:r w:rsidRPr="008D189C">
        <w:rPr>
          <w:rFonts w:eastAsia="Georgia"/>
          <w:sz w:val="28"/>
          <w:szCs w:val="28"/>
          <w:shd w:val="clear" w:color="auto" w:fill="FFFFFF"/>
          <w:lang w:val="ru-RU"/>
        </w:rPr>
        <w:t>связано с необходимостью адаптации программного продукта к изменившейся среде (условиям). Данные изменения связаны с реализацией новых требований к системному интерфейсу, самой системе или техническим средствам.</w:t>
      </w:r>
    </w:p>
    <w:p w14:paraId="1E51FEE9" w14:textId="77777777" w:rsidR="008D189C" w:rsidRPr="008D189C" w:rsidRDefault="008D189C" w:rsidP="008D189C">
      <w:pPr>
        <w:ind w:right="-3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3.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                </w:t>
      </w:r>
      <w:r w:rsidRPr="008D189C">
        <w:rPr>
          <w:rStyle w:val="a5"/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Полное сопровождение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 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определяет изменения по улучшению рабочих характеристик программного средства и его </w:t>
      </w:r>
      <w:proofErr w:type="spellStart"/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сопровождаемость</w:t>
      </w:r>
      <w:proofErr w:type="spellEnd"/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. Данные изменения могут приводить к предоставлению пользователям новых функциональных возможностей, пересмотру технологии разработки сопровождаемых документов или изменению самих документов.</w:t>
      </w:r>
    </w:p>
    <w:p w14:paraId="4AACFA39" w14:textId="77777777" w:rsidR="008D189C" w:rsidRPr="008D189C" w:rsidRDefault="008D189C" w:rsidP="008D189C">
      <w:pPr>
        <w:ind w:right="-3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4.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                </w:t>
      </w:r>
      <w:r w:rsidRPr="008D189C">
        <w:rPr>
          <w:rStyle w:val="a5"/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Профилактическое сопровождение</w:t>
      </w:r>
      <w:r w:rsidRPr="008D189C">
        <w:rPr>
          <w:rStyle w:val="a5"/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 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направлено на изменения, вызванные необходимостью устранения (исправления) потенциальных (скрытых) ошибок в программном продукте. Профилактическое сопровождение обычно проводят для программных продуктов, связанных с обеспечением или защитой жизни людей.</w:t>
      </w:r>
    </w:p>
    <w:p w14:paraId="690844C8" w14:textId="77777777" w:rsidR="008D189C" w:rsidRPr="008D189C" w:rsidRDefault="008D189C" w:rsidP="008D189C">
      <w:pPr>
        <w:shd w:val="clear" w:color="auto" w:fill="FFFFFF"/>
        <w:spacing w:before="100" w:beforeAutospacing="1"/>
        <w:ind w:firstLine="700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proofErr w:type="spellStart"/>
      <w:proofErr w:type="gramStart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Сопровождаемость</w:t>
      </w:r>
      <w:proofErr w:type="spellEnd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  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является</w:t>
      </w:r>
      <w:proofErr w:type="gramEnd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 одним из показателей качества ПС, а также важной характеристикой для заказчика, поставщика и пользователя.</w:t>
      </w:r>
    </w:p>
    <w:p w14:paraId="7D4391F5" w14:textId="77777777" w:rsidR="008D189C" w:rsidRPr="008D189C" w:rsidRDefault="008D189C" w:rsidP="008D189C">
      <w:pPr>
        <w:spacing w:before="100" w:beforeAutospacing="1"/>
        <w:ind w:right="-35" w:firstLine="7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Возможность сопровождения или </w:t>
      </w:r>
      <w:proofErr w:type="spellStart"/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сопровождаемость</w:t>
      </w:r>
      <w:proofErr w:type="spellEnd"/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программной системы определяется, например, глоссарием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IEEE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(стандарт 610.12-90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Standard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Glossary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for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Software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Engineering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Terminology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, обновление 2002 года) как легкость сопровождения, расширения, адаптации и корректировки для удовлетворения заданных требований. Стандарт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ISO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/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IEC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9126-01 (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Software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Engineering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–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Product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Quality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–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Part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1: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Quality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Model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, 2001 г.) рассматривает возможность сопровождения как одну из характеристик качества.</w:t>
      </w:r>
    </w:p>
    <w:p w14:paraId="24435406" w14:textId="77777777" w:rsidR="008D189C" w:rsidRPr="008D189C" w:rsidRDefault="008D189C" w:rsidP="008D189C">
      <w:pPr>
        <w:spacing w:before="100" w:beforeAutospacing="1"/>
        <w:ind w:right="-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         </w:t>
      </w:r>
      <w:proofErr w:type="spellStart"/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Сопровождаемость</w:t>
      </w:r>
      <w:proofErr w:type="spellEnd"/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должна быть определена до разработки программного средства, </w:t>
      </w:r>
      <w:proofErr w:type="spellStart"/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т.е</w:t>
      </w:r>
      <w:proofErr w:type="spellEnd"/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подготовлено соответствующее соглашение между заказчиком и поставщиком как часть работы «подготовка» из процесса заказа по (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ISO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/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IEC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,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 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#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M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12291 1200009075ГОСТ Р ИСО/МЭК) 12207#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S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. Разработчик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lastRenderedPageBreak/>
        <w:t xml:space="preserve">формирует план сопровождения, в котором должны быть отражены конкретные методы обеспечения </w:t>
      </w:r>
      <w:proofErr w:type="spellStart"/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сопровождаемости</w:t>
      </w:r>
      <w:proofErr w:type="spellEnd"/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ПС, соответствующие ресурсы и алгоритм выполнения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  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работ.</w:t>
      </w:r>
    </w:p>
    <w:p w14:paraId="45FB32EF" w14:textId="77777777" w:rsidR="008D189C" w:rsidRPr="008D189C" w:rsidRDefault="008D189C" w:rsidP="008D189C">
      <w:pPr>
        <w:shd w:val="clear" w:color="auto" w:fill="FFFFFF"/>
        <w:spacing w:before="100" w:beforeAutospacing="1"/>
        <w:ind w:firstLine="700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Качество программного средства является важным аспектом сопровождения программного продукта. Сопроводители должны иметь программу обеспечения качества программного средства, охватывающую шесть характеристик качества, установленных в 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ISO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/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IEC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 9126. При сопровождении программного средства должен быть реализован соответствующий процесс для определения, описания, выбора, применения и совершенствования методик оценки (измерения) характеристик данного средства.</w:t>
      </w:r>
    </w:p>
    <w:p w14:paraId="50DDE2F9" w14:textId="77777777" w:rsidR="008D189C" w:rsidRPr="008D189C" w:rsidRDefault="008D189C" w:rsidP="008D189C">
      <w:pPr>
        <w:shd w:val="clear" w:color="auto" w:fill="FFFFFF"/>
        <w:spacing w:before="100" w:beforeAutospacing="1"/>
        <w:ind w:firstLine="700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Для уменьшения стоимости дальнейшего сопровождения, на протяжении всего процесса разработки необходимо специфицировать, оценивать и контролировать характеристики, влияющие на возможность сопровождения. Регулярное проведение таких работ облегчает дальнейшее сопровождение, повышая его </w:t>
      </w:r>
      <w:proofErr w:type="spellStart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сопровождаемость</w:t>
      </w:r>
      <w:proofErr w:type="spellEnd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 (как характеристику качества).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  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Добиться этого достаточно сложно, поскольку такого рода характеристики часто игнорируются при разработке.</w:t>
      </w:r>
    </w:p>
    <w:p w14:paraId="6B5956BA" w14:textId="77777777" w:rsidR="008D189C" w:rsidRPr="008D189C" w:rsidRDefault="008D189C" w:rsidP="008D189C">
      <w:pPr>
        <w:shd w:val="clear" w:color="auto" w:fill="FFFFFF"/>
        <w:spacing w:before="100" w:beforeAutospacing="1"/>
        <w:ind w:firstLine="700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Как уже рассматривалось ранее, сопровождение ПС является затратным этапом жизненного цикла, для оптимизации работ которого, необходимо применять различные методы по оценке стоимости сопровождения.</w:t>
      </w:r>
    </w:p>
    <w:p w14:paraId="5D610977" w14:textId="77777777" w:rsidR="008D189C" w:rsidRPr="008D189C" w:rsidRDefault="008D189C" w:rsidP="008D189C">
      <w:pPr>
        <w:spacing w:before="100" w:beforeAutospacing="1"/>
        <w:ind w:right="-3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На стоимость работ по сопровождению оказывает влияние множество различных факторов.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ISO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/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IEC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proofErr w:type="gramStart"/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14764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  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определяет</w:t>
      </w:r>
      <w:proofErr w:type="gramEnd"/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, что «существует два наиболее популярных метода оценки стоимости сопровождения: – параметрическая модель и использование опыта». Чаще всего, оба этих подхода комбинируются для повышения точности оценки.</w:t>
      </w:r>
    </w:p>
    <w:p w14:paraId="6EB509A5" w14:textId="77777777" w:rsidR="008D189C" w:rsidRPr="008D189C" w:rsidRDefault="008D189C" w:rsidP="008D189C">
      <w:pPr>
        <w:spacing w:before="100" w:beforeAutospacing="1"/>
        <w:ind w:right="-3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Существуют различные методы внутренней оценки продуктивности персонала сопровождения для сравнения работы различных групп сопровождения. Организация, ведущая сопровождение, должна определить метрики, по которым будут оцениваться соответствующие работы. Стандарты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IEEE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1219 и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ISO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/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IEC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9126-01 (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Software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Engineering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–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Product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Quality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–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Part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1: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Quality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Model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, 2001 г.) предлагают специализированные метрики, ориентированные именно на вопросы сопровождения и соответствующие программы.</w:t>
      </w:r>
    </w:p>
    <w:p w14:paraId="324002F7" w14:textId="77777777" w:rsidR="008D189C" w:rsidRPr="008D189C" w:rsidRDefault="008D189C" w:rsidP="008D189C">
      <w:pPr>
        <w:shd w:val="clear" w:color="auto" w:fill="FFFFFF"/>
        <w:spacing w:before="100" w:beforeAutospacing="1"/>
        <w:ind w:firstLine="700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Работы по сопровождению должны быть строго регламентированы и описаны, содержать детальные входы и выходы процессов. Эти процессы рассматриваются в стандартах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 IEEE 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1219 и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 ISO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/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IEC 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14764.</w:t>
      </w:r>
    </w:p>
    <w:p w14:paraId="5CBE99AB" w14:textId="77777777" w:rsidR="008D189C" w:rsidRPr="008D189C" w:rsidRDefault="008D189C" w:rsidP="008D189C">
      <w:pPr>
        <w:shd w:val="clear" w:color="auto" w:fill="FFFFFF"/>
        <w:spacing w:before="100" w:beforeAutospacing="1"/>
        <w:ind w:firstLine="700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lastRenderedPageBreak/>
        <w:t xml:space="preserve">Процесс сопровождения начинается по стандарту 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IEEE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 1219 с момента передачи ПС в эксплуатацию и касается таких вопросов, как планирование деятельности по сопровождению.</w:t>
      </w:r>
    </w:p>
    <w:p w14:paraId="171A0A18" w14:textId="77777777" w:rsidR="008D189C" w:rsidRPr="008D189C" w:rsidRDefault="008D189C" w:rsidP="008D189C">
      <w:pPr>
        <w:shd w:val="clear" w:color="auto" w:fill="FFFFFF"/>
        <w:spacing w:before="100" w:beforeAutospacing="1"/>
        <w:ind w:firstLine="700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Стандарт 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ISO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/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IEC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 14764 уточняет положения стандарта жизненного цикла 12207, связанные с процессом сопровождения. Работы по сопровождению, описанные в этом стандарте, аналогичны работам в 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IEEE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 1219, за исключением того, что сгруппированы несколько иначе.</w:t>
      </w:r>
    </w:p>
    <w:p w14:paraId="5D01ED72" w14:textId="77777777" w:rsidR="008D189C" w:rsidRPr="008D189C" w:rsidRDefault="008D189C" w:rsidP="008D189C">
      <w:pPr>
        <w:shd w:val="clear" w:color="auto" w:fill="FFFFFF"/>
        <w:spacing w:before="100" w:beforeAutospacing="1"/>
        <w:ind w:firstLine="700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Рассмотрим подробнее выдержки из стандарта ГОСТ Р ИСО/МЭК 14764-2002, содержащего полный аутентичный текст международного стандарта 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ISO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/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IEC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 14764.</w:t>
      </w:r>
    </w:p>
    <w:p w14:paraId="2DFF0721" w14:textId="77777777" w:rsidR="008D189C" w:rsidRPr="008D189C" w:rsidRDefault="008D189C" w:rsidP="008D189C">
      <w:pPr>
        <w:spacing w:before="100" w:beforeAutospacing="1"/>
        <w:ind w:right="-35" w:firstLine="7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В соответствии с ГОСТ Р ИСО/МЭК 14764-2002, описывающем процесс сопровождения программных средств, подробности процесса сопровождения ПС должны быть документально оформлены, чтобы персонал сопровождения действовал в рамках единого процесса. Система показателей (метрик) качества должна содействовать реализации процесса сопровождения и способствовать усовершенствованию (модернизации) данного ПС.</w:t>
      </w:r>
    </w:p>
    <w:p w14:paraId="2BC1593A" w14:textId="77777777" w:rsidR="008D189C" w:rsidRPr="008D189C" w:rsidRDefault="008D189C" w:rsidP="008D189C">
      <w:pPr>
        <w:spacing w:before="100" w:beforeAutospacing="1"/>
        <w:ind w:right="-35" w:firstLine="7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Сопроводитель должен (5.5.2.1 ГОСТ Р ИСО/МЭК 12207) проанализировать отчет (сообщение) о проблеме или предложение о модификации по их влиянию на организационные вопросы, существующую систему и интерфейсные связи с другими системами.</w:t>
      </w:r>
    </w:p>
    <w:p w14:paraId="3388D08D" w14:textId="77777777" w:rsidR="008D189C" w:rsidRPr="008D189C" w:rsidRDefault="008D189C" w:rsidP="008D189C">
      <w:pPr>
        <w:spacing w:before="100" w:beforeAutospacing="1"/>
        <w:ind w:right="-35" w:firstLine="7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На основе проведенного анализа сопроводитель должен (5.5.2.3 ГОСТ Р ИСО/МЭК 12207) разработать варианты реализации изменения. До внесения изменений в систему сопроводитель должен (см. 5.5.2.5 ГОСТ Р ИСО/МЭК 12207) получить согласование выбранного варианта изменения в соответствии с договором и подтверждение того, что внесенное изменение удовлетворяет требованиям, установленным в договоре (см. 5.5.4.2 ГОСТ Р ИСО/МЭК 12207). Сопроводитель должен (5.5.2.4 ГОСТ Р ИСО/МЭК 12207) документально оформить: отчет о проблеме или предложение о модификации, результаты их анализа и варианты реализации изменений.</w:t>
      </w:r>
    </w:p>
    <w:p w14:paraId="22B579D5" w14:textId="77777777" w:rsidR="008D189C" w:rsidRPr="008D189C" w:rsidRDefault="008D189C" w:rsidP="008D189C">
      <w:pPr>
        <w:spacing w:before="100" w:beforeAutospacing="1"/>
        <w:ind w:right="-35" w:firstLine="7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Для соответствующего контроля переноса системы должен быть (5.5.5.2 ГОСТ Р ИСО/МЭК 12207) разработан, документально оформлен и выполнен план переноса объекта. К планируемым работам должны быть привлечены пользователи.</w:t>
      </w:r>
    </w:p>
    <w:p w14:paraId="270F943B" w14:textId="77777777" w:rsidR="008D189C" w:rsidRPr="008D189C" w:rsidRDefault="008D189C" w:rsidP="008D189C">
      <w:pPr>
        <w:spacing w:before="100" w:beforeAutospacing="1"/>
        <w:ind w:right="-35" w:firstLine="7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Для деятельности по сопровождению существует ряд уникальных работ и практик, которые необходимо учитывать при организации сопровождения.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SWEBOK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(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Software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Engineering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Body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of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Knowledge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) приводит следующие примеры такого рода уникальных характеристик.</w:t>
      </w:r>
    </w:p>
    <w:p w14:paraId="1BB66996" w14:textId="77777777" w:rsidR="008D189C" w:rsidRPr="008D189C" w:rsidRDefault="008D189C" w:rsidP="008D189C">
      <w:pPr>
        <w:spacing w:before="100" w:beforeAutospacing="1"/>
        <w:ind w:right="-35" w:firstLine="7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Style w:val="a5"/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lastRenderedPageBreak/>
        <w:t>Передача: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 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контролируемая и координируемая деятельность по передаче программного обеспечения от разработчиков группе, службе или организации, отвечающей за дальнейшую поддержку.</w:t>
      </w:r>
    </w:p>
    <w:p w14:paraId="3FFD6447" w14:textId="77777777" w:rsidR="008D189C" w:rsidRPr="008D189C" w:rsidRDefault="008D189C" w:rsidP="008D189C">
      <w:pPr>
        <w:spacing w:before="100" w:beforeAutospacing="1"/>
        <w:ind w:right="-35" w:firstLine="7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Style w:val="a5"/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Принятие/отклонение запросов на модификацию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: запросы на изменения могут как приниматься и передаваться в работу, так и отклоняться по различным обоснованным причинам – объему и/или сложности требуемых изменений, а также необходимых для этого усилий. Соответствующие решения могут также приниматься на основе приоритетности, оценке обоснованности, отсутствии ресурсов (в том числе, отсутствия возможности привлечения разработчиков к решению задач по модификации, при реальном наличии такой потребности), утвержденной </w:t>
      </w:r>
      <w:proofErr w:type="spellStart"/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запланированности</w:t>
      </w:r>
      <w:proofErr w:type="spellEnd"/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к реализации в следующем релизе и т.п.</w:t>
      </w:r>
    </w:p>
    <w:p w14:paraId="76FCC7E3" w14:textId="77777777" w:rsidR="008D189C" w:rsidRPr="008D189C" w:rsidRDefault="008D189C" w:rsidP="008D189C">
      <w:pPr>
        <w:spacing w:before="100" w:beforeAutospacing="1"/>
        <w:ind w:right="-35" w:firstLine="7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Style w:val="a5"/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Средства извещения персонала сопровождения и отслеживания статуса запросов на модификацию и отчетов об ошибках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: функция поддержки конечных пользователей, инициирующая работы по оценке необходимости, анализу приоритетности и стоимости модификаций, связанных с поступившим запросом или сообщенной проблемой.</w:t>
      </w:r>
    </w:p>
    <w:p w14:paraId="5A8D5656" w14:textId="77777777" w:rsidR="008D189C" w:rsidRPr="008D189C" w:rsidRDefault="008D189C" w:rsidP="008D189C">
      <w:pPr>
        <w:spacing w:before="100" w:beforeAutospacing="1"/>
        <w:ind w:right="-35" w:firstLine="7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Style w:val="a5"/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Анализ влияния: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 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анализ возможных последствий изменений, вносимых в существующую систему.</w:t>
      </w:r>
    </w:p>
    <w:p w14:paraId="7B35F948" w14:textId="77777777" w:rsidR="008D189C" w:rsidRPr="008D189C" w:rsidRDefault="008D189C" w:rsidP="008D189C">
      <w:pPr>
        <w:spacing w:before="100" w:beforeAutospacing="1"/>
        <w:ind w:right="-35" w:firstLine="7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Style w:val="a5"/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Поддержка программного обеспечения: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 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работы по консультированию пользователей, проводимые в ответ на их информационные запросы, например, касающиеся соответствующих бизнес-правил, проверки, содержания данных и специфических вопросов пользователей и их сообщений о проблемах (ошибках, сбоях, непредусмотренному поведению, непониманию аспектов работы с системой и т.п.).</w:t>
      </w:r>
    </w:p>
    <w:p w14:paraId="60A92967" w14:textId="77777777" w:rsidR="008D189C" w:rsidRPr="008D189C" w:rsidRDefault="008D189C" w:rsidP="008D189C">
      <w:pPr>
        <w:spacing w:before="100" w:beforeAutospacing="1"/>
        <w:ind w:right="-35" w:firstLine="7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Style w:val="a5"/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Контракты и обязательства: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 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к ним относятся классическое соглашение об уровне предоставляемого сервиса –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Service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Level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Agreement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 (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SLA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), а также другие договорные аспекты, на основании которых, группа/служба/организация по сопровождению выполняет соответствующие работы.</w:t>
      </w:r>
    </w:p>
    <w:p w14:paraId="54A64423" w14:textId="77777777" w:rsidR="008D189C" w:rsidRPr="008D189C" w:rsidRDefault="008D189C" w:rsidP="008D189C">
      <w:pPr>
        <w:spacing w:before="100" w:beforeAutospacing="1"/>
        <w:ind w:right="-35" w:firstLine="7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 xml:space="preserve">Кроме того, существуют дополнительные работы, поддерживающие процесс сопровождения, описываемые 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bidi="ar"/>
        </w:rPr>
        <w:t>SWEBOK</w:t>
      </w:r>
      <w:r w:rsidRPr="008D189C">
        <w:rPr>
          <w:rFonts w:ascii="Times New Roman" w:eastAsia="Georgia" w:hAnsi="Times New Roman" w:cs="Times New Roman"/>
          <w:sz w:val="28"/>
          <w:szCs w:val="28"/>
          <w:shd w:val="clear" w:color="auto" w:fill="FFFFFF"/>
          <w:lang w:val="ru-RU" w:bidi="ar"/>
        </w:rPr>
        <w:t>, как работы персонала сопровождения, не включающие явного взаимодействия с пользователями, но необходимые для осуществления соответствующей деятельности. К таким работам относятся: планирование сопровождения, конфигурационное управление, проверка и аттестация, оценка качества программного обеспечения, различные аспекты обзора, анализа и оценки, аудит и обучение пользователей. Также к таким специальным (внутренним) работам относится обучение персонала сопровождения.</w:t>
      </w:r>
    </w:p>
    <w:p w14:paraId="66EAA61E" w14:textId="785E5248" w:rsidR="008D189C" w:rsidRPr="008D189C" w:rsidRDefault="008D189C" w:rsidP="008D189C">
      <w:pPr>
        <w:shd w:val="clear" w:color="auto" w:fill="FFFFFF"/>
        <w:spacing w:before="100" w:beforeAutospacing="1"/>
        <w:ind w:firstLine="700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lastRenderedPageBreak/>
        <w:t>П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роцесс сопровождения информационных систем, рассмотренных выше, существуют различные руководящие документы и внутрифирменные (корпоративные) стандарты, основой которых являются международные стандарты. При этом особое внимание уделяется качеству документации, которое во многом определяет конкурентоспособность программных средств. При создании сложных программных продуктов и обеспечении их жизненного цикла необходимо сделать выборку нужных стандартов и сформировать весь комплект документов, </w:t>
      </w:r>
      <w:proofErr w:type="spellStart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т.е</w:t>
      </w:r>
      <w:proofErr w:type="spellEnd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 профиль, обеспечивающий регламентирование всех этапов и работ по сопровождению.</w:t>
      </w:r>
    </w:p>
    <w:p w14:paraId="52F3AAC8" w14:textId="77777777" w:rsidR="008D189C" w:rsidRPr="008D189C" w:rsidRDefault="008D189C" w:rsidP="008D189C">
      <w:pPr>
        <w:shd w:val="clear" w:color="auto" w:fill="FFFFFF"/>
        <w:spacing w:before="100" w:beforeAutospacing="1"/>
        <w:ind w:firstLine="700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 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Рассмотрим применение стандартов по сопровождению информационных систем на конкретном примере.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 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Качественное функционирование системы предполагает постоянную адаптацию к изменяющимся бизнес-процессам организации, а также быстрое реагирование на сбои и устранение неполадок. В связи с этим руководством ЗАО «Фирма «</w:t>
      </w:r>
      <w:proofErr w:type="spellStart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СофтИнКом</w:t>
      </w:r>
      <w:proofErr w:type="spellEnd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» было принято решение о необходимости заключения договора с разработчиками корпоративной информационной системы (КИС) «Восточный экспресс» на обновление </w:t>
      </w:r>
      <w:proofErr w:type="gramStart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и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  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сопровождение</w:t>
      </w:r>
      <w:proofErr w:type="gramEnd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 системы.</w:t>
      </w:r>
    </w:p>
    <w:p w14:paraId="68EBAB59" w14:textId="77777777" w:rsidR="008D189C" w:rsidRPr="008D189C" w:rsidRDefault="008D189C" w:rsidP="008D189C">
      <w:pPr>
        <w:shd w:val="clear" w:color="auto" w:fill="FFFFFF"/>
        <w:spacing w:before="100" w:beforeAutospacing="1"/>
        <w:ind w:firstLine="700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Сопровождение КИС «Восточный экспресс» включает в себя сопровождение нескольких типов (по ГОСТу Р ИСО МЭК 14764-2002). А именно корректирующее сопровождение, которое связано с изменениями, вызванными необходимостью устранения (исправления) фактических ошибок в программном продукте. Корректирующее сопровождение проводят в случае несоответствия программного продукта установленным требованиям. А также адаптивное и полное сопровождение, модернизирующее программный продукт.</w:t>
      </w:r>
    </w:p>
    <w:p w14:paraId="3419565D" w14:textId="77777777" w:rsidR="008D189C" w:rsidRPr="008D189C" w:rsidRDefault="008D189C" w:rsidP="008D189C">
      <w:pPr>
        <w:shd w:val="clear" w:color="auto" w:fill="FFFFFF"/>
        <w:spacing w:before="100" w:beforeAutospacing="1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         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Потребность в корректирующем сопровождении появляется при возникновении системных ошибок, а также ошибок по вине пользователя. </w:t>
      </w:r>
      <w:proofErr w:type="gramStart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К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  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ошибкам</w:t>
      </w:r>
      <w:proofErr w:type="gramEnd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 по вине пользователя относится, например, случайное удаление важных данных, что приводит к необходимости использования резервной копии системы. Системные ошибки возникают достаточно часто, особенно после установки новых релизов, так как новые релизы предполагают достаточно серьезные изменения в существующих технологиях обработки данных, подключение новых модулей.</w:t>
      </w:r>
    </w:p>
    <w:p w14:paraId="4B13103E" w14:textId="77777777" w:rsidR="008D189C" w:rsidRPr="008D189C" w:rsidRDefault="008D189C" w:rsidP="008D189C">
      <w:pPr>
        <w:shd w:val="clear" w:color="auto" w:fill="FFFFFF"/>
        <w:spacing w:before="100" w:beforeAutospacing="1"/>
        <w:ind w:firstLine="700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Необходимость в адаптивном сопровождении появляется при изменениях в функционировании какого-либо бизнес-процесса (проведение акции, изменение внешних печатных форм, распоряжение из головного офиса и др.), либо при неудобном осуществлении каких-либо операций, что требует изменений в системном интерфейсе.</w:t>
      </w:r>
    </w:p>
    <w:p w14:paraId="3562E7ED" w14:textId="77777777" w:rsidR="008D189C" w:rsidRPr="008D189C" w:rsidRDefault="008D189C" w:rsidP="008D189C">
      <w:pPr>
        <w:shd w:val="clear" w:color="auto" w:fill="FFFFFF"/>
        <w:spacing w:before="100" w:beforeAutospacing="1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         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Полное сопровождение осуществляется намного реже других типов сопровождений. Оно </w:t>
      </w:r>
      <w:proofErr w:type="gramStart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проводится</w:t>
      </w:r>
      <w:proofErr w:type="gramEnd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 когда возникает множество однотипных 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lastRenderedPageBreak/>
        <w:t>инцидентов, просьбы и пожелания пользователей, а также после проведения проектировщиками КИС анализа возможностей системы.</w:t>
      </w:r>
    </w:p>
    <w:p w14:paraId="2E683AED" w14:textId="77777777" w:rsidR="008D189C" w:rsidRPr="008D189C" w:rsidRDefault="008D189C" w:rsidP="008D189C">
      <w:pPr>
        <w:shd w:val="clear" w:color="auto" w:fill="FFFFFF"/>
        <w:spacing w:before="100" w:beforeAutospacing="1"/>
        <w:ind w:firstLine="700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Работы по сопровождению условно можно разделить на четыре </w:t>
      </w:r>
      <w:proofErr w:type="gramStart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этапа: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  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анализ</w:t>
      </w:r>
      <w:proofErr w:type="gramEnd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 дефектов и модификаций, реализация модификаций, оценка и принятие результатов сопровождения, перенос на иную платформу. Каждый из данных этапов содержит определенные входные данные, выходные данные и должен быть задокументирован.</w:t>
      </w:r>
    </w:p>
    <w:p w14:paraId="6FA9690A" w14:textId="4D8B6CAF" w:rsidR="008D189C" w:rsidRPr="008D189C" w:rsidRDefault="008D189C" w:rsidP="008D189C">
      <w:pPr>
        <w:shd w:val="clear" w:color="auto" w:fill="FFFFFF"/>
        <w:spacing w:before="100" w:beforeAutospacing="1"/>
        <w:ind w:firstLine="700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В таблице </w:t>
      </w:r>
      <w:r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1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 приведены основные этапы сопровождения и выход в параграфе сопроводительной документации.</w:t>
      </w:r>
    </w:p>
    <w:p w14:paraId="512FA7C2" w14:textId="2B48BC30" w:rsidR="008D189C" w:rsidRPr="008D189C" w:rsidRDefault="008D189C" w:rsidP="008D189C">
      <w:pPr>
        <w:shd w:val="clear" w:color="auto" w:fill="FFFFFF"/>
        <w:spacing w:before="100" w:beforeAutospacing="1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 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Таблица </w:t>
      </w:r>
      <w:r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1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. Этапы процесса сопровождения информационной системы</w:t>
      </w:r>
    </w:p>
    <w:p w14:paraId="2C439286" w14:textId="77777777" w:rsidR="008D189C" w:rsidRPr="008D189C" w:rsidRDefault="008D189C" w:rsidP="008D189C">
      <w:pPr>
        <w:shd w:val="clear" w:color="auto" w:fill="FFFFFF"/>
        <w:spacing w:before="100" w:beforeAutospacing="1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 </w:t>
      </w:r>
    </w:p>
    <w:tbl>
      <w:tblPr>
        <w:tblW w:w="9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2100"/>
        <w:gridCol w:w="2760"/>
        <w:gridCol w:w="2106"/>
      </w:tblGrid>
      <w:tr w:rsidR="008D189C" w:rsidRPr="008D189C" w14:paraId="4B8BCCFB" w14:textId="77777777" w:rsidTr="008D189C">
        <w:trPr>
          <w:trHeight w:val="420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vAlign w:val="center"/>
            <w:hideMark/>
          </w:tcPr>
          <w:p w14:paraId="3758D860" w14:textId="77777777" w:rsidR="008D189C" w:rsidRPr="008D189C" w:rsidRDefault="008D189C">
            <w:pPr>
              <w:spacing w:before="100" w:before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>Входные</w:t>
            </w:r>
            <w:proofErr w:type="spellEnd"/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 xml:space="preserve"> </w:t>
            </w:r>
            <w:proofErr w:type="spellStart"/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>данные</w:t>
            </w:r>
            <w:proofErr w:type="spellEnd"/>
          </w:p>
        </w:tc>
        <w:tc>
          <w:tcPr>
            <w:tcW w:w="1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vAlign w:val="center"/>
            <w:hideMark/>
          </w:tcPr>
          <w:p w14:paraId="6671AF78" w14:textId="77777777" w:rsidR="008D189C" w:rsidRPr="008D189C" w:rsidRDefault="008D189C">
            <w:pPr>
              <w:spacing w:before="100" w:before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>Этап</w:t>
            </w:r>
            <w:proofErr w:type="spellEnd"/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 xml:space="preserve"> </w:t>
            </w:r>
            <w:proofErr w:type="spellStart"/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>сопровождения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vAlign w:val="center"/>
            <w:hideMark/>
          </w:tcPr>
          <w:p w14:paraId="32656B35" w14:textId="77777777" w:rsidR="008D189C" w:rsidRPr="008D189C" w:rsidRDefault="008D189C">
            <w:pPr>
              <w:spacing w:before="100" w:before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>Выходные</w:t>
            </w:r>
            <w:proofErr w:type="spellEnd"/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 xml:space="preserve"> </w:t>
            </w:r>
            <w:proofErr w:type="spellStart"/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>данные</w:t>
            </w:r>
            <w:proofErr w:type="spellEnd"/>
          </w:p>
        </w:tc>
        <w:tc>
          <w:tcPr>
            <w:tcW w:w="30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vAlign w:val="center"/>
            <w:hideMark/>
          </w:tcPr>
          <w:p w14:paraId="77CE9735" w14:textId="77777777" w:rsidR="008D189C" w:rsidRPr="008D189C" w:rsidRDefault="008D189C">
            <w:pPr>
              <w:spacing w:before="100" w:before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>Выход</w:t>
            </w:r>
            <w:proofErr w:type="spellEnd"/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 xml:space="preserve"> в </w:t>
            </w:r>
            <w:proofErr w:type="spellStart"/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>параграфе</w:t>
            </w:r>
            <w:proofErr w:type="spellEnd"/>
          </w:p>
        </w:tc>
      </w:tr>
      <w:tr w:rsidR="008D189C" w:rsidRPr="008D189C" w14:paraId="05BFD692" w14:textId="77777777" w:rsidTr="008D189C">
        <w:trPr>
          <w:trHeight w:val="1420"/>
        </w:trPr>
        <w:tc>
          <w:tcPr>
            <w:tcW w:w="2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4D43956B" w14:textId="77777777" w:rsidR="008D189C" w:rsidRPr="008D189C" w:rsidRDefault="008D189C">
            <w:pPr>
              <w:spacing w:before="100" w:beforeAutospac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189C">
              <w:rPr>
                <w:rFonts w:ascii="Times New Roman" w:eastAsia="Georgia" w:hAnsi="Times New Roman" w:cs="Times New Roman"/>
                <w:color w:val="111111"/>
                <w:sz w:val="28"/>
                <w:szCs w:val="28"/>
                <w:lang w:val="ru-RU" w:bidi="ar"/>
              </w:rPr>
              <w:t>Базовая версия АС,</w:t>
            </w:r>
          </w:p>
          <w:p w14:paraId="34C81AB7" w14:textId="77777777" w:rsidR="008D189C" w:rsidRPr="008D189C" w:rsidRDefault="008D189C">
            <w:pPr>
              <w:spacing w:before="100" w:beforeAutospac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189C">
              <w:rPr>
                <w:rFonts w:ascii="Times New Roman" w:eastAsia="Georgia" w:hAnsi="Times New Roman" w:cs="Times New Roman"/>
                <w:color w:val="111111"/>
                <w:sz w:val="28"/>
                <w:szCs w:val="28"/>
                <w:lang w:val="ru-RU" w:bidi="ar"/>
              </w:rPr>
              <w:t>сообщения об ошибках от пользователей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7BB5A715" w14:textId="77777777" w:rsidR="008D189C" w:rsidRPr="008D189C" w:rsidRDefault="008D189C">
            <w:pPr>
              <w:spacing w:before="100" w:before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>Анализ</w:t>
            </w:r>
            <w:proofErr w:type="spellEnd"/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 xml:space="preserve"> </w:t>
            </w:r>
            <w:proofErr w:type="spellStart"/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>дефектов</w:t>
            </w:r>
            <w:proofErr w:type="spellEnd"/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 xml:space="preserve"> и </w:t>
            </w:r>
            <w:proofErr w:type="spellStart"/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>модификаций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02D7D136" w14:textId="77777777" w:rsidR="008D189C" w:rsidRPr="008D189C" w:rsidRDefault="008D189C">
            <w:pPr>
              <w:spacing w:before="100" w:beforeAutospac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189C">
              <w:rPr>
                <w:rFonts w:ascii="Times New Roman" w:eastAsia="Georgia" w:hAnsi="Times New Roman" w:cs="Times New Roman"/>
                <w:color w:val="111111"/>
                <w:sz w:val="28"/>
                <w:szCs w:val="28"/>
                <w:lang w:val="ru-RU" w:bidi="ar"/>
              </w:rPr>
              <w:t>Подтверждение (не подтверждение) ошибки или дефекта, пример модификации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2C81AC68" w14:textId="77777777" w:rsidR="008D189C" w:rsidRPr="008D189C" w:rsidRDefault="008D189C">
            <w:pPr>
              <w:spacing w:before="100" w:beforeAutospac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189C">
              <w:rPr>
                <w:rFonts w:ascii="Times New Roman" w:eastAsia="Georgia" w:hAnsi="Times New Roman" w:cs="Times New Roman"/>
                <w:color w:val="111111"/>
                <w:sz w:val="28"/>
                <w:szCs w:val="28"/>
                <w:lang w:val="ru-RU" w:bidi="ar"/>
              </w:rPr>
              <w:t>Выдержки из отчётов пользователей о выявленных дефектах и предложения по корректировке.</w:t>
            </w:r>
          </w:p>
        </w:tc>
      </w:tr>
      <w:tr w:rsidR="008D189C" w:rsidRPr="008D189C" w14:paraId="20C6B0C7" w14:textId="77777777" w:rsidTr="008D189C">
        <w:trPr>
          <w:trHeight w:val="1940"/>
        </w:trPr>
        <w:tc>
          <w:tcPr>
            <w:tcW w:w="2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2B975FC7" w14:textId="77777777" w:rsidR="008D189C" w:rsidRPr="008D189C" w:rsidRDefault="008D189C">
            <w:pPr>
              <w:spacing w:before="100" w:beforeAutospac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189C">
              <w:rPr>
                <w:rFonts w:ascii="Times New Roman" w:eastAsia="Georgia" w:hAnsi="Times New Roman" w:cs="Times New Roman"/>
                <w:color w:val="111111"/>
                <w:sz w:val="28"/>
                <w:szCs w:val="28"/>
                <w:lang w:val="ru-RU" w:bidi="ar"/>
              </w:rPr>
              <w:t>Принятые предложения о модификации, задокументированные в Журнале выявленных дефектов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69422CBB" w14:textId="77777777" w:rsidR="008D189C" w:rsidRPr="008D189C" w:rsidRDefault="008D189C">
            <w:pPr>
              <w:spacing w:before="100" w:before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>Реализация</w:t>
            </w:r>
            <w:proofErr w:type="spellEnd"/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 xml:space="preserve"> </w:t>
            </w:r>
            <w:proofErr w:type="spellStart"/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>модификации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2ABB012A" w14:textId="77777777" w:rsidR="008D189C" w:rsidRPr="008D189C" w:rsidRDefault="008D189C">
            <w:pPr>
              <w:spacing w:before="100" w:before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89C">
              <w:rPr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>Реализованные</w:t>
            </w:r>
            <w:proofErr w:type="spellEnd"/>
            <w:r w:rsidRPr="008D189C">
              <w:rPr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 xml:space="preserve"> и </w:t>
            </w:r>
            <w:proofErr w:type="spellStart"/>
            <w:r w:rsidRPr="008D189C">
              <w:rPr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>задокументированные</w:t>
            </w:r>
            <w:proofErr w:type="spellEnd"/>
            <w:r w:rsidRPr="008D189C">
              <w:rPr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 xml:space="preserve"> </w:t>
            </w:r>
            <w:proofErr w:type="spellStart"/>
            <w:r w:rsidRPr="008D189C">
              <w:rPr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>изменения</w:t>
            </w:r>
            <w:proofErr w:type="spellEnd"/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63286C11" w14:textId="77777777" w:rsidR="008D189C" w:rsidRPr="008D189C" w:rsidRDefault="008D189C">
            <w:pPr>
              <w:spacing w:before="100" w:beforeAutospac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189C">
              <w:rPr>
                <w:rFonts w:ascii="Times New Roman" w:eastAsia="Georgia" w:hAnsi="Times New Roman" w:cs="Times New Roman"/>
                <w:color w:val="111111"/>
                <w:sz w:val="28"/>
                <w:szCs w:val="28"/>
                <w:lang w:val="ru-RU" w:bidi="ar"/>
              </w:rPr>
              <w:t>Определение того, что подлежит модификации (анализ журнала выявленных дефектов и предложений по корректировке).</w:t>
            </w:r>
          </w:p>
        </w:tc>
      </w:tr>
      <w:tr w:rsidR="008D189C" w:rsidRPr="008D189C" w14:paraId="6F5D9B76" w14:textId="77777777" w:rsidTr="008D189C">
        <w:trPr>
          <w:trHeight w:val="720"/>
        </w:trPr>
        <w:tc>
          <w:tcPr>
            <w:tcW w:w="2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01788BA7" w14:textId="77777777" w:rsidR="008D189C" w:rsidRPr="008D189C" w:rsidRDefault="008D189C">
            <w:pPr>
              <w:spacing w:before="100" w:beforeAutospac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189C">
              <w:rPr>
                <w:rFonts w:ascii="Times New Roman" w:eastAsia="Georgia" w:hAnsi="Times New Roman" w:cs="Times New Roman"/>
                <w:color w:val="111111"/>
                <w:sz w:val="28"/>
                <w:szCs w:val="28"/>
                <w:lang w:val="ru-RU" w:bidi="ar"/>
              </w:rPr>
              <w:t>Проведённые модификации, задокументированн</w:t>
            </w:r>
            <w:r w:rsidRPr="008D189C">
              <w:rPr>
                <w:rFonts w:ascii="Times New Roman" w:eastAsia="Georgia" w:hAnsi="Times New Roman" w:cs="Times New Roman"/>
                <w:color w:val="111111"/>
                <w:sz w:val="28"/>
                <w:szCs w:val="28"/>
                <w:lang w:val="ru-RU" w:bidi="ar"/>
              </w:rPr>
              <w:lastRenderedPageBreak/>
              <w:t>ые в журнале подготовленных и утвержденных корректировок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0892327B" w14:textId="77777777" w:rsidR="008D189C" w:rsidRPr="008D189C" w:rsidRDefault="008D189C">
            <w:pPr>
              <w:spacing w:before="100" w:beforeAutospac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val="ru-RU" w:bidi="ar"/>
              </w:rPr>
              <w:lastRenderedPageBreak/>
              <w:t xml:space="preserve">Оценка и принятие результатов </w:t>
            </w:r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val="ru-RU" w:bidi="ar"/>
              </w:rPr>
              <w:lastRenderedPageBreak/>
              <w:t>сопровождения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6BA73D9F" w14:textId="77777777" w:rsidR="008D189C" w:rsidRPr="008D189C" w:rsidRDefault="008D189C">
            <w:pPr>
              <w:spacing w:before="100" w:beforeAutospac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189C">
              <w:rPr>
                <w:rFonts w:ascii="Times New Roman" w:eastAsia="Georgia" w:hAnsi="Times New Roman" w:cs="Times New Roman"/>
                <w:color w:val="111111"/>
                <w:sz w:val="28"/>
                <w:szCs w:val="28"/>
                <w:lang w:val="ru-RU" w:bidi="ar"/>
              </w:rPr>
              <w:lastRenderedPageBreak/>
              <w:t xml:space="preserve">Утверждение на удовлетворительное завершение </w:t>
            </w:r>
            <w:r w:rsidRPr="008D189C">
              <w:rPr>
                <w:rFonts w:ascii="Times New Roman" w:eastAsia="Georgia" w:hAnsi="Times New Roman" w:cs="Times New Roman"/>
                <w:color w:val="111111"/>
                <w:sz w:val="28"/>
                <w:szCs w:val="28"/>
                <w:lang w:val="ru-RU" w:bidi="ar"/>
              </w:rPr>
              <w:lastRenderedPageBreak/>
              <w:t>модификации, как определено в контракте на сопровождение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09F3F729" w14:textId="77777777" w:rsidR="008D189C" w:rsidRPr="008D189C" w:rsidRDefault="008D189C">
            <w:pPr>
              <w:spacing w:before="100" w:beforeAutospac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189C">
              <w:rPr>
                <w:rFonts w:ascii="Times New Roman" w:eastAsia="Georgia" w:hAnsi="Times New Roman" w:cs="Times New Roman"/>
                <w:color w:val="111111"/>
                <w:sz w:val="28"/>
                <w:szCs w:val="28"/>
                <w:lang w:val="ru-RU" w:bidi="ar"/>
              </w:rPr>
              <w:lastRenderedPageBreak/>
              <w:t xml:space="preserve">Подготовленное извещение пользователям </w:t>
            </w:r>
            <w:r w:rsidRPr="008D189C">
              <w:rPr>
                <w:rFonts w:ascii="Times New Roman" w:eastAsia="Georgia" w:hAnsi="Times New Roman" w:cs="Times New Roman"/>
                <w:color w:val="111111"/>
                <w:sz w:val="28"/>
                <w:szCs w:val="28"/>
                <w:lang w:val="ru-RU" w:bidi="ar"/>
              </w:rPr>
              <w:lastRenderedPageBreak/>
              <w:t>о выпуске новой версии АС</w:t>
            </w:r>
          </w:p>
        </w:tc>
      </w:tr>
      <w:tr w:rsidR="008D189C" w:rsidRPr="008D189C" w14:paraId="78CC6C4B" w14:textId="77777777" w:rsidTr="008D189C">
        <w:trPr>
          <w:trHeight w:val="260"/>
        </w:trPr>
        <w:tc>
          <w:tcPr>
            <w:tcW w:w="21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7521E737" w14:textId="77777777" w:rsidR="008D189C" w:rsidRPr="008D189C" w:rsidRDefault="008D189C">
            <w:pPr>
              <w:spacing w:before="100" w:beforeAutospac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D189C">
              <w:rPr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lastRenderedPageBreak/>
              <w:t>Миграционный</w:t>
            </w:r>
            <w:proofErr w:type="spellEnd"/>
            <w:r w:rsidRPr="008D189C">
              <w:rPr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 xml:space="preserve"> </w:t>
            </w:r>
            <w:proofErr w:type="spellStart"/>
            <w:r w:rsidRPr="008D189C">
              <w:rPr>
                <w:rFonts w:ascii="Times New Roman" w:eastAsia="Georgia" w:hAnsi="Times New Roman" w:cs="Times New Roman"/>
                <w:color w:val="111111"/>
                <w:sz w:val="28"/>
                <w:szCs w:val="28"/>
                <w:lang w:bidi="ar"/>
              </w:rPr>
              <w:t>план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30B011CE" w14:textId="77777777" w:rsidR="008D189C" w:rsidRPr="008D189C" w:rsidRDefault="008D189C">
            <w:pPr>
              <w:spacing w:before="100" w:beforeAutospac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189C">
              <w:rPr>
                <w:rStyle w:val="a5"/>
                <w:rFonts w:ascii="Times New Roman" w:eastAsia="Georgia" w:hAnsi="Times New Roman" w:cs="Times New Roman"/>
                <w:color w:val="111111"/>
                <w:sz w:val="28"/>
                <w:szCs w:val="28"/>
                <w:lang w:val="ru-RU" w:bidi="ar"/>
              </w:rPr>
              <w:t>Перенос на иную платформу (в иную среду)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6DA7EA2B" w14:textId="77777777" w:rsidR="008D189C" w:rsidRPr="008D189C" w:rsidRDefault="008D189C">
            <w:pPr>
              <w:spacing w:before="100" w:beforeAutospac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189C">
              <w:rPr>
                <w:rFonts w:ascii="Times New Roman" w:eastAsia="Georgia" w:hAnsi="Times New Roman" w:cs="Times New Roman"/>
                <w:color w:val="111111"/>
                <w:sz w:val="28"/>
                <w:szCs w:val="28"/>
                <w:lang w:val="ru-RU" w:bidi="ar"/>
              </w:rPr>
              <w:t>Выполненный миграционный план, уведомление пользователей о переносе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60" w:type="dxa"/>
              <w:left w:w="140" w:type="dxa"/>
              <w:bottom w:w="60" w:type="dxa"/>
              <w:right w:w="140" w:type="dxa"/>
            </w:tcMar>
            <w:hideMark/>
          </w:tcPr>
          <w:p w14:paraId="5DCF67C2" w14:textId="77777777" w:rsidR="008D189C" w:rsidRPr="008D189C" w:rsidRDefault="008D189C">
            <w:pPr>
              <w:spacing w:before="100" w:beforeAutospacing="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D189C">
              <w:rPr>
                <w:rFonts w:ascii="Times New Roman" w:eastAsia="Georgia" w:hAnsi="Times New Roman" w:cs="Times New Roman"/>
                <w:color w:val="111111"/>
                <w:sz w:val="28"/>
                <w:szCs w:val="28"/>
                <w:lang w:val="ru-RU" w:bidi="ar"/>
              </w:rPr>
              <w:t>Описание миграционного плана. Уведомление пользователя о планах и действиях по перемещению.</w:t>
            </w:r>
          </w:p>
        </w:tc>
      </w:tr>
    </w:tbl>
    <w:p w14:paraId="55636BE3" w14:textId="77777777" w:rsidR="008D189C" w:rsidRPr="008D189C" w:rsidRDefault="008D189C" w:rsidP="008D189C">
      <w:pPr>
        <w:shd w:val="clear" w:color="auto" w:fill="FFFFFF"/>
        <w:spacing w:before="100" w:beforeAutospacing="1"/>
        <w:ind w:firstLine="700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 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В соответствии с 5.5.2.1 ГОСТ Р ИСО/МЭК 12207 сопроводитель должен проанализировать сообщения пользователей о проблеме. Для автоматизации регистрации и учета обращений пользователей КИС «Восточный экспресс» используется система регистрации инцидентов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 </w:t>
      </w:r>
      <w:proofErr w:type="spellStart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MantisBT</w:t>
      </w:r>
      <w:proofErr w:type="spellEnd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.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 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На основе данных, зарегистрированных в системе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 </w:t>
      </w:r>
      <w:proofErr w:type="spellStart"/>
      <w:proofErr w:type="gramStart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MantisBT</w:t>
      </w:r>
      <w:proofErr w:type="spellEnd"/>
      <w:proofErr w:type="gramEnd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 формируется документ «Отчет о дефектах, выявленных пользователями», содержащий следующие поля: номер инцидента, дата создания, категория, суть инцидента, предлагаемое решение.</w:t>
      </w:r>
    </w:p>
    <w:p w14:paraId="622EBA01" w14:textId="77777777" w:rsidR="008D189C" w:rsidRPr="008D189C" w:rsidRDefault="008D189C" w:rsidP="008D189C">
      <w:pPr>
        <w:shd w:val="clear" w:color="auto" w:fill="FFFFFF"/>
        <w:spacing w:before="100" w:beforeAutospacing="1"/>
        <w:ind w:firstLine="700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На основе проведенного анализа сопроводитель должен (5.5.2.3 ГОСТ Р ИСО/МЭК 12207) разработать варианты реализации изменений. Для этого разрабатывается документ «Журнал подготовленных и утвержденных корректировок новой базовой версии КИС», содержащий следующие данные: категория, </w:t>
      </w:r>
      <w:proofErr w:type="gramStart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недочет</w:t>
      </w:r>
      <w:proofErr w:type="gramEnd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 выявленный сопровождающей организацией, недочет выявленный пользователями КИС, корректировка.</w:t>
      </w:r>
    </w:p>
    <w:p w14:paraId="35A2B0B3" w14:textId="77777777" w:rsidR="008D189C" w:rsidRPr="008D189C" w:rsidRDefault="008D189C" w:rsidP="008D189C">
      <w:pPr>
        <w:shd w:val="clear" w:color="auto" w:fill="FFFFFF"/>
        <w:spacing w:before="100" w:beforeAutospacing="1"/>
        <w:ind w:firstLine="700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Далее сопроводитель должен (5.5.4.2 ГОСТ Р ИСО/МЭК 12207) получить подтверждение того, что внесенное изменение удовлетворяет требованиям, установленным в договоре. Для этих целей формируется документ «Извещение пользователям о выпуске новой версии КИС» и ожидается подтверждение согласия об установке нового релиза.</w:t>
      </w:r>
    </w:p>
    <w:p w14:paraId="3D6191ED" w14:textId="77777777" w:rsidR="008D189C" w:rsidRPr="008D189C" w:rsidRDefault="008D189C" w:rsidP="008D189C">
      <w:pPr>
        <w:shd w:val="clear" w:color="auto" w:fill="FFFFFF"/>
        <w:spacing w:before="100" w:beforeAutospacing="1"/>
        <w:ind w:firstLine="700"/>
        <w:jc w:val="both"/>
        <w:rPr>
          <w:rFonts w:ascii="Times New Roman" w:eastAsia="Georgia" w:hAnsi="Times New Roman" w:cs="Times New Roman"/>
          <w:color w:val="111111"/>
          <w:sz w:val="28"/>
          <w:szCs w:val="28"/>
          <w:lang w:val="ru-RU"/>
        </w:rPr>
      </w:pP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 xml:space="preserve">Для соответствующего контроля переноса системы должен </w:t>
      </w:r>
      <w:proofErr w:type="gramStart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быть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bidi="ar"/>
        </w:rPr>
        <w:t>  </w:t>
      </w:r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разработан</w:t>
      </w:r>
      <w:proofErr w:type="gramEnd"/>
      <w:r w:rsidRPr="008D189C">
        <w:rPr>
          <w:rFonts w:ascii="Times New Roman" w:eastAsia="Georgia" w:hAnsi="Times New Roman" w:cs="Times New Roman"/>
          <w:color w:val="111111"/>
          <w:sz w:val="28"/>
          <w:szCs w:val="28"/>
          <w:shd w:val="clear" w:color="auto" w:fill="FFFFFF"/>
          <w:lang w:val="ru-RU" w:bidi="ar"/>
        </w:rPr>
        <w:t>, документально оформлен и выполнен план переноса объекта (5.5.5.2 ГОСТ Р ИСО/МЭК 12207). Для реализации данного требования разрабатывается документ «Миграционный план», в котором пользователей уведомляют о планах и действиях по перемещению.</w:t>
      </w:r>
    </w:p>
    <w:p w14:paraId="63281533" w14:textId="77777777" w:rsidR="008D189C" w:rsidRPr="008D189C" w:rsidRDefault="008D189C" w:rsidP="008D189C">
      <w:pPr>
        <w:ind w:firstLineChars="200" w:firstLine="560"/>
        <w:jc w:val="both"/>
        <w:rPr>
          <w:rStyle w:val="a5"/>
          <w:rFonts w:ascii="Times New Roman" w:eastAsia="SimSun" w:hAnsi="Times New Roman" w:cs="Times New Roman"/>
          <w:b w:val="0"/>
          <w:bCs w:val="0"/>
          <w:color w:val="000000"/>
          <w:sz w:val="28"/>
          <w:szCs w:val="28"/>
          <w:lang w:val="ru-RU"/>
        </w:rPr>
      </w:pPr>
    </w:p>
    <w:p w14:paraId="610F1969" w14:textId="77777777" w:rsidR="008D189C" w:rsidRPr="008D189C" w:rsidRDefault="008D189C" w:rsidP="008D189C">
      <w:pPr>
        <w:ind w:firstLineChars="200" w:firstLine="560"/>
        <w:jc w:val="center"/>
        <w:rPr>
          <w:rStyle w:val="a5"/>
          <w:rFonts w:ascii="Times New Roman" w:eastAsia="SimSun" w:hAnsi="Times New Roman" w:cs="Times New Roman"/>
          <w:b w:val="0"/>
          <w:bCs w:val="0"/>
          <w:color w:val="000000"/>
          <w:sz w:val="28"/>
          <w:szCs w:val="28"/>
          <w:lang w:val="ru-RU"/>
        </w:rPr>
      </w:pPr>
    </w:p>
    <w:sectPr w:rsidR="008D189C" w:rsidRPr="008D189C" w:rsidSect="007F1B56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06311"/>
    <w:multiLevelType w:val="hybridMultilevel"/>
    <w:tmpl w:val="A22C2562"/>
    <w:lvl w:ilvl="0" w:tplc="91B4220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266057FF"/>
    <w:multiLevelType w:val="hybridMultilevel"/>
    <w:tmpl w:val="45043628"/>
    <w:lvl w:ilvl="0" w:tplc="041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 w15:restartNumberingAfterBreak="0">
    <w:nsid w:val="3D59490E"/>
    <w:multiLevelType w:val="hybridMultilevel"/>
    <w:tmpl w:val="A9D62370"/>
    <w:lvl w:ilvl="0" w:tplc="0419000D">
      <w:start w:val="1"/>
      <w:numFmt w:val="bullet"/>
      <w:lvlText w:val=""/>
      <w:lvlJc w:val="left"/>
      <w:pPr>
        <w:ind w:left="1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" w15:restartNumberingAfterBreak="0">
    <w:nsid w:val="3FD622F2"/>
    <w:multiLevelType w:val="hybridMultilevel"/>
    <w:tmpl w:val="F3A48FF2"/>
    <w:lvl w:ilvl="0" w:tplc="844CE6E2">
      <w:start w:val="1"/>
      <w:numFmt w:val="decimal"/>
      <w:lvlText w:val="%1"/>
      <w:lvlJc w:val="left"/>
      <w:pPr>
        <w:ind w:left="9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65EC684E"/>
    <w:multiLevelType w:val="hybridMultilevel"/>
    <w:tmpl w:val="76BCAA92"/>
    <w:lvl w:ilvl="0" w:tplc="0419000D">
      <w:start w:val="1"/>
      <w:numFmt w:val="bullet"/>
      <w:lvlText w:val=""/>
      <w:lvlJc w:val="left"/>
      <w:pPr>
        <w:ind w:left="920" w:hanging="360"/>
      </w:pPr>
      <w:rPr>
        <w:rFonts w:ascii="Wingdings" w:hAnsi="Wingdings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22"/>
    <w:rsid w:val="007F1B56"/>
    <w:rsid w:val="008D189C"/>
    <w:rsid w:val="00B152A6"/>
    <w:rsid w:val="00F01B22"/>
    <w:rsid w:val="6327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E99A95"/>
  <w15:docId w15:val="{17052439-9C20-4C22-ADD0-FF756E5D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2">
    <w:name w:val="heading 2"/>
    <w:next w:val="a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paragraph" w:styleId="4">
    <w:name w:val="heading 4"/>
    <w:next w:val="a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paragraph" w:styleId="5">
    <w:name w:val="heading 5"/>
    <w:next w:val="a"/>
    <w:semiHidden/>
    <w:unhideWhenUsed/>
    <w:qFormat/>
    <w:pPr>
      <w:spacing w:beforeAutospacing="1" w:afterAutospacing="1"/>
      <w:outlineLvl w:val="4"/>
    </w:pPr>
    <w:rPr>
      <w:rFonts w:ascii="SimSun" w:hAnsi="SimSun" w:hint="eastAsia"/>
      <w:b/>
      <w:bCs/>
      <w:i/>
      <w:iCs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Strong"/>
    <w:basedOn w:val="a0"/>
    <w:qFormat/>
    <w:rPr>
      <w:b/>
      <w:bCs/>
    </w:rPr>
  </w:style>
  <w:style w:type="paragraph" w:styleId="a6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paragraph" w:styleId="a7">
    <w:name w:val="List Paragraph"/>
    <w:basedOn w:val="a"/>
    <w:uiPriority w:val="99"/>
    <w:rsid w:val="007F1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2590</Words>
  <Characters>14766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ILYA VLADISLAVOVICH</cp:lastModifiedBy>
  <cp:revision>3</cp:revision>
  <dcterms:created xsi:type="dcterms:W3CDTF">2022-10-08T10:02:00Z</dcterms:created>
  <dcterms:modified xsi:type="dcterms:W3CDTF">2022-10-08T10:13:00Z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89D6D9755DAA4B3C9E4A875A80CFB66C</vt:lpwstr>
  </property>
</Properties>
</file>