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E21DB" w14:textId="708F4F55" w:rsidR="00805296" w:rsidRPr="006413DB" w:rsidRDefault="00D749AE" w:rsidP="00805296">
      <w:pPr>
        <w:rPr>
          <w:rFonts w:cstheme="minorHAnsi"/>
          <w:b/>
          <w:bCs/>
          <w:sz w:val="20"/>
          <w:szCs w:val="20"/>
          <w:u w:val="single"/>
        </w:rPr>
      </w:pPr>
      <w:r w:rsidRPr="006413DB">
        <w:rPr>
          <w:rFonts w:cstheme="minorHAnsi"/>
          <w:b/>
          <w:bCs/>
          <w:sz w:val="20"/>
          <w:szCs w:val="20"/>
          <w:u w:val="single"/>
        </w:rPr>
        <w:t>2021:</w:t>
      </w:r>
    </w:p>
    <w:p w14:paraId="44E368E3" w14:textId="2DCC9CD8" w:rsidR="00D749AE" w:rsidRDefault="00D749AE" w:rsidP="00805296">
      <w:pPr>
        <w:rPr>
          <w:rFonts w:cstheme="minorHAnsi"/>
          <w:sz w:val="20"/>
          <w:szCs w:val="20"/>
        </w:rPr>
      </w:pPr>
    </w:p>
    <w:p w14:paraId="1489FF07" w14:textId="77777777" w:rsidR="00A05A20" w:rsidRPr="00930AF5" w:rsidRDefault="00A05A20" w:rsidP="00A05A20">
      <w:pPr>
        <w:rPr>
          <w:rFonts w:cstheme="minorHAnsi"/>
          <w:b/>
          <w:bCs/>
          <w:sz w:val="20"/>
          <w:szCs w:val="20"/>
        </w:rPr>
      </w:pPr>
      <w:r w:rsidRPr="00930AF5">
        <w:rPr>
          <w:rFonts w:cstheme="minorHAnsi"/>
          <w:b/>
          <w:bCs/>
          <w:sz w:val="20"/>
          <w:szCs w:val="20"/>
        </w:rPr>
        <w:t xml:space="preserve">Sox17-mediated expression of adherent molecules is required for the maintenance of undifferentiated hematopoietic cluster formation in </w:t>
      </w:r>
      <w:proofErr w:type="spellStart"/>
      <w:r w:rsidRPr="00930AF5">
        <w:rPr>
          <w:rFonts w:cstheme="minorHAnsi"/>
          <w:b/>
          <w:bCs/>
          <w:sz w:val="20"/>
          <w:szCs w:val="20"/>
        </w:rPr>
        <w:t>midgestation</w:t>
      </w:r>
      <w:proofErr w:type="spellEnd"/>
      <w:r w:rsidRPr="00930AF5">
        <w:rPr>
          <w:rFonts w:cstheme="minorHAnsi"/>
          <w:b/>
          <w:bCs/>
          <w:sz w:val="20"/>
          <w:szCs w:val="20"/>
        </w:rPr>
        <w:t xml:space="preserve"> mouse embryos.</w:t>
      </w:r>
    </w:p>
    <w:p w14:paraId="0D0968B7" w14:textId="77777777" w:rsidR="00A05A20" w:rsidRPr="006413DB" w:rsidRDefault="00A05A20" w:rsidP="00A05A20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Takahashi S, </w:t>
      </w:r>
      <w:proofErr w:type="spellStart"/>
      <w:r w:rsidRPr="006413DB">
        <w:rPr>
          <w:rFonts w:cstheme="minorHAnsi"/>
          <w:sz w:val="20"/>
          <w:szCs w:val="20"/>
        </w:rPr>
        <w:t>Nobuhisa</w:t>
      </w:r>
      <w:proofErr w:type="spellEnd"/>
      <w:r w:rsidRPr="006413DB">
        <w:rPr>
          <w:rFonts w:cstheme="minorHAnsi"/>
          <w:sz w:val="20"/>
          <w:szCs w:val="20"/>
        </w:rPr>
        <w:t xml:space="preserve"> I, Saito K, </w:t>
      </w:r>
      <w:proofErr w:type="spellStart"/>
      <w:r w:rsidRPr="006413DB">
        <w:rPr>
          <w:rFonts w:cstheme="minorHAnsi"/>
          <w:sz w:val="20"/>
          <w:szCs w:val="20"/>
        </w:rPr>
        <w:t>Gerel</w:t>
      </w:r>
      <w:proofErr w:type="spellEnd"/>
      <w:r w:rsidRPr="006413DB">
        <w:rPr>
          <w:rFonts w:cstheme="minorHAnsi"/>
          <w:sz w:val="20"/>
          <w:szCs w:val="20"/>
        </w:rPr>
        <w:t xml:space="preserve"> M, Itabashi A, Harada K, </w:t>
      </w:r>
      <w:proofErr w:type="spellStart"/>
      <w:r w:rsidRPr="006413DB">
        <w:rPr>
          <w:rFonts w:cstheme="minorHAnsi"/>
          <w:sz w:val="20"/>
          <w:szCs w:val="20"/>
        </w:rPr>
        <w:t>Osawa</w:t>
      </w:r>
      <w:proofErr w:type="spellEnd"/>
      <w:r w:rsidRPr="006413DB">
        <w:rPr>
          <w:rFonts w:cstheme="minorHAnsi"/>
          <w:sz w:val="20"/>
          <w:szCs w:val="20"/>
        </w:rPr>
        <w:t xml:space="preserve"> M, Endo TA, </w:t>
      </w:r>
      <w:proofErr w:type="spellStart"/>
      <w:r w:rsidRPr="006413DB">
        <w:rPr>
          <w:rFonts w:cstheme="minorHAnsi"/>
          <w:sz w:val="20"/>
          <w:szCs w:val="20"/>
        </w:rPr>
        <w:t>Iwama</w:t>
      </w:r>
      <w:proofErr w:type="spellEnd"/>
      <w:r w:rsidRPr="006413DB">
        <w:rPr>
          <w:rFonts w:cstheme="minorHAnsi"/>
          <w:sz w:val="20"/>
          <w:szCs w:val="20"/>
        </w:rPr>
        <w:t xml:space="preserve"> A, </w:t>
      </w:r>
      <w:proofErr w:type="spellStart"/>
      <w:r w:rsidRPr="006413DB">
        <w:rPr>
          <w:rFonts w:cstheme="minorHAnsi"/>
          <w:sz w:val="20"/>
          <w:szCs w:val="20"/>
        </w:rPr>
        <w:t>Taga</w:t>
      </w:r>
      <w:proofErr w:type="spellEnd"/>
      <w:r w:rsidRPr="006413DB">
        <w:rPr>
          <w:rFonts w:cstheme="minorHAnsi"/>
          <w:sz w:val="20"/>
          <w:szCs w:val="20"/>
        </w:rPr>
        <w:t xml:space="preserve"> T.</w:t>
      </w:r>
    </w:p>
    <w:p w14:paraId="65DA45D2" w14:textId="01B582E7" w:rsidR="00BA647D" w:rsidRDefault="00A05A20" w:rsidP="00A05A20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Differentiation. </w:t>
      </w:r>
      <w:r w:rsidRPr="006413DB">
        <w:rPr>
          <w:rFonts w:cstheme="minorHAnsi"/>
          <w:sz w:val="20"/>
          <w:szCs w:val="20"/>
          <w:highlight w:val="green"/>
        </w:rPr>
        <w:t>2020</w:t>
      </w:r>
      <w:r w:rsidRPr="006413DB">
        <w:rPr>
          <w:rFonts w:cstheme="minorHAnsi"/>
          <w:sz w:val="20"/>
          <w:szCs w:val="20"/>
        </w:rPr>
        <w:t xml:space="preserve"> Sep-</w:t>
      </w:r>
      <w:proofErr w:type="gramStart"/>
      <w:r w:rsidRPr="006413DB">
        <w:rPr>
          <w:rFonts w:cstheme="minorHAnsi"/>
          <w:sz w:val="20"/>
          <w:szCs w:val="20"/>
        </w:rPr>
        <w:t>Oct;115:53</w:t>
      </w:r>
      <w:proofErr w:type="gramEnd"/>
      <w:r w:rsidRPr="006413DB">
        <w:rPr>
          <w:rFonts w:cstheme="minorHAnsi"/>
          <w:sz w:val="20"/>
          <w:szCs w:val="20"/>
        </w:rPr>
        <w:t xml:space="preserve">-61. </w:t>
      </w:r>
      <w:proofErr w:type="spellStart"/>
      <w:r w:rsidRPr="006413DB">
        <w:rPr>
          <w:rFonts w:cstheme="minorHAnsi"/>
          <w:sz w:val="20"/>
          <w:szCs w:val="20"/>
        </w:rPr>
        <w:t>doi</w:t>
      </w:r>
      <w:proofErr w:type="spellEnd"/>
      <w:r w:rsidRPr="006413DB">
        <w:rPr>
          <w:rFonts w:cstheme="minorHAnsi"/>
          <w:sz w:val="20"/>
          <w:szCs w:val="20"/>
        </w:rPr>
        <w:t>: 10.1016/j.diff.2020.08.001</w:t>
      </w:r>
    </w:p>
    <w:p w14:paraId="3D02FEA9" w14:textId="53E68E01" w:rsidR="00A05A20" w:rsidRPr="006413DB" w:rsidRDefault="00A05A20" w:rsidP="00A05A20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 </w:t>
      </w:r>
      <w:proofErr w:type="spellStart"/>
      <w:r w:rsidRPr="006413DB">
        <w:rPr>
          <w:rFonts w:cstheme="minorHAnsi"/>
          <w:sz w:val="20"/>
          <w:szCs w:val="20"/>
        </w:rPr>
        <w:t>Epub</w:t>
      </w:r>
      <w:proofErr w:type="spellEnd"/>
      <w:r w:rsidRPr="006413DB">
        <w:rPr>
          <w:rFonts w:cstheme="minorHAnsi"/>
          <w:sz w:val="20"/>
          <w:szCs w:val="20"/>
        </w:rPr>
        <w:t xml:space="preserve"> 2020 Aug 16.</w:t>
      </w:r>
    </w:p>
    <w:p w14:paraId="36F06C7E" w14:textId="77777777" w:rsidR="00A05A20" w:rsidRPr="006413DB" w:rsidRDefault="00A05A20" w:rsidP="00A05A20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PMID: 32891959</w:t>
      </w:r>
    </w:p>
    <w:p w14:paraId="40FABA68" w14:textId="6DCE0092" w:rsidR="00295D47" w:rsidRDefault="00295D47" w:rsidP="00805296">
      <w:pPr>
        <w:rPr>
          <w:rFonts w:cstheme="minorHAnsi"/>
          <w:sz w:val="20"/>
          <w:szCs w:val="20"/>
        </w:rPr>
      </w:pPr>
    </w:p>
    <w:p w14:paraId="12F8C43F" w14:textId="36BED37E" w:rsidR="00295D47" w:rsidRPr="006413DB" w:rsidRDefault="00295D47" w:rsidP="0080529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---</w:t>
      </w:r>
    </w:p>
    <w:p w14:paraId="75B055A5" w14:textId="77777777" w:rsidR="00930AF5" w:rsidRPr="00930AF5" w:rsidRDefault="00D749AE" w:rsidP="00D749AE">
      <w:pPr>
        <w:rPr>
          <w:rFonts w:cstheme="minorHAnsi"/>
          <w:b/>
          <w:bCs/>
          <w:sz w:val="20"/>
          <w:szCs w:val="20"/>
        </w:rPr>
      </w:pPr>
      <w:r w:rsidRPr="00930AF5">
        <w:rPr>
          <w:rFonts w:cstheme="minorHAnsi"/>
          <w:b/>
          <w:bCs/>
          <w:sz w:val="20"/>
          <w:szCs w:val="20"/>
        </w:rPr>
        <w:t xml:space="preserve">Wip1 regulates hematopoietic stem cell development in the mouse embryo. </w:t>
      </w:r>
    </w:p>
    <w:p w14:paraId="046D38BC" w14:textId="19B5FCCF" w:rsidR="00D749AE" w:rsidRPr="006413DB" w:rsidRDefault="00D749AE" w:rsidP="00D749AE">
      <w:pPr>
        <w:rPr>
          <w:rFonts w:cstheme="minorHAnsi"/>
          <w:sz w:val="20"/>
          <w:szCs w:val="20"/>
        </w:rPr>
      </w:pPr>
      <w:proofErr w:type="spellStart"/>
      <w:r w:rsidRPr="006413DB">
        <w:rPr>
          <w:rFonts w:cstheme="minorHAnsi"/>
          <w:sz w:val="20"/>
          <w:szCs w:val="20"/>
        </w:rPr>
        <w:t>Wenyan</w:t>
      </w:r>
      <w:proofErr w:type="spellEnd"/>
      <w:r w:rsidRPr="006413DB">
        <w:rPr>
          <w:rFonts w:cstheme="minorHAnsi"/>
          <w:sz w:val="20"/>
          <w:szCs w:val="20"/>
        </w:rPr>
        <w:t xml:space="preserve"> He, et al.</w:t>
      </w:r>
      <w:proofErr w:type="gramStart"/>
      <w:r w:rsidRPr="006413DB">
        <w:rPr>
          <w:rFonts w:cstheme="minorHAnsi"/>
          <w:sz w:val="20"/>
          <w:szCs w:val="20"/>
        </w:rPr>
        <w:t xml:space="preserve">,  </w:t>
      </w:r>
      <w:proofErr w:type="spellStart"/>
      <w:r w:rsidRPr="006413DB">
        <w:rPr>
          <w:rFonts w:cstheme="minorHAnsi"/>
          <w:sz w:val="20"/>
          <w:szCs w:val="20"/>
        </w:rPr>
        <w:t>Zhuan</w:t>
      </w:r>
      <w:proofErr w:type="spellEnd"/>
      <w:proofErr w:type="gramEnd"/>
      <w:r w:rsidRPr="006413DB">
        <w:rPr>
          <w:rFonts w:cstheme="minorHAnsi"/>
          <w:sz w:val="20"/>
          <w:szCs w:val="20"/>
        </w:rPr>
        <w:t xml:space="preserve"> Li. Vol. 106 No. 2 (</w:t>
      </w:r>
      <w:r w:rsidRPr="006413DB">
        <w:rPr>
          <w:rFonts w:cstheme="minorHAnsi"/>
          <w:sz w:val="20"/>
          <w:szCs w:val="20"/>
          <w:highlight w:val="green"/>
        </w:rPr>
        <w:t>2021</w:t>
      </w:r>
      <w:r w:rsidRPr="006413DB">
        <w:rPr>
          <w:rFonts w:cstheme="minorHAnsi"/>
          <w:sz w:val="20"/>
          <w:szCs w:val="20"/>
        </w:rPr>
        <w:t xml:space="preserve">): February, 2021 </w:t>
      </w:r>
      <w:hyperlink r:id="rId6" w:history="1">
        <w:r w:rsidRPr="006413DB">
          <w:rPr>
            <w:rStyle w:val="Hyperlink"/>
            <w:rFonts w:cstheme="minorHAnsi"/>
            <w:sz w:val="20"/>
            <w:szCs w:val="20"/>
          </w:rPr>
          <w:t>https://doi.org/10.3324/haematol.2019.235481</w:t>
        </w:r>
      </w:hyperlink>
    </w:p>
    <w:p w14:paraId="10B11347" w14:textId="41267E39" w:rsidR="00D749AE" w:rsidRPr="006413DB" w:rsidRDefault="00D749AE" w:rsidP="00D749AE">
      <w:pPr>
        <w:rPr>
          <w:rFonts w:cstheme="minorHAnsi"/>
          <w:sz w:val="20"/>
          <w:szCs w:val="20"/>
        </w:rPr>
      </w:pPr>
    </w:p>
    <w:p w14:paraId="7CC52D2A" w14:textId="641A474D" w:rsidR="00D749AE" w:rsidRPr="006413DB" w:rsidRDefault="00D749AE" w:rsidP="00D749AE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0F4DE20F" w14:textId="77777777" w:rsidR="00930AF5" w:rsidRPr="00930AF5" w:rsidRDefault="00D749AE" w:rsidP="00D749AE">
      <w:pPr>
        <w:rPr>
          <w:rFonts w:cstheme="minorHAnsi"/>
          <w:b/>
          <w:bCs/>
          <w:sz w:val="20"/>
          <w:szCs w:val="20"/>
        </w:rPr>
      </w:pPr>
      <w:r w:rsidRPr="00930AF5">
        <w:rPr>
          <w:rFonts w:cstheme="minorHAnsi"/>
          <w:b/>
          <w:bCs/>
          <w:sz w:val="20"/>
          <w:szCs w:val="20"/>
        </w:rPr>
        <w:t xml:space="preserve">Yolk sac, but not hematopoietic stem cell–derived progenitors, sustain erythropoiesis throughout murine embryonic life. </w:t>
      </w:r>
    </w:p>
    <w:p w14:paraId="71F554E3" w14:textId="08D2853B" w:rsidR="00D749AE" w:rsidRPr="006413DB" w:rsidRDefault="00D749AE" w:rsidP="00D749AE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Francisca Soares-da-Silva et al., and Ana </w:t>
      </w:r>
      <w:proofErr w:type="spellStart"/>
      <w:r w:rsidRPr="006413DB">
        <w:rPr>
          <w:rFonts w:cstheme="minorHAnsi"/>
          <w:sz w:val="20"/>
          <w:szCs w:val="20"/>
        </w:rPr>
        <w:t>Cumano</w:t>
      </w:r>
      <w:proofErr w:type="spellEnd"/>
      <w:r w:rsidRPr="006413DB">
        <w:rPr>
          <w:rFonts w:cstheme="minorHAnsi"/>
          <w:sz w:val="20"/>
          <w:szCs w:val="20"/>
        </w:rPr>
        <w:t xml:space="preserve">.  J. Exp. Med. </w:t>
      </w:r>
      <w:r w:rsidRPr="006413DB">
        <w:rPr>
          <w:rFonts w:cstheme="minorHAnsi"/>
          <w:sz w:val="20"/>
          <w:szCs w:val="20"/>
          <w:highlight w:val="green"/>
        </w:rPr>
        <w:t>2021</w:t>
      </w:r>
      <w:r w:rsidRPr="006413DB">
        <w:rPr>
          <w:rFonts w:cstheme="minorHAnsi"/>
          <w:sz w:val="20"/>
          <w:szCs w:val="20"/>
        </w:rPr>
        <w:t xml:space="preserve"> Vol. 218 No. 4 e20201729. </w:t>
      </w:r>
      <w:hyperlink r:id="rId7" w:history="1">
        <w:r w:rsidRPr="006413DB">
          <w:rPr>
            <w:rStyle w:val="Hyperlink"/>
            <w:rFonts w:cstheme="minorHAnsi"/>
            <w:sz w:val="20"/>
            <w:szCs w:val="20"/>
          </w:rPr>
          <w:t>https://doi.org/10.1084/jem.20201729</w:t>
        </w:r>
      </w:hyperlink>
    </w:p>
    <w:p w14:paraId="64AA3BFE" w14:textId="063D7AA8" w:rsidR="00D749AE" w:rsidRPr="006413DB" w:rsidRDefault="00D749AE" w:rsidP="00D749AE">
      <w:pPr>
        <w:rPr>
          <w:rFonts w:cstheme="minorHAnsi"/>
          <w:sz w:val="20"/>
          <w:szCs w:val="20"/>
        </w:rPr>
      </w:pPr>
    </w:p>
    <w:p w14:paraId="7F974370" w14:textId="161B95F8" w:rsidR="00D749AE" w:rsidRPr="006413DB" w:rsidRDefault="00D749AE" w:rsidP="00D749AE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47B626D9" w14:textId="77777777" w:rsidR="00930AF5" w:rsidRPr="00930AF5" w:rsidRDefault="00A64120" w:rsidP="00A64120">
      <w:pPr>
        <w:rPr>
          <w:rFonts w:cstheme="minorHAnsi"/>
          <w:b/>
          <w:bCs/>
          <w:sz w:val="20"/>
          <w:szCs w:val="20"/>
        </w:rPr>
      </w:pPr>
      <w:r w:rsidRPr="00930AF5">
        <w:rPr>
          <w:rFonts w:cstheme="minorHAnsi"/>
          <w:b/>
          <w:bCs/>
          <w:sz w:val="20"/>
          <w:szCs w:val="20"/>
        </w:rPr>
        <w:t xml:space="preserve">Hepatic stellate and endothelial cells maintain hematopoietic stem cells in the developing liver. </w:t>
      </w:r>
    </w:p>
    <w:p w14:paraId="51FA9C05" w14:textId="77777777" w:rsidR="000A7F26" w:rsidRDefault="00A64120" w:rsidP="00A64120">
      <w:pPr>
        <w:rPr>
          <w:rFonts w:cstheme="minorHAnsi"/>
          <w:sz w:val="20"/>
          <w:szCs w:val="20"/>
        </w:rPr>
      </w:pPr>
      <w:proofErr w:type="spellStart"/>
      <w:r w:rsidRPr="006413DB">
        <w:rPr>
          <w:rFonts w:cstheme="minorHAnsi"/>
          <w:sz w:val="20"/>
          <w:szCs w:val="20"/>
        </w:rPr>
        <w:t>Yeojin</w:t>
      </w:r>
      <w:proofErr w:type="spellEnd"/>
      <w:r w:rsidRPr="006413DB">
        <w:rPr>
          <w:rFonts w:cstheme="minorHAnsi"/>
          <w:sz w:val="20"/>
          <w:szCs w:val="20"/>
        </w:rPr>
        <w:t xml:space="preserve"> Lee et al., and Lei Ding. J. Exp. Med. </w:t>
      </w:r>
      <w:r w:rsidRPr="006413DB">
        <w:rPr>
          <w:rFonts w:cstheme="minorHAnsi"/>
          <w:sz w:val="20"/>
          <w:szCs w:val="20"/>
          <w:highlight w:val="green"/>
        </w:rPr>
        <w:t>2020</w:t>
      </w:r>
      <w:r w:rsidRPr="006413DB">
        <w:rPr>
          <w:rFonts w:cstheme="minorHAnsi"/>
          <w:sz w:val="20"/>
          <w:szCs w:val="20"/>
        </w:rPr>
        <w:t xml:space="preserve"> Vol. 218 No. 3 e20200882. </w:t>
      </w:r>
    </w:p>
    <w:p w14:paraId="343F2777" w14:textId="03B6935A" w:rsidR="004A1B02" w:rsidRPr="006413DB" w:rsidRDefault="00887280" w:rsidP="00A64120">
      <w:pPr>
        <w:rPr>
          <w:rFonts w:cstheme="minorHAnsi"/>
          <w:sz w:val="20"/>
          <w:szCs w:val="20"/>
        </w:rPr>
      </w:pPr>
      <w:hyperlink r:id="rId8" w:history="1">
        <w:r w:rsidR="00295D47" w:rsidRPr="003C6AB5">
          <w:rPr>
            <w:rStyle w:val="Hyperlink"/>
            <w:rFonts w:cstheme="minorHAnsi"/>
            <w:sz w:val="20"/>
            <w:szCs w:val="20"/>
          </w:rPr>
          <w:t>https://doi.org/10.1084/jem.20200882</w:t>
        </w:r>
      </w:hyperlink>
    </w:p>
    <w:p w14:paraId="303E8A54" w14:textId="59E47E42" w:rsidR="00386DB2" w:rsidRPr="006413DB" w:rsidRDefault="00386DB2" w:rsidP="00386DB2">
      <w:pPr>
        <w:rPr>
          <w:rFonts w:cstheme="minorHAnsi"/>
          <w:sz w:val="20"/>
          <w:szCs w:val="20"/>
        </w:rPr>
      </w:pPr>
    </w:p>
    <w:p w14:paraId="0CF38BAB" w14:textId="74F78E1F" w:rsidR="00386DB2" w:rsidRPr="006413DB" w:rsidRDefault="00386DB2" w:rsidP="00386DB2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45CD5EAA" w14:textId="77777777" w:rsidR="00930AF5" w:rsidRPr="00930AF5" w:rsidRDefault="006640C9" w:rsidP="006640C9">
      <w:pPr>
        <w:rPr>
          <w:rFonts w:cstheme="minorHAnsi"/>
          <w:b/>
          <w:bCs/>
          <w:sz w:val="20"/>
          <w:szCs w:val="20"/>
        </w:rPr>
      </w:pPr>
      <w:r w:rsidRPr="00930AF5">
        <w:rPr>
          <w:rFonts w:cstheme="minorHAnsi"/>
          <w:b/>
          <w:bCs/>
          <w:sz w:val="20"/>
          <w:szCs w:val="20"/>
        </w:rPr>
        <w:t xml:space="preserve">A splicing factor switch controls hematopoietic lineage specification of pluripotent stem cells. </w:t>
      </w:r>
    </w:p>
    <w:p w14:paraId="38514562" w14:textId="77777777" w:rsidR="00930AF5" w:rsidRDefault="006640C9" w:rsidP="006640C9">
      <w:pPr>
        <w:rPr>
          <w:rFonts w:cstheme="minorHAnsi"/>
          <w:sz w:val="20"/>
          <w:szCs w:val="20"/>
        </w:rPr>
      </w:pPr>
      <w:proofErr w:type="spellStart"/>
      <w:r w:rsidRPr="006413DB">
        <w:rPr>
          <w:rFonts w:cstheme="minorHAnsi"/>
          <w:sz w:val="20"/>
          <w:szCs w:val="20"/>
        </w:rPr>
        <w:t>Yapu</w:t>
      </w:r>
      <w:proofErr w:type="spellEnd"/>
      <w:r w:rsidRPr="006413DB">
        <w:rPr>
          <w:rFonts w:cstheme="minorHAnsi"/>
          <w:sz w:val="20"/>
          <w:szCs w:val="20"/>
        </w:rPr>
        <w:t xml:space="preserve"> Li, et al., Lihong Shi. EMBO Rep (</w:t>
      </w:r>
      <w:r w:rsidRPr="006413DB">
        <w:rPr>
          <w:rFonts w:cstheme="minorHAnsi"/>
          <w:sz w:val="20"/>
          <w:szCs w:val="20"/>
          <w:highlight w:val="green"/>
        </w:rPr>
        <w:t>2021</w:t>
      </w:r>
      <w:r w:rsidRPr="006413DB">
        <w:rPr>
          <w:rFonts w:cstheme="minorHAnsi"/>
          <w:sz w:val="20"/>
          <w:szCs w:val="20"/>
        </w:rPr>
        <w:t>)</w:t>
      </w:r>
    </w:p>
    <w:p w14:paraId="08543FA7" w14:textId="20DF8C82" w:rsidR="004A1B02" w:rsidRPr="006413DB" w:rsidRDefault="006640C9" w:rsidP="006640C9">
      <w:pPr>
        <w:rPr>
          <w:rFonts w:cstheme="minorHAnsi"/>
          <w:sz w:val="20"/>
          <w:szCs w:val="20"/>
        </w:rPr>
      </w:pPr>
      <w:proofErr w:type="gramStart"/>
      <w:r w:rsidRPr="006413DB">
        <w:rPr>
          <w:rFonts w:cstheme="minorHAnsi"/>
          <w:sz w:val="20"/>
          <w:szCs w:val="20"/>
        </w:rPr>
        <w:t>22:e50535https://doi.org/10.15252/embr.202050535</w:t>
      </w:r>
      <w:proofErr w:type="gramEnd"/>
    </w:p>
    <w:p w14:paraId="5E952607" w14:textId="77777777" w:rsidR="006640C9" w:rsidRPr="006413DB" w:rsidRDefault="006640C9" w:rsidP="006640C9">
      <w:pPr>
        <w:rPr>
          <w:rFonts w:cstheme="minorHAnsi"/>
          <w:sz w:val="20"/>
          <w:szCs w:val="20"/>
        </w:rPr>
      </w:pPr>
    </w:p>
    <w:p w14:paraId="4D50BA07" w14:textId="2B53EC84" w:rsidR="004A1B02" w:rsidRPr="006413DB" w:rsidRDefault="00EF6BBA" w:rsidP="00805296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160DF61A" w14:textId="4DA557B9" w:rsidR="004A1B02" w:rsidRPr="006413DB" w:rsidRDefault="004A1B02" w:rsidP="00805296">
      <w:pPr>
        <w:rPr>
          <w:rFonts w:cstheme="minorHAnsi"/>
          <w:sz w:val="20"/>
          <w:szCs w:val="20"/>
        </w:rPr>
      </w:pPr>
    </w:p>
    <w:p w14:paraId="0A904CF0" w14:textId="77777777" w:rsidR="00930AF5" w:rsidRPr="00930AF5" w:rsidRDefault="00EF6BBA" w:rsidP="00EF6BBA">
      <w:pPr>
        <w:rPr>
          <w:rFonts w:cstheme="minorHAnsi"/>
          <w:b/>
          <w:bCs/>
          <w:sz w:val="20"/>
          <w:szCs w:val="20"/>
        </w:rPr>
      </w:pPr>
      <w:r w:rsidRPr="00930AF5">
        <w:rPr>
          <w:rFonts w:cstheme="minorHAnsi"/>
          <w:b/>
          <w:bCs/>
          <w:sz w:val="20"/>
          <w:szCs w:val="20"/>
        </w:rPr>
        <w:t xml:space="preserve">Generation of reconstituted </w:t>
      </w:r>
      <w:proofErr w:type="spellStart"/>
      <w:r w:rsidRPr="00930AF5">
        <w:rPr>
          <w:rFonts w:cstheme="minorHAnsi"/>
          <w:b/>
          <w:bCs/>
          <w:sz w:val="20"/>
          <w:szCs w:val="20"/>
        </w:rPr>
        <w:t>hemato</w:t>
      </w:r>
      <w:proofErr w:type="spellEnd"/>
      <w:r w:rsidRPr="00930AF5">
        <w:rPr>
          <w:rFonts w:cstheme="minorHAnsi"/>
          <w:b/>
          <w:bCs/>
          <w:sz w:val="20"/>
          <w:szCs w:val="20"/>
        </w:rPr>
        <w:t xml:space="preserve">-lymphoid murine embryos by placental transplantation into embryos lacking HSCs. </w:t>
      </w:r>
    </w:p>
    <w:p w14:paraId="560D055F" w14:textId="3B1E0AC7" w:rsidR="00EF6BBA" w:rsidRPr="006413DB" w:rsidRDefault="00EF6BBA" w:rsidP="00EF6BBA">
      <w:pPr>
        <w:rPr>
          <w:rFonts w:cstheme="minorHAnsi"/>
          <w:sz w:val="20"/>
          <w:szCs w:val="20"/>
        </w:rPr>
      </w:pPr>
      <w:proofErr w:type="spellStart"/>
      <w:r w:rsidRPr="006413DB">
        <w:rPr>
          <w:rFonts w:cstheme="minorHAnsi"/>
          <w:sz w:val="20"/>
          <w:szCs w:val="20"/>
        </w:rPr>
        <w:t>Hyojung</w:t>
      </w:r>
      <w:proofErr w:type="spellEnd"/>
      <w:r w:rsidRPr="006413DB">
        <w:rPr>
          <w:rFonts w:cstheme="minorHAnsi"/>
          <w:sz w:val="20"/>
          <w:szCs w:val="20"/>
        </w:rPr>
        <w:t xml:space="preserve"> Jeon, et al.</w:t>
      </w:r>
      <w:proofErr w:type="gramStart"/>
      <w:r w:rsidRPr="006413DB">
        <w:rPr>
          <w:rFonts w:cstheme="minorHAnsi"/>
          <w:sz w:val="20"/>
          <w:szCs w:val="20"/>
        </w:rPr>
        <w:t>,  &amp;</w:t>
      </w:r>
      <w:proofErr w:type="gramEnd"/>
      <w:r w:rsidRPr="006413DB">
        <w:rPr>
          <w:rFonts w:cstheme="minorHAnsi"/>
          <w:sz w:val="20"/>
          <w:szCs w:val="20"/>
        </w:rPr>
        <w:t xml:space="preserve"> Satoru Takahashi </w:t>
      </w:r>
    </w:p>
    <w:p w14:paraId="5B2330E4" w14:textId="6138D2E9" w:rsidR="00EF6BBA" w:rsidRPr="006413DB" w:rsidRDefault="00EF6BBA" w:rsidP="00EF6BBA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Scientific Reports volume 11, Article number: 4374 (</w:t>
      </w:r>
      <w:r w:rsidRPr="006413DB">
        <w:rPr>
          <w:rFonts w:cstheme="minorHAnsi"/>
          <w:sz w:val="20"/>
          <w:szCs w:val="20"/>
          <w:highlight w:val="green"/>
        </w:rPr>
        <w:t>2021</w:t>
      </w:r>
      <w:r w:rsidRPr="006413DB">
        <w:rPr>
          <w:rFonts w:cstheme="minorHAnsi"/>
          <w:sz w:val="20"/>
          <w:szCs w:val="20"/>
        </w:rPr>
        <w:t>)</w:t>
      </w:r>
    </w:p>
    <w:p w14:paraId="5C002BB4" w14:textId="0D998A49" w:rsidR="00EF6BBA" w:rsidRPr="006413DB" w:rsidRDefault="00EF6BBA" w:rsidP="00EF6BBA">
      <w:pPr>
        <w:rPr>
          <w:rFonts w:cstheme="minorHAnsi"/>
          <w:sz w:val="20"/>
          <w:szCs w:val="20"/>
        </w:rPr>
      </w:pPr>
    </w:p>
    <w:p w14:paraId="565AC997" w14:textId="341E5B64" w:rsidR="00EF6BBA" w:rsidRPr="006413DB" w:rsidRDefault="00EF6BBA" w:rsidP="00EF6BBA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2FF2C4A3" w14:textId="0C4A7E82" w:rsidR="00EF6BBA" w:rsidRPr="00930AF5" w:rsidRDefault="00EF6BBA" w:rsidP="00EF6BBA">
      <w:pPr>
        <w:rPr>
          <w:rFonts w:cstheme="minorHAnsi"/>
          <w:b/>
          <w:bCs/>
          <w:sz w:val="20"/>
          <w:szCs w:val="20"/>
        </w:rPr>
      </w:pPr>
      <w:r w:rsidRPr="00930AF5">
        <w:rPr>
          <w:rFonts w:cstheme="minorHAnsi"/>
          <w:b/>
          <w:bCs/>
          <w:sz w:val="20"/>
          <w:szCs w:val="20"/>
        </w:rPr>
        <w:t>ZNF143 mediates CTCF-bound promoter–enhancer loops required for murine hematopoietic stem and progenitor cell function.</w:t>
      </w:r>
    </w:p>
    <w:p w14:paraId="52DA4824" w14:textId="06F67C85" w:rsidR="00EF6BBA" w:rsidRPr="006413DB" w:rsidRDefault="00EF6BBA" w:rsidP="00EF6BBA">
      <w:pPr>
        <w:rPr>
          <w:rFonts w:cstheme="minorHAnsi"/>
          <w:sz w:val="20"/>
          <w:szCs w:val="20"/>
        </w:rPr>
      </w:pPr>
      <w:proofErr w:type="spellStart"/>
      <w:r w:rsidRPr="006413DB">
        <w:rPr>
          <w:rFonts w:cstheme="minorHAnsi"/>
          <w:sz w:val="20"/>
          <w:szCs w:val="20"/>
        </w:rPr>
        <w:t>Qiling</w:t>
      </w:r>
      <w:proofErr w:type="spellEnd"/>
      <w:r w:rsidRPr="006413DB">
        <w:rPr>
          <w:rFonts w:cstheme="minorHAnsi"/>
          <w:sz w:val="20"/>
          <w:szCs w:val="20"/>
        </w:rPr>
        <w:t xml:space="preserve"> Zhou et al., &amp; Daniel G. </w:t>
      </w:r>
      <w:proofErr w:type="spellStart"/>
      <w:r w:rsidRPr="006413DB">
        <w:rPr>
          <w:rFonts w:cstheme="minorHAnsi"/>
          <w:sz w:val="20"/>
          <w:szCs w:val="20"/>
        </w:rPr>
        <w:t>Tenen</w:t>
      </w:r>
      <w:proofErr w:type="spellEnd"/>
      <w:r w:rsidR="00615389" w:rsidRPr="006413DB">
        <w:rPr>
          <w:rFonts w:cstheme="minorHAnsi"/>
          <w:sz w:val="20"/>
          <w:szCs w:val="20"/>
        </w:rPr>
        <w:t>. NATURE COMMUNICATIONS | (</w:t>
      </w:r>
      <w:proofErr w:type="gramStart"/>
      <w:r w:rsidR="00615389" w:rsidRPr="006413DB">
        <w:rPr>
          <w:rFonts w:cstheme="minorHAnsi"/>
          <w:sz w:val="20"/>
          <w:szCs w:val="20"/>
          <w:highlight w:val="green"/>
        </w:rPr>
        <w:t>2021</w:t>
      </w:r>
      <w:r w:rsidR="00615389" w:rsidRPr="006413DB">
        <w:rPr>
          <w:rFonts w:cstheme="minorHAnsi"/>
          <w:sz w:val="20"/>
          <w:szCs w:val="20"/>
        </w:rPr>
        <w:t>)12:43</w:t>
      </w:r>
      <w:proofErr w:type="gramEnd"/>
      <w:r w:rsidR="00615389" w:rsidRPr="006413DB">
        <w:rPr>
          <w:rFonts w:cstheme="minorHAnsi"/>
          <w:sz w:val="20"/>
          <w:szCs w:val="20"/>
        </w:rPr>
        <w:t xml:space="preserve"> |</w:t>
      </w:r>
    </w:p>
    <w:p w14:paraId="3BC86152" w14:textId="77777777" w:rsidR="00930AF5" w:rsidRPr="006413DB" w:rsidRDefault="00887280" w:rsidP="00930AF5">
      <w:pPr>
        <w:rPr>
          <w:rFonts w:cstheme="minorHAnsi"/>
          <w:sz w:val="20"/>
          <w:szCs w:val="20"/>
        </w:rPr>
      </w:pPr>
      <w:hyperlink r:id="rId9" w:history="1">
        <w:r w:rsidR="00930AF5" w:rsidRPr="006413DB">
          <w:rPr>
            <w:rStyle w:val="Hyperlink"/>
            <w:rFonts w:cstheme="minorHAnsi"/>
            <w:sz w:val="20"/>
            <w:szCs w:val="20"/>
          </w:rPr>
          <w:t>https://doi.org/10.1038/s41467-020-20282-1</w:t>
        </w:r>
      </w:hyperlink>
      <w:r w:rsidR="00930AF5" w:rsidRPr="006413DB">
        <w:rPr>
          <w:rFonts w:cstheme="minorHAnsi"/>
          <w:sz w:val="20"/>
          <w:szCs w:val="20"/>
        </w:rPr>
        <w:t xml:space="preserve">. </w:t>
      </w:r>
    </w:p>
    <w:p w14:paraId="12F69264" w14:textId="77777777" w:rsidR="00EF6BBA" w:rsidRPr="006413DB" w:rsidRDefault="00EF6BBA" w:rsidP="00805296">
      <w:pPr>
        <w:rPr>
          <w:rFonts w:cstheme="minorHAnsi"/>
          <w:sz w:val="20"/>
          <w:szCs w:val="20"/>
        </w:rPr>
      </w:pPr>
    </w:p>
    <w:p w14:paraId="352957B0" w14:textId="27459704" w:rsidR="00805296" w:rsidRPr="006413DB" w:rsidRDefault="00805296" w:rsidP="00805296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460442C3" w14:textId="7380F44E" w:rsidR="00805296" w:rsidRPr="00930AF5" w:rsidRDefault="00805296" w:rsidP="00805296">
      <w:pPr>
        <w:rPr>
          <w:rFonts w:cstheme="minorHAnsi"/>
          <w:b/>
          <w:bCs/>
          <w:sz w:val="20"/>
          <w:szCs w:val="20"/>
        </w:rPr>
      </w:pPr>
      <w:r w:rsidRPr="00930AF5">
        <w:rPr>
          <w:rFonts w:cstheme="minorHAnsi"/>
          <w:b/>
          <w:bCs/>
          <w:sz w:val="20"/>
          <w:szCs w:val="20"/>
        </w:rPr>
        <w:t>Overexpression of HOXA9 upregulates NF-</w:t>
      </w:r>
      <w:proofErr w:type="spellStart"/>
      <w:r w:rsidRPr="00930AF5">
        <w:rPr>
          <w:rFonts w:cstheme="minorHAnsi"/>
          <w:b/>
          <w:bCs/>
          <w:sz w:val="20"/>
          <w:szCs w:val="20"/>
        </w:rPr>
        <w:t>kappaB</w:t>
      </w:r>
      <w:proofErr w:type="spellEnd"/>
      <w:r w:rsidRPr="00930AF5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930AF5">
        <w:rPr>
          <w:rFonts w:cstheme="minorHAnsi"/>
          <w:b/>
          <w:bCs/>
          <w:sz w:val="20"/>
          <w:szCs w:val="20"/>
        </w:rPr>
        <w:t>signaling</w:t>
      </w:r>
      <w:proofErr w:type="spellEnd"/>
      <w:r w:rsidRPr="00930AF5">
        <w:rPr>
          <w:rFonts w:cstheme="minorHAnsi"/>
          <w:b/>
          <w:bCs/>
          <w:sz w:val="20"/>
          <w:szCs w:val="20"/>
        </w:rPr>
        <w:t xml:space="preserve"> to promote human </w:t>
      </w:r>
      <w:proofErr w:type="spellStart"/>
      <w:r w:rsidRPr="00930AF5">
        <w:rPr>
          <w:rFonts w:cstheme="minorHAnsi"/>
          <w:b/>
          <w:bCs/>
          <w:sz w:val="20"/>
          <w:szCs w:val="20"/>
        </w:rPr>
        <w:t>hematopoiesis</w:t>
      </w:r>
      <w:proofErr w:type="spellEnd"/>
      <w:r w:rsidRPr="00930AF5">
        <w:rPr>
          <w:rFonts w:cstheme="minorHAnsi"/>
          <w:b/>
          <w:bCs/>
          <w:sz w:val="20"/>
          <w:szCs w:val="20"/>
        </w:rPr>
        <w:t xml:space="preserve"> and alter the hematopoietic differentiation potentials.</w:t>
      </w:r>
    </w:p>
    <w:p w14:paraId="2C82196B" w14:textId="77777777" w:rsidR="00805296" w:rsidRPr="006413DB" w:rsidRDefault="00805296" w:rsidP="00805296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Zeng J, Yi D, Sun W, Liu Y, Chang J, Zhu L, Zhang Y, Pan X, Dong Y, Zhou Y, Lai M, </w:t>
      </w:r>
      <w:proofErr w:type="spellStart"/>
      <w:r w:rsidRPr="006413DB">
        <w:rPr>
          <w:rFonts w:cstheme="minorHAnsi"/>
          <w:sz w:val="20"/>
          <w:szCs w:val="20"/>
        </w:rPr>
        <w:t>Bian</w:t>
      </w:r>
      <w:proofErr w:type="spellEnd"/>
      <w:r w:rsidRPr="006413DB">
        <w:rPr>
          <w:rFonts w:cstheme="minorHAnsi"/>
          <w:sz w:val="20"/>
          <w:szCs w:val="20"/>
        </w:rPr>
        <w:t xml:space="preserve"> G, Zhou Q, Liu J, Chen B, Ma F.</w:t>
      </w:r>
    </w:p>
    <w:p w14:paraId="6AC6508D" w14:textId="73490EF8" w:rsidR="00930AF5" w:rsidRPr="006413DB" w:rsidRDefault="00805296" w:rsidP="00805296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Cell Regen. </w:t>
      </w:r>
      <w:r w:rsidRPr="006413DB">
        <w:rPr>
          <w:rFonts w:cstheme="minorHAnsi"/>
          <w:sz w:val="20"/>
          <w:szCs w:val="20"/>
          <w:highlight w:val="green"/>
        </w:rPr>
        <w:t>2021</w:t>
      </w:r>
      <w:r w:rsidRPr="006413DB">
        <w:rPr>
          <w:rFonts w:cstheme="minorHAnsi"/>
          <w:sz w:val="20"/>
          <w:szCs w:val="20"/>
        </w:rPr>
        <w:t xml:space="preserve"> Jan 11;10(1):9. </w:t>
      </w:r>
      <w:proofErr w:type="spellStart"/>
      <w:r w:rsidRPr="006413DB">
        <w:rPr>
          <w:rFonts w:cstheme="minorHAnsi"/>
          <w:sz w:val="20"/>
          <w:szCs w:val="20"/>
        </w:rPr>
        <w:t>doi</w:t>
      </w:r>
      <w:proofErr w:type="spellEnd"/>
      <w:r w:rsidRPr="006413DB">
        <w:rPr>
          <w:rFonts w:cstheme="minorHAnsi"/>
          <w:sz w:val="20"/>
          <w:szCs w:val="20"/>
        </w:rPr>
        <w:t>: 10.1186/s13619-020-00066-0</w:t>
      </w:r>
    </w:p>
    <w:p w14:paraId="648D7466" w14:textId="61E148E7" w:rsidR="00805296" w:rsidRPr="006413DB" w:rsidRDefault="00805296" w:rsidP="00805296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PMID: 33426581</w:t>
      </w:r>
    </w:p>
    <w:p w14:paraId="0FA8EB0C" w14:textId="77777777" w:rsidR="00805296" w:rsidRPr="006413DB" w:rsidRDefault="00805296" w:rsidP="00805296">
      <w:pPr>
        <w:rPr>
          <w:rFonts w:cstheme="minorHAnsi"/>
          <w:sz w:val="20"/>
          <w:szCs w:val="20"/>
        </w:rPr>
      </w:pPr>
    </w:p>
    <w:p w14:paraId="3C985C8A" w14:textId="21B74A45" w:rsidR="00805296" w:rsidRPr="006413DB" w:rsidRDefault="00805296" w:rsidP="00805296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</w:t>
      </w:r>
    </w:p>
    <w:p w14:paraId="3C22E211" w14:textId="77777777" w:rsidR="00805296" w:rsidRPr="00930AF5" w:rsidRDefault="00805296" w:rsidP="00805296">
      <w:pPr>
        <w:rPr>
          <w:rFonts w:cstheme="minorHAnsi"/>
          <w:b/>
          <w:bCs/>
          <w:sz w:val="20"/>
          <w:szCs w:val="20"/>
        </w:rPr>
      </w:pPr>
      <w:r w:rsidRPr="00930AF5">
        <w:rPr>
          <w:rFonts w:cstheme="minorHAnsi"/>
          <w:b/>
          <w:bCs/>
          <w:sz w:val="20"/>
          <w:szCs w:val="20"/>
        </w:rPr>
        <w:t>RUNX1-205, a novel splice variant of the human RUNX1 gene, has blockage effect on mesoderm-</w:t>
      </w:r>
      <w:proofErr w:type="spellStart"/>
      <w:r w:rsidRPr="00930AF5">
        <w:rPr>
          <w:rFonts w:cstheme="minorHAnsi"/>
          <w:b/>
          <w:bCs/>
          <w:sz w:val="20"/>
          <w:szCs w:val="20"/>
        </w:rPr>
        <w:t>hemogenesis</w:t>
      </w:r>
      <w:proofErr w:type="spellEnd"/>
      <w:r w:rsidRPr="00930AF5">
        <w:rPr>
          <w:rFonts w:cstheme="minorHAnsi"/>
          <w:b/>
          <w:bCs/>
          <w:sz w:val="20"/>
          <w:szCs w:val="20"/>
        </w:rPr>
        <w:t xml:space="preserve"> transition and promotion effect during the late stage of </w:t>
      </w:r>
      <w:proofErr w:type="spellStart"/>
      <w:r w:rsidRPr="00930AF5">
        <w:rPr>
          <w:rFonts w:cstheme="minorHAnsi"/>
          <w:b/>
          <w:bCs/>
          <w:sz w:val="20"/>
          <w:szCs w:val="20"/>
        </w:rPr>
        <w:t>hematopoiesis</w:t>
      </w:r>
      <w:proofErr w:type="spellEnd"/>
      <w:r w:rsidRPr="00930AF5">
        <w:rPr>
          <w:rFonts w:cstheme="minorHAnsi"/>
          <w:b/>
          <w:bCs/>
          <w:sz w:val="20"/>
          <w:szCs w:val="20"/>
        </w:rPr>
        <w:t>.</w:t>
      </w:r>
    </w:p>
    <w:p w14:paraId="2147680A" w14:textId="77777777" w:rsidR="00805296" w:rsidRPr="006413DB" w:rsidRDefault="00805296" w:rsidP="00805296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Sun W, Zeng J, Chang J, </w:t>
      </w:r>
      <w:proofErr w:type="spellStart"/>
      <w:r w:rsidRPr="006413DB">
        <w:rPr>
          <w:rFonts w:cstheme="minorHAnsi"/>
          <w:sz w:val="20"/>
          <w:szCs w:val="20"/>
        </w:rPr>
        <w:t>Xue</w:t>
      </w:r>
      <w:proofErr w:type="spellEnd"/>
      <w:r w:rsidRPr="006413DB">
        <w:rPr>
          <w:rFonts w:cstheme="minorHAnsi"/>
          <w:sz w:val="20"/>
          <w:szCs w:val="20"/>
        </w:rPr>
        <w:t xml:space="preserve"> Y, Zhang Y, Pan X, Zhou Y, Lai M, </w:t>
      </w:r>
      <w:proofErr w:type="spellStart"/>
      <w:r w:rsidRPr="006413DB">
        <w:rPr>
          <w:rFonts w:cstheme="minorHAnsi"/>
          <w:sz w:val="20"/>
          <w:szCs w:val="20"/>
        </w:rPr>
        <w:t>Bian</w:t>
      </w:r>
      <w:proofErr w:type="spellEnd"/>
      <w:r w:rsidRPr="006413DB">
        <w:rPr>
          <w:rFonts w:cstheme="minorHAnsi"/>
          <w:sz w:val="20"/>
          <w:szCs w:val="20"/>
        </w:rPr>
        <w:t xml:space="preserve"> G, Zhou Q, Liu J, Chen B, Ma F.</w:t>
      </w:r>
    </w:p>
    <w:p w14:paraId="4B6F1482" w14:textId="77777777" w:rsidR="00805296" w:rsidRPr="006413DB" w:rsidRDefault="00805296" w:rsidP="00805296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J Mol Cell Biol. </w:t>
      </w:r>
      <w:r w:rsidRPr="006413DB">
        <w:rPr>
          <w:rFonts w:cstheme="minorHAnsi"/>
          <w:sz w:val="20"/>
          <w:szCs w:val="20"/>
          <w:highlight w:val="green"/>
        </w:rPr>
        <w:t>2020</w:t>
      </w:r>
      <w:r w:rsidRPr="006413DB">
        <w:rPr>
          <w:rFonts w:cstheme="minorHAnsi"/>
          <w:sz w:val="20"/>
          <w:szCs w:val="20"/>
        </w:rPr>
        <w:t xml:space="preserve"> Jun 11;12(5):386-396. </w:t>
      </w:r>
      <w:proofErr w:type="spellStart"/>
      <w:r w:rsidRPr="006413DB">
        <w:rPr>
          <w:rFonts w:cstheme="minorHAnsi"/>
          <w:sz w:val="20"/>
          <w:szCs w:val="20"/>
        </w:rPr>
        <w:t>doi</w:t>
      </w:r>
      <w:proofErr w:type="spellEnd"/>
      <w:r w:rsidRPr="006413DB">
        <w:rPr>
          <w:rFonts w:cstheme="minorHAnsi"/>
          <w:sz w:val="20"/>
          <w:szCs w:val="20"/>
        </w:rPr>
        <w:t>: 10.1093/</w:t>
      </w:r>
      <w:proofErr w:type="spellStart"/>
      <w:r w:rsidRPr="006413DB">
        <w:rPr>
          <w:rFonts w:cstheme="minorHAnsi"/>
          <w:sz w:val="20"/>
          <w:szCs w:val="20"/>
        </w:rPr>
        <w:t>jmcb</w:t>
      </w:r>
      <w:proofErr w:type="spellEnd"/>
      <w:r w:rsidRPr="006413DB">
        <w:rPr>
          <w:rFonts w:cstheme="minorHAnsi"/>
          <w:sz w:val="20"/>
          <w:szCs w:val="20"/>
        </w:rPr>
        <w:t>/mjaa019.</w:t>
      </w:r>
    </w:p>
    <w:p w14:paraId="29A837E3" w14:textId="3574C6B9" w:rsidR="00805296" w:rsidRPr="006413DB" w:rsidRDefault="00805296" w:rsidP="00805296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PMID: 32313936</w:t>
      </w:r>
    </w:p>
    <w:p w14:paraId="1FFE6638" w14:textId="77777777" w:rsidR="00AD5D8E" w:rsidRPr="006413DB" w:rsidRDefault="00AD5D8E" w:rsidP="00AD5D8E">
      <w:pPr>
        <w:rPr>
          <w:rFonts w:cstheme="minorHAnsi"/>
          <w:sz w:val="20"/>
          <w:szCs w:val="20"/>
        </w:rPr>
      </w:pPr>
    </w:p>
    <w:p w14:paraId="1A7CBED0" w14:textId="308CAE10" w:rsidR="00AD5D8E" w:rsidRPr="006413DB" w:rsidRDefault="00AD5D8E" w:rsidP="00AD5D8E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06B582F8" w14:textId="7C6E25BA" w:rsidR="00A1285B" w:rsidRPr="006413DB" w:rsidRDefault="00A1285B" w:rsidP="00AD5D8E">
      <w:pPr>
        <w:rPr>
          <w:rFonts w:cstheme="minorHAnsi"/>
          <w:sz w:val="20"/>
          <w:szCs w:val="20"/>
        </w:rPr>
      </w:pPr>
    </w:p>
    <w:p w14:paraId="28AA5545" w14:textId="3FF6B586" w:rsidR="00A1285B" w:rsidRPr="006413DB" w:rsidRDefault="00A1285B" w:rsidP="00AD5D8E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54C68F5A" w14:textId="77777777" w:rsidR="00930AF5" w:rsidRPr="00930AF5" w:rsidRDefault="00A1285B" w:rsidP="00A1285B">
      <w:pPr>
        <w:rPr>
          <w:rFonts w:cstheme="minorHAnsi"/>
          <w:b/>
          <w:bCs/>
          <w:sz w:val="20"/>
          <w:szCs w:val="20"/>
        </w:rPr>
      </w:pPr>
      <w:r w:rsidRPr="00930AF5">
        <w:rPr>
          <w:rFonts w:cstheme="minorHAnsi"/>
          <w:b/>
          <w:bCs/>
          <w:sz w:val="20"/>
          <w:szCs w:val="20"/>
        </w:rPr>
        <w:t xml:space="preserve">Niche derived netrin-1 regulates hematopoietic stem cell dormancy via its receptor neogenin-1. </w:t>
      </w:r>
    </w:p>
    <w:p w14:paraId="1E713211" w14:textId="54D043D1" w:rsidR="00A1285B" w:rsidRPr="006413DB" w:rsidRDefault="00A1285B" w:rsidP="00A1285B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Simon Renders, Arthur </w:t>
      </w:r>
      <w:proofErr w:type="spellStart"/>
      <w:r w:rsidRPr="006413DB">
        <w:rPr>
          <w:rFonts w:cstheme="minorHAnsi"/>
          <w:sz w:val="20"/>
          <w:szCs w:val="20"/>
        </w:rPr>
        <w:t>Flohr</w:t>
      </w:r>
      <w:proofErr w:type="spellEnd"/>
      <w:r w:rsidRPr="006413DB">
        <w:rPr>
          <w:rFonts w:cstheme="minorHAnsi"/>
          <w:sz w:val="20"/>
          <w:szCs w:val="20"/>
        </w:rPr>
        <w:t xml:space="preserve"> Svendsen, [</w:t>
      </w:r>
      <w:proofErr w:type="gramStart"/>
      <w:r w:rsidRPr="006413DB">
        <w:rPr>
          <w:rFonts w:cstheme="minorHAnsi"/>
          <w:sz w:val="20"/>
          <w:szCs w:val="20"/>
        </w:rPr>
        <w:t>…]Andreas</w:t>
      </w:r>
      <w:proofErr w:type="gramEnd"/>
      <w:r w:rsidRPr="006413DB">
        <w:rPr>
          <w:rFonts w:cstheme="minorHAnsi"/>
          <w:sz w:val="20"/>
          <w:szCs w:val="20"/>
        </w:rPr>
        <w:t xml:space="preserve"> </w:t>
      </w:r>
      <w:proofErr w:type="spellStart"/>
      <w:r w:rsidRPr="006413DB">
        <w:rPr>
          <w:rFonts w:cstheme="minorHAnsi"/>
          <w:sz w:val="20"/>
          <w:szCs w:val="20"/>
        </w:rPr>
        <w:t>Trumpp</w:t>
      </w:r>
      <w:proofErr w:type="spellEnd"/>
      <w:r w:rsidRPr="006413DB">
        <w:rPr>
          <w:rFonts w:cstheme="minorHAnsi"/>
          <w:sz w:val="20"/>
          <w:szCs w:val="20"/>
        </w:rPr>
        <w:t xml:space="preserve"> </w:t>
      </w:r>
    </w:p>
    <w:p w14:paraId="06B0B47F" w14:textId="27D962E0" w:rsidR="00462CAC" w:rsidRPr="006413DB" w:rsidRDefault="00A1285B" w:rsidP="00A1285B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Nature Communications volume 12, Article number: 608 (</w:t>
      </w:r>
      <w:r w:rsidRPr="006413DB">
        <w:rPr>
          <w:rFonts w:cstheme="minorHAnsi"/>
          <w:sz w:val="20"/>
          <w:szCs w:val="20"/>
          <w:highlight w:val="green"/>
        </w:rPr>
        <w:t>2021</w:t>
      </w:r>
      <w:r w:rsidRPr="006413DB">
        <w:rPr>
          <w:rFonts w:cstheme="minorHAnsi"/>
          <w:sz w:val="20"/>
          <w:szCs w:val="20"/>
        </w:rPr>
        <w:t>)</w:t>
      </w:r>
    </w:p>
    <w:p w14:paraId="59B2E8F7" w14:textId="3FA03169" w:rsidR="00A1285B" w:rsidRPr="006413DB" w:rsidRDefault="00A1285B" w:rsidP="00A1285B">
      <w:pPr>
        <w:rPr>
          <w:rFonts w:cstheme="minorHAnsi"/>
          <w:sz w:val="20"/>
          <w:szCs w:val="20"/>
        </w:rPr>
      </w:pPr>
    </w:p>
    <w:p w14:paraId="7F944F46" w14:textId="43B88524" w:rsidR="00A1285B" w:rsidRPr="006413DB" w:rsidRDefault="00A1285B" w:rsidP="00A1285B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36AD6A66" w14:textId="77777777" w:rsidR="00930AF5" w:rsidRPr="00930AF5" w:rsidRDefault="00A1285B" w:rsidP="00A1285B">
      <w:pPr>
        <w:rPr>
          <w:rFonts w:cstheme="minorHAnsi"/>
          <w:b/>
          <w:bCs/>
          <w:sz w:val="20"/>
          <w:szCs w:val="20"/>
        </w:rPr>
      </w:pPr>
      <w:r w:rsidRPr="00930AF5">
        <w:rPr>
          <w:rFonts w:cstheme="minorHAnsi"/>
          <w:b/>
          <w:bCs/>
          <w:sz w:val="20"/>
          <w:szCs w:val="20"/>
        </w:rPr>
        <w:t xml:space="preserve">The </w:t>
      </w:r>
      <w:proofErr w:type="spellStart"/>
      <w:r w:rsidRPr="00930AF5">
        <w:rPr>
          <w:rFonts w:cstheme="minorHAnsi"/>
          <w:b/>
          <w:bCs/>
          <w:sz w:val="20"/>
          <w:szCs w:val="20"/>
        </w:rPr>
        <w:t>versican</w:t>
      </w:r>
      <w:proofErr w:type="spellEnd"/>
      <w:r w:rsidRPr="00930AF5">
        <w:rPr>
          <w:rFonts w:cstheme="minorHAnsi"/>
          <w:b/>
          <w:bCs/>
          <w:sz w:val="20"/>
          <w:szCs w:val="20"/>
        </w:rPr>
        <w:t xml:space="preserve">-hyaluronan complex provides an essential extracellular matrix niche for Flk1+ hematoendothelial progenitors. </w:t>
      </w:r>
    </w:p>
    <w:p w14:paraId="31B7CADE" w14:textId="60765526" w:rsidR="00A1285B" w:rsidRPr="006413DB" w:rsidRDefault="00A1285B" w:rsidP="00A1285B">
      <w:pPr>
        <w:rPr>
          <w:rFonts w:cstheme="minorHAnsi"/>
          <w:sz w:val="20"/>
          <w:szCs w:val="20"/>
        </w:rPr>
      </w:pPr>
      <w:proofErr w:type="spellStart"/>
      <w:proofErr w:type="gramStart"/>
      <w:r w:rsidRPr="006413DB">
        <w:rPr>
          <w:rFonts w:cstheme="minorHAnsi"/>
          <w:sz w:val="20"/>
          <w:szCs w:val="20"/>
        </w:rPr>
        <w:t>Sumeda</w:t>
      </w:r>
      <w:proofErr w:type="spellEnd"/>
      <w:r w:rsidRPr="006413DB">
        <w:rPr>
          <w:rFonts w:cstheme="minorHAnsi"/>
          <w:sz w:val="20"/>
          <w:szCs w:val="20"/>
        </w:rPr>
        <w:t xml:space="preserve">  et al.</w:t>
      </w:r>
      <w:proofErr w:type="gramEnd"/>
      <w:r w:rsidRPr="006413DB">
        <w:rPr>
          <w:rFonts w:cstheme="minorHAnsi"/>
          <w:sz w:val="20"/>
          <w:szCs w:val="20"/>
        </w:rPr>
        <w:t xml:space="preserve">, Suneel </w:t>
      </w:r>
      <w:proofErr w:type="spellStart"/>
      <w:r w:rsidRPr="006413DB">
        <w:rPr>
          <w:rFonts w:cstheme="minorHAnsi"/>
          <w:sz w:val="20"/>
          <w:szCs w:val="20"/>
        </w:rPr>
        <w:t>S.Apte</w:t>
      </w:r>
      <w:proofErr w:type="spellEnd"/>
      <w:r w:rsidRPr="006413DB">
        <w:rPr>
          <w:rFonts w:cstheme="minorHAnsi"/>
          <w:sz w:val="20"/>
          <w:szCs w:val="20"/>
        </w:rPr>
        <w:t>. Matrix Biology. (</w:t>
      </w:r>
      <w:r w:rsidRPr="006413DB">
        <w:rPr>
          <w:rFonts w:cstheme="minorHAnsi"/>
          <w:sz w:val="20"/>
          <w:szCs w:val="20"/>
          <w:highlight w:val="green"/>
        </w:rPr>
        <w:t>2021</w:t>
      </w:r>
      <w:r w:rsidRPr="006413DB">
        <w:rPr>
          <w:rFonts w:cstheme="minorHAnsi"/>
          <w:sz w:val="20"/>
          <w:szCs w:val="20"/>
        </w:rPr>
        <w:t xml:space="preserve">) 00, 118.  </w:t>
      </w:r>
      <w:hyperlink r:id="rId10" w:history="1">
        <w:r w:rsidRPr="006413DB">
          <w:rPr>
            <w:rStyle w:val="Hyperlink"/>
            <w:rFonts w:cstheme="minorHAnsi"/>
            <w:sz w:val="20"/>
            <w:szCs w:val="20"/>
          </w:rPr>
          <w:t>https://doi.org/10.1016/j.matbio.2021.01.002</w:t>
        </w:r>
      </w:hyperlink>
    </w:p>
    <w:p w14:paraId="5B228958" w14:textId="77777777" w:rsidR="00A1285B" w:rsidRPr="006413DB" w:rsidRDefault="00A1285B" w:rsidP="00A1285B">
      <w:pPr>
        <w:rPr>
          <w:rFonts w:cstheme="minorHAnsi"/>
          <w:sz w:val="20"/>
          <w:szCs w:val="20"/>
        </w:rPr>
      </w:pPr>
    </w:p>
    <w:p w14:paraId="6DE37F64" w14:textId="6230B31A" w:rsidR="00A1285B" w:rsidRPr="006413DB" w:rsidRDefault="00497AD1" w:rsidP="00F7147B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290F42B5" w14:textId="77777777" w:rsidR="00930AF5" w:rsidRPr="00930AF5" w:rsidRDefault="00497AD1" w:rsidP="00497AD1">
      <w:pPr>
        <w:rPr>
          <w:rFonts w:cstheme="minorHAnsi"/>
          <w:b/>
          <w:bCs/>
          <w:sz w:val="20"/>
          <w:szCs w:val="20"/>
        </w:rPr>
      </w:pPr>
      <w:r w:rsidRPr="00930AF5">
        <w:rPr>
          <w:rFonts w:cstheme="minorHAnsi"/>
          <w:b/>
          <w:bCs/>
          <w:sz w:val="20"/>
          <w:szCs w:val="20"/>
        </w:rPr>
        <w:t xml:space="preserve">Effects of mouse </w:t>
      </w:r>
      <w:proofErr w:type="spellStart"/>
      <w:r w:rsidRPr="00930AF5">
        <w:rPr>
          <w:rFonts w:cstheme="minorHAnsi"/>
          <w:b/>
          <w:bCs/>
          <w:sz w:val="20"/>
          <w:szCs w:val="20"/>
        </w:rPr>
        <w:t>fetal</w:t>
      </w:r>
      <w:proofErr w:type="spellEnd"/>
      <w:r w:rsidRPr="00930AF5">
        <w:rPr>
          <w:rFonts w:cstheme="minorHAnsi"/>
          <w:b/>
          <w:bCs/>
          <w:sz w:val="20"/>
          <w:szCs w:val="20"/>
        </w:rPr>
        <w:t xml:space="preserve"> liver cell culture density on hematopoietic cell expansion in three-dimensional cocultures with stromal cells. </w:t>
      </w:r>
    </w:p>
    <w:p w14:paraId="22E72756" w14:textId="27481D7D" w:rsidR="00930AF5" w:rsidRDefault="00497AD1" w:rsidP="00497AD1">
      <w:pPr>
        <w:rPr>
          <w:rFonts w:cstheme="minorHAnsi"/>
          <w:sz w:val="20"/>
          <w:szCs w:val="20"/>
        </w:rPr>
      </w:pPr>
      <w:proofErr w:type="spellStart"/>
      <w:r w:rsidRPr="006413DB">
        <w:rPr>
          <w:rFonts w:cstheme="minorHAnsi"/>
          <w:sz w:val="20"/>
          <w:szCs w:val="20"/>
        </w:rPr>
        <w:t>Hirotoshi</w:t>
      </w:r>
      <w:proofErr w:type="spellEnd"/>
      <w:r w:rsidRPr="006413DB">
        <w:rPr>
          <w:rFonts w:cstheme="minorHAnsi"/>
          <w:sz w:val="20"/>
          <w:szCs w:val="20"/>
        </w:rPr>
        <w:t xml:space="preserve"> Miyoshi, Kenji Abo, Daiki </w:t>
      </w:r>
      <w:proofErr w:type="spellStart"/>
      <w:r w:rsidRPr="006413DB">
        <w:rPr>
          <w:rFonts w:cstheme="minorHAnsi"/>
          <w:sz w:val="20"/>
          <w:szCs w:val="20"/>
        </w:rPr>
        <w:t>Hosoya</w:t>
      </w:r>
      <w:proofErr w:type="spellEnd"/>
    </w:p>
    <w:p w14:paraId="0153D174" w14:textId="18D40294" w:rsidR="00497AD1" w:rsidRPr="006413DB" w:rsidRDefault="00887280" w:rsidP="00497AD1">
      <w:pPr>
        <w:rPr>
          <w:rFonts w:cstheme="minorHAnsi"/>
          <w:sz w:val="20"/>
          <w:szCs w:val="20"/>
        </w:rPr>
      </w:pPr>
      <w:hyperlink r:id="rId11" w:history="1">
        <w:r w:rsidR="00930AF5" w:rsidRPr="003C6AB5">
          <w:rPr>
            <w:rStyle w:val="Hyperlink"/>
            <w:rFonts w:cstheme="minorHAnsi"/>
            <w:sz w:val="20"/>
            <w:szCs w:val="20"/>
          </w:rPr>
          <w:t>https://doi.org/10.1177/0391398821996377</w:t>
        </w:r>
      </w:hyperlink>
    </w:p>
    <w:p w14:paraId="4BF4E30A" w14:textId="77777777" w:rsidR="00497AD1" w:rsidRPr="006413DB" w:rsidRDefault="00497AD1" w:rsidP="00497AD1">
      <w:pPr>
        <w:rPr>
          <w:rFonts w:cstheme="minorHAnsi"/>
          <w:sz w:val="20"/>
          <w:szCs w:val="20"/>
        </w:rPr>
      </w:pPr>
    </w:p>
    <w:p w14:paraId="6F9790EE" w14:textId="55A77C36" w:rsidR="00462CAC" w:rsidRPr="006413DB" w:rsidRDefault="00462CAC" w:rsidP="00462CAC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249FE6A9" w14:textId="77777777" w:rsidR="00462CAC" w:rsidRPr="00930AF5" w:rsidRDefault="00462CAC" w:rsidP="00462CAC">
      <w:pPr>
        <w:rPr>
          <w:rFonts w:cstheme="minorHAnsi"/>
          <w:b/>
          <w:bCs/>
          <w:sz w:val="20"/>
          <w:szCs w:val="20"/>
        </w:rPr>
      </w:pPr>
      <w:r w:rsidRPr="00930AF5">
        <w:rPr>
          <w:rFonts w:cstheme="minorHAnsi"/>
          <w:b/>
          <w:bCs/>
          <w:sz w:val="20"/>
          <w:szCs w:val="20"/>
        </w:rPr>
        <w:t>Hemogenic Endothelial Cells Can Transition to Hematopoietic Stem Cells through a B-1 Lymphocyte-Biased State during Maturation in the Mouse Embryo.</w:t>
      </w:r>
    </w:p>
    <w:p w14:paraId="25609FF6" w14:textId="77777777" w:rsidR="00462CAC" w:rsidRPr="006413DB" w:rsidRDefault="00462CAC" w:rsidP="00462CAC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Kobayashi M, </w:t>
      </w:r>
      <w:proofErr w:type="spellStart"/>
      <w:r w:rsidRPr="006413DB">
        <w:rPr>
          <w:rFonts w:cstheme="minorHAnsi"/>
          <w:sz w:val="20"/>
          <w:szCs w:val="20"/>
        </w:rPr>
        <w:t>Tarnawsky</w:t>
      </w:r>
      <w:proofErr w:type="spellEnd"/>
      <w:r w:rsidRPr="006413DB">
        <w:rPr>
          <w:rFonts w:cstheme="minorHAnsi"/>
          <w:sz w:val="20"/>
          <w:szCs w:val="20"/>
        </w:rPr>
        <w:t xml:space="preserve"> SP, Wei H, Mishra A, Azevedo </w:t>
      </w:r>
      <w:proofErr w:type="spellStart"/>
      <w:r w:rsidRPr="006413DB">
        <w:rPr>
          <w:rFonts w:cstheme="minorHAnsi"/>
          <w:sz w:val="20"/>
          <w:szCs w:val="20"/>
        </w:rPr>
        <w:t>Portilho</w:t>
      </w:r>
      <w:proofErr w:type="spellEnd"/>
      <w:r w:rsidRPr="006413DB">
        <w:rPr>
          <w:rFonts w:cstheme="minorHAnsi"/>
          <w:sz w:val="20"/>
          <w:szCs w:val="20"/>
        </w:rPr>
        <w:t xml:space="preserve"> N, Wenzel P, Davis B, Wu J, </w:t>
      </w:r>
      <w:proofErr w:type="spellStart"/>
      <w:r w:rsidRPr="006413DB">
        <w:rPr>
          <w:rFonts w:cstheme="minorHAnsi"/>
          <w:sz w:val="20"/>
          <w:szCs w:val="20"/>
          <w:highlight w:val="yellow"/>
        </w:rPr>
        <w:t>Hadland</w:t>
      </w:r>
      <w:proofErr w:type="spellEnd"/>
      <w:r w:rsidRPr="006413DB">
        <w:rPr>
          <w:rFonts w:cstheme="minorHAnsi"/>
          <w:sz w:val="20"/>
          <w:szCs w:val="20"/>
          <w:highlight w:val="yellow"/>
        </w:rPr>
        <w:t xml:space="preserve"> B, Yoshimoto M.</w:t>
      </w:r>
    </w:p>
    <w:p w14:paraId="06E56D8C" w14:textId="77777777" w:rsidR="00462CAC" w:rsidRPr="006413DB" w:rsidRDefault="00462CAC" w:rsidP="00462CAC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Stem Cell Reports. </w:t>
      </w:r>
      <w:r w:rsidRPr="006413DB">
        <w:rPr>
          <w:rFonts w:cstheme="minorHAnsi"/>
          <w:sz w:val="20"/>
          <w:szCs w:val="20"/>
          <w:highlight w:val="green"/>
        </w:rPr>
        <w:t>2019</w:t>
      </w:r>
      <w:r w:rsidRPr="006413DB">
        <w:rPr>
          <w:rFonts w:cstheme="minorHAnsi"/>
          <w:sz w:val="20"/>
          <w:szCs w:val="20"/>
        </w:rPr>
        <w:t xml:space="preserve"> Jul 9;13(1):21-30. </w:t>
      </w:r>
      <w:proofErr w:type="spellStart"/>
      <w:r w:rsidRPr="006413DB">
        <w:rPr>
          <w:rFonts w:cstheme="minorHAnsi"/>
          <w:sz w:val="20"/>
          <w:szCs w:val="20"/>
        </w:rPr>
        <w:t>doi</w:t>
      </w:r>
      <w:proofErr w:type="spellEnd"/>
      <w:r w:rsidRPr="006413DB">
        <w:rPr>
          <w:rFonts w:cstheme="minorHAnsi"/>
          <w:sz w:val="20"/>
          <w:szCs w:val="20"/>
        </w:rPr>
        <w:t xml:space="preserve">: 10.1016/j.stemcr.2019.05.025. </w:t>
      </w:r>
      <w:proofErr w:type="spellStart"/>
      <w:r w:rsidRPr="006413DB">
        <w:rPr>
          <w:rFonts w:cstheme="minorHAnsi"/>
          <w:sz w:val="20"/>
          <w:szCs w:val="20"/>
        </w:rPr>
        <w:t>Epub</w:t>
      </w:r>
      <w:proofErr w:type="spellEnd"/>
      <w:r w:rsidRPr="006413DB">
        <w:rPr>
          <w:rFonts w:cstheme="minorHAnsi"/>
          <w:sz w:val="20"/>
          <w:szCs w:val="20"/>
        </w:rPr>
        <w:t xml:space="preserve"> 2019 Jun 20.</w:t>
      </w:r>
    </w:p>
    <w:p w14:paraId="583098D1" w14:textId="1549B9F8" w:rsidR="00F7147B" w:rsidRPr="006413DB" w:rsidRDefault="00462CAC" w:rsidP="00462CAC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PMID: 31231025</w:t>
      </w:r>
    </w:p>
    <w:p w14:paraId="4870145E" w14:textId="445D2D51" w:rsidR="00462CAC" w:rsidRPr="006413DB" w:rsidRDefault="00462CAC" w:rsidP="00462CAC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5B637E70" w14:textId="77777777" w:rsidR="00F7147B" w:rsidRPr="00930AF5" w:rsidRDefault="00F7147B" w:rsidP="00F7147B">
      <w:pPr>
        <w:rPr>
          <w:rFonts w:cstheme="minorHAnsi"/>
          <w:b/>
          <w:bCs/>
          <w:sz w:val="20"/>
          <w:szCs w:val="20"/>
        </w:rPr>
      </w:pPr>
      <w:r w:rsidRPr="00930AF5">
        <w:rPr>
          <w:rFonts w:cstheme="minorHAnsi"/>
          <w:b/>
          <w:bCs/>
          <w:sz w:val="20"/>
          <w:szCs w:val="20"/>
        </w:rPr>
        <w:t xml:space="preserve">Embryonic lineage tracing with </w:t>
      </w:r>
      <w:proofErr w:type="spellStart"/>
      <w:r w:rsidRPr="00930AF5">
        <w:rPr>
          <w:rFonts w:cstheme="minorHAnsi"/>
          <w:b/>
          <w:bCs/>
          <w:sz w:val="20"/>
          <w:szCs w:val="20"/>
        </w:rPr>
        <w:t>Procr-CreER</w:t>
      </w:r>
      <w:proofErr w:type="spellEnd"/>
      <w:r w:rsidRPr="00930AF5">
        <w:rPr>
          <w:rFonts w:cstheme="minorHAnsi"/>
          <w:b/>
          <w:bCs/>
          <w:sz w:val="20"/>
          <w:szCs w:val="20"/>
        </w:rPr>
        <w:t xml:space="preserve"> marks balanced hematopoietic stem cell fate during entire mouse lifespan.</w:t>
      </w:r>
    </w:p>
    <w:p w14:paraId="12F679D7" w14:textId="77777777" w:rsidR="00F7147B" w:rsidRPr="006413DB" w:rsidRDefault="00F7147B" w:rsidP="00F7147B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Zheng X, Zhang G, Gong Y, Ning X, Bai Z, He J, Zhou F, Ni Y, Lan Y, Liu B.</w:t>
      </w:r>
    </w:p>
    <w:p w14:paraId="14ACD6D8" w14:textId="77777777" w:rsidR="00F7147B" w:rsidRPr="006413DB" w:rsidRDefault="00F7147B" w:rsidP="00F7147B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J Genet Genomics. </w:t>
      </w:r>
      <w:r w:rsidRPr="006413DB">
        <w:rPr>
          <w:rFonts w:cstheme="minorHAnsi"/>
          <w:sz w:val="20"/>
          <w:szCs w:val="20"/>
          <w:highlight w:val="green"/>
        </w:rPr>
        <w:t>2019</w:t>
      </w:r>
      <w:r w:rsidRPr="006413DB">
        <w:rPr>
          <w:rFonts w:cstheme="minorHAnsi"/>
          <w:sz w:val="20"/>
          <w:szCs w:val="20"/>
        </w:rPr>
        <w:t xml:space="preserve"> Oct 20;46(10):489-498. </w:t>
      </w:r>
      <w:proofErr w:type="spellStart"/>
      <w:r w:rsidRPr="006413DB">
        <w:rPr>
          <w:rFonts w:cstheme="minorHAnsi"/>
          <w:sz w:val="20"/>
          <w:szCs w:val="20"/>
        </w:rPr>
        <w:t>doi</w:t>
      </w:r>
      <w:proofErr w:type="spellEnd"/>
      <w:r w:rsidRPr="006413DB">
        <w:rPr>
          <w:rFonts w:cstheme="minorHAnsi"/>
          <w:sz w:val="20"/>
          <w:szCs w:val="20"/>
        </w:rPr>
        <w:t xml:space="preserve">: 10.1016/j.jgg.2019.10.005. </w:t>
      </w:r>
      <w:proofErr w:type="spellStart"/>
      <w:r w:rsidRPr="006413DB">
        <w:rPr>
          <w:rFonts w:cstheme="minorHAnsi"/>
          <w:sz w:val="20"/>
          <w:szCs w:val="20"/>
        </w:rPr>
        <w:t>Epub</w:t>
      </w:r>
      <w:proofErr w:type="spellEnd"/>
      <w:r w:rsidRPr="006413DB">
        <w:rPr>
          <w:rFonts w:cstheme="minorHAnsi"/>
          <w:sz w:val="20"/>
          <w:szCs w:val="20"/>
        </w:rPr>
        <w:t xml:space="preserve"> 2019 Nov 4.</w:t>
      </w:r>
    </w:p>
    <w:p w14:paraId="4175D3CC" w14:textId="45BAD69D" w:rsidR="00F7147B" w:rsidRPr="006413DB" w:rsidRDefault="00F7147B" w:rsidP="00F7147B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PMID: 31776062</w:t>
      </w:r>
    </w:p>
    <w:p w14:paraId="37E6EB32" w14:textId="77777777" w:rsidR="00F7147B" w:rsidRPr="006413DB" w:rsidRDefault="00F7147B" w:rsidP="00F7147B">
      <w:pPr>
        <w:rPr>
          <w:rFonts w:cstheme="minorHAnsi"/>
          <w:sz w:val="20"/>
          <w:szCs w:val="20"/>
        </w:rPr>
      </w:pPr>
    </w:p>
    <w:p w14:paraId="2AE137F3" w14:textId="1774257F" w:rsidR="00F7147B" w:rsidRPr="006413DB" w:rsidRDefault="00F7147B" w:rsidP="00F7147B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02FD3B22" w14:textId="30D9B428" w:rsidR="00F7147B" w:rsidRPr="00930AF5" w:rsidRDefault="00F7147B" w:rsidP="00F7147B">
      <w:pPr>
        <w:rPr>
          <w:rFonts w:cstheme="minorHAnsi"/>
          <w:b/>
          <w:bCs/>
          <w:sz w:val="20"/>
          <w:szCs w:val="20"/>
        </w:rPr>
      </w:pPr>
      <w:r w:rsidRPr="00930AF5">
        <w:rPr>
          <w:rFonts w:cstheme="minorHAnsi"/>
          <w:b/>
          <w:bCs/>
          <w:sz w:val="20"/>
          <w:szCs w:val="20"/>
        </w:rPr>
        <w:t xml:space="preserve">Overexpression of p21 Has Inhibitory Effect on Human </w:t>
      </w:r>
      <w:proofErr w:type="spellStart"/>
      <w:r w:rsidRPr="00930AF5">
        <w:rPr>
          <w:rFonts w:cstheme="minorHAnsi"/>
          <w:b/>
          <w:bCs/>
          <w:sz w:val="20"/>
          <w:szCs w:val="20"/>
        </w:rPr>
        <w:t>Hematopoiesis</w:t>
      </w:r>
      <w:proofErr w:type="spellEnd"/>
      <w:r w:rsidRPr="00930AF5">
        <w:rPr>
          <w:rFonts w:cstheme="minorHAnsi"/>
          <w:b/>
          <w:bCs/>
          <w:sz w:val="20"/>
          <w:szCs w:val="20"/>
        </w:rPr>
        <w:t xml:space="preserve"> by Blocking Generation of CD43+ Cells via Cell-Cycle Regulation.</w:t>
      </w:r>
    </w:p>
    <w:p w14:paraId="47D2495D" w14:textId="77777777" w:rsidR="00F7147B" w:rsidRPr="006413DB" w:rsidRDefault="00F7147B" w:rsidP="00F7147B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Zeng J, Zhang H, Liu Y, Sun W, Yi D, Zhu L, Zhang Y, Pan X, Chen Y, Zhou Y, </w:t>
      </w:r>
      <w:proofErr w:type="spellStart"/>
      <w:r w:rsidRPr="006413DB">
        <w:rPr>
          <w:rFonts w:cstheme="minorHAnsi"/>
          <w:sz w:val="20"/>
          <w:szCs w:val="20"/>
        </w:rPr>
        <w:t>Bian</w:t>
      </w:r>
      <w:proofErr w:type="spellEnd"/>
      <w:r w:rsidRPr="006413DB">
        <w:rPr>
          <w:rFonts w:cstheme="minorHAnsi"/>
          <w:sz w:val="20"/>
          <w:szCs w:val="20"/>
        </w:rPr>
        <w:t xml:space="preserve"> G, Lai M, Zhou Q, Liu J, Chen B, Ma F.</w:t>
      </w:r>
    </w:p>
    <w:p w14:paraId="69554F99" w14:textId="77777777" w:rsidR="00F7147B" w:rsidRPr="006413DB" w:rsidRDefault="00F7147B" w:rsidP="00F7147B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Int J Stem Cells. </w:t>
      </w:r>
      <w:r w:rsidRPr="006413DB">
        <w:rPr>
          <w:rFonts w:cstheme="minorHAnsi"/>
          <w:sz w:val="20"/>
          <w:szCs w:val="20"/>
          <w:highlight w:val="green"/>
        </w:rPr>
        <w:t>2020</w:t>
      </w:r>
      <w:r w:rsidRPr="006413DB">
        <w:rPr>
          <w:rFonts w:cstheme="minorHAnsi"/>
          <w:sz w:val="20"/>
          <w:szCs w:val="20"/>
        </w:rPr>
        <w:t xml:space="preserve"> Jul 30;13(2):202-211. </w:t>
      </w:r>
      <w:proofErr w:type="spellStart"/>
      <w:r w:rsidRPr="006413DB">
        <w:rPr>
          <w:rFonts w:cstheme="minorHAnsi"/>
          <w:sz w:val="20"/>
          <w:szCs w:val="20"/>
        </w:rPr>
        <w:t>doi</w:t>
      </w:r>
      <w:proofErr w:type="spellEnd"/>
      <w:r w:rsidRPr="006413DB">
        <w:rPr>
          <w:rFonts w:cstheme="minorHAnsi"/>
          <w:sz w:val="20"/>
          <w:szCs w:val="20"/>
        </w:rPr>
        <w:t>: 10.15283/ijsc20033.</w:t>
      </w:r>
    </w:p>
    <w:p w14:paraId="66DE78C2" w14:textId="08DB971F" w:rsidR="00F7147B" w:rsidRPr="006413DB" w:rsidRDefault="00F7147B" w:rsidP="00F7147B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PMID: 32587134</w:t>
      </w:r>
    </w:p>
    <w:p w14:paraId="3DF0657A" w14:textId="77777777" w:rsidR="00F7147B" w:rsidRPr="006413DB" w:rsidRDefault="00F7147B" w:rsidP="00462575">
      <w:pPr>
        <w:rPr>
          <w:rFonts w:cstheme="minorHAnsi"/>
          <w:sz w:val="20"/>
          <w:szCs w:val="20"/>
        </w:rPr>
      </w:pPr>
    </w:p>
    <w:p w14:paraId="0BA79E9B" w14:textId="4FD07738" w:rsidR="00F7147B" w:rsidRPr="006413DB" w:rsidRDefault="00F7147B" w:rsidP="00462575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59A5BCD3" w14:textId="4A71D28F" w:rsidR="00462575" w:rsidRPr="00930AF5" w:rsidRDefault="00462575" w:rsidP="00462575">
      <w:pPr>
        <w:rPr>
          <w:rFonts w:cstheme="minorHAnsi"/>
          <w:b/>
          <w:bCs/>
          <w:sz w:val="20"/>
          <w:szCs w:val="20"/>
        </w:rPr>
      </w:pPr>
      <w:r w:rsidRPr="00930AF5">
        <w:rPr>
          <w:rFonts w:cstheme="minorHAnsi"/>
          <w:b/>
          <w:bCs/>
          <w:sz w:val="20"/>
          <w:szCs w:val="20"/>
        </w:rPr>
        <w:t>Distinct Waves from the Hemogenic Endothelium Give Rise to Layered Lymphoid Tissue Inducer Cell Ontogeny.</w:t>
      </w:r>
    </w:p>
    <w:p w14:paraId="40610503" w14:textId="1D156A8F" w:rsidR="00462575" w:rsidRPr="006413DB" w:rsidRDefault="00462575" w:rsidP="00462575">
      <w:pPr>
        <w:rPr>
          <w:rFonts w:cstheme="minorHAnsi"/>
          <w:sz w:val="20"/>
          <w:szCs w:val="20"/>
        </w:rPr>
      </w:pPr>
      <w:proofErr w:type="spellStart"/>
      <w:r w:rsidRPr="006413DB">
        <w:rPr>
          <w:rFonts w:cstheme="minorHAnsi"/>
          <w:sz w:val="20"/>
          <w:szCs w:val="20"/>
        </w:rPr>
        <w:t>Simic</w:t>
      </w:r>
      <w:proofErr w:type="spellEnd"/>
      <w:r w:rsidRPr="006413DB">
        <w:rPr>
          <w:rFonts w:cstheme="minorHAnsi"/>
          <w:sz w:val="20"/>
          <w:szCs w:val="20"/>
        </w:rPr>
        <w:t xml:space="preserve"> M, </w:t>
      </w:r>
      <w:proofErr w:type="spellStart"/>
      <w:r w:rsidRPr="006413DB">
        <w:rPr>
          <w:rFonts w:cstheme="minorHAnsi"/>
          <w:sz w:val="20"/>
          <w:szCs w:val="20"/>
        </w:rPr>
        <w:t>Manosalva</w:t>
      </w:r>
      <w:proofErr w:type="spellEnd"/>
      <w:r w:rsidRPr="006413DB">
        <w:rPr>
          <w:rFonts w:cstheme="minorHAnsi"/>
          <w:sz w:val="20"/>
          <w:szCs w:val="20"/>
        </w:rPr>
        <w:t xml:space="preserve"> I, Spinelli L, </w:t>
      </w:r>
      <w:proofErr w:type="spellStart"/>
      <w:r w:rsidRPr="006413DB">
        <w:rPr>
          <w:rFonts w:cstheme="minorHAnsi"/>
          <w:sz w:val="20"/>
          <w:szCs w:val="20"/>
        </w:rPr>
        <w:t>Gentek</w:t>
      </w:r>
      <w:proofErr w:type="spellEnd"/>
      <w:r w:rsidRPr="006413DB">
        <w:rPr>
          <w:rFonts w:cstheme="minorHAnsi"/>
          <w:sz w:val="20"/>
          <w:szCs w:val="20"/>
        </w:rPr>
        <w:t xml:space="preserve"> R, </w:t>
      </w:r>
      <w:proofErr w:type="spellStart"/>
      <w:r w:rsidRPr="006413DB">
        <w:rPr>
          <w:rFonts w:cstheme="minorHAnsi"/>
          <w:sz w:val="20"/>
          <w:szCs w:val="20"/>
        </w:rPr>
        <w:t>Shayan</w:t>
      </w:r>
      <w:proofErr w:type="spellEnd"/>
      <w:r w:rsidRPr="006413DB">
        <w:rPr>
          <w:rFonts w:cstheme="minorHAnsi"/>
          <w:sz w:val="20"/>
          <w:szCs w:val="20"/>
        </w:rPr>
        <w:t xml:space="preserve"> RR, Siret C, Girard-</w:t>
      </w:r>
      <w:proofErr w:type="spellStart"/>
      <w:r w:rsidRPr="006413DB">
        <w:rPr>
          <w:rFonts w:cstheme="minorHAnsi"/>
          <w:sz w:val="20"/>
          <w:szCs w:val="20"/>
        </w:rPr>
        <w:t>Madoux</w:t>
      </w:r>
      <w:proofErr w:type="spellEnd"/>
      <w:r w:rsidRPr="006413DB">
        <w:rPr>
          <w:rFonts w:cstheme="minorHAnsi"/>
          <w:sz w:val="20"/>
          <w:szCs w:val="20"/>
        </w:rPr>
        <w:t xml:space="preserve"> M, Wang S, de </w:t>
      </w:r>
      <w:proofErr w:type="spellStart"/>
      <w:r w:rsidRPr="006413DB">
        <w:rPr>
          <w:rFonts w:cstheme="minorHAnsi"/>
          <w:sz w:val="20"/>
          <w:szCs w:val="20"/>
        </w:rPr>
        <w:t>Fabritus</w:t>
      </w:r>
      <w:proofErr w:type="spellEnd"/>
      <w:r w:rsidRPr="006413DB">
        <w:rPr>
          <w:rFonts w:cstheme="minorHAnsi"/>
          <w:sz w:val="20"/>
          <w:szCs w:val="20"/>
        </w:rPr>
        <w:t xml:space="preserve"> L, Verschoor J, </w:t>
      </w:r>
      <w:proofErr w:type="spellStart"/>
      <w:r w:rsidRPr="006413DB">
        <w:rPr>
          <w:rFonts w:cstheme="minorHAnsi"/>
          <w:sz w:val="20"/>
          <w:szCs w:val="20"/>
        </w:rPr>
        <w:t>Kerdiles</w:t>
      </w:r>
      <w:proofErr w:type="spellEnd"/>
      <w:r w:rsidRPr="006413DB">
        <w:rPr>
          <w:rFonts w:cstheme="minorHAnsi"/>
          <w:sz w:val="20"/>
          <w:szCs w:val="20"/>
        </w:rPr>
        <w:t xml:space="preserve"> YM, </w:t>
      </w:r>
      <w:proofErr w:type="spellStart"/>
      <w:r w:rsidRPr="006413DB">
        <w:rPr>
          <w:rFonts w:cstheme="minorHAnsi"/>
          <w:sz w:val="20"/>
          <w:szCs w:val="20"/>
        </w:rPr>
        <w:t>Bajenoff</w:t>
      </w:r>
      <w:proofErr w:type="spellEnd"/>
      <w:r w:rsidRPr="006413DB">
        <w:rPr>
          <w:rFonts w:cstheme="minorHAnsi"/>
          <w:sz w:val="20"/>
          <w:szCs w:val="20"/>
        </w:rPr>
        <w:t xml:space="preserve"> M, Stumm R, Golub R, van de </w:t>
      </w:r>
      <w:proofErr w:type="spellStart"/>
      <w:r w:rsidRPr="006413DB">
        <w:rPr>
          <w:rFonts w:cstheme="minorHAnsi"/>
          <w:sz w:val="20"/>
          <w:szCs w:val="20"/>
        </w:rPr>
        <w:t>Pavert</w:t>
      </w:r>
      <w:proofErr w:type="spellEnd"/>
      <w:r w:rsidRPr="006413DB">
        <w:rPr>
          <w:rFonts w:cstheme="minorHAnsi"/>
          <w:sz w:val="20"/>
          <w:szCs w:val="20"/>
        </w:rPr>
        <w:t xml:space="preserve"> SA.</w:t>
      </w:r>
    </w:p>
    <w:p w14:paraId="25869E11" w14:textId="77777777" w:rsidR="00462575" w:rsidRPr="006413DB" w:rsidRDefault="00462575" w:rsidP="00462575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Cell Rep. </w:t>
      </w:r>
      <w:r w:rsidRPr="006413DB">
        <w:rPr>
          <w:rFonts w:cstheme="minorHAnsi"/>
          <w:sz w:val="20"/>
          <w:szCs w:val="20"/>
          <w:highlight w:val="green"/>
        </w:rPr>
        <w:t>2020</w:t>
      </w:r>
      <w:r w:rsidRPr="006413DB">
        <w:rPr>
          <w:rFonts w:cstheme="minorHAnsi"/>
          <w:sz w:val="20"/>
          <w:szCs w:val="20"/>
        </w:rPr>
        <w:t xml:space="preserve"> Aug 11;32(6):108004. </w:t>
      </w:r>
      <w:proofErr w:type="spellStart"/>
      <w:r w:rsidRPr="006413DB">
        <w:rPr>
          <w:rFonts w:cstheme="minorHAnsi"/>
          <w:sz w:val="20"/>
          <w:szCs w:val="20"/>
        </w:rPr>
        <w:t>doi</w:t>
      </w:r>
      <w:proofErr w:type="spellEnd"/>
      <w:r w:rsidRPr="006413DB">
        <w:rPr>
          <w:rFonts w:cstheme="minorHAnsi"/>
          <w:sz w:val="20"/>
          <w:szCs w:val="20"/>
        </w:rPr>
        <w:t>: 10.1016/j.celrep.2020.108004.</w:t>
      </w:r>
    </w:p>
    <w:p w14:paraId="65066C0F" w14:textId="5803D170" w:rsidR="00462575" w:rsidRPr="006413DB" w:rsidRDefault="00462575" w:rsidP="00462575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PMID: 32783932 Free </w:t>
      </w:r>
      <w:proofErr w:type="gramStart"/>
      <w:r w:rsidRPr="006413DB">
        <w:rPr>
          <w:rFonts w:cstheme="minorHAnsi"/>
          <w:sz w:val="20"/>
          <w:szCs w:val="20"/>
        </w:rPr>
        <w:t>article</w:t>
      </w:r>
      <w:proofErr w:type="gramEnd"/>
      <w:r w:rsidRPr="006413DB">
        <w:rPr>
          <w:rFonts w:cstheme="minorHAnsi"/>
          <w:sz w:val="20"/>
          <w:szCs w:val="20"/>
        </w:rPr>
        <w:t>.</w:t>
      </w:r>
    </w:p>
    <w:p w14:paraId="2AFBC978" w14:textId="41E40240" w:rsidR="00462575" w:rsidRPr="006413DB" w:rsidRDefault="00462575" w:rsidP="00462575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57AD2B13" w14:textId="5B6AE94E" w:rsidR="004F6416" w:rsidRDefault="00D835BD" w:rsidP="00462575">
      <w:pPr>
        <w:rPr>
          <w:rFonts w:cstheme="minorHAnsi"/>
          <w:b/>
          <w:bCs/>
          <w:sz w:val="20"/>
          <w:szCs w:val="20"/>
        </w:rPr>
      </w:pPr>
      <w:r w:rsidRPr="00930AF5">
        <w:rPr>
          <w:rFonts w:cstheme="minorHAnsi"/>
          <w:b/>
          <w:bCs/>
          <w:sz w:val="20"/>
          <w:szCs w:val="20"/>
        </w:rPr>
        <w:t xml:space="preserve">Combination of SB431542, Chir9901, and </w:t>
      </w:r>
      <w:proofErr w:type="spellStart"/>
      <w:r w:rsidRPr="00930AF5">
        <w:rPr>
          <w:rFonts w:cstheme="minorHAnsi"/>
          <w:b/>
          <w:bCs/>
          <w:sz w:val="20"/>
          <w:szCs w:val="20"/>
        </w:rPr>
        <w:t>Bpv</w:t>
      </w:r>
      <w:proofErr w:type="spellEnd"/>
      <w:r w:rsidRPr="00930AF5">
        <w:rPr>
          <w:rFonts w:cstheme="minorHAnsi"/>
          <w:b/>
          <w:bCs/>
          <w:sz w:val="20"/>
          <w:szCs w:val="20"/>
        </w:rPr>
        <w:t xml:space="preserve"> as a novel supplement in the culture of umbilical cord blood hematopoietic stem cells</w:t>
      </w:r>
    </w:p>
    <w:p w14:paraId="29D1A558" w14:textId="77777777" w:rsidR="00930AF5" w:rsidRDefault="00930AF5" w:rsidP="00930AF5">
      <w:pPr>
        <w:rPr>
          <w:rFonts w:cstheme="minorHAnsi"/>
          <w:sz w:val="20"/>
          <w:szCs w:val="20"/>
        </w:rPr>
      </w:pPr>
      <w:proofErr w:type="spellStart"/>
      <w:r w:rsidRPr="006413DB">
        <w:rPr>
          <w:rFonts w:cstheme="minorHAnsi"/>
          <w:sz w:val="20"/>
          <w:szCs w:val="20"/>
        </w:rPr>
        <w:t>Zarrabi</w:t>
      </w:r>
      <w:proofErr w:type="spellEnd"/>
      <w:r w:rsidRPr="006413DB">
        <w:rPr>
          <w:rFonts w:cstheme="minorHAnsi"/>
          <w:sz w:val="20"/>
          <w:szCs w:val="20"/>
        </w:rPr>
        <w:t xml:space="preserve"> et al. Stem Cell Research &amp; Therapy (</w:t>
      </w:r>
      <w:r w:rsidRPr="006413DB">
        <w:rPr>
          <w:rFonts w:cstheme="minorHAnsi"/>
          <w:sz w:val="20"/>
          <w:szCs w:val="20"/>
          <w:highlight w:val="green"/>
        </w:rPr>
        <w:t>2020</w:t>
      </w:r>
      <w:r w:rsidRPr="006413DB">
        <w:rPr>
          <w:rFonts w:cstheme="minorHAnsi"/>
          <w:sz w:val="20"/>
          <w:szCs w:val="20"/>
        </w:rPr>
        <w:t xml:space="preserve">) 11:474 </w:t>
      </w:r>
    </w:p>
    <w:p w14:paraId="22DFE97D" w14:textId="45BACD7E" w:rsidR="00930AF5" w:rsidRDefault="00887280" w:rsidP="00930AF5">
      <w:pPr>
        <w:rPr>
          <w:rFonts w:cstheme="minorHAnsi"/>
          <w:sz w:val="20"/>
          <w:szCs w:val="20"/>
        </w:rPr>
      </w:pPr>
      <w:hyperlink r:id="rId12" w:history="1">
        <w:r w:rsidR="00930AF5" w:rsidRPr="003C6AB5">
          <w:rPr>
            <w:rStyle w:val="Hyperlink"/>
            <w:rFonts w:cstheme="minorHAnsi"/>
            <w:sz w:val="20"/>
            <w:szCs w:val="20"/>
          </w:rPr>
          <w:t>https://doi.org/10.1186/s13287-020-01945-8</w:t>
        </w:r>
      </w:hyperlink>
      <w:r w:rsidR="00930AF5" w:rsidRPr="006413DB">
        <w:rPr>
          <w:rFonts w:cstheme="minorHAnsi"/>
          <w:sz w:val="20"/>
          <w:szCs w:val="20"/>
        </w:rPr>
        <w:t xml:space="preserve"> </w:t>
      </w:r>
    </w:p>
    <w:p w14:paraId="03EAB35A" w14:textId="77777777" w:rsidR="00930AF5" w:rsidRPr="006413DB" w:rsidRDefault="00930AF5" w:rsidP="00930AF5">
      <w:pPr>
        <w:rPr>
          <w:rFonts w:cstheme="minorHAnsi"/>
          <w:sz w:val="20"/>
          <w:szCs w:val="20"/>
        </w:rPr>
      </w:pPr>
    </w:p>
    <w:p w14:paraId="2F852B6E" w14:textId="77777777" w:rsidR="00930AF5" w:rsidRPr="00930AF5" w:rsidRDefault="00930AF5" w:rsidP="00462575">
      <w:pPr>
        <w:rPr>
          <w:rFonts w:cstheme="minorHAnsi"/>
          <w:b/>
          <w:bCs/>
          <w:sz w:val="20"/>
          <w:szCs w:val="20"/>
        </w:rPr>
      </w:pPr>
    </w:p>
    <w:p w14:paraId="034DA96B" w14:textId="586360F3" w:rsidR="009A53AB" w:rsidRPr="006413DB" w:rsidRDefault="00462575" w:rsidP="00462575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446C9160" w14:textId="38ED511D" w:rsidR="009A53AB" w:rsidRPr="00383C1A" w:rsidRDefault="009A53AB" w:rsidP="00462575">
      <w:pPr>
        <w:rPr>
          <w:rFonts w:cstheme="minorHAnsi"/>
          <w:b/>
          <w:bCs/>
          <w:sz w:val="20"/>
          <w:szCs w:val="20"/>
        </w:rPr>
      </w:pPr>
      <w:r w:rsidRPr="00383C1A">
        <w:rPr>
          <w:rFonts w:cstheme="minorHAnsi"/>
          <w:b/>
          <w:bCs/>
          <w:sz w:val="20"/>
          <w:szCs w:val="20"/>
        </w:rPr>
        <w:t xml:space="preserve">Biomimetic aorta-gonad-Mesonephros-on-a-Chip to study human developmental </w:t>
      </w:r>
      <w:proofErr w:type="spellStart"/>
      <w:r w:rsidRPr="00383C1A">
        <w:rPr>
          <w:rFonts w:cstheme="minorHAnsi"/>
          <w:b/>
          <w:bCs/>
          <w:sz w:val="20"/>
          <w:szCs w:val="20"/>
        </w:rPr>
        <w:t>hematopoiesis</w:t>
      </w:r>
      <w:proofErr w:type="spellEnd"/>
      <w:r w:rsidRPr="00383C1A">
        <w:rPr>
          <w:rFonts w:cstheme="minorHAnsi"/>
          <w:b/>
          <w:bCs/>
          <w:sz w:val="20"/>
          <w:szCs w:val="20"/>
        </w:rPr>
        <w:t>.</w:t>
      </w:r>
    </w:p>
    <w:p w14:paraId="1411E2AC" w14:textId="77777777" w:rsidR="009A53AB" w:rsidRPr="006413DB" w:rsidRDefault="009A53AB" w:rsidP="00462575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  <w:highlight w:val="yellow"/>
        </w:rPr>
        <w:t>Sugimura R,</w:t>
      </w:r>
      <w:r w:rsidRPr="006413DB">
        <w:rPr>
          <w:rFonts w:cstheme="minorHAnsi"/>
          <w:sz w:val="20"/>
          <w:szCs w:val="20"/>
        </w:rPr>
        <w:t xml:space="preserve"> </w:t>
      </w:r>
      <w:proofErr w:type="spellStart"/>
      <w:r w:rsidRPr="006413DB">
        <w:rPr>
          <w:rFonts w:cstheme="minorHAnsi"/>
          <w:sz w:val="20"/>
          <w:szCs w:val="20"/>
        </w:rPr>
        <w:t>Ohta</w:t>
      </w:r>
      <w:proofErr w:type="spellEnd"/>
      <w:r w:rsidRPr="006413DB">
        <w:rPr>
          <w:rFonts w:cstheme="minorHAnsi"/>
          <w:sz w:val="20"/>
          <w:szCs w:val="20"/>
        </w:rPr>
        <w:t xml:space="preserve"> R, Mori C, Li A, Mano T, Sano E, </w:t>
      </w:r>
      <w:proofErr w:type="spellStart"/>
      <w:r w:rsidRPr="006413DB">
        <w:rPr>
          <w:rFonts w:cstheme="minorHAnsi"/>
          <w:sz w:val="20"/>
          <w:szCs w:val="20"/>
        </w:rPr>
        <w:t>Kosugi</w:t>
      </w:r>
      <w:proofErr w:type="spellEnd"/>
      <w:r w:rsidRPr="006413DB">
        <w:rPr>
          <w:rFonts w:cstheme="minorHAnsi"/>
          <w:sz w:val="20"/>
          <w:szCs w:val="20"/>
        </w:rPr>
        <w:t xml:space="preserve"> K, </w:t>
      </w:r>
      <w:proofErr w:type="spellStart"/>
      <w:r w:rsidRPr="006413DB">
        <w:rPr>
          <w:rFonts w:cstheme="minorHAnsi"/>
          <w:sz w:val="20"/>
          <w:szCs w:val="20"/>
        </w:rPr>
        <w:t>Nakahata</w:t>
      </w:r>
      <w:proofErr w:type="spellEnd"/>
      <w:r w:rsidRPr="006413DB">
        <w:rPr>
          <w:rFonts w:cstheme="minorHAnsi"/>
          <w:sz w:val="20"/>
          <w:szCs w:val="20"/>
        </w:rPr>
        <w:t xml:space="preserve"> T, </w:t>
      </w:r>
      <w:proofErr w:type="spellStart"/>
      <w:r w:rsidRPr="006413DB">
        <w:rPr>
          <w:rFonts w:cstheme="minorHAnsi"/>
          <w:sz w:val="20"/>
          <w:szCs w:val="20"/>
          <w:highlight w:val="yellow"/>
        </w:rPr>
        <w:t>Niwa</w:t>
      </w:r>
      <w:proofErr w:type="spellEnd"/>
      <w:r w:rsidRPr="006413DB">
        <w:rPr>
          <w:rFonts w:cstheme="minorHAnsi"/>
          <w:sz w:val="20"/>
          <w:szCs w:val="20"/>
          <w:highlight w:val="yellow"/>
        </w:rPr>
        <w:t xml:space="preserve"> A,</w:t>
      </w:r>
      <w:r w:rsidRPr="006413DB">
        <w:rPr>
          <w:rFonts w:cstheme="minorHAnsi"/>
          <w:sz w:val="20"/>
          <w:szCs w:val="20"/>
        </w:rPr>
        <w:t xml:space="preserve"> Saito MK, </w:t>
      </w:r>
      <w:proofErr w:type="spellStart"/>
      <w:r w:rsidRPr="006413DB">
        <w:rPr>
          <w:rFonts w:cstheme="minorHAnsi"/>
          <w:sz w:val="20"/>
          <w:szCs w:val="20"/>
        </w:rPr>
        <w:t>Torisawa</w:t>
      </w:r>
      <w:proofErr w:type="spellEnd"/>
      <w:r w:rsidRPr="006413DB">
        <w:rPr>
          <w:rFonts w:cstheme="minorHAnsi"/>
          <w:sz w:val="20"/>
          <w:szCs w:val="20"/>
        </w:rPr>
        <w:t xml:space="preserve"> YS.</w:t>
      </w:r>
    </w:p>
    <w:p w14:paraId="0D31AF50" w14:textId="77777777" w:rsidR="009A53AB" w:rsidRPr="006413DB" w:rsidRDefault="009A53AB" w:rsidP="00462575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Biomed Microdevices. </w:t>
      </w:r>
      <w:r w:rsidRPr="006413DB">
        <w:rPr>
          <w:rFonts w:cstheme="minorHAnsi"/>
          <w:sz w:val="20"/>
          <w:szCs w:val="20"/>
          <w:highlight w:val="green"/>
        </w:rPr>
        <w:t>2020</w:t>
      </w:r>
      <w:r w:rsidRPr="006413DB">
        <w:rPr>
          <w:rFonts w:cstheme="minorHAnsi"/>
          <w:sz w:val="20"/>
          <w:szCs w:val="20"/>
        </w:rPr>
        <w:t xml:space="preserve"> May 6;22(2):34. </w:t>
      </w:r>
      <w:proofErr w:type="spellStart"/>
      <w:r w:rsidRPr="006413DB">
        <w:rPr>
          <w:rFonts w:cstheme="minorHAnsi"/>
          <w:sz w:val="20"/>
          <w:szCs w:val="20"/>
        </w:rPr>
        <w:t>doi</w:t>
      </w:r>
      <w:proofErr w:type="spellEnd"/>
      <w:r w:rsidRPr="006413DB">
        <w:rPr>
          <w:rFonts w:cstheme="minorHAnsi"/>
          <w:sz w:val="20"/>
          <w:szCs w:val="20"/>
        </w:rPr>
        <w:t>: 10.1007/s10544-020-00488-2.</w:t>
      </w:r>
    </w:p>
    <w:p w14:paraId="6C9B77D5" w14:textId="461F46D6" w:rsidR="009A53AB" w:rsidRPr="006413DB" w:rsidRDefault="009A53AB" w:rsidP="00462575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PMID: 32377802</w:t>
      </w:r>
    </w:p>
    <w:p w14:paraId="78A15223" w14:textId="02750BA4" w:rsidR="009A53AB" w:rsidRPr="006413DB" w:rsidRDefault="00462575" w:rsidP="00462575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582E5D99" w14:textId="7A855B5E" w:rsidR="00C12056" w:rsidRPr="00383C1A" w:rsidRDefault="00C12056" w:rsidP="00462575">
      <w:pPr>
        <w:rPr>
          <w:rFonts w:cstheme="minorHAnsi"/>
          <w:b/>
          <w:bCs/>
          <w:sz w:val="20"/>
          <w:szCs w:val="20"/>
        </w:rPr>
      </w:pPr>
      <w:r w:rsidRPr="00383C1A">
        <w:rPr>
          <w:rFonts w:cstheme="minorHAnsi"/>
          <w:b/>
          <w:bCs/>
          <w:sz w:val="20"/>
          <w:szCs w:val="20"/>
        </w:rPr>
        <w:t>Single-cell transcriptomics identifies CD44 as a marker and regulator of endothelial to haematopoietic transition.</w:t>
      </w:r>
    </w:p>
    <w:p w14:paraId="40F868DB" w14:textId="4C429430" w:rsidR="00383C1A" w:rsidRDefault="00383C1A" w:rsidP="00462575">
      <w:pPr>
        <w:rPr>
          <w:rFonts w:cstheme="minorHAnsi"/>
          <w:sz w:val="20"/>
          <w:szCs w:val="20"/>
        </w:rPr>
      </w:pPr>
      <w:proofErr w:type="spellStart"/>
      <w:r w:rsidRPr="006413DB">
        <w:rPr>
          <w:rFonts w:cstheme="minorHAnsi"/>
          <w:sz w:val="20"/>
          <w:szCs w:val="20"/>
        </w:rPr>
        <w:t>Zarrabi</w:t>
      </w:r>
      <w:proofErr w:type="spellEnd"/>
      <w:r w:rsidRPr="006413DB">
        <w:rPr>
          <w:rFonts w:cstheme="minorHAnsi"/>
          <w:sz w:val="20"/>
          <w:szCs w:val="20"/>
        </w:rPr>
        <w:t xml:space="preserve"> et al.</w:t>
      </w:r>
      <w:r>
        <w:rPr>
          <w:rFonts w:cstheme="minorHAnsi"/>
          <w:sz w:val="20"/>
          <w:szCs w:val="20"/>
        </w:rPr>
        <w:t xml:space="preserve"> &amp; </w:t>
      </w:r>
      <w:proofErr w:type="spellStart"/>
      <w:r>
        <w:rPr>
          <w:rFonts w:cstheme="minorHAnsi"/>
          <w:sz w:val="20"/>
          <w:szCs w:val="20"/>
        </w:rPr>
        <w:t>Lancrin</w:t>
      </w:r>
      <w:proofErr w:type="spellEnd"/>
      <w:r>
        <w:rPr>
          <w:rFonts w:cstheme="minorHAnsi"/>
          <w:sz w:val="20"/>
          <w:szCs w:val="20"/>
        </w:rPr>
        <w:t>.</w:t>
      </w:r>
      <w:r w:rsidRPr="006413DB">
        <w:rPr>
          <w:rFonts w:cstheme="minorHAnsi"/>
          <w:sz w:val="20"/>
          <w:szCs w:val="20"/>
        </w:rPr>
        <w:t xml:space="preserve"> Stem Cell Research &amp; Therapy (</w:t>
      </w:r>
      <w:r w:rsidRPr="006413DB">
        <w:rPr>
          <w:rFonts w:cstheme="minorHAnsi"/>
          <w:sz w:val="20"/>
          <w:szCs w:val="20"/>
          <w:highlight w:val="green"/>
        </w:rPr>
        <w:t>2020</w:t>
      </w:r>
      <w:r w:rsidRPr="006413DB">
        <w:rPr>
          <w:rFonts w:cstheme="minorHAnsi"/>
          <w:sz w:val="20"/>
          <w:szCs w:val="20"/>
        </w:rPr>
        <w:t xml:space="preserve">) 11:474 </w:t>
      </w:r>
    </w:p>
    <w:p w14:paraId="14DB6277" w14:textId="77777777" w:rsidR="00383C1A" w:rsidRPr="006413DB" w:rsidRDefault="00383C1A" w:rsidP="00383C1A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lastRenderedPageBreak/>
        <w:t xml:space="preserve">Nat </w:t>
      </w:r>
      <w:proofErr w:type="spellStart"/>
      <w:r w:rsidRPr="006413DB">
        <w:rPr>
          <w:rFonts w:cstheme="minorHAnsi"/>
          <w:sz w:val="20"/>
          <w:szCs w:val="20"/>
        </w:rPr>
        <w:t>Commun</w:t>
      </w:r>
      <w:proofErr w:type="spellEnd"/>
      <w:r w:rsidRPr="006413DB">
        <w:rPr>
          <w:rFonts w:cstheme="minorHAnsi"/>
          <w:sz w:val="20"/>
          <w:szCs w:val="20"/>
        </w:rPr>
        <w:t xml:space="preserve"> </w:t>
      </w:r>
      <w:r w:rsidRPr="006413DB">
        <w:rPr>
          <w:rFonts w:cstheme="minorHAnsi"/>
          <w:sz w:val="20"/>
          <w:szCs w:val="20"/>
          <w:highlight w:val="green"/>
        </w:rPr>
        <w:t>2020</w:t>
      </w:r>
      <w:r w:rsidRPr="006413DB">
        <w:rPr>
          <w:rFonts w:cstheme="minorHAnsi"/>
          <w:sz w:val="20"/>
          <w:szCs w:val="20"/>
        </w:rPr>
        <w:t xml:space="preserve"> Jan 29;11(1):586. </w:t>
      </w:r>
      <w:proofErr w:type="spellStart"/>
      <w:r w:rsidRPr="006413DB">
        <w:rPr>
          <w:rFonts w:cstheme="minorHAnsi"/>
          <w:sz w:val="20"/>
          <w:szCs w:val="20"/>
        </w:rPr>
        <w:t>doi</w:t>
      </w:r>
      <w:proofErr w:type="spellEnd"/>
      <w:r w:rsidRPr="006413DB">
        <w:rPr>
          <w:rFonts w:cstheme="minorHAnsi"/>
          <w:sz w:val="20"/>
          <w:szCs w:val="20"/>
        </w:rPr>
        <w:t>: 10.1038/s41467-019-14171-5.</w:t>
      </w:r>
    </w:p>
    <w:p w14:paraId="664CA44C" w14:textId="3F64FBFA" w:rsidR="00383C1A" w:rsidRDefault="00887280" w:rsidP="00462575">
      <w:pPr>
        <w:rPr>
          <w:rFonts w:cstheme="minorHAnsi"/>
          <w:sz w:val="20"/>
          <w:szCs w:val="20"/>
        </w:rPr>
      </w:pPr>
      <w:hyperlink r:id="rId13" w:history="1">
        <w:r w:rsidR="00383C1A" w:rsidRPr="003C6AB5">
          <w:rPr>
            <w:rStyle w:val="Hyperlink"/>
            <w:rFonts w:cstheme="minorHAnsi"/>
            <w:sz w:val="20"/>
            <w:szCs w:val="20"/>
          </w:rPr>
          <w:t>https://doi.org/10.1186/s13287-020-01945-8</w:t>
        </w:r>
      </w:hyperlink>
    </w:p>
    <w:p w14:paraId="63484BDB" w14:textId="20236A3B" w:rsidR="00C12056" w:rsidRPr="006413DB" w:rsidRDefault="00383C1A" w:rsidP="00987020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 </w:t>
      </w:r>
    </w:p>
    <w:p w14:paraId="0E812B54" w14:textId="53481DA4" w:rsidR="00C12056" w:rsidRPr="006413DB" w:rsidRDefault="00462575" w:rsidP="00462575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1B4979D3" w14:textId="77777777" w:rsidR="00C12056" w:rsidRPr="00383C1A" w:rsidRDefault="00C12056" w:rsidP="00462575">
      <w:pPr>
        <w:rPr>
          <w:rFonts w:cstheme="minorHAnsi"/>
          <w:b/>
          <w:bCs/>
          <w:sz w:val="20"/>
          <w:szCs w:val="20"/>
        </w:rPr>
      </w:pPr>
      <w:r w:rsidRPr="00383C1A">
        <w:rPr>
          <w:rFonts w:cstheme="minorHAnsi"/>
          <w:b/>
          <w:bCs/>
          <w:sz w:val="20"/>
          <w:szCs w:val="20"/>
        </w:rPr>
        <w:t>Protocol for the Generation of Definitive Hematopoietic Progenitors from Human Pluripotent Stem Cells</w:t>
      </w:r>
    </w:p>
    <w:p w14:paraId="1F5AECBC" w14:textId="4FF43B54" w:rsidR="00C12056" w:rsidRPr="006413DB" w:rsidRDefault="00C12056" w:rsidP="00462575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Monica </w:t>
      </w:r>
      <w:proofErr w:type="spellStart"/>
      <w:r w:rsidRPr="006413DB">
        <w:rPr>
          <w:rFonts w:cstheme="minorHAnsi"/>
          <w:sz w:val="20"/>
          <w:szCs w:val="20"/>
        </w:rPr>
        <w:t>Nafria</w:t>
      </w:r>
      <w:proofErr w:type="spellEnd"/>
      <w:r w:rsidRPr="006413DB">
        <w:rPr>
          <w:rFonts w:cstheme="minorHAnsi"/>
          <w:sz w:val="20"/>
          <w:szCs w:val="20"/>
        </w:rPr>
        <w:t xml:space="preserve">, </w:t>
      </w:r>
      <w:proofErr w:type="spellStart"/>
      <w:r w:rsidRPr="006413DB">
        <w:rPr>
          <w:rFonts w:cstheme="minorHAnsi"/>
          <w:sz w:val="20"/>
          <w:szCs w:val="20"/>
        </w:rPr>
        <w:t>Constanze</w:t>
      </w:r>
      <w:proofErr w:type="spellEnd"/>
      <w:r w:rsidRPr="006413DB">
        <w:rPr>
          <w:rFonts w:cstheme="minorHAnsi"/>
          <w:sz w:val="20"/>
          <w:szCs w:val="20"/>
        </w:rPr>
        <w:t xml:space="preserve"> Bonifer,1 Edouard Guy Stanley,2,3,4 Elizabeth </w:t>
      </w:r>
      <w:proofErr w:type="spellStart"/>
      <w:r w:rsidRPr="006413DB">
        <w:rPr>
          <w:rFonts w:cstheme="minorHAnsi"/>
          <w:sz w:val="20"/>
          <w:szCs w:val="20"/>
        </w:rPr>
        <w:t>Siewsun</w:t>
      </w:r>
      <w:proofErr w:type="spellEnd"/>
      <w:r w:rsidRPr="006413DB">
        <w:rPr>
          <w:rFonts w:cstheme="minorHAnsi"/>
          <w:sz w:val="20"/>
          <w:szCs w:val="20"/>
        </w:rPr>
        <w:t xml:space="preserve"> Ng,2,</w:t>
      </w:r>
      <w:proofErr w:type="gramStart"/>
      <w:r w:rsidRPr="006413DB">
        <w:rPr>
          <w:rFonts w:cstheme="minorHAnsi"/>
          <w:sz w:val="20"/>
          <w:szCs w:val="20"/>
        </w:rPr>
        <w:t>5,*</w:t>
      </w:r>
      <w:proofErr w:type="gramEnd"/>
      <w:r w:rsidRPr="006413DB">
        <w:rPr>
          <w:rFonts w:cstheme="minorHAnsi"/>
          <w:sz w:val="20"/>
          <w:szCs w:val="20"/>
        </w:rPr>
        <w:t xml:space="preserve"> and </w:t>
      </w:r>
      <w:r w:rsidRPr="006413DB">
        <w:rPr>
          <w:rFonts w:cstheme="minorHAnsi"/>
          <w:sz w:val="20"/>
          <w:szCs w:val="20"/>
          <w:highlight w:val="yellow"/>
        </w:rPr>
        <w:t>Andrew</w:t>
      </w:r>
      <w:r w:rsidRPr="006413DB">
        <w:rPr>
          <w:rFonts w:cstheme="minorHAnsi"/>
          <w:sz w:val="20"/>
          <w:szCs w:val="20"/>
        </w:rPr>
        <w:t xml:space="preserve"> </w:t>
      </w:r>
      <w:r w:rsidRPr="006413DB">
        <w:rPr>
          <w:rFonts w:cstheme="minorHAnsi"/>
          <w:sz w:val="20"/>
          <w:szCs w:val="20"/>
          <w:highlight w:val="yellow"/>
        </w:rPr>
        <w:t xml:space="preserve">George </w:t>
      </w:r>
      <w:proofErr w:type="spellStart"/>
      <w:r w:rsidRPr="006413DB">
        <w:rPr>
          <w:rFonts w:cstheme="minorHAnsi"/>
          <w:sz w:val="20"/>
          <w:szCs w:val="20"/>
          <w:highlight w:val="yellow"/>
        </w:rPr>
        <w:t>Elefanty</w:t>
      </w:r>
      <w:proofErr w:type="spellEnd"/>
    </w:p>
    <w:p w14:paraId="6601EE87" w14:textId="125B3589" w:rsidR="00462575" w:rsidRPr="006413DB" w:rsidRDefault="00462575" w:rsidP="00462575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---</w:t>
      </w:r>
    </w:p>
    <w:p w14:paraId="7328B00B" w14:textId="77777777" w:rsidR="00462575" w:rsidRPr="00383C1A" w:rsidRDefault="00462575" w:rsidP="00462575">
      <w:pPr>
        <w:rPr>
          <w:rFonts w:cstheme="minorHAnsi"/>
          <w:b/>
          <w:bCs/>
          <w:sz w:val="20"/>
          <w:szCs w:val="20"/>
        </w:rPr>
      </w:pPr>
      <w:r w:rsidRPr="00383C1A">
        <w:rPr>
          <w:rFonts w:cstheme="minorHAnsi"/>
          <w:b/>
          <w:bCs/>
          <w:sz w:val="20"/>
          <w:szCs w:val="20"/>
        </w:rPr>
        <w:t>Gata3 targets Runx1 in the embryonic haematopoietic stem cell niche.</w:t>
      </w:r>
    </w:p>
    <w:p w14:paraId="7AF691A0" w14:textId="77777777" w:rsidR="00462575" w:rsidRPr="006413DB" w:rsidRDefault="00462575" w:rsidP="00462575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Fitch SR, </w:t>
      </w:r>
      <w:proofErr w:type="spellStart"/>
      <w:r w:rsidRPr="006413DB">
        <w:rPr>
          <w:rFonts w:cstheme="minorHAnsi"/>
          <w:sz w:val="20"/>
          <w:szCs w:val="20"/>
        </w:rPr>
        <w:t>Kapeni</w:t>
      </w:r>
      <w:proofErr w:type="spellEnd"/>
      <w:r w:rsidRPr="006413DB">
        <w:rPr>
          <w:rFonts w:cstheme="minorHAnsi"/>
          <w:sz w:val="20"/>
          <w:szCs w:val="20"/>
        </w:rPr>
        <w:t xml:space="preserve"> C, </w:t>
      </w:r>
      <w:proofErr w:type="spellStart"/>
      <w:r w:rsidRPr="006413DB">
        <w:rPr>
          <w:rFonts w:cstheme="minorHAnsi"/>
          <w:sz w:val="20"/>
          <w:szCs w:val="20"/>
        </w:rPr>
        <w:t>Tsitsopoulou</w:t>
      </w:r>
      <w:proofErr w:type="spellEnd"/>
      <w:r w:rsidRPr="006413DB">
        <w:rPr>
          <w:rFonts w:cstheme="minorHAnsi"/>
          <w:sz w:val="20"/>
          <w:szCs w:val="20"/>
        </w:rPr>
        <w:t xml:space="preserve"> A, Wilson NK, </w:t>
      </w:r>
      <w:proofErr w:type="spellStart"/>
      <w:r w:rsidRPr="006413DB">
        <w:rPr>
          <w:rFonts w:cstheme="minorHAnsi"/>
          <w:sz w:val="20"/>
          <w:szCs w:val="20"/>
          <w:highlight w:val="yellow"/>
        </w:rPr>
        <w:t>Göttgens</w:t>
      </w:r>
      <w:proofErr w:type="spellEnd"/>
      <w:r w:rsidRPr="006413DB">
        <w:rPr>
          <w:rFonts w:cstheme="minorHAnsi"/>
          <w:sz w:val="20"/>
          <w:szCs w:val="20"/>
          <w:highlight w:val="yellow"/>
        </w:rPr>
        <w:t xml:space="preserve"> B, de Bruijn MF, </w:t>
      </w:r>
      <w:proofErr w:type="spellStart"/>
      <w:r w:rsidRPr="006413DB">
        <w:rPr>
          <w:rFonts w:cstheme="minorHAnsi"/>
          <w:sz w:val="20"/>
          <w:szCs w:val="20"/>
          <w:highlight w:val="yellow"/>
        </w:rPr>
        <w:t>Ottersbach</w:t>
      </w:r>
      <w:proofErr w:type="spellEnd"/>
      <w:r w:rsidRPr="006413DB">
        <w:rPr>
          <w:rFonts w:cstheme="minorHAnsi"/>
          <w:sz w:val="20"/>
          <w:szCs w:val="20"/>
          <w:highlight w:val="yellow"/>
        </w:rPr>
        <w:t xml:space="preserve"> K.</w:t>
      </w:r>
    </w:p>
    <w:p w14:paraId="603D9C3C" w14:textId="77777777" w:rsidR="00462575" w:rsidRPr="006413DB" w:rsidRDefault="00462575" w:rsidP="00462575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 xml:space="preserve">IUBMB Life. </w:t>
      </w:r>
      <w:r w:rsidRPr="006413DB">
        <w:rPr>
          <w:rFonts w:cstheme="minorHAnsi"/>
          <w:sz w:val="20"/>
          <w:szCs w:val="20"/>
          <w:highlight w:val="green"/>
        </w:rPr>
        <w:t>2020</w:t>
      </w:r>
      <w:r w:rsidRPr="006413DB">
        <w:rPr>
          <w:rFonts w:cstheme="minorHAnsi"/>
          <w:sz w:val="20"/>
          <w:szCs w:val="20"/>
        </w:rPr>
        <w:t xml:space="preserve"> Jan;72(1):45-52. </w:t>
      </w:r>
      <w:proofErr w:type="spellStart"/>
      <w:r w:rsidRPr="006413DB">
        <w:rPr>
          <w:rFonts w:cstheme="minorHAnsi"/>
          <w:sz w:val="20"/>
          <w:szCs w:val="20"/>
        </w:rPr>
        <w:t>doi</w:t>
      </w:r>
      <w:proofErr w:type="spellEnd"/>
      <w:r w:rsidRPr="006413DB">
        <w:rPr>
          <w:rFonts w:cstheme="minorHAnsi"/>
          <w:sz w:val="20"/>
          <w:szCs w:val="20"/>
        </w:rPr>
        <w:t xml:space="preserve">: 10.1002/iub.2184. </w:t>
      </w:r>
      <w:proofErr w:type="spellStart"/>
      <w:r w:rsidRPr="006413DB">
        <w:rPr>
          <w:rFonts w:cstheme="minorHAnsi"/>
          <w:sz w:val="20"/>
          <w:szCs w:val="20"/>
        </w:rPr>
        <w:t>Epub</w:t>
      </w:r>
      <w:proofErr w:type="spellEnd"/>
      <w:r w:rsidRPr="006413DB">
        <w:rPr>
          <w:rFonts w:cstheme="minorHAnsi"/>
          <w:sz w:val="20"/>
          <w:szCs w:val="20"/>
        </w:rPr>
        <w:t xml:space="preserve"> 2019 Oct 21.</w:t>
      </w:r>
    </w:p>
    <w:p w14:paraId="3E265B91" w14:textId="369FA667" w:rsidR="00462575" w:rsidRPr="006413DB" w:rsidRDefault="00462575" w:rsidP="00462575">
      <w:pPr>
        <w:rPr>
          <w:rFonts w:cstheme="minorHAnsi"/>
          <w:sz w:val="20"/>
          <w:szCs w:val="20"/>
        </w:rPr>
      </w:pPr>
      <w:r w:rsidRPr="006413DB">
        <w:rPr>
          <w:rFonts w:cstheme="minorHAnsi"/>
          <w:sz w:val="20"/>
          <w:szCs w:val="20"/>
        </w:rPr>
        <w:t>PMID: 31634421</w:t>
      </w:r>
    </w:p>
    <w:sectPr w:rsidR="00462575" w:rsidRPr="006413DB" w:rsidSect="00987020">
      <w:footerReference w:type="even" r:id="rId14"/>
      <w:footerReference w:type="default" r:id="rId15"/>
      <w:pgSz w:w="11906" w:h="16838"/>
      <w:pgMar w:top="1440" w:right="1110" w:bottom="1440" w:left="87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D45CC" w14:textId="77777777" w:rsidR="00887280" w:rsidRDefault="00887280" w:rsidP="006413DB">
      <w:r>
        <w:separator/>
      </w:r>
    </w:p>
  </w:endnote>
  <w:endnote w:type="continuationSeparator" w:id="0">
    <w:p w14:paraId="522B2D0C" w14:textId="77777777" w:rsidR="00887280" w:rsidRDefault="00887280" w:rsidP="00641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7902763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2CA1D7" w14:textId="416478F7" w:rsidR="006413DB" w:rsidRDefault="006413DB" w:rsidP="003C6AB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926EBB0" w14:textId="77777777" w:rsidR="006413DB" w:rsidRDefault="006413DB" w:rsidP="006413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306246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4BDE0D" w14:textId="773FA2A6" w:rsidR="006413DB" w:rsidRDefault="006413DB" w:rsidP="003C6AB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EAEB26" w14:textId="77777777" w:rsidR="006413DB" w:rsidRDefault="006413DB" w:rsidP="006413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C8409A" w14:textId="77777777" w:rsidR="00887280" w:rsidRDefault="00887280" w:rsidP="006413DB">
      <w:r>
        <w:separator/>
      </w:r>
    </w:p>
  </w:footnote>
  <w:footnote w:type="continuationSeparator" w:id="0">
    <w:p w14:paraId="410A8E34" w14:textId="77777777" w:rsidR="00887280" w:rsidRDefault="00887280" w:rsidP="00641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BD"/>
    <w:rsid w:val="000A7F26"/>
    <w:rsid w:val="001615C7"/>
    <w:rsid w:val="001B15C1"/>
    <w:rsid w:val="00295D47"/>
    <w:rsid w:val="003343FA"/>
    <w:rsid w:val="00383C1A"/>
    <w:rsid w:val="00386DB2"/>
    <w:rsid w:val="00462575"/>
    <w:rsid w:val="00462CAC"/>
    <w:rsid w:val="00497AD1"/>
    <w:rsid w:val="004A1B02"/>
    <w:rsid w:val="00615389"/>
    <w:rsid w:val="006413DB"/>
    <w:rsid w:val="006640C9"/>
    <w:rsid w:val="007A02F7"/>
    <w:rsid w:val="00805296"/>
    <w:rsid w:val="00887280"/>
    <w:rsid w:val="00892637"/>
    <w:rsid w:val="00930AF5"/>
    <w:rsid w:val="00961C97"/>
    <w:rsid w:val="00987020"/>
    <w:rsid w:val="009A53AB"/>
    <w:rsid w:val="00A05A20"/>
    <w:rsid w:val="00A1285B"/>
    <w:rsid w:val="00A15893"/>
    <w:rsid w:val="00A64120"/>
    <w:rsid w:val="00AD5D8E"/>
    <w:rsid w:val="00BA647D"/>
    <w:rsid w:val="00BB00DF"/>
    <w:rsid w:val="00C12056"/>
    <w:rsid w:val="00D46A9B"/>
    <w:rsid w:val="00D749AE"/>
    <w:rsid w:val="00D835BD"/>
    <w:rsid w:val="00E3391B"/>
    <w:rsid w:val="00EF6BBA"/>
    <w:rsid w:val="00F01F2A"/>
    <w:rsid w:val="00F7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FDBF7"/>
  <w15:chartTrackingRefBased/>
  <w15:docId w15:val="{32F3421A-6689-7F4E-A300-AC74D6F9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35B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F01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4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9A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6413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3DB"/>
  </w:style>
  <w:style w:type="character" w:styleId="PageNumber">
    <w:name w:val="page number"/>
    <w:basedOn w:val="DefaultParagraphFont"/>
    <w:uiPriority w:val="99"/>
    <w:semiHidden/>
    <w:unhideWhenUsed/>
    <w:rsid w:val="006413DB"/>
  </w:style>
  <w:style w:type="character" w:styleId="FollowedHyperlink">
    <w:name w:val="FollowedHyperlink"/>
    <w:basedOn w:val="DefaultParagraphFont"/>
    <w:uiPriority w:val="99"/>
    <w:semiHidden/>
    <w:unhideWhenUsed/>
    <w:rsid w:val="000A7F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4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4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3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4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77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71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7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1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6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609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4868">
              <w:marLeft w:val="0"/>
              <w:marRight w:val="0"/>
              <w:marTop w:val="10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4/jem.20200882" TargetMode="External"/><Relationship Id="rId13" Type="http://schemas.openxmlformats.org/officeDocument/2006/relationships/hyperlink" Target="https://doi.org/10.1186/s13287-020-01945-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4/jem.20201729" TargetMode="External"/><Relationship Id="rId12" Type="http://schemas.openxmlformats.org/officeDocument/2006/relationships/hyperlink" Target="https://doi.org/10.1186/s13287-020-01945-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i.org/10.3324/haematol.2019.235481" TargetMode="External"/><Relationship Id="rId11" Type="http://schemas.openxmlformats.org/officeDocument/2006/relationships/hyperlink" Target="https://doi.org/10.1177/0391398821996377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doi.org/10.1016/j.matbio.2021.01.00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1038/s41467-020-20282-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GORDON-KEYLOCK Sabrina</dc:creator>
  <cp:keywords/>
  <dc:description/>
  <cp:lastModifiedBy>GORDON-KEYLOCK Sabrina</cp:lastModifiedBy>
  <cp:revision>34</cp:revision>
  <dcterms:created xsi:type="dcterms:W3CDTF">2021-02-28T19:42:00Z</dcterms:created>
  <dcterms:modified xsi:type="dcterms:W3CDTF">2021-03-05T18:02:00Z</dcterms:modified>
</cp:coreProperties>
</file>