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网站：http://live.win007.com/</w:t>
      </w:r>
    </w:p>
    <w:p>
      <w:pPr>
        <w:rPr>
          <w:rFonts w:hint="eastAsia"/>
        </w:rPr>
      </w:pPr>
      <w:r>
        <w:rPr>
          <w:rFonts w:hint="eastAsia"/>
        </w:rPr>
        <w:t>条件：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初盘</w:t>
      </w:r>
      <w:bookmarkStart w:id="0" w:name="_GoBack"/>
      <w:bookmarkEnd w:id="0"/>
      <w:r>
        <w:rPr>
          <w:rFonts w:hint="eastAsia"/>
        </w:rPr>
        <w:t>亚盘为</w:t>
      </w:r>
      <w:r>
        <w:rPr>
          <w:rFonts w:hint="eastAsia"/>
          <w:lang w:val="en-US" w:eastAsia="zh-CN"/>
        </w:rPr>
        <w:t xml:space="preserve">     平手、平手/半球、受让平手/半球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抓取路径：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272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网页中选择完场比分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61390"/>
            <wp:effectExtent l="0" t="0" r="1016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点击该处进入单场比赛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812290"/>
            <wp:effectExtent l="0" t="0" r="444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选择亚指页面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94995"/>
            <wp:effectExtent l="0" t="0" r="952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找Crown这家公司初盘这列数据为平手、平手/半球、受让平手/半球，这三种情况的比赛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  <w:lang w:val="en-US" w:eastAsia="zh-CN"/>
        </w:rPr>
        <w:t>在符合上述要求的比赛中，再筛选</w:t>
      </w:r>
      <w:r>
        <w:rPr>
          <w:rFonts w:hint="eastAsia"/>
        </w:rPr>
        <w:t>大小球初盘2.5终盘变2.75或者初盘2.75变3</w:t>
      </w:r>
    </w:p>
    <w:p>
      <w:r>
        <w:drawing>
          <wp:inline distT="0" distB="0" distL="114300" distR="114300">
            <wp:extent cx="5269230" cy="1731010"/>
            <wp:effectExtent l="0" t="0" r="127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选择大小页面</w:t>
      </w:r>
    </w:p>
    <w:p>
      <w:r>
        <w:drawing>
          <wp:inline distT="0" distB="0" distL="114300" distR="114300">
            <wp:extent cx="5269230" cy="1692910"/>
            <wp:effectExtent l="0" t="0" r="127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抓取Crown这家公司初盘为2.5，终盘变成2.5/3的，或者是该公司初盘2.5/3，终盘变为3的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3、所需记录数据，除日期、联赛、队伍等基础信息外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亚盘初盘和终盘让球参考条件1获取方式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水位获取如下：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816100"/>
            <wp:effectExtent l="0" t="0" r="0" b="0"/>
            <wp:docPr id="15" name="图片 15" descr="47a6fcedc084e1356c806d444e71f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7a6fcedc084e1356c806d444e71f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初盘大小球和终盘大小球参考条件2获取方式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终盘大球水位：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090295"/>
            <wp:effectExtent l="0" t="0" r="1016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以该场为例，终盘大小球水位记录为0.91/0.95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中场大小球获取方式：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82054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点击现场分析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447290"/>
            <wp:effectExtent l="0" t="0" r="1016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点击该区域表格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3900" cy="193040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最右侧表格中中场最后一个值，中场大球水位为0.84/0.98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上半场进球为中场比分数字相加，如上1-1即为上半场进球2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35550" cy="1828800"/>
            <wp:effectExtent l="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最终进球数为最终比分相加，如上图为2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46020"/>
            <wp:effectExtent l="0" t="0" r="127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75和80分钟后进球数据为该列中75和80分钟后比分是否出现变化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758B7B"/>
    <w:multiLevelType w:val="singleLevel"/>
    <w:tmpl w:val="BF758B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280818"/>
    <w:rsid w:val="244F7155"/>
    <w:rsid w:val="391255B3"/>
    <w:rsid w:val="3E564142"/>
    <w:rsid w:val="6DD011FE"/>
    <w:rsid w:val="741D3DCA"/>
    <w:rsid w:val="78C2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2021-02-19T05:34:00Z</dcterms:created>
  <dc:creator>联想</dc:creator>
  <cp:lastModifiedBy>联想</cp:lastModifiedBy>
  <dcterms:modified xsi:type="dcterms:W3CDTF">2021-02-24T02:25:09Z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