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1F4D7" w14:textId="21E918C2" w:rsidR="00D64C59" w:rsidRDefault="00D64C59">
      <w:r w:rsidRPr="00D64C59">
        <w:rPr>
          <w:rFonts w:ascii="Arial" w:hAnsi="Arial" w:cs="Arial"/>
          <w:noProof/>
          <w:sz w:val="32"/>
          <w:szCs w:val="32"/>
        </w:rPr>
        <w:drawing>
          <wp:anchor distT="0" distB="0" distL="114300" distR="114300" simplePos="0" relativeHeight="251660288" behindDoc="1" locked="0" layoutInCell="1" allowOverlap="1" wp14:anchorId="1566F60D" wp14:editId="6A607195">
            <wp:simplePos x="0" y="0"/>
            <wp:positionH relativeFrom="margin">
              <wp:posOffset>3667760</wp:posOffset>
            </wp:positionH>
            <wp:positionV relativeFrom="paragraph">
              <wp:posOffset>4445</wp:posOffset>
            </wp:positionV>
            <wp:extent cx="2666365" cy="1885950"/>
            <wp:effectExtent l="0" t="0" r="0" b="0"/>
            <wp:wrapTight wrapText="bothSides">
              <wp:wrapPolygon edited="0">
                <wp:start x="9877" y="436"/>
                <wp:lineTo x="8025" y="2182"/>
                <wp:lineTo x="7716" y="2618"/>
                <wp:lineTo x="7716" y="4364"/>
                <wp:lineTo x="1852" y="5891"/>
                <wp:lineTo x="926" y="6327"/>
                <wp:lineTo x="463" y="11345"/>
                <wp:lineTo x="772" y="14836"/>
                <wp:lineTo x="1543" y="18327"/>
                <wp:lineTo x="1543" y="19200"/>
                <wp:lineTo x="9259" y="20291"/>
                <wp:lineTo x="14352" y="20727"/>
                <wp:lineTo x="18364" y="20727"/>
                <wp:lineTo x="18519" y="20291"/>
                <wp:lineTo x="20062" y="18545"/>
                <wp:lineTo x="20062" y="18327"/>
                <wp:lineTo x="20834" y="14836"/>
                <wp:lineTo x="20834" y="6545"/>
                <wp:lineTo x="19290" y="5673"/>
                <wp:lineTo x="13580" y="4364"/>
                <wp:lineTo x="13735" y="2836"/>
                <wp:lineTo x="13117" y="1745"/>
                <wp:lineTo x="11266" y="436"/>
                <wp:lineTo x="9877" y="436"/>
              </wp:wrapPolygon>
            </wp:wrapTight>
            <wp:docPr id="2" name="Picture 2" descr="A picture containing sitting, small, cak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eumaticactuator-3d96fdc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66365" cy="18859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2BD178EC" wp14:editId="51FE618A">
            <wp:simplePos x="0" y="0"/>
            <wp:positionH relativeFrom="margin">
              <wp:align>left</wp:align>
            </wp:positionH>
            <wp:positionV relativeFrom="paragraph">
              <wp:posOffset>318</wp:posOffset>
            </wp:positionV>
            <wp:extent cx="1857375" cy="690245"/>
            <wp:effectExtent l="0" t="0" r="9525" b="0"/>
            <wp:wrapTight wrapText="bothSides">
              <wp:wrapPolygon edited="0">
                <wp:start x="222" y="0"/>
                <wp:lineTo x="0" y="1788"/>
                <wp:lineTo x="0" y="15500"/>
                <wp:lineTo x="886" y="19076"/>
                <wp:lineTo x="665" y="20865"/>
                <wp:lineTo x="20825" y="20865"/>
                <wp:lineTo x="21489" y="15500"/>
                <wp:lineTo x="21489" y="1788"/>
                <wp:lineTo x="21268" y="0"/>
                <wp:lineTo x="222" y="0"/>
              </wp:wrapPolygon>
            </wp:wrapTight>
            <wp:docPr id="1" name="Picture 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con-509bd0a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57375" cy="690245"/>
                    </a:xfrm>
                    <a:prstGeom prst="rect">
                      <a:avLst/>
                    </a:prstGeom>
                  </pic:spPr>
                </pic:pic>
              </a:graphicData>
            </a:graphic>
            <wp14:sizeRelH relativeFrom="page">
              <wp14:pctWidth>0</wp14:pctWidth>
            </wp14:sizeRelH>
            <wp14:sizeRelV relativeFrom="page">
              <wp14:pctHeight>0</wp14:pctHeight>
            </wp14:sizeRelV>
          </wp:anchor>
        </w:drawing>
      </w:r>
    </w:p>
    <w:p w14:paraId="5A779157" w14:textId="6E35E78A" w:rsidR="00D64C59" w:rsidRDefault="00D64C59"/>
    <w:p w14:paraId="6200EB05" w14:textId="56F8CD4E" w:rsidR="00D64C59" w:rsidRDefault="00D64C59" w:rsidP="00D64C59">
      <w:pPr>
        <w:spacing w:after="0" w:line="240" w:lineRule="auto"/>
        <w:rPr>
          <w:rFonts w:ascii="Arial" w:eastAsia="Times New Roman" w:hAnsi="Arial" w:cs="Arial"/>
          <w:b/>
          <w:bCs/>
          <w:color w:val="403F42"/>
          <w:sz w:val="72"/>
          <w:szCs w:val="72"/>
        </w:rPr>
      </w:pPr>
    </w:p>
    <w:p w14:paraId="4D5121AF" w14:textId="582B1B3C"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Models:53</w:t>
      </w:r>
    </w:p>
    <w:p w14:paraId="3C8612D0" w14:textId="1764342B"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Size Range 2" - 12"</w:t>
      </w:r>
    </w:p>
    <w:p w14:paraId="7E8C800A" w14:textId="77777777"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w:t>
      </w:r>
    </w:p>
    <w:p w14:paraId="6F18EE99" w14:textId="7D1064CF"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w:t>
      </w:r>
    </w:p>
    <w:p w14:paraId="2A86643C" w14:textId="701E0790" w:rsidR="00D64C59" w:rsidRPr="00D64C59" w:rsidRDefault="00D64C59" w:rsidP="00D64C59">
      <w:pPr>
        <w:spacing w:after="0" w:line="240" w:lineRule="auto"/>
        <w:rPr>
          <w:rFonts w:ascii="Arial" w:eastAsia="Times New Roman" w:hAnsi="Arial" w:cs="Arial"/>
          <w:color w:val="403F42"/>
          <w:sz w:val="24"/>
          <w:szCs w:val="24"/>
        </w:rPr>
      </w:pPr>
      <w:r>
        <w:rPr>
          <w:rFonts w:ascii="Arial" w:eastAsia="Times New Roman" w:hAnsi="Arial" w:cs="Arial"/>
          <w:noProof/>
          <w:color w:val="403F42"/>
          <w:sz w:val="24"/>
          <w:szCs w:val="24"/>
        </w:rPr>
        <w:drawing>
          <wp:anchor distT="0" distB="0" distL="114300" distR="114300" simplePos="0" relativeHeight="251661312" behindDoc="1" locked="0" layoutInCell="1" allowOverlap="1" wp14:anchorId="6785C8A4" wp14:editId="0BE6B02E">
            <wp:simplePos x="0" y="0"/>
            <wp:positionH relativeFrom="margin">
              <wp:posOffset>3671570</wp:posOffset>
            </wp:positionH>
            <wp:positionV relativeFrom="paragraph">
              <wp:posOffset>6985</wp:posOffset>
            </wp:positionV>
            <wp:extent cx="2401570" cy="1733550"/>
            <wp:effectExtent l="0" t="0" r="0" b="0"/>
            <wp:wrapTight wrapText="bothSides">
              <wp:wrapPolygon edited="0">
                <wp:start x="11480" y="712"/>
                <wp:lineTo x="4797" y="3560"/>
                <wp:lineTo x="2227" y="4747"/>
                <wp:lineTo x="1028" y="8782"/>
                <wp:lineTo x="857" y="12580"/>
                <wp:lineTo x="2056" y="16378"/>
                <wp:lineTo x="2056" y="17327"/>
                <wp:lineTo x="5997" y="20176"/>
                <wp:lineTo x="7368" y="20651"/>
                <wp:lineTo x="8396" y="20651"/>
                <wp:lineTo x="19019" y="16853"/>
                <wp:lineTo x="19190" y="16378"/>
                <wp:lineTo x="20047" y="12580"/>
                <wp:lineTo x="20561" y="9495"/>
                <wp:lineTo x="19704" y="5459"/>
                <wp:lineTo x="19361" y="4985"/>
                <wp:lineTo x="12679" y="712"/>
                <wp:lineTo x="11480" y="7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deshot1-1a8eb4ff.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1570" cy="1733550"/>
                    </a:xfrm>
                    <a:prstGeom prst="rect">
                      <a:avLst/>
                    </a:prstGeom>
                  </pic:spPr>
                </pic:pic>
              </a:graphicData>
            </a:graphic>
            <wp14:sizeRelH relativeFrom="page">
              <wp14:pctWidth>0</wp14:pctWidth>
            </wp14:sizeRelH>
            <wp14:sizeRelV relativeFrom="page">
              <wp14:pctHeight>0</wp14:pctHeight>
            </wp14:sizeRelV>
          </wp:anchor>
        </w:drawing>
      </w:r>
      <w:r w:rsidRPr="00D64C59">
        <w:rPr>
          <w:rFonts w:ascii="Arial" w:eastAsia="Times New Roman" w:hAnsi="Arial" w:cs="Arial"/>
          <w:color w:val="403F42"/>
          <w:sz w:val="24"/>
          <w:szCs w:val="24"/>
        </w:rPr>
        <w:t>Torque Range:</w:t>
      </w:r>
    </w:p>
    <w:p w14:paraId="00C026FF" w14:textId="0442B95A"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50 Thru 28500 in-LBS</w:t>
      </w:r>
    </w:p>
    <w:p w14:paraId="66A4A5E7" w14:textId="6C1EAE9F"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Independent Travel Stop Adjustment</w:t>
      </w:r>
    </w:p>
    <w:p w14:paraId="557D81A2" w14:textId="2E99D850"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Range of 5° for the 90° Rotation</w:t>
      </w:r>
    </w:p>
    <w:p w14:paraId="1A6B23FB" w14:textId="04FD618C"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w:t>
      </w:r>
    </w:p>
    <w:p w14:paraId="1B50209D" w14:textId="34B27250"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w:t>
      </w:r>
    </w:p>
    <w:p w14:paraId="6BFFE500" w14:textId="58DFC79C"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DESIGN ADVANTAGES</w:t>
      </w:r>
    </w:p>
    <w:p w14:paraId="53011328" w14:textId="77777777" w:rsidR="00D64C59" w:rsidRPr="00D64C59" w:rsidRDefault="00D64C59" w:rsidP="00D64C59">
      <w:pPr>
        <w:spacing w:after="0" w:line="240" w:lineRule="auto"/>
        <w:rPr>
          <w:rFonts w:ascii="Arial" w:eastAsia="Times New Roman" w:hAnsi="Arial" w:cs="Arial"/>
          <w:color w:val="403F42"/>
          <w:sz w:val="24"/>
          <w:szCs w:val="24"/>
        </w:rPr>
      </w:pPr>
      <w:r w:rsidRPr="00D64C59">
        <w:rPr>
          <w:rFonts w:ascii="Arial" w:eastAsia="Times New Roman" w:hAnsi="Arial" w:cs="Arial"/>
          <w:color w:val="403F42"/>
          <w:sz w:val="24"/>
          <w:szCs w:val="24"/>
        </w:rPr>
        <w:t> </w:t>
      </w:r>
    </w:p>
    <w:p w14:paraId="6B48BD92" w14:textId="30E7EE9C"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t>•  Extruded Aluminum Body with standard hard anodized finish and polished internal surfaces.</w:t>
      </w:r>
    </w:p>
    <w:p w14:paraId="609D7449" w14:textId="41B73C1C"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Die Cast Aluminum End Caps powder polyester paint, PTFE or nickel plated.</w:t>
      </w:r>
    </w:p>
    <w:p w14:paraId="1383043E" w14:textId="1E208CCF"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Position Indicator with NAMUR slot for ease of accessory mounting.</w:t>
      </w:r>
    </w:p>
    <w:p w14:paraId="24466B55" w14:textId="7A4FD5E9"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High Precision Nickel Alloy Steel Blow-out Proof Pinion provides corrosion protection and</w:t>
      </w:r>
      <w:bookmarkStart w:id="0" w:name="_GoBack"/>
      <w:bookmarkEnd w:id="0"/>
      <w:r w:rsidRPr="00D64C59">
        <w:rPr>
          <w:rFonts w:ascii="Arial" w:eastAsia="Times New Roman" w:hAnsi="Arial" w:cs="Arial"/>
          <w:color w:val="333333"/>
          <w:sz w:val="20"/>
          <w:szCs w:val="20"/>
          <w:shd w:val="clear" w:color="auto" w:fill="FFFFFF"/>
        </w:rPr>
        <w:t xml:space="preserve"> fully confirms to ISO 5211 and NAMUR standards.</w:t>
      </w:r>
    </w:p>
    <w:p w14:paraId="3C90672F" w14:textId="17AA3AF7"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Dual Opposed Rack Pistons with low friction bearings and guides for high performance, long cycle life and fast response. Pistons can be easily inverted for reversing rotation.</w:t>
      </w:r>
    </w:p>
    <w:p w14:paraId="0AD33E9C" w14:textId="1987D917"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Linear Torque Output from 0° through 90° stroke.</w:t>
      </w:r>
    </w:p>
    <w:p w14:paraId="6515938D" w14:textId="0B0A35B2"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Independent Travel Stop Adjustments of ±5° in both open and closed positions for precise valve alignment.</w:t>
      </w:r>
    </w:p>
    <w:p w14:paraId="07CA80DC" w14:textId="12324A44"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403F42"/>
          <w:sz w:val="20"/>
          <w:szCs w:val="20"/>
        </w:rPr>
        <w:t> </w:t>
      </w:r>
    </w:p>
    <w:p w14:paraId="7EBE3C54" w14:textId="3AC53AA9"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t>•  High Performance Pre-</w:t>
      </w:r>
      <w:proofErr w:type="gramStart"/>
      <w:r w:rsidRPr="00D64C59">
        <w:rPr>
          <w:rFonts w:ascii="Arial" w:eastAsia="Times New Roman" w:hAnsi="Arial" w:cs="Arial"/>
          <w:color w:val="333333"/>
          <w:sz w:val="20"/>
          <w:szCs w:val="20"/>
          <w:shd w:val="clear" w:color="auto" w:fill="FFFFFF"/>
        </w:rPr>
        <w:t>loaded</w:t>
      </w:r>
      <w:proofErr w:type="gramEnd"/>
      <w:r w:rsidRPr="00D64C59">
        <w:rPr>
          <w:rFonts w:ascii="Arial" w:eastAsia="Times New Roman" w:hAnsi="Arial" w:cs="Arial"/>
          <w:color w:val="333333"/>
          <w:sz w:val="20"/>
          <w:szCs w:val="20"/>
          <w:shd w:val="clear" w:color="auto" w:fill="FFFFFF"/>
        </w:rPr>
        <w:t xml:space="preserve"> Spring Cartridges allow for greater safety and longer spring life.</w:t>
      </w:r>
    </w:p>
    <w:p w14:paraId="631D5C7F" w14:textId="3218D25D"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t xml:space="preserve">• </w:t>
      </w:r>
      <w:r w:rsidRPr="00D64C59">
        <w:rPr>
          <w:rFonts w:ascii="Arial" w:eastAsia="Times New Roman" w:hAnsi="Arial" w:cs="Arial"/>
          <w:color w:val="403F42"/>
          <w:sz w:val="20"/>
          <w:szCs w:val="20"/>
          <w:shd w:val="clear" w:color="auto" w:fill="FFFFFF"/>
        </w:rPr>
        <w:t>Double acting units can be easily converted to spring return by adding the appropriate quantity of cartridges. Different torque requirements can also be easily achieved by changing the quantity of springs.</w:t>
      </w:r>
    </w:p>
    <w:p w14:paraId="6B5B997C" w14:textId="717D6A8A" w:rsidR="00D64C59" w:rsidRPr="00D64C59" w:rsidRDefault="00D64C59" w:rsidP="00D64C59">
      <w:pPr>
        <w:spacing w:after="0" w:line="240" w:lineRule="auto"/>
        <w:rPr>
          <w:rFonts w:ascii="Arial" w:eastAsia="Times New Roman" w:hAnsi="Arial" w:cs="Arial"/>
          <w:color w:val="333333"/>
          <w:sz w:val="20"/>
          <w:szCs w:val="20"/>
          <w:shd w:val="clear" w:color="auto" w:fill="FFFFFF"/>
        </w:rPr>
      </w:pPr>
      <w:r w:rsidRPr="00D64C59">
        <w:rPr>
          <w:rFonts w:ascii="Arial" w:eastAsia="Times New Roman" w:hAnsi="Arial" w:cs="Arial"/>
          <w:color w:val="333333"/>
          <w:sz w:val="20"/>
          <w:szCs w:val="20"/>
          <w:shd w:val="clear" w:color="auto" w:fill="FFFFFF"/>
        </w:rPr>
        <w:br/>
      </w:r>
    </w:p>
    <w:p w14:paraId="33C7D674" w14:textId="77777777" w:rsidR="00D64C59" w:rsidRPr="00D64C59" w:rsidRDefault="00D64C59" w:rsidP="00D64C59">
      <w:pPr>
        <w:spacing w:after="0" w:line="240" w:lineRule="auto"/>
        <w:rPr>
          <w:rFonts w:ascii="Arial" w:eastAsia="Times New Roman" w:hAnsi="Arial" w:cs="Arial"/>
          <w:color w:val="333333"/>
          <w:sz w:val="20"/>
          <w:szCs w:val="20"/>
          <w:shd w:val="clear" w:color="auto" w:fill="FFFFFF"/>
        </w:rPr>
      </w:pPr>
    </w:p>
    <w:p w14:paraId="7872693F" w14:textId="341C1113"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t>•  NAMUR Solenoid Mounting Design permits direct mounting of solenoid valves.</w:t>
      </w:r>
    </w:p>
    <w:p w14:paraId="583C926B" w14:textId="00A969B6"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Stainless Steel 304 Fasteners as standard.</w:t>
      </w:r>
    </w:p>
    <w:p w14:paraId="26C9E884" w14:textId="5C12A16E"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High Quality O-rings provides trouble-free operation for a wide range of temperature applications.</w:t>
      </w:r>
    </w:p>
    <w:p w14:paraId="2AE9DB08" w14:textId="09CDCB9D" w:rsidR="00D64C59" w:rsidRPr="00D64C59" w:rsidRDefault="00D64C59" w:rsidP="00D64C59">
      <w:pPr>
        <w:spacing w:after="0" w:line="240" w:lineRule="auto"/>
        <w:rPr>
          <w:rFonts w:ascii="Arial" w:eastAsia="Times New Roman" w:hAnsi="Arial" w:cs="Arial"/>
          <w:color w:val="403F42"/>
          <w:sz w:val="20"/>
          <w:szCs w:val="20"/>
        </w:rPr>
      </w:pPr>
      <w:r w:rsidRPr="00D64C59">
        <w:rPr>
          <w:rFonts w:ascii="Arial" w:eastAsia="Times New Roman" w:hAnsi="Arial" w:cs="Arial"/>
          <w:color w:val="333333"/>
          <w:sz w:val="20"/>
          <w:szCs w:val="20"/>
          <w:shd w:val="clear" w:color="auto" w:fill="FFFFFF"/>
        </w:rPr>
        <w:br/>
        <w:t>•  Optional Corrosion Protection available for body and end caps.</w:t>
      </w:r>
    </w:p>
    <w:p w14:paraId="45B23429" w14:textId="52E603B7" w:rsidR="002249BA" w:rsidRPr="00D64C59" w:rsidRDefault="002249BA">
      <w:pPr>
        <w:rPr>
          <w:rFonts w:ascii="Arial" w:hAnsi="Arial" w:cs="Arial"/>
          <w:sz w:val="20"/>
          <w:szCs w:val="20"/>
        </w:rPr>
      </w:pPr>
    </w:p>
    <w:sectPr w:rsidR="002249BA" w:rsidRPr="00D64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59"/>
    <w:rsid w:val="002249BA"/>
    <w:rsid w:val="00D64C5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6582B"/>
  <w15:chartTrackingRefBased/>
  <w15:docId w15:val="{A29D6E71-5C0B-439B-A709-FA660E6B0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939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Chaiwat Sitthananun</dc:creator>
  <cp:keywords/>
  <dc:description/>
  <cp:lastModifiedBy>Chaiwat Sitthananun</cp:lastModifiedBy>
  <cp:revision>1</cp:revision>
  <dcterms:created xsi:type="dcterms:W3CDTF">2020-03-29T05:44:00Z</dcterms:created>
  <dcterms:modified xsi:type="dcterms:W3CDTF">2020-03-29T05:47:00Z</dcterms:modified>
</cp:coreProperties>
</file>