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after="200"/>
      </w:pPr>
      <w:r>
        <w:rPr>
          <w:rFonts w:ascii="Times New Roman" w:hAnsi="Times New Roman" w:eastAsia="Times New Roman" w:cs="Times New Roman"/>
          <w:b/>
          <w:color w:val="000000"/>
          <w:sz w:val="22"/>
        </w:rPr>
        <w:t>Data preparation and human baseline progress</w:t>
      </w:r>
    </w:p>
    <w:p>
      <w:r>
        <w:rPr>
          <w:rFonts w:ascii="Times New Roman" w:hAnsi="Times New Roman" w:eastAsia="Times New Roman" w:cs="Times New Roman"/>
          <w:color w:val="000000"/>
          <w:sz w:val="22"/>
        </w:rPr>
        <w:t>Yuxiang prepared the dataset split and completed his human baseline for the material recognition project. The task is to classify a photograph as leather, metal, stone, water, or wood. The dataset contains 100 images from each of these five categories in the Flickr Material Database [1], for a total of 500 images. Yuxiang used a reproducible, class-balanced split with 85 training, 10 validation, and 5 test images per category, giving 425 training images, 50 validation images, and 25 test images. Selection followed a fixed pseudorandom ordering within each category and did not depend on image appearance or difficulty. The test images were shuffled across categories and assigned anonymous identifiers so that filenames would not reveal their labels. Validation images were later drawn only from the existing training set, leaving the test images, identifiers, and completed human predictions unchanged. Each image and its matching mask were kept in the same split, and checks confirmed that no images overlapped between splits. Training and validation data are intended for method development and selection, while test data must be reserved for evaluation and excluded from tuning.</w:t>
      </w:r>
    </w:p>
    <w:p>
      <w:pPr>
        <w:spacing w:line="360" w:lineRule="auto" w:before="120"/>
      </w:pPr>
      <w:r>
        <w:rPr>
          <w:rFonts w:ascii="Times New Roman" w:hAnsi="Times New Roman" w:eastAsia="Times New Roman" w:cs="Times New Roman"/>
          <w:color w:val="000000"/>
          <w:sz w:val="22"/>
        </w:rPr>
        <w:t>For the human baseline, Yuxiang independently classified all 25 test photographs using only the images, without consulting masks or ground-truth labels. His judgments drew on texture, colour, reflections, and object shape, including cues such as wood grain, water ripples, and leather folds. He recorded one prediction per anonymous identifier in a separate CSV file. The human evaluation subset is the entire test set, with five examples per category. No additional sampling or separate full-test results column is therefore needed. Accuracy measures the proportion of correct predictions and is a suitable primary metric for these balanced classes. The small number of test images, however, limits confidence in performance estimates for individual materials.</w:t>
      </w:r>
    </w:p>
    <w:p>
      <w:pPr>
        <w:spacing w:line="240" w:lineRule="auto" w:before="140"/>
      </w:pPr>
      <w:r>
        <w:rPr>
          <w:rFonts w:ascii="Times New Roman" w:hAnsi="Times New Roman" w:eastAsia="Times New Roman" w:cs="Times New Roman"/>
          <w:b/>
          <w:color w:val="000000"/>
          <w:sz w:val="22"/>
        </w:rPr>
        <w:t xml:space="preserve">Contributions: </w:t>
      </w:r>
      <w:r>
        <w:rPr>
          <w:rFonts w:ascii="Times New Roman" w:hAnsi="Times New Roman" w:eastAsia="Times New Roman" w:cs="Times New Roman"/>
          <w:color w:val="000000"/>
          <w:sz w:val="22"/>
        </w:rPr>
        <w:t>Yuxiang prepared the data split and completed his human baseline. Ivans will provide the remaining project work and report sections.</w:t>
      </w:r>
    </w:p>
    <w:p>
      <w:pPr>
        <w:spacing w:line="240" w:lineRule="auto" w:before="140"/>
      </w:pPr>
      <w:r>
        <w:rPr>
          <w:rFonts w:ascii="Times New Roman" w:hAnsi="Times New Roman" w:eastAsia="Times New Roman" w:cs="Times New Roman"/>
          <w:b/>
          <w:i w:val="0"/>
          <w:color w:val="000000"/>
          <w:sz w:val="22"/>
        </w:rPr>
        <w:t xml:space="preserve">Reference: </w:t>
      </w:r>
      <w:r>
        <w:rPr>
          <w:rFonts w:ascii="Times New Roman" w:hAnsi="Times New Roman" w:eastAsia="Times New Roman" w:cs="Times New Roman"/>
          <w:i w:val="0"/>
          <w:color w:val="000000"/>
          <w:sz w:val="22"/>
        </w:rPr>
        <w:t xml:space="preserve">[1] L. Sharan, R. Rosenholtz, and E. H. Adelson, "Accuracy and speed of material categorization in real-world images", </w:t>
      </w:r>
      <w:r>
        <w:rPr>
          <w:rFonts w:ascii="Times New Roman" w:hAnsi="Times New Roman" w:eastAsia="Times New Roman" w:cs="Times New Roman"/>
          <w:i/>
          <w:color w:val="000000"/>
          <w:sz w:val="22"/>
        </w:rPr>
        <w:t>Journal of Vision</w:t>
      </w:r>
      <w:r>
        <w:rPr>
          <w:rFonts w:ascii="Times New Roman" w:hAnsi="Times New Roman" w:eastAsia="Times New Roman" w:cs="Times New Roman"/>
          <w:i w:val="0"/>
          <w:color w:val="000000"/>
          <w:sz w:val="22"/>
        </w:rPr>
        <w:t>, vol. 14, no. 9, article 12,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preparation and human baseline progress</dc:title>
  <dc:subject/>
  <dc:creator>Yuxiang</dc:creator>
  <cp:keywords/>
  <dc:description>generated by python-docx</dc:description>
  <cp:lastModifiedBy/>
  <cp:revision>1</cp:revision>
  <dcterms:created xsi:type="dcterms:W3CDTF">2013-12-23T23:15:00Z</dcterms:created>
  <dcterms:modified xsi:type="dcterms:W3CDTF">2013-12-23T23:15:00Z</dcterms:modified>
  <cp:category/>
</cp:coreProperties>
</file>