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after="240"/>
      </w:pPr>
      <w:r>
        <w:rPr>
          <w:rFonts w:ascii="Times New Roman" w:hAnsi="Times New Roman" w:eastAsia="Times New Roman" w:cs="Times New Roman"/>
          <w:b/>
          <w:color w:val="000000"/>
          <w:sz w:val="22"/>
        </w:rPr>
        <w:t>Material Recognition Progress Report</w:t>
      </w:r>
    </w:p>
    <w:p>
      <w:r>
        <w:rPr>
          <w:rFonts w:ascii="Times New Roman" w:hAnsi="Times New Roman" w:eastAsia="Times New Roman" w:cs="Times New Roman"/>
          <w:color w:val="000000"/>
          <w:sz w:val="22"/>
        </w:rPr>
        <w:t>Our project investigates material recognition using five categories from the Flickr Material Database (FMD): leather, metal, stone, water, and wood. We use 100 labelled images per category, giving 500 images in total. To keep all categories equally represented, we divided the data separately within each class using a fixed, reproducible pseudorandom ordering based on filename hashes. We initially selected five images per class without replacement for testing, producing a shared test set of 25 images. We then shuffled their presentation order across classes and assigned anonymous identifiers so that filenames would not reveal the correct labels. After completing our human predictions, we added a validation set by selecting ten images from each class's remaining training images. This preserved the original test images, their identifiers, and our recorded predictions. The final split contains 425 training images, 50 validation images, and 25 test images, corresponding to 85%, 10%, and 5% of each class. Training data will be used to fit models, validation data to select settings, and the shared test set to compare the four approaches. Each image and its corresponding mask remain in the same split with matching filenames, and we checked that no image appears in more than one split. For the human baseline, both team members independently classified the same 25 test images using only the original photographs, without viewing masks or ground-truth labels. Our judgments relied on visual texture, colour, reflections, and object shape, together with everyday familiarity with these materials. For example, grain patterns can suggest wood, a reflective surface can suggest metal, ripples can suggest water, and rough or irregular surfaces can suggest stone. Leather may be identified through its grain, folds, and familiar object shapes. These cues can be ambiguous under different lighting conditions, so we considered them together when selecting one of the five labels. We recorded our predictions separately to preserve two independent human baselines. Although the balanced test set supports a manageable initial comparison, its small size means that performance estimates, especially for individual categories, should be interpreted cautiously.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cs="Times New Roman"/>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 Recognition Progress Report</dc:title>
  <dc:subject/>
  <dc:creator>Yuxiang and Ivans</dc:creator>
  <cp:keywords/>
  <dc:description>generated by python-docx</dc:description>
  <cp:lastModifiedBy/>
  <cp:revision>1</cp:revision>
  <dcterms:created xsi:type="dcterms:W3CDTF">2013-12-23T23:15:00Z</dcterms:created>
  <dcterms:modified xsi:type="dcterms:W3CDTF">2013-12-23T23:15:00Z</dcterms:modified>
  <cp:category/>
</cp:coreProperties>
</file>