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3E368A">
      <w:pPr>
        <w:pageBreakBefore w:val="0"/>
        <w:widowControl/>
        <w:kinsoku/>
        <w:wordWrap/>
        <w:overflowPunct/>
        <w:topLinePunct w:val="0"/>
        <w:autoSpaceDE/>
        <w:autoSpaceDN/>
        <w:bidi w:val="0"/>
        <w:adjustRightInd/>
        <w:snapToGrid/>
        <w:spacing w:line="580" w:lineRule="exact"/>
        <w:ind w:firstLine="0" w:firstLineChars="0"/>
        <w:jc w:val="left"/>
        <w:textAlignment w:val="auto"/>
        <w:rPr>
          <w:rFonts w:hint="eastAsia" w:ascii="方正小标宋_GBK" w:hAnsi="方正小标宋_GBK" w:eastAsia="方正小标宋_GBK" w:cs="方正小标宋_GBK"/>
          <w:snapToGrid/>
          <w:color w:val="000000"/>
          <w:kern w:val="2"/>
          <w:sz w:val="28"/>
          <w:szCs w:val="24"/>
          <w:lang w:eastAsia="zh-CN"/>
        </w:rPr>
      </w:pPr>
      <w:r>
        <w:rPr>
          <w:rFonts w:hint="eastAsia" w:ascii="Times New Roman" w:hAnsi="Times New Roman" w:eastAsia="宋体" w:cs="方正黑体_GBK"/>
          <w:snapToGrid/>
          <w:color w:val="000000"/>
          <w:kern w:val="0"/>
          <w:sz w:val="32"/>
          <w:szCs w:val="32"/>
          <w:lang w:eastAsia="zh-CN"/>
        </w:rPr>
        <w:t>附件</w:t>
      </w:r>
      <w:r>
        <w:rPr>
          <w:rFonts w:hint="eastAsia" w:ascii="Times New Roman" w:hAnsi="Times New Roman" w:eastAsia="宋体" w:cs="方正黑体_GBK"/>
          <w:snapToGrid/>
          <w:color w:val="000000"/>
          <w:kern w:val="0"/>
          <w:sz w:val="32"/>
          <w:szCs w:val="32"/>
          <w:lang w:val="en-US" w:eastAsia="zh-CN"/>
        </w:rPr>
        <w:t>4</w:t>
      </w:r>
      <w:bookmarkStart w:id="2" w:name="_GoBack"/>
      <w:bookmarkEnd w:id="2"/>
    </w:p>
    <w:p w14:paraId="1521DB09">
      <w:pPr>
        <w:pStyle w:val="2"/>
        <w:jc w:val="both"/>
        <w:rPr>
          <w:rFonts w:hint="eastAsia" w:ascii="宋体" w:hAnsi="宋体"/>
        </w:rPr>
      </w:pPr>
    </w:p>
    <w:p w14:paraId="309A003C">
      <w:pPr>
        <w:pStyle w:val="2"/>
        <w:ind w:firstLine="883"/>
        <w:rPr>
          <w:rFonts w:hint="eastAsia" w:ascii="宋体" w:hAnsi="宋体"/>
        </w:rPr>
      </w:pPr>
    </w:p>
    <w:p w14:paraId="1F07D072">
      <w:pPr>
        <w:pStyle w:val="2"/>
        <w:rPr>
          <w:rFonts w:hint="eastAsia" w:ascii="宋体" w:hAnsi="宋体"/>
          <w:sz w:val="36"/>
          <w:szCs w:val="36"/>
        </w:rPr>
      </w:pPr>
      <w:bookmarkStart w:id="0" w:name="_Toc462471981"/>
      <w:r>
        <w:rPr>
          <w:rFonts w:hint="eastAsia" w:ascii="Times New Roman" w:hAnsi="Times New Roman" w:eastAsia="宋体"/>
          <w:sz w:val="36"/>
          <w:szCs w:val="36"/>
        </w:rPr>
        <w:t>202</w:t>
      </w:r>
      <w:r>
        <w:rPr>
          <w:rFonts w:ascii="Times New Roman" w:hAnsi="Times New Roman" w:eastAsia="宋体"/>
          <w:sz w:val="36"/>
          <w:szCs w:val="36"/>
        </w:rPr>
        <w:t>6</w:t>
      </w:r>
      <w:r>
        <w:rPr>
          <w:rFonts w:hint="eastAsia" w:ascii="Times New Roman" w:hAnsi="Times New Roman" w:eastAsia="宋体"/>
          <w:sz w:val="36"/>
          <w:szCs w:val="36"/>
        </w:rPr>
        <w:t>年安徽省</w:t>
      </w:r>
      <w:r>
        <w:rPr>
          <w:rFonts w:hint="eastAsia" w:ascii="Times New Roman" w:hAnsi="Times New Roman" w:eastAsia="宋体"/>
          <w:sz w:val="36"/>
          <w:szCs w:val="36"/>
          <w:lang w:val="en-US"/>
        </w:rPr>
        <w:t>AI大模型创新</w:t>
      </w:r>
      <w:r>
        <w:rPr>
          <w:rFonts w:hint="eastAsia" w:ascii="Times New Roman" w:hAnsi="Times New Roman" w:eastAsia="宋体"/>
          <w:sz w:val="36"/>
          <w:szCs w:val="36"/>
        </w:rPr>
        <w:t>应用竞赛</w:t>
      </w:r>
    </w:p>
    <w:p w14:paraId="09D4664E">
      <w:pPr>
        <w:pStyle w:val="2"/>
        <w:rPr>
          <w:rFonts w:hint="eastAsia" w:ascii="宋体" w:hAnsi="宋体"/>
          <w:sz w:val="36"/>
          <w:szCs w:val="36"/>
          <w:lang w:val="en-US"/>
        </w:rPr>
      </w:pPr>
      <w:r>
        <w:rPr>
          <w:rFonts w:hint="eastAsia" w:ascii="Times New Roman" w:hAnsi="Times New Roman" w:eastAsia="宋体"/>
          <w:sz w:val="36"/>
          <w:szCs w:val="36"/>
          <w:lang w:val="en-US"/>
        </w:rPr>
        <w:t>作品赛</w:t>
      </w:r>
      <w:r>
        <w:rPr>
          <w:rFonts w:hint="eastAsia" w:ascii="Times New Roman" w:hAnsi="Times New Roman" w:eastAsia="宋体"/>
          <w:sz w:val="36"/>
          <w:szCs w:val="36"/>
        </w:rPr>
        <w:t>赛道</w:t>
      </w:r>
      <w:bookmarkEnd w:id="0"/>
    </w:p>
    <w:p w14:paraId="34657D5A">
      <w:pPr>
        <w:ind w:firstLine="420"/>
        <w:rPr>
          <w:rFonts w:hint="eastAsia" w:ascii="宋体" w:hAnsi="宋体" w:eastAsia="宋体"/>
        </w:rPr>
      </w:pPr>
    </w:p>
    <w:p w14:paraId="3486B652">
      <w:pPr>
        <w:ind w:firstLine="420"/>
        <w:rPr>
          <w:rFonts w:hint="eastAsia" w:ascii="宋体" w:hAnsi="宋体" w:eastAsia="宋体"/>
        </w:rPr>
      </w:pPr>
    </w:p>
    <w:p w14:paraId="2F0D2C5A">
      <w:pPr>
        <w:ind w:firstLine="420"/>
        <w:rPr>
          <w:rFonts w:hint="eastAsia" w:ascii="宋体" w:hAnsi="宋体" w:eastAsia="宋体"/>
        </w:rPr>
      </w:pPr>
    </w:p>
    <w:p w14:paraId="276B33E4">
      <w:pPr>
        <w:ind w:firstLine="420"/>
        <w:rPr>
          <w:rFonts w:hint="eastAsia" w:ascii="宋体" w:hAnsi="宋体" w:eastAsia="宋体"/>
        </w:rPr>
      </w:pPr>
    </w:p>
    <w:p w14:paraId="56B27856">
      <w:pPr>
        <w:ind w:firstLine="420"/>
        <w:rPr>
          <w:rFonts w:hint="eastAsia" w:ascii="宋体" w:hAnsi="宋体" w:eastAsia="宋体"/>
        </w:rPr>
      </w:pPr>
    </w:p>
    <w:p w14:paraId="17BF5229">
      <w:pPr>
        <w:ind w:firstLine="420"/>
        <w:rPr>
          <w:rFonts w:hint="eastAsia" w:ascii="宋体" w:hAnsi="宋体" w:eastAsia="宋体"/>
        </w:rPr>
      </w:pPr>
    </w:p>
    <w:p w14:paraId="21BFBD59">
      <w:pPr>
        <w:ind w:firstLine="420"/>
        <w:rPr>
          <w:rFonts w:hint="eastAsia" w:ascii="宋体" w:hAnsi="宋体" w:eastAsia="宋体"/>
        </w:rPr>
      </w:pPr>
    </w:p>
    <w:p w14:paraId="53CFB9A0">
      <w:pPr>
        <w:ind w:firstLine="420"/>
        <w:rPr>
          <w:rFonts w:hint="eastAsia" w:ascii="宋体" w:hAnsi="宋体" w:eastAsia="宋体"/>
        </w:rPr>
      </w:pPr>
    </w:p>
    <w:p w14:paraId="6311151A">
      <w:pPr>
        <w:ind w:firstLine="420"/>
        <w:rPr>
          <w:rFonts w:hint="eastAsia" w:ascii="宋体" w:hAnsi="宋体" w:eastAsia="宋体"/>
        </w:rPr>
      </w:pPr>
    </w:p>
    <w:p w14:paraId="21636874">
      <w:pPr>
        <w:ind w:firstLine="420"/>
        <w:rPr>
          <w:rFonts w:hint="eastAsia" w:ascii="宋体" w:hAnsi="宋体" w:eastAsia="宋体"/>
        </w:rPr>
      </w:pPr>
    </w:p>
    <w:p w14:paraId="7DAAF417">
      <w:pPr>
        <w:ind w:firstLine="420"/>
        <w:rPr>
          <w:rFonts w:hint="eastAsia" w:ascii="宋体" w:hAnsi="宋体" w:eastAsia="宋体"/>
        </w:rPr>
      </w:pPr>
    </w:p>
    <w:p w14:paraId="22632146">
      <w:pPr>
        <w:ind w:firstLine="420"/>
        <w:rPr>
          <w:rFonts w:hint="eastAsia" w:ascii="宋体" w:hAnsi="宋体" w:eastAsia="宋体"/>
        </w:rPr>
      </w:pPr>
    </w:p>
    <w:p w14:paraId="50004B47">
      <w:pPr>
        <w:spacing w:line="360" w:lineRule="auto" w:after="80" w:before="0"/>
        <w:ind w:firstLine="708" w:firstLineChars="253"/>
        <w:jc w:val="left"/>
        <w:rPr>
          <w:rFonts w:hint="eastAsia" w:ascii="宋体" w:hAnsi="宋体" w:eastAsia="宋体"/>
          <w:sz w:val="28"/>
          <w:szCs w:val="28"/>
          <w:u w:val="single"/>
        </w:rPr>
      </w:pPr>
      <w:r>
        <w:rPr>
          <w:rFonts w:ascii="Times New Roman" w:hAnsi="Times New Roman" w:eastAsia="宋体"/>
          <w:b w:val="0"/>
          <w:sz w:val="28"/>
        </w:rPr>
        <w:t>作品名称：中国色彩数字博物馆</w:t>
      </w:r>
    </w:p>
    <w:p w14:paraId="3654BC42">
      <w:pPr>
        <w:ind w:firstLine="708" w:firstLineChars="253"/>
        <w:rPr>
          <w:rFonts w:hint="eastAsia" w:ascii="宋体" w:hAnsi="宋体" w:eastAsia="宋体"/>
          <w:sz w:val="28"/>
          <w:szCs w:val="28"/>
          <w:u w:val="single"/>
        </w:rPr>
      </w:pPr>
    </w:p>
    <w:p w14:paraId="6BC7052B">
      <w:pPr>
        <w:jc w:val="center"/>
        <w:rPr>
          <w:rFonts w:hint="eastAsia" w:ascii="宋体" w:hAnsi="宋体" w:eastAsia="宋体"/>
          <w:sz w:val="28"/>
          <w:szCs w:val="28"/>
        </w:rPr>
      </w:pPr>
      <w:r>
        <w:rPr>
          <w:rFonts w:hint="eastAsia" w:ascii="Times New Roman" w:hAnsi="Times New Roman" w:eastAsia="宋体"/>
          <w:sz w:val="28"/>
          <w:szCs w:val="28"/>
        </w:rPr>
        <w:t>202</w:t>
      </w:r>
      <w:r>
        <w:rPr>
          <w:rFonts w:ascii="Times New Roman" w:hAnsi="Times New Roman" w:eastAsia="宋体"/>
          <w:sz w:val="28"/>
          <w:szCs w:val="28"/>
        </w:rPr>
        <w:t>6</w:t>
      </w:r>
      <w:r>
        <w:rPr>
          <w:rFonts w:hint="eastAsia" w:ascii="Times New Roman" w:hAnsi="Times New Roman" w:eastAsia="宋体"/>
          <w:sz w:val="28"/>
          <w:szCs w:val="28"/>
        </w:rPr>
        <w:t>年9月</w:t>
      </w:r>
    </w:p>
    <w:p w14:paraId="4D1E309E">
      <w:pPr>
        <w:ind w:firstLine="420"/>
        <w:rPr>
          <w:rFonts w:hint="eastAsia" w:ascii="宋体" w:hAnsi="宋体" w:eastAsia="宋体"/>
        </w:rPr>
      </w:pPr>
    </w:p>
    <w:p w14:paraId="1A3BE9C1">
      <w:pPr>
        <w:ind w:firstLine="420"/>
        <w:rPr>
          <w:rFonts w:hint="eastAsia" w:ascii="宋体" w:hAnsi="宋体" w:eastAsia="宋体"/>
        </w:rPr>
      </w:pPr>
    </w:p>
    <w:p w14:paraId="0783481D">
      <w:pPr>
        <w:ind w:firstLine="420"/>
        <w:rPr>
          <w:rFonts w:hint="eastAsia" w:ascii="宋体" w:hAnsi="宋体" w:eastAsia="宋体"/>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titlePg/>
          <w:docGrid w:type="lines" w:linePitch="312" w:charSpace="0"/>
        </w:sectPr>
      </w:pPr>
    </w:p>
    <w:p w14:paraId="7DEACF07">
      <w:pPr>
        <w:pStyle w:val="2"/>
      </w:pPr>
      <w:bookmarkStart w:id="1" w:name="_Toc462471983"/>
      <w:r>
        <w:rPr>
          <w:rFonts w:hint="eastAsia"/>
        </w:rPr>
        <w:t>填写说明</w:t>
      </w:r>
      <w:bookmarkEnd w:id="1"/>
    </w:p>
    <w:p w14:paraId="341541C5">
      <w:pPr>
        <w:ind w:firstLine="560"/>
        <w:rPr>
          <w:rFonts w:hint="eastAsia"/>
          <w:sz w:val="28"/>
          <w:szCs w:val="28"/>
        </w:rPr>
      </w:pPr>
      <w:r>
        <w:rPr>
          <w:rFonts w:hint="eastAsia" w:ascii="Times New Roman" w:hAnsi="Times New Roman" w:eastAsia="宋体"/>
          <w:sz w:val="28"/>
          <w:szCs w:val="28"/>
        </w:rPr>
        <w:t xml:space="preserve">1. 所有参赛作品必须为一个基本完整的设计。作品报告书旨在能够清晰准确地阐述（或图示）该参赛队的参赛作品（或方案）。 </w:t>
      </w:r>
    </w:p>
    <w:p w14:paraId="2E88F0B8">
      <w:pPr>
        <w:ind w:firstLine="560"/>
        <w:rPr>
          <w:rFonts w:hint="eastAsia"/>
          <w:sz w:val="28"/>
          <w:szCs w:val="28"/>
        </w:rPr>
      </w:pPr>
      <w:r>
        <w:rPr>
          <w:rFonts w:hint="eastAsia" w:ascii="Times New Roman" w:hAnsi="Times New Roman" w:eastAsia="宋体"/>
          <w:sz w:val="28"/>
          <w:szCs w:val="28"/>
        </w:rPr>
        <w:t xml:space="preserve">2. 作品报告采用A4纸撰写。除标题外，所有内容必需为宋体、五号字、1.5倍行距。 </w:t>
      </w:r>
    </w:p>
    <w:p w14:paraId="568787A0">
      <w:pPr>
        <w:ind w:firstLine="560"/>
        <w:rPr>
          <w:rFonts w:hint="eastAsia"/>
          <w:sz w:val="28"/>
          <w:szCs w:val="28"/>
        </w:rPr>
      </w:pPr>
      <w:r>
        <w:rPr>
          <w:rFonts w:hint="eastAsia" w:ascii="Times New Roman" w:hAnsi="Times New Roman" w:eastAsia="宋体"/>
          <w:sz w:val="28"/>
          <w:szCs w:val="28"/>
        </w:rPr>
        <w:t xml:space="preserve">3. 作品报告中各作品模板文字部分仅供参考，作品报告书撰写完毕后，请删除所有模板文字。(本页不删除) </w:t>
      </w:r>
    </w:p>
    <w:p w14:paraId="286AFB97">
      <w:pPr>
        <w:ind w:firstLine="560"/>
        <w:rPr>
          <w:rFonts w:hint="eastAsia"/>
          <w:sz w:val="28"/>
          <w:szCs w:val="28"/>
        </w:rPr>
      </w:pPr>
      <w:r>
        <w:rPr>
          <w:rFonts w:hint="eastAsia" w:ascii="Times New Roman" w:hAnsi="Times New Roman" w:eastAsia="宋体"/>
          <w:sz w:val="28"/>
          <w:szCs w:val="28"/>
        </w:rPr>
        <w:t xml:space="preserve">4. 作品报告模板里已经列的内容仅供参考，作者可以在此基础上增加内容或对文档结构进行微调。 </w:t>
      </w:r>
    </w:p>
    <w:p w14:paraId="2B428A00">
      <w:pPr>
        <w:ind w:firstLine="560"/>
        <w:rPr>
          <w:rFonts w:hint="eastAsia"/>
          <w:sz w:val="28"/>
          <w:szCs w:val="28"/>
        </w:rPr>
      </w:pPr>
      <w:r>
        <w:rPr>
          <w:rFonts w:hint="eastAsia" w:ascii="Times New Roman" w:hAnsi="Times New Roman" w:eastAsia="宋体"/>
          <w:sz w:val="28"/>
          <w:szCs w:val="28"/>
        </w:rPr>
        <w:t>5. 网评采用双盲评审，因此请勿在该文档出现任何有关学校、队伍、个人等信息，否则按作弊论处。</w:t>
      </w:r>
    </w:p>
    <w:p w14:paraId="32B4FA0B">
      <w:pPr>
        <w:ind w:firstLine="560"/>
        <w:rPr>
          <w:rFonts w:hint="eastAsia"/>
          <w:sz w:val="28"/>
          <w:szCs w:val="28"/>
        </w:rPr>
      </w:pPr>
      <w:r>
        <w:rPr>
          <w:rFonts w:hint="eastAsia" w:ascii="Times New Roman" w:hAnsi="Times New Roman" w:eastAsia="宋体"/>
          <w:sz w:val="28"/>
          <w:szCs w:val="28"/>
        </w:rPr>
        <w:t>6.</w:t>
      </w:r>
      <w:r>
        <w:rPr>
          <w:rFonts w:ascii="Times New Roman" w:hAnsi="Times New Roman" w:eastAsia="宋体"/>
          <w:sz w:val="28"/>
          <w:szCs w:val="28"/>
        </w:rPr>
        <w:t xml:space="preserve"> </w:t>
      </w:r>
      <w:r>
        <w:rPr>
          <w:rFonts w:hint="eastAsia" w:ascii="Times New Roman" w:hAnsi="Times New Roman" w:eastAsia="宋体"/>
          <w:sz w:val="28"/>
          <w:szCs w:val="28"/>
        </w:rPr>
        <w:t>报告正文不超过10页。</w:t>
      </w:r>
    </w:p>
    <w:p w14:paraId="63E93BE1">
      <w:pPr>
        <w:ind w:firstLine="560"/>
        <w:rPr>
          <w:rFonts w:hint="eastAsia"/>
          <w:sz w:val="28"/>
          <w:szCs w:val="28"/>
        </w:rPr>
      </w:pPr>
      <w:r>
        <w:rPr>
          <w:rFonts w:hint="eastAsia" w:ascii="Times New Roman" w:hAnsi="Times New Roman" w:eastAsia="宋体"/>
          <w:sz w:val="28"/>
          <w:szCs w:val="28"/>
        </w:rPr>
        <w:t>7.</w:t>
      </w:r>
      <w:r>
        <w:rPr>
          <w:rFonts w:ascii="Times New Roman" w:hAnsi="Times New Roman" w:eastAsia="宋体"/>
          <w:sz w:val="28"/>
          <w:szCs w:val="28"/>
        </w:rPr>
        <w:t xml:space="preserve"> </w:t>
      </w:r>
      <w:r>
        <w:rPr>
          <w:rFonts w:hint="eastAsia" w:ascii="Times New Roman" w:hAnsi="Times New Roman" w:eastAsia="宋体"/>
          <w:sz w:val="28"/>
          <w:szCs w:val="28"/>
        </w:rPr>
        <w:t>作品最终以PDF格式提交。</w:t>
      </w:r>
    </w:p>
    <w:p w14:paraId="6AE25C67">
      <w:pPr>
        <w:widowControl/>
        <w:jc w:val="left"/>
        <w:rPr>
          <w:rFonts w:hint="eastAsia"/>
          <w:sz w:val="28"/>
          <w:szCs w:val="28"/>
        </w:rPr>
      </w:pPr>
      <w:r>
        <w:rPr>
          <w:sz w:val="28"/>
          <w:szCs w:val="28"/>
        </w:rPr>
        <w:br w:type="page"/>
      </w:r>
    </w:p>
    <w:p w14:paraId="52724073">
      <w:pPr>
        <w:spacing w:line="360" w:lineRule="auto" w:after="80" w:before="0"/>
        <w:jc w:val="center"/>
        <w:rPr>
          <w:rFonts w:hint="eastAsia" w:ascii="宋体" w:hAnsi="宋体" w:eastAsia="宋体"/>
          <w:b/>
          <w:sz w:val="28"/>
          <w:szCs w:val="28"/>
        </w:rPr>
      </w:pPr>
      <w:r>
        <w:rPr>
          <w:rFonts w:hint="eastAsia" w:ascii="Times New Roman" w:hAnsi="Times New Roman" w:eastAsia="宋体"/>
          <w:b/>
          <w:sz w:val="24"/>
          <w:szCs w:val="28"/>
        </w:rPr>
        <w:t>作品简介</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7025"/>
      </w:tblGrid>
      <w:tr w14:paraId="50FF9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271" w:type="dxa"/>
            <w:noWrap/>
            <w:vAlign w:val="center"/>
            <w:shd w:fill="F2F2F2"/>
          </w:tcPr>
          <w:p>
            <w:pPr>
              <w:spacing w:line="360" w:lineRule="auto" w:after="40"/>
              <w:ind w:firstLine="0"/>
              <w:jc w:val="center"/>
            </w:pPr>
            <w:r/>
            <w:r>
              <w:rPr>
                <w:rFonts w:ascii="Times New Roman" w:hAnsi="Times New Roman" w:eastAsia="宋体"/>
                <w:b/>
                <w:sz w:val="21"/>
              </w:rPr>
              <w:t>作品名称</w:t>
            </w:r>
          </w:p>
        </w:tc>
        <w:tc>
          <w:tcPr>
            <w:tcW w:w="7025" w:type="dxa"/>
            <w:noWrap/>
            <w:vAlign w:val="center"/>
          </w:tcPr>
          <w:p>
            <w:pPr>
              <w:spacing w:line="360" w:lineRule="auto" w:after="40"/>
              <w:ind w:firstLine="0"/>
              <w:jc w:val="left"/>
            </w:pPr>
            <w:r/>
            <w:r>
              <w:rPr>
                <w:rFonts w:ascii="Times New Roman" w:hAnsi="Times New Roman" w:eastAsia="宋体"/>
                <w:b w:val="0"/>
                <w:sz w:val="21"/>
              </w:rPr>
              <w:t>中国色彩数字博物馆</w:t>
            </w:r>
          </w:p>
        </w:tc>
      </w:tr>
      <w:tr w14:paraId="0215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271" w:type="dxa"/>
            <w:noWrap/>
            <w:vAlign w:val="center"/>
            <w:shd w:fill="F2F2F2"/>
          </w:tcPr>
          <w:p>
            <w:pPr>
              <w:spacing w:line="360" w:lineRule="auto" w:after="40"/>
              <w:ind w:firstLine="0"/>
              <w:jc w:val="center"/>
            </w:pPr>
            <w:r/>
            <w:r>
              <w:rPr>
                <w:rFonts w:ascii="Times New Roman" w:hAnsi="Times New Roman" w:eastAsia="宋体"/>
                <w:b/>
                <w:sz w:val="21"/>
              </w:rPr>
              <w:t>主题</w:t>
            </w:r>
          </w:p>
        </w:tc>
        <w:tc>
          <w:tcPr>
            <w:tcW w:w="7025" w:type="dxa"/>
            <w:noWrap/>
            <w:vAlign w:val="center"/>
          </w:tcPr>
          <w:p>
            <w:pPr>
              <w:spacing w:line="360" w:lineRule="auto" w:after="40"/>
              <w:ind w:firstLine="0"/>
              <w:jc w:val="left"/>
            </w:pPr>
            <w:r/>
            <w:r>
              <w:rPr>
                <w:rFonts w:ascii="Times New Roman" w:hAnsi="Times New Roman" w:eastAsia="宋体"/>
                <w:b w:val="0"/>
                <w:sz w:val="21"/>
              </w:rPr>
              <w:t>大模型赋能的知识管理与内容创作</w:t>
            </w:r>
          </w:p>
        </w:tc>
      </w:tr>
      <w:tr w14:paraId="19F3E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8296" w:type="dxa"/>
            <w:gridSpan w:val="2"/>
            <w:noWrap/>
            <w:vAlign w:val="center"/>
            <w:shd w:fill="F2F2F2"/>
          </w:tcPr>
          <w:p>
            <w:pPr>
              <w:spacing w:line="360" w:lineRule="auto" w:after="40"/>
              <w:ind w:firstLine="0"/>
              <w:jc w:val="center"/>
            </w:pPr>
            <w:r/>
            <w:r>
              <w:rPr>
                <w:rFonts w:ascii="Times New Roman" w:hAnsi="Times New Roman" w:eastAsia="宋体"/>
                <w:b/>
                <w:sz w:val="21"/>
              </w:rPr>
              <w:t>作品简介</w:t>
            </w:r>
          </w:p>
        </w:tc>
      </w:tr>
      <w:tr w14:paraId="58849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5" w:hRule="atLeast"/>
          <w:jc w:val="center"/>
        </w:trPr>
        <w:tc>
          <w:tcPr>
            <w:tcW w:w="8296" w:type="dxa"/>
            <w:gridSpan w:val="2"/>
            <w:noWrap/>
            <w:vAlign w:val="center"/>
            <w:shd w:fill="F2F2F2"/>
          </w:tcPr>
          <w:p>
            <w:pPr>
              <w:spacing w:line="360" w:lineRule="auto" w:after="40"/>
              <w:ind w:firstLine="0"/>
              <w:jc w:val="center"/>
            </w:pPr>
            <w:r/>
            <w:r>
              <w:rPr>
                <w:rFonts w:ascii="Times New Roman" w:hAnsi="Times New Roman" w:eastAsia="宋体"/>
                <w:b/>
                <w:sz w:val="21"/>
              </w:rPr>
              <w:t>中国色彩数字博物馆是一座面向公众的传统色彩知识与内容创作型数字展馆。作品以“色载华夏，数藏千年”为叙事线索，将青、赤、黄、白、黑五正色、器物色、节气色与可检索色彩档案组织为可浏览、可交互、可复用的网页体验。作品采用静态 HTML、CSS、JavaScript 实现前端展示，并以大模型辅助完成知识梳理、内容结构化、展陈文案生成、提示词设计和视觉资产策划，使分散的传统色知识转化为清晰的数字展览。用户可以通过序厅进入四个展厅，浏览五色体系，观察器物中的色彩，沿二十四节气理解时间中的颜色，并在拾色藏库中搜索、筛选、复制和组合传统色。</w:t>
            </w:r>
          </w:p>
        </w:tc>
      </w:tr>
      <w:tr w14:paraId="48F1F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271" w:type="dxa"/>
            <w:noWrap/>
            <w:vAlign w:val="center"/>
            <w:shd w:fill="F2F2F2"/>
          </w:tcPr>
          <w:p>
            <w:pPr>
              <w:spacing w:line="360" w:lineRule="auto" w:after="40"/>
              <w:ind w:firstLine="0"/>
              <w:jc w:val="center"/>
            </w:pPr>
            <w:r/>
            <w:r>
              <w:rPr>
                <w:rFonts w:ascii="Times New Roman" w:hAnsi="Times New Roman" w:eastAsia="宋体"/>
                <w:b/>
                <w:sz w:val="21"/>
              </w:rPr>
              <w:t>作品来源</w:t>
            </w:r>
          </w:p>
        </w:tc>
        <w:tc>
          <w:tcPr>
            <w:tcW w:w="7025" w:type="dxa"/>
            <w:noWrap/>
            <w:vAlign w:val="center"/>
          </w:tcPr>
          <w:p>
            <w:pPr>
              <w:spacing w:line="360" w:lineRule="auto" w:after="40"/>
              <w:ind w:firstLine="0"/>
              <w:jc w:val="left"/>
            </w:pPr>
            <w:r/>
            <w:r>
              <w:rPr>
                <w:rFonts w:ascii="Times New Roman" w:hAnsi="Times New Roman" w:eastAsia="宋体"/>
                <w:b w:val="0"/>
                <w:sz w:val="21"/>
              </w:rPr>
              <w:t>自主设计开发</w:t>
            </w:r>
          </w:p>
        </w:tc>
      </w:tr>
      <w:tr w14:paraId="0A99F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271" w:type="dxa"/>
            <w:noWrap/>
            <w:vAlign w:val="center"/>
            <w:shd w:fill="F2F2F2"/>
          </w:tcPr>
          <w:p>
            <w:pPr>
              <w:spacing w:line="360" w:lineRule="auto" w:after="40"/>
              <w:ind w:firstLine="0"/>
              <w:jc w:val="center"/>
            </w:pPr>
            <w:r/>
            <w:r>
              <w:rPr>
                <w:rFonts w:ascii="Times New Roman" w:hAnsi="Times New Roman" w:eastAsia="宋体"/>
                <w:b/>
                <w:sz w:val="21"/>
              </w:rPr>
              <w:t>应用行业</w:t>
            </w:r>
          </w:p>
        </w:tc>
        <w:tc>
          <w:tcPr>
            <w:tcW w:w="7025" w:type="dxa"/>
            <w:noWrap/>
            <w:vAlign w:val="center"/>
          </w:tcPr>
          <w:p>
            <w:pPr>
              <w:spacing w:line="360" w:lineRule="auto" w:after="40"/>
              <w:ind w:firstLine="0"/>
              <w:jc w:val="left"/>
            </w:pPr>
            <w:r/>
            <w:r>
              <w:rPr>
                <w:rFonts w:ascii="Times New Roman" w:hAnsi="Times New Roman" w:eastAsia="宋体"/>
                <w:b w:val="0"/>
                <w:sz w:val="21"/>
              </w:rPr>
              <w:t>文化数字化、博物馆展陈、数字文旅、知识管理与内容创作</w:t>
            </w:r>
          </w:p>
        </w:tc>
      </w:tr>
      <w:tr w14:paraId="0D191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271" w:type="dxa"/>
            <w:noWrap/>
            <w:vAlign w:val="center"/>
            <w:shd w:fill="F2F2F2"/>
          </w:tcPr>
          <w:p>
            <w:pPr>
              <w:spacing w:line="360" w:lineRule="auto" w:after="40"/>
              <w:ind w:firstLine="0"/>
              <w:jc w:val="center"/>
            </w:pPr>
            <w:r/>
            <w:r>
              <w:rPr>
                <w:rFonts w:ascii="Times New Roman" w:hAnsi="Times New Roman" w:eastAsia="宋体"/>
                <w:b/>
                <w:sz w:val="21"/>
              </w:rPr>
              <w:t>数据来源</w:t>
            </w:r>
          </w:p>
        </w:tc>
        <w:tc>
          <w:tcPr>
            <w:tcW w:w="7025" w:type="dxa"/>
            <w:noWrap/>
            <w:vAlign w:val="center"/>
          </w:tcPr>
          <w:p>
            <w:pPr>
              <w:spacing w:line="360" w:lineRule="auto" w:after="40"/>
              <w:ind w:firstLine="0"/>
              <w:jc w:val="left"/>
            </w:pPr>
            <w:r/>
            <w:r>
              <w:rPr>
                <w:rFonts w:ascii="Times New Roman" w:hAnsi="Times New Roman" w:eastAsia="宋体"/>
                <w:b w:val="0"/>
                <w:sz w:val="21"/>
              </w:rPr>
              <w:t>公开传统色文化资料、五色体系与二十四节气知识、传统器物与工艺常识，以及作品设计期自建的色彩、展项和文案数据；不包含学校、团队、个人或用户隐私数据。</w:t>
            </w:r>
          </w:p>
        </w:tc>
      </w:tr>
      <w:tr w14:paraId="5BFE2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271" w:type="dxa"/>
            <w:noWrap/>
            <w:vAlign w:val="center"/>
            <w:shd w:fill="F2F2F2"/>
          </w:tcPr>
          <w:p>
            <w:pPr>
              <w:spacing w:line="360" w:lineRule="auto" w:after="40"/>
              <w:ind w:firstLine="0"/>
              <w:jc w:val="center"/>
            </w:pPr>
            <w:r/>
            <w:r>
              <w:rPr>
                <w:rFonts w:ascii="Times New Roman" w:hAnsi="Times New Roman" w:eastAsia="宋体"/>
                <w:b/>
                <w:sz w:val="21"/>
              </w:rPr>
              <w:t>作品展示</w:t>
            </w:r>
          </w:p>
        </w:tc>
        <w:tc>
          <w:tcPr>
            <w:tcW w:w="7025" w:type="dxa"/>
            <w:noWrap/>
            <w:vAlign w:val="center"/>
          </w:tcPr>
          <w:p>
            <w:pPr>
              <w:spacing w:line="360" w:lineRule="auto" w:after="40"/>
              <w:ind w:firstLine="0"/>
              <w:jc w:val="left"/>
            </w:pPr>
            <w:r/>
            <w:r>
              <w:rPr>
                <w:rFonts w:ascii="Times New Roman" w:hAnsi="Times New Roman" w:eastAsia="宋体"/>
                <w:b w:val="0"/>
                <w:sz w:val="21"/>
              </w:rPr>
              <w:t>本地静态网站程序：从项目根目录打开 index.html，或启动静态服务后访问序厅及四个展厅页面。</w:t>
            </w:r>
          </w:p>
        </w:tc>
      </w:tr>
    </w:tbl>
    <w:p w14:paraId="1654048C">
      <w:pPr>
        <w:rPr>
          <w:rFonts w:hint="eastAsia" w:ascii="宋体" w:hAnsi="宋体" w:eastAsia="宋体"/>
        </w:rPr>
      </w:pPr>
    </w:p>
    <w:p w14:paraId="303F2359">
      <w:pPr>
        <w:widowControl/>
        <w:jc w:val="left"/>
        <w:rPr>
          <w:rFonts w:hint="eastAsia" w:ascii="宋体" w:hAnsi="宋体" w:eastAsia="宋体"/>
        </w:rPr>
      </w:pPr>
      <w:r>
        <w:rPr>
          <w:rFonts w:ascii="宋体" w:hAnsi="宋体" w:eastAsia="宋体"/>
        </w:rPr>
        <w:br w:type="page"/>
      </w:r>
    </w:p>
    <w:p w14:paraId="013BDD2C">
      <w:pPr>
        <w:spacing w:line="360" w:lineRule="auto" w:after="80" w:before="0"/>
        <w:jc w:val="center"/>
        <w:rPr>
          <w:rFonts w:hint="eastAsia" w:ascii="宋体" w:hAnsi="宋体" w:eastAsia="宋体"/>
          <w:b/>
          <w:sz w:val="28"/>
          <w:szCs w:val="28"/>
        </w:rPr>
      </w:pPr>
      <w:r>
        <w:rPr>
          <w:rFonts w:hint="eastAsia" w:ascii="Times New Roman" w:hAnsi="Times New Roman" w:eastAsia="宋体"/>
          <w:b/>
          <w:sz w:val="24"/>
          <w:szCs w:val="28"/>
        </w:rPr>
        <w:t>正文</w:t>
      </w:r>
    </w:p>
    <w:p>
      <w:pPr>
        <w:spacing w:line="360" w:lineRule="auto" w:after="120" w:before="120"/>
        <w:ind w:firstLine="0"/>
        <w:jc w:val="left"/>
      </w:pPr>
      <w:r>
        <w:rPr>
          <w:rFonts w:ascii="Times New Roman" w:hAnsi="Times New Roman" w:eastAsia="宋体"/>
          <w:b/>
          <w:sz w:val="21"/>
        </w:rPr>
        <w:t>选题定位</w:t>
      </w:r>
    </w:p>
    <w:p>
      <w:pPr>
        <w:spacing w:line="360" w:lineRule="auto" w:after="80" w:before="0"/>
        <w:ind w:firstLine="420"/>
        <w:jc w:val="left"/>
      </w:pPr>
      <w:r>
        <w:rPr>
          <w:rFonts w:ascii="Times New Roman" w:hAnsi="Times New Roman" w:eastAsia="宋体"/>
          <w:b w:val="0"/>
          <w:sz w:val="21"/>
        </w:rPr>
        <w:t>传统色是理解中华文化的重要入口，但相关知识长期分散在文献、器物、绘画、服饰、建筑、节令和设计语境之中。普通公众往往只能接触到单个色名或色卡，难以理解颜色背后的方位、五行、礼制、材质、工艺与生活场景；内容创作者也常面临资料零散、叙事结构难搭建、视觉表达难统一的问题。本作品选择“中国色彩数字博物馆”作为应用场景，尝试用大模型把传统色知识整理成可检索、可叙事、可交互的数字内容体系。</w:t>
      </w:r>
    </w:p>
    <w:p>
      <w:pPr>
        <w:spacing w:line="360" w:lineRule="auto" w:after="80" w:before="0"/>
        <w:ind w:firstLine="420"/>
        <w:jc w:val="left"/>
      </w:pPr>
      <w:r>
        <w:rPr>
          <w:rFonts w:ascii="Times New Roman" w:hAnsi="Times New Roman" w:eastAsia="宋体"/>
          <w:b w:val="0"/>
          <w:sz w:val="21"/>
        </w:rPr>
        <w:t>作品不是单纯展示颜色列表，而是把颜色作为信息架构和交互语言：用户先在序厅感知五色初醒，再进入“正色溯源”“物色生香”“岁时流转”“拾色藏库”四个展厅，从天地秩序、器物材料、四时节气和色彩档案四个层面理解中国传统色。</w:t>
      </w:r>
    </w:p>
    <w:p>
      <w:pPr>
        <w:spacing w:line="360" w:lineRule="auto" w:after="120" w:before="120"/>
        <w:ind w:firstLine="0"/>
        <w:jc w:val="left"/>
      </w:pPr>
      <w:r>
        <w:rPr>
          <w:rFonts w:ascii="Times New Roman" w:hAnsi="Times New Roman" w:eastAsia="宋体"/>
          <w:b/>
          <w:sz w:val="21"/>
        </w:rPr>
        <w:t>社会价值</w:t>
      </w:r>
    </w:p>
    <w:p>
      <w:pPr>
        <w:spacing w:line="360" w:lineRule="auto" w:after="80" w:before="0"/>
        <w:ind w:firstLine="420"/>
        <w:jc w:val="left"/>
      </w:pPr>
      <w:r>
        <w:rPr>
          <w:rFonts w:ascii="Times New Roman" w:hAnsi="Times New Roman" w:eastAsia="宋体"/>
          <w:b w:val="0"/>
          <w:sz w:val="21"/>
        </w:rPr>
        <w:t>作品面向传统文化学习者、设计爱好者、数字文旅体验用户、博物馆展陈策划者和内容创作者。对公众而言，它把抽象的传统色知识转化为可浏览的数字展览，降低理解门槛；对教育与文旅场景而言，它可作为传统文化课程、线上展陈和活动传播的轻量化原型；对设计与内容生产场景而言，它提供色名、色值、文化印象、来源语境和配色组合等素材，帮助创作者更准确地使用传统色。</w:t>
      </w:r>
    </w:p>
    <w:p>
      <w:pPr>
        <w:spacing w:line="360" w:lineRule="auto" w:after="80" w:before="0"/>
        <w:ind w:firstLine="420"/>
        <w:jc w:val="left"/>
      </w:pPr>
      <w:r>
        <w:rPr>
          <w:rFonts w:ascii="Times New Roman" w:hAnsi="Times New Roman" w:eastAsia="宋体"/>
          <w:b w:val="0"/>
          <w:sz w:val="21"/>
        </w:rPr>
        <w:t>在推广价值上，作品采用静态网页架构，部署成本低，便于在校园展示、文化活动、课程教学和线上传播中复用。其方法也可以扩展到非遗技艺、地域纹样、传统器物、地方文献等其他文化知识主题。</w:t>
      </w:r>
    </w:p>
    <w:p>
      <w:pPr>
        <w:spacing w:line="360" w:lineRule="auto" w:after="120" w:before="120"/>
        <w:ind w:firstLine="0"/>
        <w:jc w:val="left"/>
      </w:pPr>
      <w:r>
        <w:rPr>
          <w:rFonts w:ascii="Times New Roman" w:hAnsi="Times New Roman" w:eastAsia="宋体"/>
          <w:b/>
          <w:sz w:val="21"/>
        </w:rPr>
        <w:t>技术方案</w:t>
      </w:r>
    </w:p>
    <w:p>
      <w:pPr>
        <w:spacing w:line="360" w:lineRule="auto" w:after="80" w:before="0"/>
        <w:ind w:firstLine="420"/>
        <w:jc w:val="left"/>
      </w:pPr>
      <w:r>
        <w:rPr>
          <w:rFonts w:ascii="Times New Roman" w:hAnsi="Times New Roman" w:eastAsia="宋体"/>
          <w:b w:val="0"/>
          <w:sz w:val="21"/>
        </w:rPr>
        <w:t>作品采用前端静态网页实现，核心技术包括 HTML5 语义结构、CSS3 响应式布局与动效、原生 JavaScript 数据驱动交互。当前项目包含序厅入口和四个展厅页面：序厅负责建立整体叙事和导航；正色溯源展示青、赤、黄、白、黑与方位、五行、季节之间的关系；物色生香通过器物、服饰、书画和建筑呈现颜色依附材料与工艺的方式；岁时流转以二十四节气为时间轴组织颜色；拾色藏库提供搜索、筛选、排序、复制、收藏、经典配色和自定义配色组合。</w:t>
      </w:r>
    </w:p>
    <w:p>
      <w:pPr>
        <w:spacing w:line="360" w:lineRule="auto" w:after="80" w:before="0"/>
        <w:ind w:firstLine="420"/>
        <w:jc w:val="left"/>
      </w:pPr>
      <w:r>
        <w:rPr>
          <w:rFonts w:ascii="Times New Roman" w:hAnsi="Times New Roman" w:eastAsia="宋体"/>
          <w:b w:val="0"/>
          <w:sz w:val="21"/>
        </w:rPr>
        <w:t>大模型主要用于知识管理和内容创作两个环节。在知识管理环节，先将传统色相关资料拆分为色名、色系、色值、来源、应用、文化印象、描述文案、展厅归属等字段，形成可被前端读取的数据结构；再通过大模型辅助归纳颜色之间的关系，建立“五色体系-器物应用-节气场景-色彩档案”的内容层级。在内容创作环节，大模型用于生成展厅叙事、按钮与提示文案、色彩解释、器物导览语、页面标题和视觉资产提示词，并在人工审核后写入网页。</w:t>
      </w:r>
    </w:p>
    <w:p>
      <w:pPr>
        <w:spacing w:line="360" w:lineRule="auto" w:after="120" w:before="120"/>
        <w:ind w:firstLine="0"/>
        <w:jc w:val="left"/>
      </w:pPr>
      <w:r>
        <w:rPr>
          <w:rFonts w:ascii="Times New Roman" w:hAnsi="Times New Roman" w:eastAsia="宋体"/>
          <w:b/>
          <w:sz w:val="21"/>
        </w:rPr>
        <w:t>创新性</w:t>
      </w:r>
    </w:p>
    <w:p>
      <w:pPr>
        <w:spacing w:line="360" w:lineRule="auto" w:after="80" w:before="0"/>
        <w:ind w:firstLine="420"/>
        <w:jc w:val="left"/>
      </w:pPr>
      <w:r>
        <w:rPr>
          <w:rFonts w:ascii="Times New Roman" w:hAnsi="Times New Roman" w:eastAsia="宋体"/>
          <w:b w:val="0"/>
          <w:sz w:val="21"/>
        </w:rPr>
        <w:t>与常见色卡网站相比，作品把大模型生成能力嵌入策展流程，而不是只把模型作为聊天入口。它用模型帮助完成资料整理、语义分类、展项命名、导览文案和交互提示，使文化知识从“资料堆叠”变成“展览叙事”。同时，作品把传统色与网页交互深度绑定，颜色不仅用于装饰，也参与导航、转场、筛选、状态反馈和内容组织，形成以色彩为核心的数字博物馆体验。</w:t>
      </w:r>
    </w:p>
    <w:p>
      <w:pPr>
        <w:spacing w:line="360" w:lineRule="auto" w:after="120" w:before="120"/>
        <w:ind w:firstLine="0"/>
        <w:jc w:val="left"/>
      </w:pPr>
      <w:r>
        <w:rPr>
          <w:rFonts w:ascii="Times New Roman" w:hAnsi="Times New Roman" w:eastAsia="宋体"/>
          <w:b/>
          <w:sz w:val="21"/>
        </w:rPr>
        <w:t>提示词设计及处理方法</w:t>
      </w:r>
    </w:p>
    <w:p>
      <w:pPr>
        <w:spacing w:line="360" w:lineRule="auto" w:after="80" w:before="0"/>
        <w:ind w:firstLine="420"/>
        <w:jc w:val="left"/>
      </w:pPr>
      <w:r>
        <w:rPr>
          <w:rFonts w:ascii="Times New Roman" w:hAnsi="Times New Roman" w:eastAsia="宋体"/>
          <w:b w:val="0"/>
          <w:sz w:val="21"/>
        </w:rPr>
        <w:t>提示词设计采用分层方法。第一层要求模型依据主题提取知识字段，输出结构化色彩档案；第二层要求模型按展厅定位生成策展叙事，控制语言为克制、准确、具有博物馆感；第三层要求模型面向网页组件生成短文案、交互提示和空状态提示，保证用户能在不阅读说明书的情况下完成浏览；第四层要求模型生成视觉资产和动效方向，再由人工筛选、修订和前端实现。</w:t>
      </w:r>
    </w:p>
    <w:p>
      <w:pPr>
        <w:spacing w:line="360" w:lineRule="auto" w:after="80" w:before="0"/>
        <w:ind w:firstLine="420"/>
        <w:jc w:val="left"/>
      </w:pPr>
      <w:r>
        <w:rPr>
          <w:rFonts w:ascii="Times New Roman" w:hAnsi="Times New Roman" w:eastAsia="宋体"/>
          <w:b w:val="0"/>
          <w:sz w:val="21"/>
        </w:rPr>
        <w:t>为避免内容失真，作品在处理时区分事实性知识、策展性表达和设计期创作内容。涉及历史制度、器物材料和传统色来源的文字以保守表述为主；涉及色值的数据明确定位为屏幕展示和设计参考，不把单一 HEX 值说成传统颜色的唯一标准。</w:t>
      </w:r>
    </w:p>
    <w:p>
      <w:pPr>
        <w:spacing w:line="360" w:lineRule="auto" w:after="120" w:before="120"/>
        <w:ind w:firstLine="0"/>
        <w:jc w:val="left"/>
      </w:pPr>
      <w:r>
        <w:rPr>
          <w:rFonts w:ascii="Times New Roman" w:hAnsi="Times New Roman" w:eastAsia="宋体"/>
          <w:b/>
          <w:sz w:val="21"/>
        </w:rPr>
        <w:t>应用效果</w:t>
      </w:r>
    </w:p>
    <w:p>
      <w:pPr>
        <w:spacing w:line="360" w:lineRule="auto" w:after="80" w:before="0"/>
        <w:ind w:firstLine="420"/>
        <w:jc w:val="left"/>
      </w:pPr>
      <w:r>
        <w:rPr>
          <w:rFonts w:ascii="Times New Roman" w:hAnsi="Times New Roman" w:eastAsia="宋体"/>
          <w:b w:val="0"/>
          <w:sz w:val="21"/>
        </w:rPr>
        <w:t>作品已经形成可运行的多页面网页原型。用户可以在首页通过沉浸式序厅进入展馆，在正色溯源页面理解五正色秩序，在物色生香页面通过器物图像与色点发现颜色，在岁时流转页面沿二十四节气浏览一年之色，在拾色藏库页面检索颜色、查看详情、复制色值、收藏颜色并组合配色。页面支持桌面端和移动端访问，并包含滚动揭示、页面转场、状态提示、复制反馈和无障碍语义标签等交互细节。</w:t>
      </w:r>
    </w:p>
    <w:p>
      <w:pPr>
        <w:spacing w:line="360" w:lineRule="auto" w:after="120" w:before="120"/>
        <w:ind w:firstLine="0"/>
        <w:jc w:val="left"/>
      </w:pPr>
      <w:r>
        <w:rPr>
          <w:rFonts w:ascii="Times New Roman" w:hAnsi="Times New Roman" w:eastAsia="宋体"/>
          <w:b/>
          <w:sz w:val="21"/>
        </w:rPr>
        <w:t>问题与改进方向</w:t>
      </w:r>
    </w:p>
    <w:p>
      <w:pPr>
        <w:spacing w:line="360" w:lineRule="auto" w:after="80" w:before="0"/>
        <w:ind w:firstLine="420"/>
        <w:jc w:val="left"/>
      </w:pPr>
      <w:r>
        <w:rPr>
          <w:rFonts w:ascii="Times New Roman" w:hAnsi="Times New Roman" w:eastAsia="宋体"/>
          <w:b w:val="0"/>
          <w:sz w:val="21"/>
        </w:rPr>
        <w:t>当前作品仍处于原型阶段，主要问题包括传统色资料来源需要进一步校核，色值与历史材料之间仍需更严谨的证据链，部分视觉资产属于设计期合成图，尚未接入权威馆藏图像。后续可进一步引入经过标注的文献与图像资料，建立可追溯的数据来源；增加大模型问答导览、自动生成学习卡片、面向不同年龄层的讲解模式，以及面向设计师的配色导出功能，使作品从展示型网页升级为可持续扩展的传统色知识管理平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_GBK">
    <w:panose1 w:val="02000000000000000000"/>
    <w:charset w:val="86"/>
    <w:family w:val="auto"/>
    <w:pitch w:val="default"/>
    <w:sig w:usb0="A00002BF" w:usb1="38CF7CFA" w:usb2="00082016" w:usb3="00000000" w:csb0="00040001" w:csb1="00000000"/>
  </w:font>
  <w:font w:name="方正黑体_GBK">
    <w:panose1 w:val="0201060001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CF9ED">
    <w:pPr>
      <w:pStyle w:val="3"/>
      <w:ind w:firstLine="360"/>
      <w:jc w:val="center"/>
      <w:rPr>
        <w:rFonts w:hint="eastAsia"/>
      </w:rPr>
    </w:pPr>
    <w:r>
      <w:fldChar w:fldCharType="begin"/>
    </w:r>
    <w:r>
      <w:instrText xml:space="preserve">PAGE   \* MERGEFORMAT</w:instrText>
    </w:r>
    <w:r>
      <w:fldChar w:fldCharType="separate"/>
    </w:r>
    <w:r>
      <w:rPr>
        <w:lang w:val="zh-CN"/>
      </w:rPr>
      <w:t>2</w:t>
    </w:r>
    <w:r>
      <w:fldChar w:fldCharType="end"/>
    </w:r>
  </w:p>
  <w:p w14:paraId="70FD00CA">
    <w:pPr>
      <w:pStyle w:val="3"/>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A5C64">
    <w:pPr>
      <w:pStyle w:val="3"/>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0AC8E">
    <w:pPr>
      <w:pStyle w:val="3"/>
      <w:ind w:firstLine="36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7C9FC">
    <w:pPr>
      <w:pStyle w:val="4"/>
      <w:ind w:firstLine="360"/>
      <w:rPr>
        <w:rFonts w:hint="eastAsia"/>
      </w:rPr>
    </w:pPr>
    <w:r>
      <w:rPr>
        <w:rFonts w:hint="eastAsia"/>
      </w:rPr>
      <w:t>202</w:t>
    </w:r>
    <w:r>
      <w:t>6</w:t>
    </w:r>
    <w:r>
      <w:rPr>
        <w:rFonts w:hint="eastAsia"/>
      </w:rPr>
      <w:t>年安徽省AI大模型创新应用竞赛—作品赛</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B7DD6">
    <w:pPr>
      <w:pStyle w:val="4"/>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96057">
    <w:pPr>
      <w:pStyle w:val="4"/>
      <w:pBdr>
        <w:bottom w:val="none" w:color="auto" w:sz="0" w:space="0"/>
      </w:pBdr>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41614E"/>
    <w:multiLevelType w:val="multilevel"/>
    <w:tmpl w:val="4A41614E"/>
    <w:lvl w:ilvl="0" w:tentative="0">
      <w:start w:val="1"/>
      <w:numFmt w:val="japaneseCounting"/>
      <w:lvlText w:val="（%1）"/>
      <w:lvlJc w:val="left"/>
      <w:pPr>
        <w:ind w:left="780" w:hanging="780"/>
      </w:pPr>
      <w:rPr>
        <w:rFonts w:hint="default"/>
      </w:r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1DF"/>
    <w:rsid w:val="00010BC3"/>
    <w:rsid w:val="00045F04"/>
    <w:rsid w:val="0006527E"/>
    <w:rsid w:val="000B7A80"/>
    <w:rsid w:val="000C130F"/>
    <w:rsid w:val="00105E23"/>
    <w:rsid w:val="00110773"/>
    <w:rsid w:val="00171172"/>
    <w:rsid w:val="001979D0"/>
    <w:rsid w:val="001B2FF4"/>
    <w:rsid w:val="001F777B"/>
    <w:rsid w:val="002048E6"/>
    <w:rsid w:val="0020702B"/>
    <w:rsid w:val="00221B18"/>
    <w:rsid w:val="00226A68"/>
    <w:rsid w:val="00272EA9"/>
    <w:rsid w:val="00293A7C"/>
    <w:rsid w:val="002B2E88"/>
    <w:rsid w:val="002C4EEE"/>
    <w:rsid w:val="002D1279"/>
    <w:rsid w:val="00303E7A"/>
    <w:rsid w:val="00311B11"/>
    <w:rsid w:val="003752C6"/>
    <w:rsid w:val="0039305E"/>
    <w:rsid w:val="00412AA9"/>
    <w:rsid w:val="004368C1"/>
    <w:rsid w:val="00474D54"/>
    <w:rsid w:val="00557B4B"/>
    <w:rsid w:val="0061543D"/>
    <w:rsid w:val="006B65E9"/>
    <w:rsid w:val="006F4BE7"/>
    <w:rsid w:val="0071117A"/>
    <w:rsid w:val="007A322F"/>
    <w:rsid w:val="007D4321"/>
    <w:rsid w:val="007E0E48"/>
    <w:rsid w:val="007E1CDD"/>
    <w:rsid w:val="007E51DF"/>
    <w:rsid w:val="00835162"/>
    <w:rsid w:val="00853C21"/>
    <w:rsid w:val="008B5CE3"/>
    <w:rsid w:val="009108DE"/>
    <w:rsid w:val="0091249B"/>
    <w:rsid w:val="00997C3F"/>
    <w:rsid w:val="009C0639"/>
    <w:rsid w:val="00A277DD"/>
    <w:rsid w:val="00A33174"/>
    <w:rsid w:val="00A759C4"/>
    <w:rsid w:val="00A939D3"/>
    <w:rsid w:val="00AC1E1E"/>
    <w:rsid w:val="00B25400"/>
    <w:rsid w:val="00B421A3"/>
    <w:rsid w:val="00BA4411"/>
    <w:rsid w:val="00BD26AC"/>
    <w:rsid w:val="00BF59A0"/>
    <w:rsid w:val="00C3421C"/>
    <w:rsid w:val="00C5349E"/>
    <w:rsid w:val="00C836E9"/>
    <w:rsid w:val="00CD3548"/>
    <w:rsid w:val="00CF7E77"/>
    <w:rsid w:val="00D42814"/>
    <w:rsid w:val="00DC2078"/>
    <w:rsid w:val="00E04C82"/>
    <w:rsid w:val="00E4144B"/>
    <w:rsid w:val="00E703D1"/>
    <w:rsid w:val="00ED694C"/>
    <w:rsid w:val="00EE5377"/>
    <w:rsid w:val="00F011A5"/>
    <w:rsid w:val="00FE51A2"/>
    <w:rsid w:val="3F404269"/>
    <w:rsid w:val="421A11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
    <w:pPr>
      <w:keepNext/>
      <w:keepLines/>
      <w:spacing w:before="340" w:after="330" w:line="578" w:lineRule="auto"/>
      <w:jc w:val="center"/>
      <w:outlineLvl w:val="0"/>
    </w:pPr>
    <w:rPr>
      <w:rFonts w:ascii="Calibri" w:hAnsi="Calibri" w:eastAsia="宋体" w:cs="Times New Roman"/>
      <w:b/>
      <w:bCs/>
      <w:kern w:val="44"/>
      <w:sz w:val="44"/>
      <w:szCs w:val="44"/>
      <w:lang w:val="zh-CN"/>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标题 1 字符"/>
    <w:basedOn w:val="7"/>
    <w:uiPriority w:val="9"/>
    <w:rPr>
      <w:b/>
      <w:bCs/>
      <w:kern w:val="44"/>
      <w:sz w:val="44"/>
      <w:szCs w:val="44"/>
    </w:rPr>
  </w:style>
  <w:style w:type="character" w:customStyle="1" w:styleId="11">
    <w:name w:val="标题 1 字符1"/>
    <w:link w:val="2"/>
    <w:qFormat/>
    <w:uiPriority w:val="9"/>
    <w:rPr>
      <w:rFonts w:ascii="Calibri" w:hAnsi="Calibri" w:eastAsia="宋体" w:cs="Times New Roman"/>
      <w:b/>
      <w:bCs/>
      <w:kern w:val="44"/>
      <w:sz w:val="44"/>
      <w:szCs w:val="44"/>
      <w:lang w:val="zh-CN" w:eastAsia="zh-CN"/>
    </w:rPr>
  </w:style>
  <w:style w:type="character" w:customStyle="1" w:styleId="12">
    <w:name w:val="页眉 Char"/>
    <w:qFormat/>
    <w:uiPriority w:val="99"/>
    <w:rPr>
      <w:kern w:val="2"/>
      <w:sz w:val="18"/>
      <w:szCs w:val="18"/>
    </w:rPr>
  </w:style>
  <w:style w:type="character" w:customStyle="1" w:styleId="13">
    <w:name w:val="页脚 Char"/>
    <w:qFormat/>
    <w:uiPriority w:val="99"/>
    <w:rPr>
      <w:kern w:val="2"/>
      <w:sz w:val="18"/>
      <w:szCs w:val="18"/>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574</Words>
  <Characters>597</Characters>
  <Lines>56</Lines>
  <Paragraphs>45</Paragraphs>
  <TotalTime>0</TotalTime>
  <ScaleCrop>false</ScaleCrop>
  <LinksUpToDate>false</LinksUpToDate>
  <CharactersWithSpaces>646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2021-06-25T03:56:00Z</dcterms:created>
  <dc:creator>junwei lv</dc:creator>
  <cp:lastModifiedBy>jsw</cp:lastModifiedBy>
  <dcterms:modified xsi:type="dcterms:W3CDTF">2026-08-21T05:57:11Z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eyJoZGlkIjoiODY3YjM4ZTFiM2EwNmRlYzhmZjk1ZDI2ZjdhN2U5OTkiLCJ1c2VySWQiOiIxOTczNTU0In0=</vt:lpwstr>
  </property>
  <property fmtid="{D5CDD505-2E9C-101B-9397-08002B2CF9AE}" pid="3" name="KSOProductBuildVer">
    <vt:lpwstr>2052-12.1.0.28043</vt:lpwstr>
  </property>
  <property fmtid="{D5CDD505-2E9C-101B-9397-08002B2CF9AE}" pid="4" name="ICV">
    <vt:lpwstr>39E8B837241C4770A380E2148DDECD8C_12</vt:lpwstr>
  </property>
</Properties>
</file>