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OpenHiCAMM Workflow Instructions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First, create a new workflow directory. Click the “Choose” button to show the Open Workflow dialog box.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943600" cy="1422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the “New Folder” button to create and select a new workflow folder. Then click “Choose Workflow Directory”.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38750" cy="40195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 click the “Edit Workflow…” directory to add processing modules to the workflow.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422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“Slide imaging workflow” dialog appears. Workflow modules can be arranged in a tree-like structure to define automation and processing steps.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11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the “Configure…” button to configure each workflow module.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4224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configuration wizard appears. Each workflow module’s configuration is represented as an individual tab in the configuration wizard. Clicking the “Next” button cycles through all the workflow configuration panes.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Example configuration for a slide loader workflow module.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831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Example configuration of the slide imaging configuration module. Click “Finish” to close the configuration window and store the settings.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ROI configuration dialog contains settings for determining ROI areas of acquired images.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 click “Start” to begin the automation workflow.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422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“Workflow Runner” dialog appears. A progress bar indicates the task completion status. A log window gives detailed information about each task. When the workflow completes, a task summary is displayed in the log window.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8608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Once the workflow completes, the user can select a report to view the acquired images and quality check the results. The above is a thumbnail view of an imaged slide. Each red box is an ROI area.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6576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Each ROI has an ROI details section. The first column is a ROI cutout from the low-res scan image. The second column contains the hi-res imaging results before stitching. The third column shows the hi-res images stitched into a single image.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8161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54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781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4.png"/><Relationship Id="rId10" Type="http://schemas.openxmlformats.org/officeDocument/2006/relationships/image" Target="media/image06.png"/><Relationship Id="rId13" Type="http://schemas.openxmlformats.org/officeDocument/2006/relationships/image" Target="media/image29.png"/><Relationship Id="rId12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image" Target="media/image28.png"/><Relationship Id="rId14" Type="http://schemas.openxmlformats.org/officeDocument/2006/relationships/image" Target="media/image12.png"/><Relationship Id="rId17" Type="http://schemas.openxmlformats.org/officeDocument/2006/relationships/image" Target="media/image23.png"/><Relationship Id="rId16" Type="http://schemas.openxmlformats.org/officeDocument/2006/relationships/image" Target="media/image27.png"/><Relationship Id="rId5" Type="http://schemas.openxmlformats.org/officeDocument/2006/relationships/image" Target="media/image14.png"/><Relationship Id="rId19" Type="http://schemas.openxmlformats.org/officeDocument/2006/relationships/image" Target="media/image13.png"/><Relationship Id="rId6" Type="http://schemas.openxmlformats.org/officeDocument/2006/relationships/image" Target="media/image16.png"/><Relationship Id="rId18" Type="http://schemas.openxmlformats.org/officeDocument/2006/relationships/image" Target="media/image11.png"/><Relationship Id="rId7" Type="http://schemas.openxmlformats.org/officeDocument/2006/relationships/image" Target="media/image15.png"/><Relationship Id="rId8" Type="http://schemas.openxmlformats.org/officeDocument/2006/relationships/image" Target="media/image17.png"/></Relationships>
</file>